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color w:val="auto"/>
          <w:shd w:val="clear" w:color="auto" w:fill="auto"/>
        </w:rPr>
      </w:pPr>
      <w:r>
        <w:rPr>
          <w:color w:val="auto"/>
          <w:sz w:val="20"/>
          <w:shd w:val="clear" w:color="auto" w:fill="auto"/>
        </w:rPr>
        <w:pict>
          <v:rect id="_x0000_s1026" o:spid="_x0000_s1026" o:spt="1" style="position:absolute;left:0pt;margin-left:333pt;margin-top:7.8pt;height:70.2pt;width:126pt;z-index:-866170880;mso-width-relative:page;mso-height-relative:page;" coordsize="21600,21600">
            <v:path/>
            <v:fill focussize="0,0"/>
            <v:stroke/>
            <v:imagedata o:title=""/>
            <o:lock v:ext="edit"/>
            <v:textbox>
              <w:txbxContent>
                <w:p>
                  <w:pPr>
                    <w:pStyle w:val="56"/>
                    <w:topLinePunct w:val="0"/>
                    <w:autoSpaceDE/>
                    <w:autoSpaceDN/>
                    <w:adjustRightInd/>
                    <w:spacing w:before="120" w:beforeLines="50"/>
                    <w:textAlignment w:val="auto"/>
                    <w:rPr>
                      <w:rFonts w:ascii="楷体_GB2312" w:hAnsi="宋体" w:eastAsia="楷体_GB2312"/>
                      <w:kern w:val="2"/>
                      <w:position w:val="0"/>
                      <w:sz w:val="24"/>
                      <w:szCs w:val="24"/>
                    </w:rPr>
                  </w:pPr>
                  <w:r>
                    <w:rPr>
                      <w:rFonts w:hint="eastAsia" w:ascii="楷体_GB2312" w:hAnsi="Times New Roman" w:eastAsia="楷体_GB2312"/>
                      <w:kern w:val="2"/>
                      <w:position w:val="0"/>
                      <w:sz w:val="24"/>
                      <w:szCs w:val="24"/>
                    </w:rPr>
                    <w:t xml:space="preserve"> </w:t>
                  </w:r>
                  <w:r>
                    <w:rPr>
                      <w:rFonts w:hint="eastAsia" w:ascii="楷体_GB2312" w:hAnsi="宋体" w:eastAsia="楷体_GB2312"/>
                      <w:kern w:val="2"/>
                      <w:position w:val="0"/>
                      <w:sz w:val="24"/>
                      <w:szCs w:val="24"/>
                    </w:rPr>
                    <w:t>报告表编号</w:t>
                  </w:r>
                </w:p>
                <w:p>
                  <w:pPr>
                    <w:rPr>
                      <w:rFonts w:ascii="楷体_GB2312" w:hAnsi="宋体" w:eastAsia="楷体_GB2312"/>
                    </w:rPr>
                  </w:pPr>
                  <w:r>
                    <w:rPr>
                      <w:rFonts w:hint="eastAsia" w:ascii="楷体_GB2312" w:hAnsi="宋体" w:eastAsia="楷体_GB2312"/>
                    </w:rPr>
                    <w:t xml:space="preserve">       </w:t>
                  </w:r>
                  <w:r>
                    <w:rPr>
                      <w:rFonts w:hint="eastAsia" w:ascii="楷体_GB2312" w:hAnsi="宋体" w:eastAsia="楷体_GB2312"/>
                      <w:u w:val="single"/>
                    </w:rPr>
                    <w:t xml:space="preserve">         </w:t>
                  </w:r>
                  <w:r>
                    <w:rPr>
                      <w:rFonts w:hint="eastAsia" w:ascii="楷体_GB2312" w:hAnsi="宋体" w:eastAsia="楷体_GB2312"/>
                    </w:rPr>
                    <w:t xml:space="preserve"> 年</w:t>
                  </w:r>
                </w:p>
                <w:p>
                  <w:pPr>
                    <w:pStyle w:val="56"/>
                    <w:topLinePunct w:val="0"/>
                    <w:autoSpaceDE/>
                    <w:autoSpaceDN/>
                    <w:adjustRightInd/>
                    <w:jc w:val="both"/>
                    <w:textAlignment w:val="auto"/>
                    <w:rPr>
                      <w:rFonts w:ascii="楷体_GB2312" w:hAnsi="宋体" w:eastAsia="楷体_GB2312"/>
                      <w:kern w:val="2"/>
                      <w:position w:val="0"/>
                      <w:szCs w:val="24"/>
                      <w:u w:val="single"/>
                    </w:rPr>
                  </w:pPr>
                  <w:r>
                    <w:rPr>
                      <w:rFonts w:hint="eastAsia" w:ascii="楷体_GB2312" w:hAnsi="宋体" w:eastAsia="楷体_GB2312"/>
                      <w:kern w:val="2"/>
                      <w:position w:val="0"/>
                      <w:sz w:val="24"/>
                      <w:szCs w:val="24"/>
                    </w:rPr>
                    <w:t>编号：</w:t>
                  </w:r>
                  <w:r>
                    <w:rPr>
                      <w:rFonts w:hint="eastAsia" w:ascii="楷体_GB2312" w:hAnsi="宋体" w:eastAsia="楷体_GB2312"/>
                      <w:kern w:val="2"/>
                      <w:position w:val="0"/>
                      <w:sz w:val="24"/>
                      <w:szCs w:val="24"/>
                      <w:u w:val="single"/>
                    </w:rPr>
                    <w:t xml:space="preserve">         </w:t>
                  </w:r>
                  <w:r>
                    <w:rPr>
                      <w:rFonts w:hint="eastAsia" w:ascii="楷体_GB2312" w:hAnsi="宋体" w:eastAsia="楷体_GB2312"/>
                      <w:kern w:val="2"/>
                      <w:position w:val="0"/>
                      <w:sz w:val="24"/>
                      <w:szCs w:val="24"/>
                    </w:rPr>
                    <w:t xml:space="preserve"> </w:t>
                  </w:r>
                </w:p>
              </w:txbxContent>
            </v:textbox>
          </v:rect>
        </w:pict>
      </w:r>
    </w:p>
    <w:p>
      <w:pPr>
        <w:jc w:val="center"/>
        <w:rPr>
          <w:color w:val="auto"/>
          <w:shd w:val="clear" w:color="auto" w:fill="auto"/>
        </w:rPr>
      </w:pPr>
    </w:p>
    <w:p>
      <w:pPr>
        <w:jc w:val="center"/>
        <w:rPr>
          <w:color w:val="auto"/>
          <w:shd w:val="clear" w:color="auto" w:fill="auto"/>
        </w:rPr>
      </w:pPr>
    </w:p>
    <w:p>
      <w:pPr>
        <w:jc w:val="center"/>
        <w:rPr>
          <w:color w:val="auto"/>
          <w:shd w:val="clear" w:color="auto" w:fill="auto"/>
        </w:rPr>
      </w:pPr>
    </w:p>
    <w:p>
      <w:pPr>
        <w:rPr>
          <w:color w:val="auto"/>
          <w:shd w:val="clear" w:color="auto" w:fill="auto"/>
        </w:rPr>
      </w:pPr>
    </w:p>
    <w:p>
      <w:pPr>
        <w:spacing w:before="240" w:beforeLines="100" w:after="240" w:afterLines="100"/>
        <w:jc w:val="center"/>
        <w:rPr>
          <w:b/>
          <w:bCs/>
          <w:color w:val="auto"/>
          <w:spacing w:val="30"/>
          <w:sz w:val="72"/>
          <w:shd w:val="clear" w:color="auto" w:fill="auto"/>
        </w:rPr>
      </w:pPr>
    </w:p>
    <w:p>
      <w:pPr>
        <w:spacing w:before="240" w:beforeLines="100" w:after="240" w:afterLines="100"/>
        <w:jc w:val="center"/>
        <w:rPr>
          <w:b/>
          <w:bCs/>
          <w:color w:val="auto"/>
          <w:spacing w:val="30"/>
          <w:sz w:val="72"/>
          <w:shd w:val="clear" w:color="auto" w:fill="auto"/>
        </w:rPr>
      </w:pPr>
      <w:r>
        <w:rPr>
          <w:b/>
          <w:bCs/>
          <w:color w:val="auto"/>
          <w:spacing w:val="30"/>
          <w:sz w:val="72"/>
          <w:shd w:val="clear" w:color="auto" w:fill="auto"/>
        </w:rPr>
        <w:t>建设项目环境影响报告表</w:t>
      </w:r>
    </w:p>
    <w:p>
      <w:pPr>
        <w:rPr>
          <w:b/>
          <w:color w:val="auto"/>
          <w:shd w:val="clear" w:color="auto" w:fill="auto"/>
        </w:rPr>
      </w:pPr>
    </w:p>
    <w:p>
      <w:pPr>
        <w:rPr>
          <w:b/>
          <w:color w:val="auto"/>
          <w:shd w:val="clear" w:color="auto" w:fill="auto"/>
        </w:rPr>
      </w:pPr>
    </w:p>
    <w:p>
      <w:pPr>
        <w:rPr>
          <w:b/>
          <w:color w:val="auto"/>
          <w:shd w:val="clear" w:color="auto" w:fill="auto"/>
        </w:rPr>
      </w:pPr>
      <w:r>
        <w:rPr>
          <w:b/>
          <w:color w:val="auto"/>
          <w:shd w:val="clear" w:color="auto" w:fill="auto"/>
        </w:rPr>
        <w:fldChar w:fldCharType="begin"/>
      </w:r>
      <w:r>
        <w:rPr>
          <w:b/>
          <w:color w:val="auto"/>
          <w:shd w:val="clear" w:color="auto" w:fill="auto"/>
        </w:rPr>
        <w:instrText xml:space="preserve"> ASK name "请输入建设项目名称：" \* MERGEFORMAT </w:instrText>
      </w:r>
      <w:r>
        <w:rPr>
          <w:b/>
          <w:color w:val="auto"/>
          <w:shd w:val="clear" w:color="auto" w:fill="auto"/>
        </w:rPr>
        <w:fldChar w:fldCharType="separate"/>
      </w:r>
      <w:r>
        <w:rPr>
          <w:b/>
          <w:color w:val="auto"/>
          <w:shd w:val="clear" w:color="auto" w:fill="auto"/>
        </w:rPr>
        <w:t>留庆新横街住宅综合楼</w:t>
      </w:r>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jshxzh "请输入建设性质(新建、改建或扩建)：" \* MERGEFORMAT </w:instrText>
      </w:r>
      <w:r>
        <w:rPr>
          <w:b/>
          <w:color w:val="auto"/>
          <w:shd w:val="clear" w:color="auto" w:fill="auto"/>
        </w:rPr>
        <w:fldChar w:fldCharType="separate"/>
      </w:r>
      <w:bookmarkStart w:id="0" w:name="jshxzh"/>
      <w:r>
        <w:rPr>
          <w:b/>
          <w:color w:val="auto"/>
          <w:shd w:val="clear" w:color="auto" w:fill="auto"/>
        </w:rPr>
        <w:t>新  建</w:t>
      </w:r>
      <w:bookmarkEnd w:id="0"/>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address "请输入建设地点：" \* MERGEFORMAT </w:instrText>
      </w:r>
      <w:r>
        <w:rPr>
          <w:b/>
          <w:color w:val="auto"/>
          <w:shd w:val="clear" w:color="auto" w:fill="auto"/>
        </w:rPr>
        <w:fldChar w:fldCharType="separate"/>
      </w:r>
      <w:r>
        <w:rPr>
          <w:b/>
          <w:color w:val="auto"/>
          <w:shd w:val="clear" w:color="auto" w:fill="auto"/>
        </w:rPr>
        <w:t>荔湾区黄沙大道留庆新横街10-20号</w:t>
      </w:r>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investor "请输入建设单位名称：" \* MERGEFORMAT </w:instrText>
      </w:r>
      <w:r>
        <w:rPr>
          <w:b/>
          <w:color w:val="auto"/>
          <w:shd w:val="clear" w:color="auto" w:fill="auto"/>
        </w:rPr>
        <w:fldChar w:fldCharType="separate"/>
      </w:r>
      <w:r>
        <w:rPr>
          <w:b/>
          <w:color w:val="auto"/>
          <w:shd w:val="clear" w:color="auto" w:fill="auto"/>
        </w:rPr>
        <w:t>广州羊城铁路集团羊城铁路总公司</w:t>
      </w:r>
      <w:r>
        <w:rPr>
          <w:b/>
          <w:color w:val="auto"/>
          <w:shd w:val="clear" w:color="auto" w:fill="auto"/>
        </w:rPr>
        <w:br w:type="textWrapping"/>
      </w:r>
      <w:r>
        <w:rPr>
          <w:b/>
          <w:color w:val="auto"/>
          <w:shd w:val="clear" w:color="auto" w:fill="auto"/>
        </w:rPr>
        <w:t>广州市南岭铁路地产开发有限公司</w:t>
      </w:r>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investment "请输入总投资额：" \* MERGEFORMAT </w:instrText>
      </w:r>
      <w:r>
        <w:rPr>
          <w:b/>
          <w:color w:val="auto"/>
          <w:shd w:val="clear" w:color="auto" w:fill="auto"/>
        </w:rPr>
        <w:fldChar w:fldCharType="separate"/>
      </w:r>
      <w:bookmarkStart w:id="1" w:name="investment"/>
      <w:r>
        <w:rPr>
          <w:b/>
          <w:color w:val="auto"/>
          <w:shd w:val="clear" w:color="auto" w:fill="auto"/>
        </w:rPr>
        <w:t>约2000</w:t>
      </w:r>
      <w:bookmarkEnd w:id="1"/>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chwsh "请输入停车场车位数量：" \* MERGEFORMAT </w:instrText>
      </w:r>
      <w:r>
        <w:rPr>
          <w:b/>
          <w:color w:val="auto"/>
          <w:shd w:val="clear" w:color="auto" w:fill="auto"/>
        </w:rPr>
        <w:fldChar w:fldCharType="separate"/>
      </w:r>
      <w:bookmarkStart w:id="2" w:name="chwsh"/>
      <w:r>
        <w:rPr>
          <w:b/>
          <w:color w:val="auto"/>
          <w:shd w:val="clear" w:color="auto" w:fill="auto"/>
        </w:rPr>
        <w:t>20</w:t>
      </w:r>
      <w:r>
        <w:rPr>
          <w:b/>
          <w:color w:val="auto"/>
          <w:shd w:val="clear" w:color="auto" w:fill="auto"/>
        </w:rPr>
        <w:br w:type="textWrapping"/>
      </w:r>
      <w:bookmarkEnd w:id="2"/>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landarea "请输入项目占地面积：" \* MERGEFORMAT </w:instrText>
      </w:r>
      <w:r>
        <w:rPr>
          <w:b/>
          <w:color w:val="auto"/>
          <w:shd w:val="clear" w:color="auto" w:fill="auto"/>
        </w:rPr>
        <w:fldChar w:fldCharType="separate"/>
      </w:r>
      <w:bookmarkStart w:id="3" w:name="landarea"/>
      <w:r>
        <w:rPr>
          <w:b/>
          <w:color w:val="auto"/>
          <w:shd w:val="clear" w:color="auto" w:fill="auto"/>
        </w:rPr>
        <w:t>2491</w:t>
      </w:r>
      <w:bookmarkEnd w:id="3"/>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builtuparea "请输入建筑面积（m</w:instrText>
      </w:r>
      <w:r>
        <w:rPr>
          <w:b/>
          <w:color w:val="auto"/>
          <w:shd w:val="clear" w:color="auto" w:fill="auto"/>
          <w:vertAlign w:val="superscript"/>
        </w:rPr>
        <w:instrText xml:space="preserve">2</w:instrText>
      </w:r>
      <w:r>
        <w:rPr>
          <w:b/>
          <w:color w:val="auto"/>
          <w:shd w:val="clear" w:color="auto" w:fill="auto"/>
        </w:rPr>
        <w:instrText xml:space="preserve">）：" \* MERGEFORMAT </w:instrText>
      </w:r>
      <w:r>
        <w:rPr>
          <w:b/>
          <w:color w:val="auto"/>
          <w:shd w:val="clear" w:color="auto" w:fill="auto"/>
        </w:rPr>
        <w:fldChar w:fldCharType="separate"/>
      </w:r>
      <w:bookmarkStart w:id="4" w:name="builtuparea"/>
      <w:r>
        <w:rPr>
          <w:b/>
          <w:color w:val="auto"/>
          <w:shd w:val="clear" w:color="auto" w:fill="auto"/>
        </w:rPr>
        <w:t>11585</w:t>
      </w:r>
      <w:bookmarkEnd w:id="4"/>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basearea "请输入地下室面积（m</w:instrText>
      </w:r>
      <w:r>
        <w:rPr>
          <w:b/>
          <w:color w:val="auto"/>
          <w:shd w:val="clear" w:color="auto" w:fill="auto"/>
          <w:vertAlign w:val="superscript"/>
        </w:rPr>
        <w:instrText xml:space="preserve">2</w:instrText>
      </w:r>
      <w:r>
        <w:rPr>
          <w:b/>
          <w:color w:val="auto"/>
          <w:shd w:val="clear" w:color="auto" w:fill="auto"/>
        </w:rPr>
        <w:instrText xml:space="preserve">）：" \* MERGEFORMAT </w:instrText>
      </w:r>
      <w:r>
        <w:rPr>
          <w:b/>
          <w:color w:val="auto"/>
          <w:shd w:val="clear" w:color="auto" w:fill="auto"/>
        </w:rPr>
        <w:fldChar w:fldCharType="separate"/>
      </w:r>
      <w:bookmarkStart w:id="5" w:name="basearea"/>
      <w:r>
        <w:rPr>
          <w:b/>
          <w:color w:val="auto"/>
          <w:shd w:val="clear" w:color="auto" w:fill="auto"/>
        </w:rPr>
        <w:t>987</w:t>
      </w:r>
      <w:bookmarkEnd w:id="5"/>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marketarea "请输入商场、办公等配套设施的建筑面积（m</w:instrText>
      </w:r>
      <w:r>
        <w:rPr>
          <w:b/>
          <w:color w:val="auto"/>
          <w:shd w:val="clear" w:color="auto" w:fill="auto"/>
          <w:vertAlign w:val="superscript"/>
        </w:rPr>
        <w:instrText xml:space="preserve">2</w:instrText>
      </w:r>
      <w:r>
        <w:rPr>
          <w:b/>
          <w:color w:val="auto"/>
          <w:shd w:val="clear" w:color="auto" w:fill="auto"/>
        </w:rPr>
        <w:instrText xml:space="preserve">）：" \* MERGEFORMAT </w:instrText>
      </w:r>
      <w:r>
        <w:rPr>
          <w:b/>
          <w:color w:val="auto"/>
          <w:shd w:val="clear" w:color="auto" w:fill="auto"/>
        </w:rPr>
        <w:fldChar w:fldCharType="separate"/>
      </w:r>
      <w:bookmarkStart w:id="6" w:name="marketarea"/>
      <w:r>
        <w:rPr>
          <w:b/>
          <w:color w:val="auto"/>
          <w:shd w:val="clear" w:color="auto" w:fill="auto"/>
        </w:rPr>
        <w:t>1024</w:t>
      </w:r>
      <w:bookmarkEnd w:id="6"/>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zzhsh "请输入住宅总套数：" \* MERGEFORMAT </w:instrText>
      </w:r>
      <w:r>
        <w:rPr>
          <w:b/>
          <w:color w:val="auto"/>
          <w:shd w:val="clear" w:color="auto" w:fill="auto"/>
        </w:rPr>
        <w:fldChar w:fldCharType="separate"/>
      </w:r>
      <w:bookmarkStart w:id="7" w:name="zzhsh"/>
      <w:r>
        <w:rPr>
          <w:b/>
          <w:color w:val="auto"/>
          <w:shd w:val="clear" w:color="auto" w:fill="auto"/>
        </w:rPr>
        <w:t>98</w:t>
      </w:r>
      <w:bookmarkEnd w:id="7"/>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rjl "请输入建设项目容积率：" \* MERGEFORMAT </w:instrText>
      </w:r>
      <w:r>
        <w:rPr>
          <w:b/>
          <w:color w:val="auto"/>
          <w:shd w:val="clear" w:color="auto" w:fill="auto"/>
        </w:rPr>
        <w:fldChar w:fldCharType="separate"/>
      </w:r>
      <w:bookmarkStart w:id="8" w:name="rjl"/>
      <w:r>
        <w:rPr>
          <w:b/>
          <w:color w:val="auto"/>
          <w:shd w:val="clear" w:color="auto" w:fill="auto"/>
        </w:rPr>
        <w:t>5.2</w:t>
      </w:r>
      <w:bookmarkEnd w:id="8"/>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jzhmd "请输入建设项目建设密度：" \* MERGEFORMAT </w:instrText>
      </w:r>
      <w:r>
        <w:rPr>
          <w:b/>
          <w:color w:val="auto"/>
          <w:shd w:val="clear" w:color="auto" w:fill="auto"/>
        </w:rPr>
        <w:fldChar w:fldCharType="separate"/>
      </w:r>
      <w:bookmarkStart w:id="9" w:name="jzhmd"/>
      <w:r>
        <w:rPr>
          <w:b/>
          <w:color w:val="auto"/>
          <w:shd w:val="clear" w:color="auto" w:fill="auto"/>
        </w:rPr>
        <w:t>51.8</w:t>
      </w:r>
      <w:bookmarkEnd w:id="9"/>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lhl "请输入建设项目绿化率：" \* MERGEFORMAT </w:instrText>
      </w:r>
      <w:r>
        <w:rPr>
          <w:b/>
          <w:color w:val="auto"/>
          <w:shd w:val="clear" w:color="auto" w:fill="auto"/>
        </w:rPr>
        <w:fldChar w:fldCharType="separate"/>
      </w:r>
      <w:bookmarkStart w:id="10" w:name="lhl"/>
      <w:r>
        <w:rPr>
          <w:b/>
          <w:color w:val="auto"/>
          <w:shd w:val="clear" w:color="auto" w:fill="auto"/>
        </w:rPr>
        <w:t>25</w:t>
      </w:r>
      <w:bookmarkEnd w:id="10"/>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wushch "请输入城市污水厂名称（如大坦沙）：" \* MERGEFORMAT </w:instrText>
      </w:r>
      <w:r>
        <w:rPr>
          <w:b/>
          <w:color w:val="auto"/>
          <w:shd w:val="clear" w:color="auto" w:fill="auto"/>
        </w:rPr>
        <w:fldChar w:fldCharType="separate"/>
      </w:r>
      <w:bookmarkStart w:id="11" w:name="wushch"/>
      <w:r>
        <w:rPr>
          <w:b/>
          <w:color w:val="auto"/>
          <w:shd w:val="clear" w:color="auto" w:fill="auto"/>
        </w:rPr>
        <w:t>大坦沙</w:t>
      </w:r>
      <w:bookmarkEnd w:id="11"/>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hangdao "请输入受纳污水的航道名称：" \* MERGEFORMAT </w:instrText>
      </w:r>
      <w:r>
        <w:rPr>
          <w:b/>
          <w:color w:val="auto"/>
          <w:shd w:val="clear" w:color="auto" w:fill="auto"/>
        </w:rPr>
        <w:fldChar w:fldCharType="separate"/>
      </w:r>
      <w:r>
        <w:rPr>
          <w:b/>
          <w:color w:val="auto"/>
          <w:shd w:val="clear" w:color="auto" w:fill="auto"/>
        </w:rPr>
        <w:t>西航道</w:t>
      </w:r>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pzhdw "请输入建设批准单位：" \* MERGEFORMAT </w:instrText>
      </w:r>
      <w:r>
        <w:rPr>
          <w:b/>
          <w:color w:val="auto"/>
          <w:shd w:val="clear" w:color="auto" w:fill="auto"/>
        </w:rPr>
        <w:fldChar w:fldCharType="separate"/>
      </w:r>
      <w:bookmarkStart w:id="12" w:name="pzhdw"/>
      <w:r>
        <w:rPr>
          <w:b/>
          <w:color w:val="auto"/>
          <w:shd w:val="clear" w:color="auto" w:fill="auto"/>
        </w:rPr>
        <w:t>广州市城市规划局</w:t>
      </w:r>
      <w:bookmarkEnd w:id="12"/>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jshyj "请输入建设依据：" \* MERGEFORMAT </w:instrText>
      </w:r>
      <w:r>
        <w:rPr>
          <w:b/>
          <w:color w:val="auto"/>
          <w:shd w:val="clear" w:color="auto" w:fill="auto"/>
        </w:rPr>
        <w:fldChar w:fldCharType="separate"/>
      </w:r>
      <w:bookmarkStart w:id="13" w:name="yshyj"/>
      <w:bookmarkStart w:id="14" w:name="jshyj"/>
      <w:r>
        <w:rPr>
          <w:b/>
          <w:color w:val="auto"/>
          <w:shd w:val="clear" w:color="auto" w:fill="auto"/>
        </w:rPr>
        <w:t>穗规建发字（2000）第454号</w:t>
      </w:r>
      <w:bookmarkEnd w:id="13"/>
      <w:bookmarkEnd w:id="14"/>
      <w:r>
        <w:rPr>
          <w:b/>
          <w:color w:val="auto"/>
          <w:shd w:val="clear" w:color="auto" w:fill="auto"/>
        </w:rPr>
        <w:fldChar w:fldCharType="end"/>
      </w:r>
      <w:r>
        <w:rPr>
          <w:b/>
          <w:color w:val="auto"/>
          <w:shd w:val="clear" w:color="auto" w:fill="auto"/>
        </w:rPr>
        <w:fldChar w:fldCharType="begin"/>
      </w:r>
      <w:r>
        <w:rPr>
          <w:b/>
          <w:color w:val="auto"/>
          <w:shd w:val="clear" w:color="auto" w:fill="auto"/>
        </w:rPr>
        <w:instrText xml:space="preserve"> ASK setpower "请输入柴油发电机功率（kW）：" \* MERGEFORMAT </w:instrText>
      </w:r>
      <w:r>
        <w:rPr>
          <w:b/>
          <w:color w:val="auto"/>
          <w:shd w:val="clear" w:color="auto" w:fill="auto"/>
        </w:rPr>
        <w:fldChar w:fldCharType="separate"/>
      </w:r>
      <w:bookmarkStart w:id="15" w:name="setpower"/>
      <w:r>
        <w:rPr>
          <w:b/>
          <w:color w:val="auto"/>
          <w:shd w:val="clear" w:color="auto" w:fill="auto"/>
        </w:rPr>
        <w:t>240</w:t>
      </w:r>
      <w:bookmarkEnd w:id="15"/>
      <w:r>
        <w:rPr>
          <w:b/>
          <w:color w:val="auto"/>
          <w:shd w:val="clear" w:color="auto" w:fill="auto"/>
        </w:rPr>
        <w:fldChar w:fldCharType="end"/>
      </w:r>
    </w:p>
    <w:p>
      <w:pPr>
        <w:rPr>
          <w:color w:val="auto"/>
          <w:shd w:val="clear" w:color="auto" w:fill="auto"/>
        </w:rPr>
      </w:pPr>
      <w:r>
        <w:rPr>
          <w:color w:val="auto"/>
          <w:shd w:val="clear" w:color="auto" w:fill="auto"/>
        </w:rPr>
        <w:t xml:space="preserve"> </w:t>
      </w: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rPr>
          <w:color w:val="auto"/>
          <w:shd w:val="clear" w:color="auto" w:fill="auto"/>
        </w:rPr>
      </w:pPr>
    </w:p>
    <w:p>
      <w:pPr>
        <w:spacing w:line="300" w:lineRule="auto"/>
        <w:jc w:val="center"/>
        <w:rPr>
          <w:rFonts w:hint="eastAsia" w:eastAsia="宋体"/>
          <w:b/>
          <w:bCs/>
          <w:color w:val="auto"/>
          <w:spacing w:val="20"/>
          <w:sz w:val="32"/>
          <w:szCs w:val="32"/>
          <w:shd w:val="clear" w:color="auto" w:fill="auto"/>
          <w:lang w:eastAsia="zh-CN"/>
        </w:rPr>
      </w:pPr>
      <w:r>
        <w:rPr>
          <w:b/>
          <w:bCs/>
          <w:color w:val="auto"/>
          <w:spacing w:val="20"/>
          <w:sz w:val="32"/>
          <w:szCs w:val="32"/>
          <w:shd w:val="clear" w:color="auto" w:fill="auto"/>
        </w:rPr>
        <w:t>项目名称：</w:t>
      </w:r>
      <w:r>
        <w:rPr>
          <w:rFonts w:hint="eastAsia"/>
          <w:b/>
          <w:bCs/>
          <w:color w:val="auto"/>
          <w:sz w:val="32"/>
          <w:szCs w:val="32"/>
          <w:u w:val="single"/>
          <w:shd w:val="clear" w:color="auto" w:fill="auto"/>
          <w:lang w:eastAsia="zh-CN"/>
        </w:rPr>
        <w:t>开平市朝升卫浴有限公司年产水龙头40万个新建项目</w:t>
      </w:r>
    </w:p>
    <w:p>
      <w:pPr>
        <w:spacing w:line="300" w:lineRule="auto"/>
        <w:jc w:val="center"/>
        <w:rPr>
          <w:b/>
          <w:bCs/>
          <w:color w:val="auto"/>
          <w:spacing w:val="20"/>
          <w:sz w:val="32"/>
          <w:szCs w:val="32"/>
          <w:shd w:val="clear" w:color="auto" w:fill="auto"/>
        </w:rPr>
      </w:pPr>
    </w:p>
    <w:p>
      <w:pPr>
        <w:spacing w:line="300" w:lineRule="auto"/>
        <w:jc w:val="center"/>
        <w:rPr>
          <w:rFonts w:hint="eastAsia" w:eastAsia="宋体"/>
          <w:b/>
          <w:bCs/>
          <w:color w:val="auto"/>
          <w:sz w:val="32"/>
          <w:szCs w:val="32"/>
          <w:u w:val="single"/>
          <w:shd w:val="clear" w:color="auto" w:fill="auto"/>
          <w:lang w:eastAsia="zh-CN"/>
        </w:rPr>
      </w:pPr>
      <w:r>
        <w:rPr>
          <w:b/>
          <w:bCs/>
          <w:color w:val="auto"/>
          <w:spacing w:val="-10"/>
          <w:sz w:val="32"/>
          <w:szCs w:val="32"/>
          <w:shd w:val="clear" w:color="auto" w:fill="auto"/>
        </w:rPr>
        <w:t>建设单位（盖章）</w:t>
      </w:r>
      <w:r>
        <w:rPr>
          <w:b/>
          <w:bCs/>
          <w:color w:val="auto"/>
          <w:spacing w:val="20"/>
          <w:sz w:val="32"/>
          <w:szCs w:val="32"/>
          <w:shd w:val="clear" w:color="auto" w:fill="auto"/>
        </w:rPr>
        <w:t>：</w:t>
      </w:r>
      <w:r>
        <w:rPr>
          <w:rFonts w:hint="eastAsia"/>
          <w:b/>
          <w:bCs/>
          <w:color w:val="auto"/>
          <w:sz w:val="32"/>
          <w:szCs w:val="32"/>
          <w:u w:val="single"/>
          <w:shd w:val="clear" w:color="auto" w:fill="auto"/>
        </w:rPr>
        <w:t xml:space="preserve"> </w:t>
      </w:r>
      <w:r>
        <w:rPr>
          <w:rFonts w:hint="eastAsia"/>
          <w:b/>
          <w:bCs/>
          <w:color w:val="auto"/>
          <w:sz w:val="32"/>
          <w:szCs w:val="32"/>
          <w:u w:val="single"/>
          <w:shd w:val="clear" w:color="auto" w:fill="auto"/>
          <w:lang w:eastAsia="zh-CN"/>
        </w:rPr>
        <w:t>开平市朝升卫浴有限公司</w:t>
      </w:r>
    </w:p>
    <w:p>
      <w:pPr>
        <w:spacing w:line="300" w:lineRule="auto"/>
        <w:jc w:val="center"/>
        <w:rPr>
          <w:b/>
          <w:color w:val="auto"/>
          <w:shd w:val="clear" w:color="auto" w:fill="auto"/>
        </w:rPr>
      </w:pPr>
    </w:p>
    <w:p>
      <w:pPr>
        <w:rPr>
          <w:b/>
          <w:color w:val="auto"/>
          <w:shd w:val="clear" w:color="auto" w:fill="auto"/>
        </w:rPr>
      </w:pPr>
    </w:p>
    <w:p>
      <w:pPr>
        <w:rPr>
          <w:b/>
          <w:color w:val="auto"/>
          <w:shd w:val="clear" w:color="auto" w:fill="auto"/>
        </w:rPr>
      </w:pPr>
    </w:p>
    <w:p>
      <w:pPr>
        <w:rPr>
          <w:b/>
          <w:color w:val="auto"/>
          <w:shd w:val="clear" w:color="auto" w:fill="auto"/>
        </w:rPr>
      </w:pPr>
    </w:p>
    <w:p>
      <w:pPr>
        <w:rPr>
          <w:b/>
          <w:color w:val="auto"/>
          <w:shd w:val="clear" w:color="auto" w:fill="auto"/>
        </w:rPr>
      </w:pPr>
    </w:p>
    <w:p>
      <w:pPr>
        <w:rPr>
          <w:b/>
          <w:color w:val="auto"/>
          <w:shd w:val="clear" w:color="auto" w:fill="auto"/>
        </w:rPr>
      </w:pPr>
    </w:p>
    <w:p>
      <w:pPr>
        <w:rPr>
          <w:b/>
          <w:color w:val="auto"/>
          <w:shd w:val="clear" w:color="auto" w:fill="auto"/>
        </w:rPr>
      </w:pPr>
    </w:p>
    <w:p>
      <w:pPr>
        <w:spacing w:line="300" w:lineRule="auto"/>
        <w:jc w:val="center"/>
        <w:rPr>
          <w:color w:val="auto"/>
          <w:sz w:val="30"/>
          <w:shd w:val="clear" w:color="auto" w:fill="auto"/>
        </w:rPr>
      </w:pPr>
      <w:r>
        <w:rPr>
          <w:color w:val="auto"/>
          <w:sz w:val="30"/>
          <w:shd w:val="clear" w:color="auto" w:fill="auto"/>
        </w:rPr>
        <w:t>编制日期：</w:t>
      </w:r>
      <w:r>
        <w:rPr>
          <w:rFonts w:hint="eastAsia"/>
          <w:color w:val="auto"/>
          <w:sz w:val="30"/>
          <w:shd w:val="clear" w:color="auto" w:fill="auto"/>
          <w:lang w:val="en-US" w:eastAsia="zh-CN"/>
        </w:rPr>
        <w:t>2020</w:t>
      </w:r>
      <w:r>
        <w:rPr>
          <w:color w:val="auto"/>
          <w:sz w:val="30"/>
          <w:shd w:val="clear" w:color="auto" w:fill="auto"/>
        </w:rPr>
        <w:t>年</w:t>
      </w:r>
      <w:r>
        <w:rPr>
          <w:rFonts w:hint="eastAsia"/>
          <w:color w:val="auto"/>
          <w:sz w:val="30"/>
          <w:shd w:val="clear" w:color="auto" w:fill="auto"/>
          <w:lang w:val="en-US" w:eastAsia="zh-CN"/>
        </w:rPr>
        <w:t>1</w:t>
      </w:r>
      <w:r>
        <w:rPr>
          <w:color w:val="auto"/>
          <w:sz w:val="30"/>
          <w:shd w:val="clear" w:color="auto" w:fill="auto"/>
        </w:rPr>
        <w:t>月</w:t>
      </w:r>
    </w:p>
    <w:p>
      <w:pPr>
        <w:jc w:val="center"/>
        <w:rPr>
          <w:color w:val="auto"/>
          <w:sz w:val="30"/>
          <w:shd w:val="clear" w:color="auto" w:fill="auto"/>
        </w:rPr>
      </w:pPr>
      <w:r>
        <w:rPr>
          <w:color w:val="auto"/>
          <w:sz w:val="30"/>
          <w:shd w:val="clear" w:color="auto" w:fill="auto"/>
        </w:rPr>
        <w:t>国家</w:t>
      </w:r>
      <w:r>
        <w:rPr>
          <w:rFonts w:hint="eastAsia"/>
          <w:color w:val="auto"/>
          <w:sz w:val="30"/>
          <w:shd w:val="clear" w:color="auto" w:fill="auto"/>
          <w:lang w:eastAsia="zh-CN"/>
        </w:rPr>
        <w:t>生态环境部</w:t>
      </w:r>
      <w:r>
        <w:rPr>
          <w:color w:val="auto"/>
          <w:sz w:val="30"/>
          <w:shd w:val="clear" w:color="auto" w:fill="auto"/>
        </w:rPr>
        <w:t>制</w:t>
      </w:r>
    </w:p>
    <w:p>
      <w:pPr>
        <w:spacing w:line="300" w:lineRule="auto"/>
        <w:rPr>
          <w:color w:val="auto"/>
          <w:sz w:val="36"/>
          <w:shd w:val="clear" w:color="auto" w:fill="auto"/>
        </w:rPr>
        <w:sectPr>
          <w:headerReference r:id="rId4" w:type="first"/>
          <w:footerReference r:id="rId6" w:type="first"/>
          <w:headerReference r:id="rId3" w:type="default"/>
          <w:footerReference r:id="rId5" w:type="even"/>
          <w:pgSz w:w="11907" w:h="16840"/>
          <w:pgMar w:top="1531" w:right="1134" w:bottom="1134" w:left="1418" w:header="0" w:footer="1055" w:gutter="0"/>
          <w:pgBorders>
            <w:top w:val="none" w:sz="0" w:space="0"/>
            <w:left w:val="none" w:sz="0" w:space="0"/>
            <w:bottom w:val="none" w:sz="0" w:space="0"/>
            <w:right w:val="none" w:sz="0" w:space="0"/>
          </w:pgBorders>
          <w:pgNumType w:start="0"/>
          <w:cols w:space="720" w:num="1"/>
          <w:docGrid w:linePitch="326" w:charSpace="-4916"/>
        </w:sectPr>
      </w:pPr>
    </w:p>
    <w:p>
      <w:pPr>
        <w:pStyle w:val="47"/>
        <w:rPr>
          <w:color w:val="auto"/>
        </w:rPr>
        <w:sectPr>
          <w:pgSz w:w="11907" w:h="16840"/>
          <w:pgMar w:top="1531" w:right="1134" w:bottom="1134" w:left="1418" w:header="0" w:footer="1055" w:gutter="0"/>
          <w:pgBorders>
            <w:top w:val="none" w:sz="0" w:space="0"/>
            <w:left w:val="none" w:sz="0" w:space="0"/>
            <w:bottom w:val="none" w:sz="0" w:space="0"/>
            <w:right w:val="none" w:sz="0" w:space="0"/>
          </w:pgBorders>
          <w:pgNumType w:start="0"/>
          <w:cols w:space="720" w:num="1"/>
          <w:docGrid w:linePitch="326" w:charSpace="-4916"/>
        </w:sectPr>
      </w:pPr>
      <w:r>
        <w:rPr>
          <w:color w:val="auto"/>
        </w:rPr>
        <w:drawing>
          <wp:inline distT="0" distB="0" distL="114300" distR="114300">
            <wp:extent cx="5939155" cy="8402955"/>
            <wp:effectExtent l="0" t="0" r="4445" b="17145"/>
            <wp:docPr id="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7"/>
                    <pic:cNvPicPr>
                      <a:picLocks noChangeAspect="1"/>
                    </pic:cNvPicPr>
                  </pic:nvPicPr>
                  <pic:blipFill>
                    <a:blip r:embed="rId28"/>
                    <a:stretch>
                      <a:fillRect/>
                    </a:stretch>
                  </pic:blipFill>
                  <pic:spPr>
                    <a:xfrm>
                      <a:off x="0" y="0"/>
                      <a:ext cx="5939155" cy="8402955"/>
                    </a:xfrm>
                    <a:prstGeom prst="rect">
                      <a:avLst/>
                    </a:prstGeom>
                    <a:noFill/>
                    <a:ln>
                      <a:noFill/>
                    </a:ln>
                  </pic:spPr>
                </pic:pic>
              </a:graphicData>
            </a:graphic>
          </wp:inline>
        </w:drawing>
      </w:r>
      <w:r>
        <w:rPr>
          <w:color w:val="auto"/>
        </w:rPr>
        <w:drawing>
          <wp:inline distT="0" distB="0" distL="114300" distR="114300">
            <wp:extent cx="5939155" cy="8402955"/>
            <wp:effectExtent l="0" t="0" r="4445" b="17145"/>
            <wp:docPr id="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8"/>
                    <pic:cNvPicPr>
                      <a:picLocks noChangeAspect="1"/>
                    </pic:cNvPicPr>
                  </pic:nvPicPr>
                  <pic:blipFill>
                    <a:blip r:embed="rId29"/>
                    <a:stretch>
                      <a:fillRect/>
                    </a:stretch>
                  </pic:blipFill>
                  <pic:spPr>
                    <a:xfrm>
                      <a:off x="0" y="0"/>
                      <a:ext cx="5939155" cy="8402955"/>
                    </a:xfrm>
                    <a:prstGeom prst="rect">
                      <a:avLst/>
                    </a:prstGeom>
                    <a:noFill/>
                    <a:ln>
                      <a:noFill/>
                    </a:ln>
                  </pic:spPr>
                </pic:pic>
              </a:graphicData>
            </a:graphic>
          </wp:inline>
        </w:drawing>
      </w:r>
      <w:r>
        <w:rPr>
          <w:color w:val="auto"/>
        </w:rPr>
        <w:drawing>
          <wp:inline distT="0" distB="0" distL="114300" distR="114300">
            <wp:extent cx="5939155" cy="8402955"/>
            <wp:effectExtent l="0" t="0" r="4445" b="17145"/>
            <wp:docPr id="1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9"/>
                    <pic:cNvPicPr>
                      <a:picLocks noChangeAspect="1"/>
                    </pic:cNvPicPr>
                  </pic:nvPicPr>
                  <pic:blipFill>
                    <a:blip r:embed="rId30"/>
                    <a:stretch>
                      <a:fillRect/>
                    </a:stretch>
                  </pic:blipFill>
                  <pic:spPr>
                    <a:xfrm>
                      <a:off x="0" y="0"/>
                      <a:ext cx="5939155" cy="8402955"/>
                    </a:xfrm>
                    <a:prstGeom prst="rect">
                      <a:avLst/>
                    </a:prstGeom>
                    <a:noFill/>
                    <a:ln>
                      <a:noFill/>
                    </a:ln>
                  </pic:spPr>
                </pic:pic>
              </a:graphicData>
            </a:graphic>
          </wp:inline>
        </w:drawing>
      </w:r>
      <w:r>
        <w:rPr>
          <w:color w:val="auto"/>
        </w:rPr>
        <w:drawing>
          <wp:inline distT="0" distB="0" distL="114300" distR="114300">
            <wp:extent cx="5939155" cy="8402955"/>
            <wp:effectExtent l="0" t="0" r="4445" b="17145"/>
            <wp:docPr id="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0"/>
                    <pic:cNvPicPr>
                      <a:picLocks noChangeAspect="1"/>
                    </pic:cNvPicPr>
                  </pic:nvPicPr>
                  <pic:blipFill>
                    <a:blip r:embed="rId31"/>
                    <a:stretch>
                      <a:fillRect/>
                    </a:stretch>
                  </pic:blipFill>
                  <pic:spPr>
                    <a:xfrm>
                      <a:off x="0" y="0"/>
                      <a:ext cx="5939155" cy="8402955"/>
                    </a:xfrm>
                    <a:prstGeom prst="rect">
                      <a:avLst/>
                    </a:prstGeom>
                    <a:noFill/>
                    <a:ln>
                      <a:noFill/>
                    </a:ln>
                  </pic:spPr>
                </pic:pic>
              </a:graphicData>
            </a:graphic>
          </wp:inline>
        </w:drawing>
      </w:r>
      <w:r>
        <w:rPr>
          <w:color w:val="auto"/>
        </w:rPr>
        <w:drawing>
          <wp:inline distT="0" distB="0" distL="114300" distR="114300">
            <wp:extent cx="5939155" cy="8402955"/>
            <wp:effectExtent l="0" t="0" r="4445" b="17145"/>
            <wp:docPr id="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1"/>
                    <pic:cNvPicPr>
                      <a:picLocks noChangeAspect="1"/>
                    </pic:cNvPicPr>
                  </pic:nvPicPr>
                  <pic:blipFill>
                    <a:blip r:embed="rId32"/>
                    <a:stretch>
                      <a:fillRect/>
                    </a:stretch>
                  </pic:blipFill>
                  <pic:spPr>
                    <a:xfrm>
                      <a:off x="0" y="0"/>
                      <a:ext cx="5939155" cy="8402955"/>
                    </a:xfrm>
                    <a:prstGeom prst="rect">
                      <a:avLst/>
                    </a:prstGeom>
                    <a:noFill/>
                    <a:ln>
                      <a:noFill/>
                    </a:ln>
                  </pic:spPr>
                </pic:pic>
              </a:graphicData>
            </a:graphic>
          </wp:inline>
        </w:drawing>
      </w:r>
      <w:r>
        <w:rPr>
          <w:color w:val="auto"/>
        </w:rPr>
        <w:drawing>
          <wp:inline distT="0" distB="0" distL="114300" distR="114300">
            <wp:extent cx="5939155" cy="8402955"/>
            <wp:effectExtent l="0" t="0" r="4445" b="17145"/>
            <wp:docPr id="1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2"/>
                    <pic:cNvPicPr>
                      <a:picLocks noChangeAspect="1"/>
                    </pic:cNvPicPr>
                  </pic:nvPicPr>
                  <pic:blipFill>
                    <a:blip r:embed="rId33"/>
                    <a:stretch>
                      <a:fillRect/>
                    </a:stretch>
                  </pic:blipFill>
                  <pic:spPr>
                    <a:xfrm>
                      <a:off x="0" y="0"/>
                      <a:ext cx="5939155" cy="8402955"/>
                    </a:xfrm>
                    <a:prstGeom prst="rect">
                      <a:avLst/>
                    </a:prstGeom>
                    <a:noFill/>
                    <a:ln>
                      <a:noFill/>
                    </a:ln>
                  </pic:spPr>
                </pic:pic>
              </a:graphicData>
            </a:graphic>
          </wp:inline>
        </w:drawing>
      </w:r>
      <w:r>
        <w:rPr>
          <w:color w:val="auto"/>
        </w:rPr>
        <w:drawing>
          <wp:inline distT="0" distB="0" distL="114300" distR="114300">
            <wp:extent cx="5939155" cy="8402955"/>
            <wp:effectExtent l="0" t="0" r="4445" b="17145"/>
            <wp:docPr id="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3"/>
                    <pic:cNvPicPr>
                      <a:picLocks noChangeAspect="1"/>
                    </pic:cNvPicPr>
                  </pic:nvPicPr>
                  <pic:blipFill>
                    <a:blip r:embed="rId34"/>
                    <a:stretch>
                      <a:fillRect/>
                    </a:stretch>
                  </pic:blipFill>
                  <pic:spPr>
                    <a:xfrm>
                      <a:off x="0" y="0"/>
                      <a:ext cx="5939155" cy="8402955"/>
                    </a:xfrm>
                    <a:prstGeom prst="rect">
                      <a:avLst/>
                    </a:prstGeom>
                    <a:noFill/>
                    <a:ln>
                      <a:noFill/>
                    </a:ln>
                  </pic:spPr>
                </pic:pic>
              </a:graphicData>
            </a:graphic>
          </wp:inline>
        </w:drawing>
      </w:r>
    </w:p>
    <w:p>
      <w:pPr>
        <w:spacing w:line="360" w:lineRule="auto"/>
        <w:jc w:val="center"/>
        <w:rPr>
          <w:bCs/>
          <w:color w:val="auto"/>
          <w:sz w:val="28"/>
          <w:szCs w:val="28"/>
          <w:shd w:val="clear" w:color="auto" w:fill="auto"/>
        </w:rPr>
      </w:pPr>
      <w:r>
        <w:rPr>
          <w:rFonts w:hint="eastAsia"/>
          <w:bCs/>
          <w:color w:val="auto"/>
          <w:sz w:val="28"/>
          <w:szCs w:val="28"/>
          <w:shd w:val="clear" w:color="auto" w:fill="auto"/>
        </w:rPr>
        <w:t>《建设项目环境影响报告表》编制说明</w:t>
      </w:r>
    </w:p>
    <w:p>
      <w:pPr>
        <w:spacing w:line="360" w:lineRule="auto"/>
        <w:jc w:val="center"/>
        <w:rPr>
          <w:bCs/>
          <w:color w:val="auto"/>
          <w:sz w:val="28"/>
          <w:szCs w:val="28"/>
          <w:shd w:val="clear" w:color="auto" w:fill="auto"/>
        </w:rPr>
      </w:pPr>
    </w:p>
    <w:p>
      <w:pPr>
        <w:pStyle w:val="54"/>
        <w:autoSpaceDE/>
        <w:autoSpaceDN/>
        <w:adjustRightInd/>
        <w:spacing w:line="360" w:lineRule="auto"/>
        <w:jc w:val="center"/>
        <w:textAlignment w:val="auto"/>
        <w:rPr>
          <w:rFonts w:eastAsia="宋体"/>
          <w:color w:val="auto"/>
          <w:kern w:val="2"/>
          <w:szCs w:val="24"/>
          <w:shd w:val="clear" w:color="auto" w:fill="auto"/>
        </w:rPr>
      </w:pPr>
      <w:r>
        <w:rPr>
          <w:rFonts w:hint="eastAsia" w:eastAsia="宋体"/>
          <w:color w:val="auto"/>
          <w:kern w:val="2"/>
          <w:szCs w:val="24"/>
          <w:shd w:val="clear" w:color="auto" w:fill="auto"/>
        </w:rPr>
        <w:t>《建设项目环境影响报告表》由具有从事环境影响评价工作资质的单位编制</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项目名称――指项目立项批复时的名称，应不超过30个字（两个英文字段作一个汉字）。</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建设地点――指项目所在地详细地址、公路、铁路应填写起止点。</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行业类别――按国标填写。</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总投资　――指项目投资总额。</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主要环境保护目标――指项目区周围一定范围内集中居民住宅、学校、医院、保护文物、风景名胜区、水源地和生态敏感点等，应尽可能给出保护目标、性质、规模和距厂界距离等。</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结论与建议――给出本项目清洁生产、达标排放和</w:t>
      </w:r>
      <w:r>
        <w:rPr>
          <w:rFonts w:hint="eastAsia" w:ascii="宋体" w:hAnsi="宋体" w:eastAsia="宋体"/>
          <w:color w:val="auto"/>
          <w:shd w:val="clear" w:color="auto" w:fill="auto"/>
        </w:rPr>
        <w:t>总量</w:t>
      </w:r>
      <w:r>
        <w:rPr>
          <w:rFonts w:hint="eastAsia" w:eastAsia="宋体"/>
          <w:color w:val="auto"/>
          <w:kern w:val="2"/>
          <w:szCs w:val="24"/>
          <w:shd w:val="clear" w:color="auto" w:fill="auto"/>
        </w:rPr>
        <w:t>控制的分析结论，确定污染防治措施的有效性，说明本项目对环境造成的影响，给出建设项目环境可行性的明确结论。同时提出减少环境影响的其它建议。</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预审意见――由行业主管部门填写答复意见，无主管部门项目，可不填。</w:t>
      </w:r>
    </w:p>
    <w:p>
      <w:pPr>
        <w:pStyle w:val="54"/>
        <w:numPr>
          <w:ilvl w:val="0"/>
          <w:numId w:val="4"/>
        </w:numPr>
        <w:autoSpaceDE/>
        <w:autoSpaceDN/>
        <w:adjustRightInd/>
        <w:spacing w:line="360" w:lineRule="auto"/>
        <w:textAlignment w:val="auto"/>
        <w:rPr>
          <w:rFonts w:eastAsia="宋体"/>
          <w:color w:val="auto"/>
          <w:kern w:val="2"/>
          <w:szCs w:val="24"/>
          <w:shd w:val="clear" w:color="auto" w:fill="auto"/>
        </w:rPr>
      </w:pPr>
      <w:r>
        <w:rPr>
          <w:rFonts w:hint="eastAsia" w:eastAsia="宋体"/>
          <w:color w:val="auto"/>
          <w:kern w:val="2"/>
          <w:szCs w:val="24"/>
          <w:shd w:val="clear" w:color="auto" w:fill="auto"/>
        </w:rPr>
        <w:t>审批意见――由负责审批该项目的环境保护行政主管部门批复。</w:t>
      </w: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spacing w:line="360" w:lineRule="auto"/>
        <w:rPr>
          <w:color w:val="auto"/>
          <w:sz w:val="28"/>
          <w:shd w:val="clear" w:color="auto" w:fill="auto"/>
        </w:rPr>
      </w:pPr>
    </w:p>
    <w:p>
      <w:pPr>
        <w:pStyle w:val="38"/>
        <w:jc w:val="left"/>
        <w:rPr>
          <w:rFonts w:ascii="Times New Roman" w:hAnsi="Times New Roman"/>
          <w:color w:val="auto"/>
          <w:shd w:val="clear" w:color="auto" w:fill="auto"/>
        </w:rPr>
        <w:sectPr>
          <w:headerReference r:id="rId7" w:type="default"/>
          <w:footerReference r:id="rId8" w:type="default"/>
          <w:pgSz w:w="11907" w:h="16840"/>
          <w:pgMar w:top="1531" w:right="1134" w:bottom="1134" w:left="1418" w:header="0" w:footer="1078" w:gutter="0"/>
          <w:pgBorders>
            <w:top w:val="none" w:sz="0" w:space="0"/>
            <w:left w:val="none" w:sz="0" w:space="0"/>
            <w:bottom w:val="none" w:sz="0" w:space="0"/>
            <w:right w:val="none" w:sz="0" w:space="0"/>
          </w:pgBorders>
          <w:pgNumType w:start="1"/>
          <w:cols w:space="720" w:num="1"/>
          <w:docGrid w:linePitch="326" w:charSpace="-4916"/>
        </w:sectPr>
      </w:pPr>
    </w:p>
    <w:p>
      <w:pPr>
        <w:pStyle w:val="38"/>
        <w:jc w:val="left"/>
        <w:rPr>
          <w:rFonts w:ascii="Times New Roman" w:hAnsi="Times New Roman"/>
          <w:color w:val="auto"/>
          <w:shd w:val="clear" w:color="auto" w:fill="auto"/>
        </w:rPr>
      </w:pPr>
      <w:r>
        <w:rPr>
          <w:rFonts w:hint="eastAsia" w:ascii="Times New Roman"/>
          <w:color w:val="auto"/>
          <w:shd w:val="clear" w:color="auto" w:fill="auto"/>
        </w:rPr>
        <w:t>建设项目基本情况</w:t>
      </w:r>
    </w:p>
    <w:tbl>
      <w:tblPr>
        <w:tblStyle w:val="40"/>
        <w:tblW w:w="946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69"/>
        <w:gridCol w:w="1683"/>
        <w:gridCol w:w="1676"/>
        <w:gridCol w:w="1391"/>
        <w:gridCol w:w="1860"/>
        <w:gridCol w:w="88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shd w:val="clear" w:color="auto" w:fill="auto"/>
              </w:rPr>
            </w:pPr>
            <w:r>
              <w:rPr>
                <w:rFonts w:hint="eastAsia"/>
                <w:color w:val="auto"/>
                <w:sz w:val="24"/>
                <w:shd w:val="clear" w:color="auto" w:fill="auto"/>
              </w:rPr>
              <w:t>项目名称</w:t>
            </w:r>
          </w:p>
        </w:tc>
        <w:tc>
          <w:tcPr>
            <w:tcW w:w="7496" w:type="dxa"/>
            <w:gridSpan w:val="5"/>
            <w:vAlign w:val="center"/>
          </w:tcPr>
          <w:p>
            <w:pPr>
              <w:jc w:val="center"/>
              <w:rPr>
                <w:rFonts w:hint="eastAsia" w:eastAsia="宋体"/>
                <w:color w:val="auto"/>
                <w:sz w:val="24"/>
                <w:shd w:val="clear" w:color="auto" w:fill="auto"/>
                <w:lang w:eastAsia="zh-CN"/>
              </w:rPr>
            </w:pPr>
            <w:r>
              <w:rPr>
                <w:rFonts w:hint="eastAsia"/>
                <w:color w:val="auto"/>
                <w:sz w:val="24"/>
                <w:shd w:val="clear" w:color="auto" w:fill="auto"/>
                <w:lang w:eastAsia="zh-CN"/>
              </w:rPr>
              <w:t>开平市朝升卫浴有限公司年产水龙头40万个新建项目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14" w:hRule="atLeast"/>
        </w:trPr>
        <w:tc>
          <w:tcPr>
            <w:tcW w:w="1969" w:type="dxa"/>
            <w:vAlign w:val="center"/>
          </w:tcPr>
          <w:p>
            <w:pPr>
              <w:jc w:val="center"/>
              <w:rPr>
                <w:color w:val="auto"/>
                <w:sz w:val="24"/>
                <w:shd w:val="clear" w:color="auto" w:fill="auto"/>
              </w:rPr>
            </w:pPr>
            <w:r>
              <w:rPr>
                <w:rFonts w:hint="eastAsia"/>
                <w:color w:val="auto"/>
                <w:sz w:val="24"/>
                <w:shd w:val="clear" w:color="auto" w:fill="auto"/>
              </w:rPr>
              <w:t>建设单位</w:t>
            </w:r>
          </w:p>
        </w:tc>
        <w:tc>
          <w:tcPr>
            <w:tcW w:w="7496" w:type="dxa"/>
            <w:gridSpan w:val="5"/>
            <w:vAlign w:val="center"/>
          </w:tcPr>
          <w:p>
            <w:pPr>
              <w:jc w:val="center"/>
              <w:rPr>
                <w:rFonts w:hint="eastAsia" w:eastAsia="宋体"/>
                <w:bCs/>
                <w:color w:val="auto"/>
                <w:sz w:val="24"/>
                <w:shd w:val="clear" w:color="auto" w:fill="auto"/>
                <w:lang w:eastAsia="zh-CN"/>
              </w:rPr>
            </w:pPr>
            <w:r>
              <w:rPr>
                <w:rFonts w:hint="eastAsia"/>
                <w:color w:val="auto"/>
                <w:sz w:val="24"/>
                <w:shd w:val="clear" w:color="auto" w:fill="auto"/>
                <w:lang w:eastAsia="zh-CN"/>
              </w:rPr>
              <w:t>开平市朝升卫浴有限公司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66" w:hRule="atLeast"/>
        </w:trPr>
        <w:tc>
          <w:tcPr>
            <w:tcW w:w="1969" w:type="dxa"/>
            <w:vAlign w:val="center"/>
          </w:tcPr>
          <w:p>
            <w:pPr>
              <w:jc w:val="center"/>
              <w:rPr>
                <w:color w:val="auto"/>
                <w:sz w:val="24"/>
                <w:shd w:val="clear" w:color="auto" w:fill="auto"/>
              </w:rPr>
            </w:pPr>
            <w:r>
              <w:rPr>
                <w:rFonts w:hint="eastAsia"/>
                <w:color w:val="auto"/>
                <w:sz w:val="24"/>
                <w:shd w:val="clear" w:color="auto" w:fill="auto"/>
              </w:rPr>
              <w:t>法人代表</w:t>
            </w:r>
          </w:p>
        </w:tc>
        <w:tc>
          <w:tcPr>
            <w:tcW w:w="3359" w:type="dxa"/>
            <w:gridSpan w:val="2"/>
            <w:vAlign w:val="center"/>
          </w:tcPr>
          <w:p>
            <w:pPr>
              <w:jc w:val="center"/>
              <w:rPr>
                <w:rFonts w:hint="eastAsia" w:eastAsia="宋体"/>
                <w:bCs/>
                <w:color w:val="auto"/>
                <w:sz w:val="24"/>
                <w:shd w:val="clear" w:color="auto" w:fill="auto"/>
                <w:lang w:val="en-US" w:eastAsia="zh-CN"/>
              </w:rPr>
            </w:pPr>
          </w:p>
        </w:tc>
        <w:tc>
          <w:tcPr>
            <w:tcW w:w="1391" w:type="dxa"/>
            <w:vAlign w:val="center"/>
          </w:tcPr>
          <w:p>
            <w:pPr>
              <w:jc w:val="center"/>
              <w:rPr>
                <w:bCs/>
                <w:color w:val="auto"/>
                <w:sz w:val="24"/>
                <w:shd w:val="clear" w:color="auto" w:fill="auto"/>
              </w:rPr>
            </w:pPr>
            <w:r>
              <w:rPr>
                <w:rFonts w:hint="eastAsia"/>
                <w:bCs/>
                <w:color w:val="auto"/>
                <w:sz w:val="24"/>
                <w:shd w:val="clear" w:color="auto" w:fill="auto"/>
              </w:rPr>
              <w:t>联系人</w:t>
            </w:r>
          </w:p>
        </w:tc>
        <w:tc>
          <w:tcPr>
            <w:tcW w:w="2746" w:type="dxa"/>
            <w:gridSpan w:val="2"/>
            <w:vAlign w:val="center"/>
          </w:tcPr>
          <w:p>
            <w:pPr>
              <w:jc w:val="center"/>
              <w:rPr>
                <w:rFonts w:hint="eastAsia" w:eastAsia="宋体"/>
                <w:b/>
                <w:bCs/>
                <w:color w:val="auto"/>
                <w:sz w:val="24"/>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shd w:val="clear" w:color="auto" w:fill="auto"/>
              </w:rPr>
            </w:pPr>
            <w:r>
              <w:rPr>
                <w:rFonts w:hint="eastAsia"/>
                <w:color w:val="auto"/>
                <w:sz w:val="24"/>
                <w:shd w:val="clear" w:color="auto" w:fill="auto"/>
              </w:rPr>
              <w:t>通讯地址</w:t>
            </w:r>
          </w:p>
        </w:tc>
        <w:tc>
          <w:tcPr>
            <w:tcW w:w="7496" w:type="dxa"/>
            <w:gridSpan w:val="5"/>
            <w:vAlign w:val="center"/>
          </w:tcPr>
          <w:p>
            <w:pPr>
              <w:jc w:val="center"/>
              <w:rPr>
                <w:rFonts w:hint="eastAsia" w:eastAsia="宋体"/>
                <w:bCs/>
                <w:color w:val="auto"/>
                <w:sz w:val="24"/>
                <w:shd w:val="clear" w:color="auto" w:fill="auto"/>
                <w:lang w:eastAsia="zh-CN"/>
              </w:rPr>
            </w:pPr>
            <w:r>
              <w:rPr>
                <w:rFonts w:hint="eastAsia"/>
                <w:bCs/>
                <w:color w:val="auto"/>
                <w:sz w:val="24"/>
                <w:shd w:val="clear" w:color="auto" w:fill="auto"/>
                <w:lang w:eastAsia="zh-CN"/>
              </w:rPr>
              <w:t>开平市水口镇黎村狗山开发区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69" w:type="dxa"/>
            <w:vAlign w:val="center"/>
          </w:tcPr>
          <w:p>
            <w:pPr>
              <w:jc w:val="center"/>
              <w:rPr>
                <w:color w:val="auto"/>
                <w:sz w:val="24"/>
                <w:shd w:val="clear" w:color="auto" w:fill="auto"/>
              </w:rPr>
            </w:pPr>
            <w:r>
              <w:rPr>
                <w:rFonts w:hint="eastAsia"/>
                <w:color w:val="auto"/>
                <w:sz w:val="24"/>
                <w:shd w:val="clear" w:color="auto" w:fill="auto"/>
              </w:rPr>
              <w:t>联系电话</w:t>
            </w:r>
          </w:p>
        </w:tc>
        <w:tc>
          <w:tcPr>
            <w:tcW w:w="1683" w:type="dxa"/>
            <w:vAlign w:val="center"/>
          </w:tcPr>
          <w:p>
            <w:pPr>
              <w:jc w:val="center"/>
              <w:rPr>
                <w:rFonts w:hint="eastAsia" w:eastAsia="宋体"/>
                <w:color w:val="auto"/>
                <w:sz w:val="24"/>
                <w:shd w:val="clear" w:color="auto" w:fill="auto"/>
                <w:lang w:val="en-US" w:eastAsia="zh-CN"/>
              </w:rPr>
            </w:pPr>
            <w:r>
              <w:rPr>
                <w:rFonts w:hint="eastAsia"/>
                <w:color w:val="auto"/>
                <w:sz w:val="24"/>
                <w:lang w:val="en-US" w:eastAsia="zh-CN"/>
              </w:rPr>
              <w:t>13809606158</w:t>
            </w:r>
          </w:p>
        </w:tc>
        <w:tc>
          <w:tcPr>
            <w:tcW w:w="1676" w:type="dxa"/>
            <w:vAlign w:val="center"/>
          </w:tcPr>
          <w:p>
            <w:pPr>
              <w:jc w:val="center"/>
              <w:rPr>
                <w:color w:val="auto"/>
                <w:sz w:val="24"/>
                <w:shd w:val="clear" w:color="auto" w:fill="auto"/>
              </w:rPr>
            </w:pPr>
            <w:r>
              <w:rPr>
                <w:rFonts w:hint="eastAsia"/>
                <w:color w:val="auto"/>
                <w:sz w:val="24"/>
                <w:shd w:val="clear" w:color="auto" w:fill="auto"/>
              </w:rPr>
              <w:t>传  真</w:t>
            </w:r>
          </w:p>
        </w:tc>
        <w:tc>
          <w:tcPr>
            <w:tcW w:w="1391" w:type="dxa"/>
            <w:vAlign w:val="center"/>
          </w:tcPr>
          <w:p>
            <w:pPr>
              <w:jc w:val="center"/>
              <w:rPr>
                <w:bCs/>
                <w:color w:val="auto"/>
                <w:sz w:val="24"/>
                <w:shd w:val="clear" w:color="auto" w:fill="auto"/>
              </w:rPr>
            </w:pPr>
            <w:r>
              <w:rPr>
                <w:rFonts w:hint="eastAsia"/>
                <w:bCs/>
                <w:color w:val="auto"/>
                <w:sz w:val="24"/>
                <w:shd w:val="clear" w:color="auto" w:fill="auto"/>
              </w:rPr>
              <w:t>——</w:t>
            </w:r>
          </w:p>
        </w:tc>
        <w:tc>
          <w:tcPr>
            <w:tcW w:w="1860" w:type="dxa"/>
            <w:vAlign w:val="center"/>
          </w:tcPr>
          <w:p>
            <w:pPr>
              <w:jc w:val="center"/>
              <w:rPr>
                <w:color w:val="auto"/>
                <w:sz w:val="24"/>
                <w:shd w:val="clear" w:color="auto" w:fill="auto"/>
              </w:rPr>
            </w:pPr>
            <w:r>
              <w:rPr>
                <w:rFonts w:hint="eastAsia"/>
                <w:color w:val="auto"/>
                <w:sz w:val="24"/>
                <w:shd w:val="clear" w:color="auto" w:fill="auto"/>
              </w:rPr>
              <w:t>邮政编码</w:t>
            </w:r>
          </w:p>
        </w:tc>
        <w:tc>
          <w:tcPr>
            <w:tcW w:w="886" w:type="dxa"/>
            <w:vAlign w:val="center"/>
          </w:tcPr>
          <w:p>
            <w:pPr>
              <w:jc w:val="center"/>
              <w:rPr>
                <w:color w:val="auto"/>
                <w:sz w:val="24"/>
                <w:shd w:val="clear" w:color="auto" w:fill="auto"/>
              </w:rPr>
            </w:pPr>
            <w:r>
              <w:rPr>
                <w:rFonts w:hint="eastAsia"/>
                <w:color w:val="auto"/>
                <w:sz w:val="24"/>
                <w:shd w:val="clear" w:color="auto" w:fill="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shd w:val="clear" w:color="auto" w:fill="auto"/>
              </w:rPr>
            </w:pPr>
            <w:r>
              <w:rPr>
                <w:rFonts w:hint="eastAsia"/>
                <w:color w:val="auto"/>
                <w:sz w:val="24"/>
                <w:shd w:val="clear" w:color="auto" w:fill="auto"/>
              </w:rPr>
              <w:t>建设地点</w:t>
            </w:r>
          </w:p>
        </w:tc>
        <w:tc>
          <w:tcPr>
            <w:tcW w:w="7496" w:type="dxa"/>
            <w:gridSpan w:val="5"/>
            <w:vAlign w:val="center"/>
          </w:tcPr>
          <w:p>
            <w:pPr>
              <w:jc w:val="center"/>
              <w:rPr>
                <w:rFonts w:hint="eastAsia" w:eastAsia="宋体"/>
                <w:bCs/>
                <w:color w:val="auto"/>
                <w:sz w:val="24"/>
                <w:shd w:val="clear" w:color="auto" w:fill="auto"/>
                <w:lang w:eastAsia="zh-CN"/>
              </w:rPr>
            </w:pPr>
            <w:r>
              <w:rPr>
                <w:rFonts w:hint="eastAsia"/>
                <w:bCs/>
                <w:color w:val="auto"/>
                <w:sz w:val="24"/>
                <w:shd w:val="clear" w:color="auto" w:fill="auto"/>
                <w:lang w:eastAsia="zh-CN"/>
              </w:rPr>
              <w:t>开平市水口镇黎村狗山开发区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33" w:hRule="atLeast"/>
        </w:trPr>
        <w:tc>
          <w:tcPr>
            <w:tcW w:w="1969" w:type="dxa"/>
            <w:vAlign w:val="center"/>
          </w:tcPr>
          <w:p>
            <w:pPr>
              <w:jc w:val="center"/>
              <w:rPr>
                <w:color w:val="auto"/>
                <w:sz w:val="24"/>
                <w:shd w:val="clear" w:color="auto" w:fill="auto"/>
              </w:rPr>
            </w:pPr>
            <w:r>
              <w:rPr>
                <w:rFonts w:hint="eastAsia"/>
                <w:color w:val="auto"/>
                <w:sz w:val="24"/>
                <w:shd w:val="clear" w:color="auto" w:fill="auto"/>
              </w:rPr>
              <w:t>立项审批部门</w:t>
            </w:r>
          </w:p>
        </w:tc>
        <w:tc>
          <w:tcPr>
            <w:tcW w:w="3359" w:type="dxa"/>
            <w:gridSpan w:val="2"/>
            <w:vAlign w:val="center"/>
          </w:tcPr>
          <w:p>
            <w:pPr>
              <w:jc w:val="center"/>
              <w:rPr>
                <w:color w:val="auto"/>
                <w:sz w:val="24"/>
                <w:shd w:val="clear" w:color="auto" w:fill="auto"/>
              </w:rPr>
            </w:pPr>
            <w:r>
              <w:rPr>
                <w:rFonts w:hint="eastAsia"/>
                <w:color w:val="auto"/>
                <w:sz w:val="24"/>
                <w:shd w:val="clear" w:color="auto" w:fill="auto"/>
              </w:rPr>
              <w:t>——</w:t>
            </w:r>
          </w:p>
        </w:tc>
        <w:tc>
          <w:tcPr>
            <w:tcW w:w="1391" w:type="dxa"/>
            <w:vAlign w:val="center"/>
          </w:tcPr>
          <w:p>
            <w:pPr>
              <w:jc w:val="center"/>
              <w:rPr>
                <w:color w:val="auto"/>
                <w:sz w:val="24"/>
                <w:shd w:val="clear" w:color="auto" w:fill="auto"/>
              </w:rPr>
            </w:pPr>
            <w:r>
              <w:rPr>
                <w:rFonts w:hint="eastAsia"/>
                <w:color w:val="auto"/>
                <w:sz w:val="24"/>
                <w:shd w:val="clear" w:color="auto" w:fill="auto"/>
              </w:rPr>
              <w:t>批准文号</w:t>
            </w:r>
          </w:p>
        </w:tc>
        <w:tc>
          <w:tcPr>
            <w:tcW w:w="2746" w:type="dxa"/>
            <w:gridSpan w:val="2"/>
            <w:vAlign w:val="center"/>
          </w:tcPr>
          <w:p>
            <w:pPr>
              <w:jc w:val="center"/>
              <w:rPr>
                <w:color w:val="auto"/>
                <w:sz w:val="24"/>
                <w:shd w:val="clear" w:color="auto" w:fill="auto"/>
              </w:rPr>
            </w:pPr>
            <w:r>
              <w:rPr>
                <w:rFonts w:hint="eastAsia"/>
                <w:color w:val="auto"/>
                <w:sz w:val="24"/>
                <w:shd w:val="clear" w:color="auto" w:fill="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46" w:hRule="atLeast"/>
        </w:trPr>
        <w:tc>
          <w:tcPr>
            <w:tcW w:w="1969" w:type="dxa"/>
            <w:vAlign w:val="center"/>
          </w:tcPr>
          <w:p>
            <w:pPr>
              <w:jc w:val="center"/>
              <w:rPr>
                <w:color w:val="auto"/>
                <w:sz w:val="24"/>
                <w:shd w:val="clear" w:color="auto" w:fill="auto"/>
              </w:rPr>
            </w:pPr>
            <w:r>
              <w:rPr>
                <w:rFonts w:hint="eastAsia"/>
                <w:color w:val="auto"/>
                <w:sz w:val="24"/>
                <w:shd w:val="clear" w:color="auto" w:fill="auto"/>
              </w:rPr>
              <w:t>建设性质</w:t>
            </w:r>
          </w:p>
        </w:tc>
        <w:tc>
          <w:tcPr>
            <w:tcW w:w="3359" w:type="dxa"/>
            <w:gridSpan w:val="2"/>
            <w:vAlign w:val="center"/>
          </w:tcPr>
          <w:p>
            <w:pPr>
              <w:jc w:val="center"/>
              <w:rPr>
                <w:color w:val="auto"/>
                <w:sz w:val="24"/>
                <w:shd w:val="clear" w:color="auto" w:fill="auto"/>
              </w:rPr>
            </w:pPr>
            <w:r>
              <w:rPr>
                <w:color w:val="auto"/>
                <w:sz w:val="24"/>
                <w:shd w:val="clear" w:color="auto" w:fill="auto"/>
              </w:rPr>
              <w:t>新建√迁建</w:t>
            </w:r>
            <w:r>
              <w:rPr>
                <w:color w:val="auto"/>
                <w:sz w:val="24"/>
                <w:shd w:val="clear" w:color="auto" w:fill="auto"/>
              </w:rPr>
              <w:fldChar w:fldCharType="begin">
                <w:ffData>
                  <w:name w:val="Check3"/>
                  <w:enabled/>
                  <w:calcOnExit w:val="0"/>
                  <w:checkBox>
                    <w:sizeAuto/>
                    <w:default w:val="0"/>
                    <w:checked w:val="0"/>
                  </w:checkBox>
                </w:ffData>
              </w:fldChar>
            </w:r>
            <w:r>
              <w:rPr>
                <w:color w:val="auto"/>
                <w:sz w:val="24"/>
                <w:shd w:val="clear" w:color="auto" w:fill="auto"/>
              </w:rPr>
              <w:instrText xml:space="preserve"> FORMCHECKBOX </w:instrText>
            </w:r>
            <w:r>
              <w:rPr>
                <w:color w:val="auto"/>
                <w:sz w:val="24"/>
                <w:shd w:val="clear" w:color="auto" w:fill="auto"/>
              </w:rPr>
              <w:fldChar w:fldCharType="separate"/>
            </w:r>
            <w:r>
              <w:rPr>
                <w:color w:val="auto"/>
                <w:sz w:val="24"/>
                <w:shd w:val="clear" w:color="auto" w:fill="auto"/>
              </w:rPr>
              <w:fldChar w:fldCharType="end"/>
            </w:r>
            <w:r>
              <w:rPr>
                <w:color w:val="auto"/>
                <w:sz w:val="24"/>
                <w:shd w:val="clear" w:color="auto" w:fill="auto"/>
              </w:rPr>
              <w:t>扩建</w:t>
            </w:r>
            <w:r>
              <w:rPr>
                <w:color w:val="auto"/>
                <w:sz w:val="24"/>
                <w:shd w:val="clear" w:color="auto" w:fill="auto"/>
              </w:rPr>
              <w:fldChar w:fldCharType="begin">
                <w:ffData>
                  <w:name w:val="Check3"/>
                  <w:enabled/>
                  <w:calcOnExit w:val="0"/>
                  <w:checkBox>
                    <w:sizeAuto/>
                    <w:default w:val="0"/>
                    <w:checked w:val="0"/>
                  </w:checkBox>
                </w:ffData>
              </w:fldChar>
            </w:r>
            <w:r>
              <w:rPr>
                <w:color w:val="auto"/>
                <w:sz w:val="24"/>
                <w:shd w:val="clear" w:color="auto" w:fill="auto"/>
              </w:rPr>
              <w:instrText xml:space="preserve"> FORMCHECKBOX </w:instrText>
            </w:r>
            <w:r>
              <w:rPr>
                <w:color w:val="auto"/>
                <w:sz w:val="24"/>
                <w:shd w:val="clear" w:color="auto" w:fill="auto"/>
              </w:rPr>
              <w:fldChar w:fldCharType="separate"/>
            </w:r>
            <w:r>
              <w:rPr>
                <w:color w:val="auto"/>
                <w:sz w:val="24"/>
                <w:shd w:val="clear" w:color="auto" w:fill="auto"/>
              </w:rPr>
              <w:fldChar w:fldCharType="end"/>
            </w:r>
            <w:r>
              <w:rPr>
                <w:color w:val="auto"/>
                <w:sz w:val="24"/>
                <w:shd w:val="clear" w:color="auto" w:fill="auto"/>
              </w:rPr>
              <w:t>技改</w:t>
            </w:r>
            <w:r>
              <w:rPr>
                <w:color w:val="auto"/>
                <w:sz w:val="24"/>
                <w:shd w:val="clear" w:color="auto" w:fill="auto"/>
              </w:rPr>
              <w:fldChar w:fldCharType="begin">
                <w:ffData>
                  <w:name w:val="Check3"/>
                  <w:enabled/>
                  <w:calcOnExit w:val="0"/>
                  <w:checkBox>
                    <w:sizeAuto/>
                    <w:default w:val="0"/>
                    <w:checked w:val="0"/>
                  </w:checkBox>
                </w:ffData>
              </w:fldChar>
            </w:r>
            <w:bookmarkStart w:id="16" w:name="Check3"/>
            <w:r>
              <w:rPr>
                <w:color w:val="auto"/>
                <w:sz w:val="24"/>
                <w:shd w:val="clear" w:color="auto" w:fill="auto"/>
              </w:rPr>
              <w:instrText xml:space="preserve"> FORMCHECKBOX </w:instrText>
            </w:r>
            <w:r>
              <w:rPr>
                <w:color w:val="auto"/>
                <w:sz w:val="24"/>
                <w:shd w:val="clear" w:color="auto" w:fill="auto"/>
              </w:rPr>
              <w:fldChar w:fldCharType="separate"/>
            </w:r>
            <w:r>
              <w:rPr>
                <w:color w:val="auto"/>
                <w:sz w:val="24"/>
                <w:shd w:val="clear" w:color="auto" w:fill="auto"/>
              </w:rPr>
              <w:fldChar w:fldCharType="end"/>
            </w:r>
            <w:bookmarkEnd w:id="16"/>
          </w:p>
        </w:tc>
        <w:tc>
          <w:tcPr>
            <w:tcW w:w="1391" w:type="dxa"/>
            <w:vAlign w:val="center"/>
          </w:tcPr>
          <w:p>
            <w:pPr>
              <w:jc w:val="center"/>
              <w:rPr>
                <w:color w:val="auto"/>
                <w:sz w:val="24"/>
                <w:shd w:val="clear" w:color="auto" w:fill="auto"/>
              </w:rPr>
            </w:pPr>
            <w:r>
              <w:rPr>
                <w:rFonts w:hint="eastAsia"/>
                <w:color w:val="auto"/>
                <w:sz w:val="24"/>
                <w:shd w:val="clear" w:color="auto" w:fill="auto"/>
              </w:rPr>
              <w:t>行业类别及代码</w:t>
            </w:r>
          </w:p>
        </w:tc>
        <w:tc>
          <w:tcPr>
            <w:tcW w:w="2746" w:type="dxa"/>
            <w:gridSpan w:val="2"/>
            <w:vAlign w:val="center"/>
          </w:tcPr>
          <w:p>
            <w:pPr>
              <w:jc w:val="center"/>
              <w:rPr>
                <w:rFonts w:hint="default"/>
                <w:color w:val="auto"/>
                <w:sz w:val="24"/>
                <w:shd w:val="clear" w:color="auto" w:fill="auto"/>
                <w:lang w:val="en-US"/>
              </w:rPr>
            </w:pPr>
            <w:r>
              <w:rPr>
                <w:rFonts w:hint="eastAsia"/>
                <w:color w:val="auto"/>
                <w:sz w:val="24"/>
                <w:shd w:val="clear" w:color="auto" w:fill="auto"/>
                <w:lang w:val="en-US" w:eastAsia="zh-CN"/>
              </w:rPr>
              <w:t>C3392 有色金属铸造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vAlign w:val="center"/>
          </w:tcPr>
          <w:p>
            <w:pPr>
              <w:jc w:val="center"/>
              <w:rPr>
                <w:color w:val="auto"/>
                <w:sz w:val="24"/>
                <w:shd w:val="clear" w:color="auto" w:fill="auto"/>
              </w:rPr>
            </w:pPr>
            <w:r>
              <w:rPr>
                <w:rFonts w:hint="eastAsia"/>
                <w:color w:val="auto"/>
                <w:sz w:val="24"/>
                <w:shd w:val="clear" w:color="auto" w:fill="auto"/>
              </w:rPr>
              <w:t>占地面积</w:t>
            </w:r>
          </w:p>
          <w:p>
            <w:pPr>
              <w:jc w:val="center"/>
              <w:rPr>
                <w:color w:val="auto"/>
                <w:sz w:val="24"/>
                <w:shd w:val="clear" w:color="auto" w:fill="auto"/>
              </w:rPr>
            </w:pPr>
            <w:r>
              <w:rPr>
                <w:rFonts w:hint="eastAsia"/>
                <w:color w:val="auto"/>
                <w:sz w:val="24"/>
                <w:shd w:val="clear" w:color="auto" w:fill="auto"/>
              </w:rPr>
              <w:t>（平方米）</w:t>
            </w:r>
          </w:p>
        </w:tc>
        <w:tc>
          <w:tcPr>
            <w:tcW w:w="3359" w:type="dxa"/>
            <w:gridSpan w:val="2"/>
            <w:vAlign w:val="center"/>
          </w:tcPr>
          <w:p>
            <w:pPr>
              <w:jc w:val="center"/>
              <w:rPr>
                <w:rFonts w:hint="default" w:eastAsia="宋体"/>
                <w:color w:val="auto"/>
                <w:sz w:val="24"/>
                <w:shd w:val="clear" w:color="auto" w:fill="auto"/>
                <w:lang w:val="en-US" w:eastAsia="zh-CN"/>
              </w:rPr>
            </w:pPr>
            <w:r>
              <w:rPr>
                <w:rFonts w:hint="eastAsia"/>
                <w:color w:val="auto"/>
                <w:sz w:val="24"/>
                <w:shd w:val="clear" w:color="auto" w:fill="auto"/>
                <w:lang w:val="en-US" w:eastAsia="zh-CN"/>
              </w:rPr>
              <w:t>6000</w:t>
            </w:r>
          </w:p>
        </w:tc>
        <w:tc>
          <w:tcPr>
            <w:tcW w:w="1391" w:type="dxa"/>
            <w:vAlign w:val="center"/>
          </w:tcPr>
          <w:p>
            <w:pPr>
              <w:jc w:val="center"/>
              <w:rPr>
                <w:color w:val="auto"/>
                <w:sz w:val="24"/>
                <w:shd w:val="clear" w:color="auto" w:fill="auto"/>
              </w:rPr>
            </w:pPr>
            <w:r>
              <w:rPr>
                <w:rFonts w:hint="eastAsia"/>
                <w:color w:val="auto"/>
                <w:sz w:val="24"/>
                <w:shd w:val="clear" w:color="auto" w:fill="auto"/>
              </w:rPr>
              <w:t>绿化面积</w:t>
            </w:r>
          </w:p>
          <w:p>
            <w:pPr>
              <w:jc w:val="center"/>
              <w:rPr>
                <w:color w:val="auto"/>
                <w:sz w:val="24"/>
                <w:shd w:val="clear" w:color="auto" w:fill="auto"/>
              </w:rPr>
            </w:pPr>
            <w:r>
              <w:rPr>
                <w:rFonts w:hint="eastAsia"/>
                <w:color w:val="auto"/>
                <w:sz w:val="24"/>
                <w:shd w:val="clear" w:color="auto" w:fill="auto"/>
              </w:rPr>
              <w:t>（平方米）</w:t>
            </w:r>
          </w:p>
        </w:tc>
        <w:tc>
          <w:tcPr>
            <w:tcW w:w="2746" w:type="dxa"/>
            <w:gridSpan w:val="2"/>
            <w:vAlign w:val="center"/>
          </w:tcPr>
          <w:p>
            <w:pPr>
              <w:jc w:val="center"/>
              <w:rPr>
                <w:color w:val="auto"/>
                <w:sz w:val="24"/>
                <w:shd w:val="clear" w:color="auto" w:fill="auto"/>
              </w:rPr>
            </w:pPr>
            <w:r>
              <w:rPr>
                <w:rFonts w:hint="eastAsia"/>
                <w:color w:val="auto"/>
                <w:sz w:val="24"/>
                <w:shd w:val="clear" w:color="auto" w:fill="auto"/>
              </w:rPr>
              <w:softHyphen/>
            </w:r>
            <w:r>
              <w:rPr>
                <w:rFonts w:hint="eastAsia"/>
                <w:color w:val="auto"/>
                <w:sz w:val="24"/>
                <w:shd w:val="clear" w:color="auto" w:fill="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969" w:type="dxa"/>
            <w:vAlign w:val="center"/>
          </w:tcPr>
          <w:p>
            <w:pPr>
              <w:jc w:val="center"/>
              <w:rPr>
                <w:color w:val="auto"/>
                <w:sz w:val="24"/>
                <w:shd w:val="clear" w:color="auto" w:fill="auto"/>
              </w:rPr>
            </w:pPr>
            <w:r>
              <w:rPr>
                <w:rFonts w:hint="eastAsia"/>
                <w:color w:val="auto"/>
                <w:sz w:val="24"/>
                <w:shd w:val="clear" w:color="auto" w:fill="auto"/>
              </w:rPr>
              <w:t>总投资</w:t>
            </w:r>
          </w:p>
          <w:p>
            <w:pPr>
              <w:jc w:val="center"/>
              <w:rPr>
                <w:color w:val="auto"/>
                <w:sz w:val="24"/>
                <w:shd w:val="clear" w:color="auto" w:fill="auto"/>
              </w:rPr>
            </w:pPr>
            <w:r>
              <w:rPr>
                <w:rFonts w:hint="eastAsia"/>
                <w:color w:val="auto"/>
                <w:sz w:val="24"/>
                <w:shd w:val="clear" w:color="auto" w:fill="auto"/>
              </w:rPr>
              <w:t>（万元）</w:t>
            </w:r>
          </w:p>
        </w:tc>
        <w:tc>
          <w:tcPr>
            <w:tcW w:w="1683" w:type="dxa"/>
            <w:vAlign w:val="center"/>
          </w:tcPr>
          <w:p>
            <w:pPr>
              <w:jc w:val="center"/>
              <w:rPr>
                <w:rFonts w:hint="default" w:eastAsia="宋体"/>
                <w:color w:val="auto"/>
                <w:sz w:val="24"/>
                <w:shd w:val="clear" w:color="auto" w:fill="auto"/>
                <w:lang w:val="en-US" w:eastAsia="zh-CN"/>
              </w:rPr>
            </w:pPr>
            <w:r>
              <w:rPr>
                <w:rFonts w:hint="eastAsia"/>
                <w:color w:val="auto"/>
                <w:sz w:val="24"/>
                <w:shd w:val="clear" w:color="auto" w:fill="auto"/>
                <w:lang w:val="en-US" w:eastAsia="zh-CN"/>
              </w:rPr>
              <w:t>100</w:t>
            </w:r>
          </w:p>
        </w:tc>
        <w:tc>
          <w:tcPr>
            <w:tcW w:w="1676" w:type="dxa"/>
            <w:vAlign w:val="center"/>
          </w:tcPr>
          <w:p>
            <w:pPr>
              <w:jc w:val="center"/>
              <w:rPr>
                <w:color w:val="auto"/>
                <w:sz w:val="24"/>
                <w:shd w:val="clear" w:color="auto" w:fill="auto"/>
              </w:rPr>
            </w:pPr>
            <w:r>
              <w:rPr>
                <w:rFonts w:hint="eastAsia"/>
                <w:color w:val="auto"/>
                <w:sz w:val="24"/>
                <w:shd w:val="clear" w:color="auto" w:fill="auto"/>
              </w:rPr>
              <w:t>其中：环保投资（万元）</w:t>
            </w:r>
          </w:p>
        </w:tc>
        <w:tc>
          <w:tcPr>
            <w:tcW w:w="1391" w:type="dxa"/>
            <w:vAlign w:val="center"/>
          </w:tcPr>
          <w:p>
            <w:pPr>
              <w:jc w:val="center"/>
              <w:rPr>
                <w:rFonts w:hint="default" w:eastAsia="宋体"/>
                <w:color w:val="auto"/>
                <w:sz w:val="24"/>
                <w:shd w:val="clear" w:color="auto" w:fill="auto"/>
                <w:lang w:val="en-US" w:eastAsia="zh-CN"/>
              </w:rPr>
            </w:pPr>
            <w:r>
              <w:rPr>
                <w:rFonts w:hint="eastAsia"/>
                <w:color w:val="auto"/>
                <w:sz w:val="24"/>
                <w:shd w:val="clear" w:color="auto" w:fill="auto"/>
                <w:lang w:val="en-US" w:eastAsia="zh-CN"/>
              </w:rPr>
              <w:t>18</w:t>
            </w:r>
          </w:p>
        </w:tc>
        <w:tc>
          <w:tcPr>
            <w:tcW w:w="1860" w:type="dxa"/>
            <w:vAlign w:val="center"/>
          </w:tcPr>
          <w:p>
            <w:pPr>
              <w:jc w:val="center"/>
              <w:rPr>
                <w:color w:val="auto"/>
                <w:sz w:val="24"/>
                <w:shd w:val="clear" w:color="auto" w:fill="auto"/>
              </w:rPr>
            </w:pPr>
            <w:r>
              <w:rPr>
                <w:rFonts w:hint="eastAsia"/>
                <w:color w:val="auto"/>
                <w:sz w:val="24"/>
                <w:shd w:val="clear" w:color="auto" w:fill="auto"/>
              </w:rPr>
              <w:t>环保投资占总投资比例</w:t>
            </w:r>
          </w:p>
        </w:tc>
        <w:tc>
          <w:tcPr>
            <w:tcW w:w="886" w:type="dxa"/>
            <w:vAlign w:val="center"/>
          </w:tcPr>
          <w:p>
            <w:pPr>
              <w:pStyle w:val="55"/>
              <w:topLinePunct w:val="0"/>
              <w:autoSpaceDE/>
              <w:autoSpaceDN/>
              <w:adjustRightInd/>
              <w:textAlignment w:val="auto"/>
              <w:rPr>
                <w:rFonts w:ascii="Times New Roman" w:hAnsi="Times New Roman"/>
                <w:color w:val="auto"/>
                <w:kern w:val="2"/>
                <w:sz w:val="24"/>
                <w:szCs w:val="24"/>
                <w:shd w:val="clear" w:color="auto" w:fill="auto"/>
              </w:rPr>
            </w:pPr>
            <w:r>
              <w:rPr>
                <w:rFonts w:hint="eastAsia" w:ascii="Times New Roman" w:hAnsi="Times New Roman"/>
                <w:color w:val="auto"/>
                <w:kern w:val="2"/>
                <w:sz w:val="24"/>
                <w:szCs w:val="24"/>
                <w:shd w:val="clear" w:color="auto" w:fill="auto"/>
                <w:lang w:val="en-US" w:eastAsia="zh-CN"/>
              </w:rPr>
              <w:t>18</w:t>
            </w:r>
            <w:r>
              <w:rPr>
                <w:rFonts w:hint="eastAsia" w:ascii="Times New Roman" w:hAnsi="Times New Roman"/>
                <w:color w:val="auto"/>
                <w:kern w:val="2"/>
                <w:sz w:val="24"/>
                <w:szCs w:val="24"/>
                <w:shd w:val="clear" w:color="auto" w:fill="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1969" w:type="dxa"/>
            <w:tcBorders>
              <w:bottom w:val="single" w:color="auto" w:sz="4" w:space="0"/>
            </w:tcBorders>
            <w:vAlign w:val="center"/>
          </w:tcPr>
          <w:p>
            <w:pPr>
              <w:jc w:val="center"/>
              <w:rPr>
                <w:rFonts w:hint="eastAsia" w:eastAsia="宋体"/>
                <w:color w:val="auto"/>
                <w:sz w:val="24"/>
                <w:shd w:val="clear" w:color="auto" w:fill="auto"/>
                <w:lang w:eastAsia="zh-CN"/>
              </w:rPr>
            </w:pPr>
            <w:r>
              <w:rPr>
                <w:rFonts w:hint="eastAsia"/>
                <w:color w:val="auto"/>
                <w:sz w:val="24"/>
                <w:shd w:val="clear" w:color="auto" w:fill="auto"/>
                <w:lang w:eastAsia="zh-CN"/>
              </w:rPr>
              <w:t>评价经费</w:t>
            </w:r>
            <w:r>
              <w:rPr>
                <w:rFonts w:hint="eastAsia"/>
                <w:color w:val="auto"/>
                <w:sz w:val="24"/>
                <w:shd w:val="clear" w:color="auto" w:fill="auto"/>
              </w:rPr>
              <w:t>（万元）</w:t>
            </w:r>
          </w:p>
        </w:tc>
        <w:tc>
          <w:tcPr>
            <w:tcW w:w="1683" w:type="dxa"/>
            <w:tcBorders>
              <w:bottom w:val="single" w:color="auto" w:sz="4" w:space="0"/>
              <w:right w:val="single" w:color="auto" w:sz="4" w:space="0"/>
            </w:tcBorders>
            <w:vAlign w:val="center"/>
          </w:tcPr>
          <w:p>
            <w:pPr>
              <w:jc w:val="center"/>
              <w:rPr>
                <w:rFonts w:hint="eastAsia"/>
                <w:color w:val="auto"/>
                <w:sz w:val="24"/>
                <w:shd w:val="clear" w:color="auto" w:fill="auto"/>
              </w:rPr>
            </w:pPr>
            <w:r>
              <w:rPr>
                <w:rFonts w:hint="eastAsia"/>
                <w:color w:val="auto"/>
                <w:sz w:val="24"/>
                <w:shd w:val="clear" w:color="auto" w:fill="auto"/>
                <w:lang w:val="en-US" w:eastAsia="zh-CN"/>
              </w:rPr>
              <w:t>1</w:t>
            </w:r>
          </w:p>
        </w:tc>
        <w:tc>
          <w:tcPr>
            <w:tcW w:w="3067" w:type="dxa"/>
            <w:gridSpan w:val="2"/>
            <w:tcBorders>
              <w:left w:val="single" w:color="auto" w:sz="4" w:space="0"/>
              <w:bottom w:val="single" w:color="auto" w:sz="4" w:space="0"/>
              <w:right w:val="single" w:color="auto" w:sz="4" w:space="0"/>
            </w:tcBorders>
            <w:vAlign w:val="center"/>
          </w:tcPr>
          <w:p>
            <w:pPr>
              <w:jc w:val="center"/>
              <w:rPr>
                <w:rFonts w:hint="eastAsia"/>
                <w:color w:val="auto"/>
                <w:sz w:val="24"/>
                <w:shd w:val="clear" w:color="auto" w:fill="auto"/>
              </w:rPr>
            </w:pPr>
            <w:r>
              <w:rPr>
                <w:rFonts w:hint="eastAsia"/>
                <w:color w:val="auto"/>
                <w:sz w:val="24"/>
                <w:shd w:val="clear" w:color="auto" w:fill="auto"/>
              </w:rPr>
              <w:t>预计投产日期</w:t>
            </w:r>
          </w:p>
        </w:tc>
        <w:tc>
          <w:tcPr>
            <w:tcW w:w="2746" w:type="dxa"/>
            <w:gridSpan w:val="2"/>
            <w:tcBorders>
              <w:left w:val="single" w:color="auto" w:sz="4" w:space="0"/>
              <w:bottom w:val="single" w:color="auto" w:sz="4" w:space="0"/>
            </w:tcBorders>
            <w:vAlign w:val="center"/>
          </w:tcPr>
          <w:p>
            <w:pPr>
              <w:jc w:val="center"/>
              <w:rPr>
                <w:rFonts w:hint="eastAsia"/>
                <w:color w:val="auto"/>
                <w:sz w:val="24"/>
                <w:shd w:val="clear" w:color="auto" w:fill="auto"/>
              </w:rPr>
            </w:pPr>
            <w:r>
              <w:rPr>
                <w:rFonts w:hint="eastAsia"/>
                <w:color w:val="auto"/>
                <w:sz w:val="24"/>
                <w:shd w:val="clear" w:color="auto" w:fill="auto"/>
              </w:rPr>
              <w:t>20</w:t>
            </w:r>
            <w:r>
              <w:rPr>
                <w:rFonts w:hint="eastAsia"/>
                <w:color w:val="auto"/>
                <w:sz w:val="24"/>
                <w:shd w:val="clear" w:color="auto" w:fill="auto"/>
                <w:lang w:val="en-US" w:eastAsia="zh-CN"/>
              </w:rPr>
              <w:t>20</w:t>
            </w:r>
            <w:r>
              <w:rPr>
                <w:rFonts w:hint="eastAsia"/>
                <w:color w:val="auto"/>
                <w:sz w:val="24"/>
                <w:shd w:val="clear" w:color="auto" w:fill="auto"/>
              </w:rPr>
              <w:t>年</w:t>
            </w:r>
            <w:r>
              <w:rPr>
                <w:rFonts w:hint="eastAsia"/>
                <w:color w:val="auto"/>
                <w:sz w:val="24"/>
                <w:shd w:val="clear" w:color="auto" w:fill="auto"/>
                <w:lang w:val="en-US" w:eastAsia="zh-CN"/>
              </w:rPr>
              <w:t>8</w:t>
            </w:r>
            <w:r>
              <w:rPr>
                <w:rFonts w:hint="eastAsia"/>
                <w:color w:val="auto"/>
                <w:sz w:val="24"/>
                <w:shd w:val="clear" w:color="auto" w:fill="auto"/>
              </w:rPr>
              <w:t>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242" w:hRule="atLeast"/>
        </w:trPr>
        <w:tc>
          <w:tcPr>
            <w:tcW w:w="9465" w:type="dxa"/>
            <w:gridSpan w:val="6"/>
            <w:tcBorders>
              <w:top w:val="single" w:color="auto" w:sz="4" w:space="0"/>
              <w:left w:val="single" w:color="auto" w:sz="4" w:space="0"/>
              <w:bottom w:val="single" w:color="auto" w:sz="4" w:space="0"/>
              <w:right w:val="single" w:color="auto" w:sz="4" w:space="0"/>
            </w:tcBorders>
          </w:tcPr>
          <w:p>
            <w:pPr>
              <w:spacing w:line="360" w:lineRule="auto"/>
              <w:rPr>
                <w:b/>
                <w:bCs/>
                <w:color w:val="auto"/>
                <w:sz w:val="28"/>
                <w:szCs w:val="28"/>
                <w:shd w:val="clear" w:color="auto" w:fill="auto"/>
              </w:rPr>
            </w:pPr>
            <w:r>
              <w:rPr>
                <w:rFonts w:hint="eastAsia"/>
                <w:b/>
                <w:bCs/>
                <w:color w:val="auto"/>
                <w:sz w:val="28"/>
                <w:szCs w:val="28"/>
                <w:shd w:val="clear" w:color="auto" w:fill="auto"/>
              </w:rPr>
              <w:t>工程内容及规模：</w:t>
            </w:r>
          </w:p>
          <w:p>
            <w:pPr>
              <w:spacing w:line="360" w:lineRule="auto"/>
              <w:ind w:left="-44" w:leftChars="-21" w:firstLine="511" w:firstLineChars="213"/>
              <w:rPr>
                <w:color w:val="auto"/>
                <w:sz w:val="24"/>
                <w:shd w:val="clear" w:color="auto" w:fill="auto"/>
              </w:rPr>
            </w:pPr>
            <w:r>
              <w:rPr>
                <w:rFonts w:hint="eastAsia"/>
                <w:color w:val="auto"/>
                <w:sz w:val="24"/>
                <w:shd w:val="clear" w:color="auto" w:fill="auto"/>
                <w:lang w:eastAsia="zh-CN"/>
              </w:rPr>
              <w:t>开平市朝升卫浴有限公司年产水龙头40万个新建项目</w:t>
            </w:r>
            <w:r>
              <w:rPr>
                <w:bCs/>
                <w:color w:val="auto"/>
                <w:sz w:val="24"/>
                <w:shd w:val="clear" w:color="auto" w:fill="auto"/>
              </w:rPr>
              <w:t>（以下简称“</w:t>
            </w:r>
            <w:r>
              <w:rPr>
                <w:rFonts w:hAnsi="宋体"/>
                <w:bCs/>
                <w:color w:val="auto"/>
                <w:sz w:val="24"/>
                <w:shd w:val="clear" w:color="auto" w:fill="auto"/>
              </w:rPr>
              <w:t>项目</w:t>
            </w:r>
            <w:r>
              <w:rPr>
                <w:bCs/>
                <w:color w:val="auto"/>
                <w:sz w:val="24"/>
                <w:shd w:val="clear" w:color="auto" w:fill="auto"/>
              </w:rPr>
              <w:t>”）</w:t>
            </w:r>
            <w:r>
              <w:rPr>
                <w:color w:val="auto"/>
                <w:sz w:val="24"/>
                <w:shd w:val="clear" w:color="auto" w:fill="auto"/>
              </w:rPr>
              <w:t>位于</w:t>
            </w:r>
            <w:r>
              <w:rPr>
                <w:rFonts w:hint="eastAsia"/>
                <w:bCs/>
                <w:color w:val="auto"/>
                <w:sz w:val="24"/>
                <w:shd w:val="clear" w:color="auto" w:fill="auto"/>
                <w:lang w:eastAsia="zh-CN"/>
              </w:rPr>
              <w:t>开平市水口镇黎村狗山开发区</w:t>
            </w:r>
            <w:r>
              <w:rPr>
                <w:b w:val="0"/>
                <w:bCs/>
                <w:color w:val="auto"/>
                <w:sz w:val="24"/>
                <w:shd w:val="clear" w:color="auto" w:fill="auto"/>
              </w:rPr>
              <w:t>（项目所在地中心卫星坐标：北纬</w:t>
            </w:r>
            <w:r>
              <w:rPr>
                <w:rFonts w:hint="eastAsia"/>
                <w:b w:val="0"/>
                <w:bCs/>
                <w:color w:val="auto"/>
                <w:sz w:val="24"/>
                <w:shd w:val="clear" w:color="auto" w:fill="auto"/>
              </w:rPr>
              <w:t>22.4613</w:t>
            </w:r>
            <w:r>
              <w:rPr>
                <w:rFonts w:hint="eastAsia"/>
                <w:b w:val="0"/>
                <w:bCs/>
                <w:color w:val="auto"/>
                <w:sz w:val="24"/>
                <w:shd w:val="clear" w:color="auto" w:fill="auto"/>
                <w:lang w:val="en-US" w:eastAsia="zh-CN"/>
              </w:rPr>
              <w:t>°</w:t>
            </w:r>
            <w:r>
              <w:rPr>
                <w:b w:val="0"/>
                <w:bCs/>
                <w:color w:val="auto"/>
                <w:sz w:val="24"/>
                <w:shd w:val="clear" w:color="auto" w:fill="auto"/>
              </w:rPr>
              <w:t>，东经</w:t>
            </w:r>
            <w:r>
              <w:rPr>
                <w:rFonts w:hint="eastAsia"/>
                <w:b w:val="0"/>
                <w:bCs/>
                <w:color w:val="auto"/>
                <w:sz w:val="24"/>
                <w:shd w:val="clear" w:color="auto" w:fill="auto"/>
              </w:rPr>
              <w:t>112.7749</w:t>
            </w:r>
            <w:r>
              <w:rPr>
                <w:rFonts w:hint="eastAsia"/>
                <w:b w:val="0"/>
                <w:bCs/>
                <w:color w:val="auto"/>
                <w:sz w:val="24"/>
                <w:shd w:val="clear" w:color="auto" w:fill="auto"/>
                <w:lang w:val="en-US" w:eastAsia="zh-CN"/>
              </w:rPr>
              <w:t>°</w:t>
            </w:r>
            <w:r>
              <w:rPr>
                <w:rFonts w:hint="eastAsia"/>
                <w:b w:val="0"/>
                <w:bCs/>
                <w:color w:val="auto"/>
                <w:sz w:val="24"/>
                <w:shd w:val="clear" w:color="auto" w:fill="auto"/>
              </w:rPr>
              <w:t>）</w:t>
            </w:r>
            <w:r>
              <w:rPr>
                <w:rFonts w:hint="eastAsia"/>
                <w:bCs/>
                <w:color w:val="auto"/>
                <w:sz w:val="24"/>
                <w:shd w:val="clear" w:color="auto" w:fill="auto"/>
              </w:rPr>
              <w:t>。</w:t>
            </w:r>
            <w:r>
              <w:rPr>
                <w:rFonts w:hint="eastAsia"/>
                <w:bCs/>
                <w:color w:val="auto"/>
                <w:sz w:val="24"/>
                <w:shd w:val="clear" w:color="auto" w:fill="auto"/>
                <w:lang w:eastAsia="zh-CN"/>
              </w:rPr>
              <w:t>项目总投资100万元</w:t>
            </w:r>
            <w:r>
              <w:rPr>
                <w:rFonts w:hint="eastAsia"/>
                <w:bCs/>
                <w:color w:val="auto"/>
                <w:sz w:val="24"/>
                <w:shd w:val="clear" w:color="auto" w:fill="auto"/>
              </w:rPr>
              <w:t>，</w:t>
            </w:r>
            <w:r>
              <w:rPr>
                <w:rFonts w:hint="eastAsia"/>
                <w:bCs/>
                <w:color w:val="auto"/>
                <w:sz w:val="24"/>
                <w:shd w:val="clear" w:color="auto" w:fill="auto"/>
                <w:lang w:eastAsia="zh-CN"/>
              </w:rPr>
              <w:t>占地面积6000平方米，建筑面积6470平方米</w:t>
            </w:r>
            <w:r>
              <w:rPr>
                <w:rFonts w:hint="eastAsia"/>
                <w:bCs/>
                <w:color w:val="auto"/>
                <w:sz w:val="24"/>
                <w:shd w:val="clear" w:color="auto" w:fill="auto"/>
              </w:rPr>
              <w:t>，</w:t>
            </w:r>
            <w:r>
              <w:rPr>
                <w:rFonts w:hint="eastAsia"/>
                <w:bCs/>
                <w:color w:val="auto"/>
                <w:sz w:val="24"/>
                <w:shd w:val="clear" w:color="auto" w:fill="auto"/>
                <w:lang w:eastAsia="zh-CN"/>
              </w:rPr>
              <w:t>主要从事水龙头的加工生产，年产量为40万个</w:t>
            </w:r>
            <w:r>
              <w:rPr>
                <w:rFonts w:hint="eastAsia"/>
                <w:color w:val="auto"/>
                <w:sz w:val="24"/>
                <w:shd w:val="clear" w:color="auto" w:fill="auto"/>
              </w:rPr>
              <w:t>。</w:t>
            </w:r>
          </w:p>
          <w:p>
            <w:pPr>
              <w:tabs>
                <w:tab w:val="left" w:pos="7800"/>
              </w:tabs>
              <w:spacing w:line="360" w:lineRule="auto"/>
              <w:ind w:firstLine="480" w:firstLineChars="200"/>
              <w:rPr>
                <w:rFonts w:hint="eastAsia"/>
                <w:b w:val="0"/>
                <w:bCs/>
                <w:color w:val="auto"/>
                <w:sz w:val="24"/>
                <w:shd w:val="clear" w:color="auto" w:fill="auto"/>
              </w:rPr>
            </w:pPr>
            <w:r>
              <w:rPr>
                <w:rFonts w:hint="eastAsia"/>
                <w:b w:val="0"/>
                <w:bCs/>
                <w:color w:val="auto"/>
                <w:sz w:val="24"/>
                <w:shd w:val="clear" w:color="auto" w:fill="auto"/>
              </w:rPr>
              <w:t>根据《中华人民共和国环境影响评价法》、《建设项目环境影响评价分类管理名录》（</w:t>
            </w:r>
            <w:r>
              <w:rPr>
                <w:rFonts w:hint="eastAsia" w:ascii="宋体" w:hAnsi="宋体" w:eastAsia="宋体"/>
                <w:color w:val="auto"/>
                <w:sz w:val="24"/>
              </w:rPr>
              <w:t>环境保护部令第</w:t>
            </w:r>
            <w:r>
              <w:rPr>
                <w:rFonts w:hint="eastAsia" w:ascii="TimesNewRomanPSMT" w:hAnsi="TimesNewRomanPSMT" w:eastAsia="TimesNewRomanPSMT"/>
                <w:color w:val="auto"/>
                <w:sz w:val="24"/>
              </w:rPr>
              <w:t>44</w:t>
            </w:r>
            <w:r>
              <w:rPr>
                <w:rFonts w:hint="eastAsia" w:ascii="宋体" w:hAnsi="宋体" w:eastAsia="宋体"/>
                <w:color w:val="auto"/>
                <w:sz w:val="24"/>
              </w:rPr>
              <w:t>号，</w:t>
            </w:r>
            <w:r>
              <w:rPr>
                <w:rFonts w:hint="eastAsia" w:ascii="TimesNewRomanPSMT" w:hAnsi="TimesNewRomanPSMT" w:eastAsia="TimesNewRomanPSMT"/>
                <w:color w:val="auto"/>
                <w:sz w:val="24"/>
              </w:rPr>
              <w:t>2018</w:t>
            </w:r>
            <w:r>
              <w:rPr>
                <w:rFonts w:hint="eastAsia" w:ascii="宋体" w:hAnsi="宋体" w:eastAsia="宋体"/>
                <w:color w:val="auto"/>
                <w:sz w:val="24"/>
              </w:rPr>
              <w:t>年</w:t>
            </w:r>
            <w:r>
              <w:rPr>
                <w:rFonts w:hint="eastAsia" w:ascii="TimesNewRomanPSMT" w:hAnsi="TimesNewRomanPSMT" w:eastAsia="TimesNewRomanPSMT"/>
                <w:color w:val="auto"/>
                <w:sz w:val="24"/>
              </w:rPr>
              <w:t>4</w:t>
            </w:r>
            <w:r>
              <w:rPr>
                <w:rFonts w:hint="eastAsia" w:ascii="宋体" w:hAnsi="宋体" w:eastAsia="宋体"/>
                <w:color w:val="auto"/>
                <w:sz w:val="24"/>
              </w:rPr>
              <w:t>月</w:t>
            </w:r>
            <w:r>
              <w:rPr>
                <w:rFonts w:hint="eastAsia" w:ascii="TimesNewRomanPSMT" w:hAnsi="TimesNewRomanPSMT" w:eastAsia="TimesNewRomanPSMT"/>
                <w:color w:val="auto"/>
                <w:sz w:val="24"/>
              </w:rPr>
              <w:t>28</w:t>
            </w:r>
            <w:r>
              <w:rPr>
                <w:rFonts w:hint="eastAsia" w:ascii="宋体" w:hAnsi="宋体" w:eastAsia="宋体"/>
                <w:color w:val="auto"/>
                <w:sz w:val="24"/>
              </w:rPr>
              <w:t>日修订</w:t>
            </w:r>
            <w:r>
              <w:rPr>
                <w:rFonts w:hint="eastAsia"/>
                <w:b w:val="0"/>
                <w:bCs/>
                <w:color w:val="auto"/>
                <w:sz w:val="24"/>
                <w:shd w:val="clear" w:color="auto" w:fill="auto"/>
              </w:rPr>
              <w:t>）的规定和要求，一切可能对环境产生影响的新建、扩建或改建项目必须实行环境影响评价。根据</w:t>
            </w:r>
            <w:r>
              <w:rPr>
                <w:rFonts w:hint="eastAsia"/>
                <w:b w:val="0"/>
                <w:bCs/>
                <w:color w:val="auto"/>
                <w:sz w:val="24"/>
                <w:shd w:val="clear" w:color="auto" w:fill="auto"/>
                <w:lang w:val="en-GB"/>
              </w:rPr>
              <w:t>《建设项目环境影响评价分类管理名录》</w:t>
            </w:r>
            <w:r>
              <w:rPr>
                <w:rFonts w:hint="eastAsia"/>
                <w:b w:val="0"/>
                <w:bCs/>
                <w:color w:val="auto"/>
                <w:sz w:val="24"/>
                <w:shd w:val="clear" w:color="auto" w:fill="auto"/>
              </w:rPr>
              <w:t>中要求，该项目属于“</w:t>
            </w:r>
            <w:r>
              <w:rPr>
                <w:rFonts w:hint="default" w:ascii="Times New Roman" w:hAnsi="Times New Roman" w:eastAsia="宋体" w:cs="Times New Roman"/>
                <w:color w:val="auto"/>
                <w:kern w:val="0"/>
                <w:sz w:val="24"/>
                <w:szCs w:val="24"/>
                <w:lang w:val="en-US" w:eastAsia="zh-CN" w:bidi="ar"/>
              </w:rPr>
              <w:t>二十一、有色金属冶炼和压延加工业</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65</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有色金属铸造</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中的</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其他</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类别</w:t>
            </w:r>
            <w:r>
              <w:rPr>
                <w:rFonts w:hint="eastAsia"/>
                <w:b w:val="0"/>
                <w:bCs/>
                <w:color w:val="auto"/>
                <w:sz w:val="24"/>
                <w:shd w:val="clear" w:color="auto" w:fill="auto"/>
              </w:rPr>
              <w:t>”应编制环境影响报告表。为此，受</w:t>
            </w:r>
            <w:r>
              <w:rPr>
                <w:rFonts w:hint="eastAsia"/>
                <w:color w:val="auto"/>
                <w:sz w:val="24"/>
                <w:shd w:val="clear" w:color="auto" w:fill="auto"/>
                <w:lang w:eastAsia="zh-CN"/>
              </w:rPr>
              <w:t>开平市朝升卫浴有限公司</w:t>
            </w:r>
            <w:r>
              <w:rPr>
                <w:rFonts w:hint="eastAsia"/>
                <w:b w:val="0"/>
                <w:bCs/>
                <w:color w:val="auto"/>
                <w:sz w:val="24"/>
                <w:shd w:val="clear" w:color="auto" w:fill="auto"/>
              </w:rPr>
              <w:t>委托，我单位承担了本次项目的环境影响评价工作，并编制完成项目环境影响报告表。</w:t>
            </w:r>
          </w:p>
          <w:p>
            <w:pPr>
              <w:tabs>
                <w:tab w:val="left" w:pos="7800"/>
              </w:tabs>
              <w:spacing w:line="360" w:lineRule="auto"/>
              <w:ind w:firstLine="482" w:firstLineChars="200"/>
              <w:rPr>
                <w:b/>
                <w:color w:val="auto"/>
                <w:sz w:val="24"/>
                <w:shd w:val="clear" w:color="auto" w:fill="auto"/>
              </w:rPr>
            </w:pPr>
            <w:r>
              <w:rPr>
                <w:rFonts w:hint="eastAsia"/>
                <w:b/>
                <w:color w:val="auto"/>
                <w:sz w:val="24"/>
                <w:shd w:val="clear" w:color="auto" w:fill="auto"/>
              </w:rPr>
              <w:t>一、工程内容：</w:t>
            </w:r>
            <w:r>
              <w:rPr>
                <w:b/>
                <w:color w:val="auto"/>
                <w:sz w:val="24"/>
                <w:shd w:val="clear" w:color="auto" w:fill="auto"/>
              </w:rPr>
              <w:tab/>
            </w:r>
          </w:p>
          <w:p>
            <w:pPr>
              <w:spacing w:line="360" w:lineRule="auto"/>
              <w:ind w:left="-44" w:leftChars="-21" w:firstLine="511" w:firstLineChars="213"/>
              <w:rPr>
                <w:rFonts w:hint="eastAsia"/>
                <w:color w:val="auto"/>
                <w:sz w:val="24"/>
                <w:shd w:val="clear" w:color="auto" w:fill="auto"/>
              </w:rPr>
            </w:pPr>
            <w:r>
              <w:rPr>
                <w:rFonts w:hint="eastAsia"/>
                <w:bCs/>
                <w:color w:val="auto"/>
                <w:sz w:val="24"/>
                <w:shd w:val="clear" w:color="auto" w:fill="auto"/>
                <w:lang w:eastAsia="zh-CN"/>
              </w:rPr>
              <w:t>项目总投资100万元</w:t>
            </w:r>
            <w:r>
              <w:rPr>
                <w:rFonts w:hint="eastAsia"/>
                <w:bCs/>
                <w:color w:val="auto"/>
                <w:sz w:val="24"/>
                <w:shd w:val="clear" w:color="auto" w:fill="auto"/>
              </w:rPr>
              <w:t>，</w:t>
            </w:r>
            <w:r>
              <w:rPr>
                <w:rFonts w:hint="eastAsia"/>
                <w:bCs/>
                <w:color w:val="auto"/>
                <w:sz w:val="24"/>
                <w:shd w:val="clear" w:color="auto" w:fill="auto"/>
                <w:lang w:eastAsia="zh-CN"/>
              </w:rPr>
              <w:t>占地面积6000平方米，建筑面积6470平方米</w:t>
            </w:r>
            <w:r>
              <w:rPr>
                <w:rFonts w:hint="eastAsia"/>
                <w:bCs/>
                <w:color w:val="auto"/>
                <w:sz w:val="24"/>
                <w:shd w:val="clear" w:color="auto" w:fill="auto"/>
              </w:rPr>
              <w:t>，</w:t>
            </w:r>
            <w:r>
              <w:rPr>
                <w:rFonts w:hint="eastAsia"/>
                <w:bCs/>
                <w:color w:val="auto"/>
                <w:sz w:val="24"/>
                <w:shd w:val="clear" w:color="auto" w:fill="auto"/>
                <w:lang w:eastAsia="zh-CN"/>
              </w:rPr>
              <w:t>主要从事水龙头的加工生产，年产量为40万个</w:t>
            </w:r>
            <w:r>
              <w:rPr>
                <w:rFonts w:hint="eastAsia"/>
                <w:color w:val="auto"/>
                <w:sz w:val="24"/>
                <w:shd w:val="clear" w:color="auto" w:fill="auto"/>
              </w:rPr>
              <w:t>。</w:t>
            </w:r>
          </w:p>
          <w:p>
            <w:pPr>
              <w:pStyle w:val="139"/>
              <w:numPr>
                <w:ilvl w:val="0"/>
                <w:numId w:val="5"/>
              </w:numPr>
              <w:tabs>
                <w:tab w:val="left" w:pos="420"/>
              </w:tabs>
              <w:spacing w:line="360" w:lineRule="auto"/>
              <w:ind w:left="0" w:firstLine="471"/>
              <w:rPr>
                <w:rFonts w:eastAsia="宋体" w:cs="Times New Roman"/>
                <w:b/>
                <w:color w:val="auto"/>
                <w:sz w:val="21"/>
                <w:szCs w:val="21"/>
                <w:shd w:val="clear" w:color="auto" w:fill="auto"/>
              </w:rPr>
            </w:pPr>
            <w:r>
              <w:rPr>
                <w:rFonts w:eastAsia="宋体" w:cs="Times New Roman"/>
                <w:b/>
                <w:color w:val="auto"/>
                <w:sz w:val="21"/>
                <w:szCs w:val="21"/>
                <w:shd w:val="clear" w:color="auto" w:fill="auto"/>
              </w:rPr>
              <w:t>建设项目</w:t>
            </w:r>
            <w:r>
              <w:rPr>
                <w:rFonts w:hint="eastAsia" w:eastAsia="宋体" w:cs="Times New Roman"/>
                <w:b/>
                <w:color w:val="auto"/>
                <w:sz w:val="21"/>
                <w:szCs w:val="21"/>
                <w:shd w:val="clear" w:color="auto" w:fill="auto"/>
              </w:rPr>
              <w:t>工程内容及</w:t>
            </w:r>
            <w:r>
              <w:rPr>
                <w:rFonts w:eastAsia="宋体" w:cs="Times New Roman"/>
                <w:b/>
                <w:color w:val="auto"/>
                <w:sz w:val="21"/>
                <w:szCs w:val="21"/>
                <w:shd w:val="clear" w:color="auto" w:fill="auto"/>
              </w:rPr>
              <w:t>产品方案</w:t>
            </w:r>
          </w:p>
          <w:tbl>
            <w:tblPr>
              <w:tblStyle w:val="40"/>
              <w:tblW w:w="9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2265"/>
              <w:gridCol w:w="3688"/>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1" w:type="dxa"/>
                </w:tcPr>
                <w:p>
                  <w:pPr>
                    <w:pStyle w:val="29"/>
                    <w:spacing w:line="360" w:lineRule="auto"/>
                    <w:ind w:firstLine="0"/>
                    <w:jc w:val="center"/>
                    <w:rPr>
                      <w:b/>
                      <w:color w:val="auto"/>
                      <w:sz w:val="21"/>
                      <w:szCs w:val="21"/>
                      <w:shd w:val="clear" w:color="auto" w:fill="auto"/>
                    </w:rPr>
                  </w:pPr>
                  <w:r>
                    <w:rPr>
                      <w:rFonts w:hint="eastAsia"/>
                      <w:b/>
                      <w:color w:val="auto"/>
                      <w:sz w:val="21"/>
                      <w:szCs w:val="21"/>
                      <w:shd w:val="clear" w:color="auto" w:fill="auto"/>
                    </w:rPr>
                    <w:t>序号</w:t>
                  </w:r>
                </w:p>
              </w:tc>
              <w:tc>
                <w:tcPr>
                  <w:tcW w:w="5953" w:type="dxa"/>
                  <w:gridSpan w:val="2"/>
                </w:tcPr>
                <w:p>
                  <w:pPr>
                    <w:pStyle w:val="29"/>
                    <w:spacing w:line="360" w:lineRule="auto"/>
                    <w:ind w:firstLine="0"/>
                    <w:jc w:val="center"/>
                    <w:rPr>
                      <w:b/>
                      <w:color w:val="auto"/>
                      <w:sz w:val="21"/>
                      <w:szCs w:val="21"/>
                      <w:shd w:val="clear" w:color="auto" w:fill="auto"/>
                    </w:rPr>
                  </w:pPr>
                  <w:r>
                    <w:rPr>
                      <w:rFonts w:hint="eastAsia"/>
                      <w:b/>
                      <w:color w:val="auto"/>
                      <w:sz w:val="21"/>
                      <w:szCs w:val="21"/>
                      <w:shd w:val="clear" w:color="auto" w:fill="auto"/>
                    </w:rPr>
                    <w:t>工程内容</w:t>
                  </w:r>
                </w:p>
              </w:tc>
              <w:tc>
                <w:tcPr>
                  <w:tcW w:w="2125" w:type="dxa"/>
                </w:tcPr>
                <w:p>
                  <w:pPr>
                    <w:pStyle w:val="29"/>
                    <w:spacing w:line="360" w:lineRule="auto"/>
                    <w:ind w:firstLine="0"/>
                    <w:jc w:val="center"/>
                    <w:rPr>
                      <w:b/>
                      <w:color w:val="auto"/>
                      <w:sz w:val="21"/>
                      <w:szCs w:val="21"/>
                      <w:shd w:val="clear" w:color="auto" w:fill="auto"/>
                    </w:rPr>
                  </w:pPr>
                  <w:r>
                    <w:rPr>
                      <w:rFonts w:hint="eastAsia"/>
                      <w:b/>
                      <w:color w:val="auto"/>
                      <w:sz w:val="21"/>
                      <w:szCs w:val="21"/>
                      <w:shd w:val="clear" w:color="auto" w:fill="auto"/>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1161" w:type="dxa"/>
                </w:tcPr>
                <w:p>
                  <w:pPr>
                    <w:spacing w:line="360" w:lineRule="auto"/>
                    <w:jc w:val="center"/>
                    <w:rPr>
                      <w:color w:val="auto"/>
                      <w:sz w:val="21"/>
                      <w:szCs w:val="21"/>
                      <w:shd w:val="clear" w:color="auto" w:fill="auto"/>
                    </w:rPr>
                  </w:pPr>
                  <w:r>
                    <w:rPr>
                      <w:rFonts w:hint="eastAsia"/>
                      <w:color w:val="auto"/>
                      <w:sz w:val="21"/>
                      <w:szCs w:val="21"/>
                      <w:shd w:val="clear" w:color="auto" w:fill="auto"/>
                    </w:rPr>
                    <w:t>1</w:t>
                  </w:r>
                </w:p>
              </w:tc>
              <w:tc>
                <w:tcPr>
                  <w:tcW w:w="5953" w:type="dxa"/>
                  <w:gridSpan w:val="2"/>
                </w:tcPr>
                <w:p>
                  <w:pPr>
                    <w:spacing w:line="360" w:lineRule="auto"/>
                    <w:jc w:val="center"/>
                    <w:rPr>
                      <w:color w:val="auto"/>
                      <w:sz w:val="21"/>
                      <w:szCs w:val="21"/>
                      <w:shd w:val="clear" w:color="auto" w:fill="auto"/>
                    </w:rPr>
                  </w:pPr>
                  <w:r>
                    <w:rPr>
                      <w:rFonts w:hint="eastAsia"/>
                      <w:color w:val="auto"/>
                      <w:sz w:val="21"/>
                      <w:szCs w:val="21"/>
                      <w:shd w:val="clear" w:color="auto" w:fill="auto"/>
                    </w:rPr>
                    <w:t>总投资（万元）</w:t>
                  </w:r>
                </w:p>
              </w:tc>
              <w:tc>
                <w:tcPr>
                  <w:tcW w:w="2125" w:type="dxa"/>
                </w:tcPr>
                <w:p>
                  <w:pPr>
                    <w:pStyle w:val="29"/>
                    <w:spacing w:line="360" w:lineRule="auto"/>
                    <w:ind w:firstLine="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1161" w:type="dxa"/>
                </w:tcPr>
                <w:p>
                  <w:pPr>
                    <w:spacing w:line="360" w:lineRule="auto"/>
                    <w:jc w:val="center"/>
                    <w:rPr>
                      <w:color w:val="auto"/>
                      <w:sz w:val="21"/>
                      <w:szCs w:val="21"/>
                      <w:shd w:val="clear" w:color="auto" w:fill="auto"/>
                    </w:rPr>
                  </w:pPr>
                  <w:r>
                    <w:rPr>
                      <w:rFonts w:hint="eastAsia"/>
                      <w:color w:val="auto"/>
                      <w:sz w:val="21"/>
                      <w:szCs w:val="21"/>
                      <w:shd w:val="clear" w:color="auto" w:fill="auto"/>
                    </w:rPr>
                    <w:t>2</w:t>
                  </w:r>
                </w:p>
              </w:tc>
              <w:tc>
                <w:tcPr>
                  <w:tcW w:w="5953" w:type="dxa"/>
                  <w:gridSpan w:val="2"/>
                </w:tcPr>
                <w:p>
                  <w:pPr>
                    <w:spacing w:line="360" w:lineRule="auto"/>
                    <w:jc w:val="center"/>
                    <w:rPr>
                      <w:color w:val="auto"/>
                      <w:sz w:val="21"/>
                      <w:szCs w:val="21"/>
                      <w:shd w:val="clear" w:color="auto" w:fill="auto"/>
                    </w:rPr>
                  </w:pPr>
                  <w:r>
                    <w:rPr>
                      <w:rFonts w:hint="eastAsia"/>
                      <w:color w:val="auto"/>
                      <w:sz w:val="21"/>
                      <w:szCs w:val="21"/>
                      <w:shd w:val="clear" w:color="auto" w:fill="auto"/>
                    </w:rPr>
                    <w:t>占地面积（</w:t>
                  </w:r>
                  <w:r>
                    <w:rPr>
                      <w:color w:val="auto"/>
                      <w:sz w:val="21"/>
                      <w:szCs w:val="21"/>
                      <w:shd w:val="clear" w:color="auto" w:fill="auto"/>
                    </w:rPr>
                    <w:t>m</w:t>
                  </w:r>
                  <w:r>
                    <w:rPr>
                      <w:color w:val="auto"/>
                      <w:sz w:val="21"/>
                      <w:szCs w:val="21"/>
                      <w:shd w:val="clear" w:color="auto" w:fill="auto"/>
                      <w:vertAlign w:val="superscript"/>
                    </w:rPr>
                    <w:t>2</w:t>
                  </w:r>
                  <w:r>
                    <w:rPr>
                      <w:rFonts w:hint="eastAsia"/>
                      <w:color w:val="auto"/>
                      <w:sz w:val="21"/>
                      <w:szCs w:val="21"/>
                      <w:shd w:val="clear" w:color="auto" w:fill="auto"/>
                    </w:rPr>
                    <w:t>）</w:t>
                  </w:r>
                </w:p>
              </w:tc>
              <w:tc>
                <w:tcPr>
                  <w:tcW w:w="2125" w:type="dxa"/>
                </w:tcPr>
                <w:p>
                  <w:pPr>
                    <w:pStyle w:val="29"/>
                    <w:spacing w:line="360" w:lineRule="auto"/>
                    <w:ind w:firstLine="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1" w:type="dxa"/>
                </w:tcPr>
                <w:p>
                  <w:pPr>
                    <w:spacing w:line="360" w:lineRule="auto"/>
                    <w:jc w:val="center"/>
                    <w:rPr>
                      <w:color w:val="auto"/>
                      <w:sz w:val="21"/>
                      <w:szCs w:val="21"/>
                      <w:shd w:val="clear" w:color="auto" w:fill="auto"/>
                    </w:rPr>
                  </w:pPr>
                  <w:r>
                    <w:rPr>
                      <w:rFonts w:hint="eastAsia"/>
                      <w:color w:val="auto"/>
                      <w:sz w:val="21"/>
                      <w:szCs w:val="21"/>
                      <w:shd w:val="clear" w:color="auto" w:fill="auto"/>
                    </w:rPr>
                    <w:t>3</w:t>
                  </w:r>
                </w:p>
              </w:tc>
              <w:tc>
                <w:tcPr>
                  <w:tcW w:w="5953" w:type="dxa"/>
                  <w:gridSpan w:val="2"/>
                </w:tcPr>
                <w:p>
                  <w:pPr>
                    <w:spacing w:line="360" w:lineRule="auto"/>
                    <w:jc w:val="center"/>
                    <w:rPr>
                      <w:color w:val="auto"/>
                      <w:sz w:val="21"/>
                      <w:szCs w:val="21"/>
                      <w:shd w:val="clear" w:color="auto" w:fill="auto"/>
                    </w:rPr>
                  </w:pPr>
                  <w:r>
                    <w:rPr>
                      <w:rFonts w:hint="eastAsia"/>
                      <w:color w:val="auto"/>
                      <w:sz w:val="21"/>
                      <w:szCs w:val="21"/>
                      <w:shd w:val="clear" w:color="auto" w:fill="auto"/>
                    </w:rPr>
                    <w:t>建筑面积（</w:t>
                  </w:r>
                  <w:r>
                    <w:rPr>
                      <w:color w:val="auto"/>
                      <w:sz w:val="21"/>
                      <w:szCs w:val="21"/>
                      <w:shd w:val="clear" w:color="auto" w:fill="auto"/>
                    </w:rPr>
                    <w:t>m</w:t>
                  </w:r>
                  <w:r>
                    <w:rPr>
                      <w:color w:val="auto"/>
                      <w:sz w:val="21"/>
                      <w:szCs w:val="21"/>
                      <w:shd w:val="clear" w:color="auto" w:fill="auto"/>
                      <w:vertAlign w:val="superscript"/>
                    </w:rPr>
                    <w:t>2</w:t>
                  </w:r>
                  <w:r>
                    <w:rPr>
                      <w:rFonts w:hint="eastAsia"/>
                      <w:color w:val="auto"/>
                      <w:sz w:val="21"/>
                      <w:szCs w:val="21"/>
                      <w:shd w:val="clear" w:color="auto" w:fill="auto"/>
                    </w:rPr>
                    <w:t>）</w:t>
                  </w:r>
                </w:p>
              </w:tc>
              <w:tc>
                <w:tcPr>
                  <w:tcW w:w="2125" w:type="dxa"/>
                </w:tcPr>
                <w:p>
                  <w:pPr>
                    <w:pStyle w:val="29"/>
                    <w:spacing w:line="360" w:lineRule="auto"/>
                    <w:ind w:firstLine="0"/>
                    <w:jc w:val="center"/>
                    <w:rPr>
                      <w:rFonts w:hint="default" w:eastAsia="宋体"/>
                      <w:color w:val="auto"/>
                      <w:sz w:val="21"/>
                      <w:szCs w:val="21"/>
                      <w:shd w:val="clear" w:color="auto" w:fill="auto"/>
                      <w:lang w:val="en-US" w:eastAsia="zh-CN"/>
                    </w:rPr>
                  </w:pPr>
                  <w:r>
                    <w:rPr>
                      <w:rFonts w:hint="eastAsia"/>
                      <w:color w:val="auto"/>
                      <w:sz w:val="21"/>
                      <w:szCs w:val="21"/>
                      <w:shd w:val="clear" w:color="auto" w:fill="auto"/>
                      <w:lang w:val="en-US" w:eastAsia="zh-CN"/>
                    </w:rPr>
                    <w:t>6470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161" w:type="dxa"/>
                  <w:vAlign w:val="center"/>
                </w:tcPr>
                <w:p>
                  <w:pPr>
                    <w:spacing w:line="360" w:lineRule="auto"/>
                    <w:jc w:val="center"/>
                    <w:rPr>
                      <w:color w:val="auto"/>
                      <w:sz w:val="21"/>
                      <w:szCs w:val="21"/>
                      <w:shd w:val="clear" w:color="auto" w:fill="auto"/>
                    </w:rPr>
                  </w:pPr>
                  <w:r>
                    <w:rPr>
                      <w:rFonts w:hint="eastAsia"/>
                      <w:color w:val="auto"/>
                      <w:sz w:val="21"/>
                      <w:szCs w:val="21"/>
                      <w:shd w:val="clear" w:color="auto" w:fill="auto"/>
                    </w:rPr>
                    <w:t>4</w:t>
                  </w:r>
                </w:p>
              </w:tc>
              <w:tc>
                <w:tcPr>
                  <w:tcW w:w="2265" w:type="dxa"/>
                  <w:vAlign w:val="center"/>
                </w:tcPr>
                <w:p>
                  <w:pPr>
                    <w:spacing w:line="360" w:lineRule="auto"/>
                    <w:jc w:val="center"/>
                    <w:rPr>
                      <w:color w:val="auto"/>
                      <w:sz w:val="21"/>
                      <w:szCs w:val="21"/>
                      <w:shd w:val="clear" w:color="auto" w:fill="auto"/>
                    </w:rPr>
                  </w:pPr>
                  <w:r>
                    <w:rPr>
                      <w:rFonts w:hint="eastAsia"/>
                      <w:color w:val="auto"/>
                      <w:sz w:val="21"/>
                      <w:szCs w:val="21"/>
                      <w:shd w:val="clear" w:color="auto" w:fill="auto"/>
                    </w:rPr>
                    <w:t>产品及方案</w:t>
                  </w:r>
                </w:p>
              </w:tc>
              <w:tc>
                <w:tcPr>
                  <w:tcW w:w="3688" w:type="dxa"/>
                </w:tcPr>
                <w:p>
                  <w:pPr>
                    <w:spacing w:line="360" w:lineRule="auto"/>
                    <w:jc w:val="center"/>
                    <w:rPr>
                      <w:color w:val="auto"/>
                      <w:sz w:val="21"/>
                      <w:szCs w:val="21"/>
                      <w:shd w:val="clear" w:color="auto" w:fill="auto"/>
                    </w:rPr>
                  </w:pPr>
                  <w:r>
                    <w:rPr>
                      <w:rFonts w:hint="eastAsia"/>
                      <w:bCs/>
                      <w:color w:val="auto"/>
                      <w:sz w:val="21"/>
                      <w:szCs w:val="21"/>
                      <w:shd w:val="clear" w:color="auto" w:fill="auto"/>
                      <w:lang w:val="en-US" w:eastAsia="zh-CN"/>
                    </w:rPr>
                    <w:t>水龙头</w:t>
                  </w:r>
                  <w:r>
                    <w:rPr>
                      <w:rFonts w:hint="eastAsia"/>
                      <w:color w:val="auto"/>
                      <w:sz w:val="21"/>
                      <w:szCs w:val="21"/>
                      <w:shd w:val="clear" w:color="auto" w:fill="auto"/>
                    </w:rPr>
                    <w:t>（</w:t>
                  </w:r>
                  <w:r>
                    <w:rPr>
                      <w:rFonts w:hint="eastAsia"/>
                      <w:color w:val="auto"/>
                      <w:sz w:val="21"/>
                      <w:szCs w:val="21"/>
                      <w:shd w:val="clear" w:color="auto" w:fill="auto"/>
                      <w:lang w:eastAsia="zh-CN"/>
                    </w:rPr>
                    <w:t>万</w:t>
                  </w:r>
                  <w:r>
                    <w:rPr>
                      <w:rFonts w:hint="eastAsia"/>
                      <w:color w:val="auto"/>
                      <w:sz w:val="21"/>
                      <w:szCs w:val="21"/>
                      <w:shd w:val="clear" w:color="auto" w:fill="auto"/>
                      <w:lang w:val="en-US" w:eastAsia="zh-CN"/>
                    </w:rPr>
                    <w:t>个</w:t>
                  </w:r>
                  <w:r>
                    <w:rPr>
                      <w:rFonts w:hint="eastAsia"/>
                      <w:color w:val="auto"/>
                      <w:sz w:val="21"/>
                      <w:szCs w:val="21"/>
                      <w:shd w:val="clear" w:color="auto" w:fill="auto"/>
                    </w:rPr>
                    <w:t>/年）</w:t>
                  </w:r>
                </w:p>
              </w:tc>
              <w:tc>
                <w:tcPr>
                  <w:tcW w:w="2125" w:type="dxa"/>
                  <w:vAlign w:val="center"/>
                </w:tcPr>
                <w:p>
                  <w:pPr>
                    <w:pStyle w:val="29"/>
                    <w:spacing w:line="360" w:lineRule="auto"/>
                    <w:ind w:firstLine="0"/>
                    <w:jc w:val="center"/>
                    <w:rPr>
                      <w:rFonts w:hint="eastAsia" w:eastAsia="宋体"/>
                      <w:color w:val="auto"/>
                      <w:sz w:val="21"/>
                      <w:szCs w:val="21"/>
                      <w:shd w:val="clear" w:color="auto" w:fill="auto"/>
                      <w:lang w:val="en-US" w:eastAsia="zh-CN"/>
                    </w:rPr>
                  </w:pPr>
                  <w:r>
                    <w:rPr>
                      <w:rFonts w:hint="eastAsia"/>
                      <w:color w:val="auto"/>
                      <w:sz w:val="21"/>
                      <w:szCs w:val="21"/>
                      <w:shd w:val="clear" w:color="auto" w:fill="auto"/>
                      <w:lang w:val="en-US" w:eastAsia="zh-CN"/>
                    </w:rPr>
                    <w:t>40</w:t>
                  </w:r>
                </w:p>
              </w:tc>
            </w:tr>
          </w:tbl>
          <w:p>
            <w:pPr>
              <w:spacing w:line="360" w:lineRule="auto"/>
              <w:ind w:firstLine="422" w:firstLineChars="200"/>
              <w:rPr>
                <w:rFonts w:hint="eastAsia"/>
                <w:b/>
                <w:color w:val="auto"/>
                <w:sz w:val="21"/>
                <w:szCs w:val="21"/>
                <w:shd w:val="clear" w:color="auto" w:fill="auto"/>
                <w:lang w:val="en-US" w:eastAsia="zh-CN"/>
              </w:rPr>
            </w:pPr>
            <w:r>
              <w:rPr>
                <w:rFonts w:hint="eastAsia"/>
                <w:b/>
                <w:color w:val="auto"/>
                <w:sz w:val="21"/>
                <w:szCs w:val="21"/>
                <w:shd w:val="clear" w:color="auto" w:fill="auto"/>
                <w:lang w:eastAsia="zh-CN"/>
              </w:rPr>
              <w:t>说明：项目产品</w:t>
            </w:r>
            <w:r>
              <w:rPr>
                <w:rFonts w:hint="eastAsia"/>
                <w:b/>
                <w:color w:val="auto"/>
                <w:sz w:val="21"/>
                <w:szCs w:val="21"/>
                <w:shd w:val="clear" w:color="auto" w:fill="auto"/>
                <w:lang w:val="en-US" w:eastAsia="zh-CN"/>
              </w:rPr>
              <w:t>40万件/年，折合80.825吨/年。</w:t>
            </w:r>
          </w:p>
          <w:p>
            <w:pPr>
              <w:pStyle w:val="47"/>
              <w:spacing w:line="360" w:lineRule="auto"/>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项目物料平衡图如下：</w:t>
            </w:r>
          </w:p>
          <w:p>
            <w:pPr>
              <w:spacing w:line="360" w:lineRule="auto"/>
              <w:ind w:left="479" w:leftChars="228" w:firstLine="0" w:firstLineChars="0"/>
              <w:rPr>
                <w:b/>
                <w:color w:val="auto"/>
                <w:sz w:val="24"/>
                <w:shd w:val="clear" w:color="auto" w:fill="auto"/>
              </w:rPr>
            </w:pPr>
            <w:r>
              <w:rPr>
                <w:rFonts w:hint="default" w:ascii="Times New Roman" w:hAnsi="Times New Roman" w:eastAsia="宋体" w:cs="Times New Roman"/>
                <w:b/>
                <w:bCs/>
                <w:color w:val="auto"/>
                <w:sz w:val="24"/>
                <w:highlight w:val="none"/>
              </w:rPr>
              <w:pict>
                <v:group id="画布 2251" o:spid="_x0000_s1027" o:spt="203" style="height:104.6pt;width:419.75pt;" coordorigin="1317,2834" coordsize="8395,2086" editas="canvas">
                  <o:lock v:ext="edit"/>
                  <v:shape id="画布 2251" o:spid="_x0000_s2082" o:spt="75" type="#_x0000_t75" style="position:absolute;left:1317;top:2834;height:2086;width:8395;" filled="f" stroked="f" coordsize="21600,21600">
                    <v:path/>
                    <v:fill on="f" focussize="0,0"/>
                    <v:stroke on="f"/>
                    <v:imagedata o:title=""/>
                    <o:lock v:ext="edit" rotation="t" text="t" aspectratio="f"/>
                  </v:shape>
                  <v:shape id="文本框 2260" o:spid="_x0000_s2083" o:spt="202" type="#_x0000_t202" style="position:absolute;left:4633;top:2849;height:443;width:2048;"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lang w:eastAsia="zh-CN"/>
                            </w:rPr>
                            <w:t>进入固废</w:t>
                          </w:r>
                          <w:r>
                            <w:rPr>
                              <w:rFonts w:hint="eastAsia"/>
                              <w:lang w:val="en-US" w:eastAsia="zh-CN"/>
                            </w:rPr>
                            <w:t>96.3</w:t>
                          </w:r>
                          <w:r>
                            <w:rPr>
                              <w:rFonts w:hint="eastAsia" w:eastAsia="宋体"/>
                              <w:lang w:val="en-US" w:eastAsia="zh-CN"/>
                            </w:rPr>
                            <w:t>t/a</w:t>
                          </w:r>
                        </w:p>
                      </w:txbxContent>
                    </v:textbox>
                  </v:shape>
                  <v:shape id="文本框 2262" o:spid="_x0000_s2084" o:spt="202" type="#_x0000_t202" style="position:absolute;left:4937;top:3630;height:465;width:1441;"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全部工序</w:t>
                          </w:r>
                        </w:p>
                      </w:txbxContent>
                    </v:textbox>
                  </v:shape>
                  <v:shape id="自选图形 2700" o:spid="_x0000_s2085" o:spt="32" type="#_x0000_t32" style="position:absolute;left:4053;top:3880;height:6;width:886;" filled="f" stroked="t" coordsize="21600,21600">
                    <v:path arrowok="t"/>
                    <v:fill on="f" focussize="0,0"/>
                    <v:stroke weight="0.25pt" color="#000000" endarrow="block"/>
                    <v:imagedata o:title=""/>
                    <o:lock v:ext="edit" aspectratio="f"/>
                  </v:shape>
                  <v:shape id="自选图形 2700" o:spid="_x0000_s2086" o:spt="32" type="#_x0000_t32" style="position:absolute;left:6393;top:3888;flip:y;height:4;width:690;" filled="f" stroked="t" coordsize="21600,21600">
                    <v:path arrowok="t"/>
                    <v:fill on="f" focussize="0,0"/>
                    <v:stroke weight="0.25pt" color="#000000" endarrow="block"/>
                    <v:imagedata o:title=""/>
                    <o:lock v:ext="edit" aspectratio="f"/>
                  </v:shape>
                  <v:shape id="文本框 2265" o:spid="_x0000_s2087" o:spt="202" type="#_x0000_t202" style="position:absolute;left:6865;top:3688;height:440;width:2257;"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eastAsia="宋体"/>
                              <w:color w:val="auto"/>
                              <w:lang w:val="en-US" w:eastAsia="zh-CN"/>
                            </w:rPr>
                            <w:t>进入产品</w:t>
                          </w:r>
                          <w:r>
                            <w:rPr>
                              <w:rFonts w:hint="eastAsia"/>
                              <w:color w:val="auto"/>
                              <w:lang w:val="en-US" w:eastAsia="zh-CN"/>
                            </w:rPr>
                            <w:t>约</w:t>
                          </w:r>
                          <w:r>
                            <w:rPr>
                              <w:rFonts w:hint="eastAsia"/>
                              <w:lang w:val="en-US" w:eastAsia="zh-CN"/>
                            </w:rPr>
                            <w:t>80.825</w:t>
                          </w:r>
                          <w:r>
                            <w:rPr>
                              <w:rFonts w:hint="eastAsia" w:eastAsia="宋体"/>
                              <w:lang w:val="en-US" w:eastAsia="zh-CN"/>
                            </w:rPr>
                            <w:t>t/a</w:t>
                          </w:r>
                        </w:p>
                        <w:p>
                          <w:pPr>
                            <w:jc w:val="center"/>
                            <w:rPr>
                              <w:rFonts w:hint="eastAsia" w:eastAsia="宋体"/>
                              <w:color w:val="auto"/>
                              <w:lang w:val="en-US" w:eastAsia="zh-CN"/>
                            </w:rPr>
                          </w:pPr>
                        </w:p>
                      </w:txbxContent>
                    </v:textbox>
                  </v:shape>
                  <v:shape id="文本框 2258" o:spid="_x0000_s2088" o:spt="202" type="#_x0000_t202" style="position:absolute;left:2246;top:2998;height:1757;width:1849;" filled="f" stroked="f" coordsize="21600,21600">
                    <v:path/>
                    <v:fill on="f" focussize="0,0"/>
                    <v:stroke on="f" weight="0.25pt"/>
                    <v:imagedata o:title=""/>
                    <o:lock v:ext="edit" aspectratio="f"/>
                    <v:textbox>
                      <w:txbxContent>
                        <w:p>
                          <w:pPr>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lang w:eastAsia="zh-CN"/>
                            </w:rPr>
                            <w:t>铜锭</w:t>
                          </w:r>
                          <w:r>
                            <w:rPr>
                              <w:rFonts w:hint="default" w:ascii="Times New Roman" w:hAnsi="Times New Roman" w:cs="Times New Roman"/>
                              <w:color w:val="auto"/>
                              <w:sz w:val="21"/>
                              <w:szCs w:val="21"/>
                              <w:lang w:val="en-US" w:eastAsia="zh-CN"/>
                            </w:rPr>
                            <w:t>80</w:t>
                          </w:r>
                          <w:r>
                            <w:rPr>
                              <w:rFonts w:hint="default" w:ascii="Times New Roman" w:hAnsi="Times New Roman" w:eastAsia="宋体" w:cs="Times New Roman"/>
                              <w:sz w:val="21"/>
                              <w:szCs w:val="21"/>
                              <w:lang w:val="en-US" w:eastAsia="zh-CN"/>
                            </w:rPr>
                            <w:t>t/a</w:t>
                          </w:r>
                        </w:p>
                        <w:p>
                          <w:pPr>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石英砂90</w:t>
                          </w:r>
                          <w:r>
                            <w:rPr>
                              <w:rFonts w:hint="default" w:ascii="Times New Roman" w:hAnsi="Times New Roman" w:eastAsia="宋体" w:cs="Times New Roman"/>
                              <w:sz w:val="21"/>
                              <w:szCs w:val="21"/>
                              <w:lang w:val="en-US" w:eastAsia="zh-CN"/>
                            </w:rPr>
                            <w:t>t/a</w:t>
                          </w:r>
                        </w:p>
                        <w:p>
                          <w:pPr>
                            <w:jc w:val="center"/>
                            <w:rPr>
                              <w:rFonts w:hint="default"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呋喃树脂1.8</w:t>
                          </w:r>
                          <w:r>
                            <w:rPr>
                              <w:rFonts w:hint="eastAsia" w:eastAsia="宋体"/>
                              <w:lang w:val="en-US" w:eastAsia="zh-CN"/>
                            </w:rPr>
                            <w:t>t/a</w:t>
                          </w:r>
                        </w:p>
                        <w:p>
                          <w:pPr>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抛光轮0.3</w:t>
                          </w:r>
                          <w:r>
                            <w:rPr>
                              <w:rFonts w:hint="default" w:ascii="Times New Roman" w:hAnsi="Times New Roman" w:eastAsia="宋体" w:cs="Times New Roman"/>
                              <w:sz w:val="21"/>
                              <w:szCs w:val="21"/>
                              <w:lang w:val="en-US" w:eastAsia="zh-CN"/>
                            </w:rPr>
                            <w:t>t/a</w:t>
                          </w:r>
                        </w:p>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color w:val="auto"/>
                              <w:sz w:val="21"/>
                              <w:szCs w:val="21"/>
                              <w:shd w:val="clear" w:color="auto" w:fill="auto"/>
                              <w:lang w:val="en-US" w:eastAsia="zh-CN"/>
                            </w:rPr>
                            <w:t>水龙头配件5</w:t>
                          </w:r>
                          <w:r>
                            <w:rPr>
                              <w:rFonts w:hint="default" w:ascii="Times New Roman" w:hAnsi="Times New Roman" w:eastAsia="宋体" w:cs="Times New Roman"/>
                              <w:sz w:val="21"/>
                              <w:szCs w:val="21"/>
                              <w:lang w:val="en-US" w:eastAsia="zh-CN"/>
                            </w:rPr>
                            <w:t>t/a</w:t>
                          </w:r>
                        </w:p>
                        <w:p>
                          <w:pPr>
                            <w:pStyle w:val="47"/>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机油0.1t/a</w:t>
                          </w:r>
                        </w:p>
                      </w:txbxContent>
                    </v:textbox>
                  </v:shape>
                  <v:shape id="文本框 2258" o:spid="_x0000_s2089" o:spt="202" type="#_x0000_t202" style="position:absolute;left:3805;top:3551;height:459;width:1290;" filled="f" stroked="f" coordsize="21600,21600">
                    <v:path/>
                    <v:fill on="f" focussize="0,0"/>
                    <v:stroke on="f" weight="0.25pt"/>
                    <v:imagedata o:title=""/>
                    <o:lock v:ext="edit" aspectratio="f"/>
                    <v:textbox>
                      <w:txbxContent>
                        <w:p>
                          <w:pPr>
                            <w:jc w:val="center"/>
                            <w:rPr>
                              <w:rFonts w:hint="default" w:eastAsia="宋体"/>
                              <w:lang w:val="en-US" w:eastAsia="zh-CN"/>
                            </w:rPr>
                          </w:pPr>
                          <w:r>
                            <w:rPr>
                              <w:rFonts w:hint="eastAsia"/>
                              <w:lang w:val="en-US" w:eastAsia="zh-CN"/>
                            </w:rPr>
                            <w:t>177.2</w:t>
                          </w:r>
                          <w:r>
                            <w:rPr>
                              <w:rFonts w:hint="eastAsia" w:eastAsia="宋体"/>
                              <w:lang w:val="en-US" w:eastAsia="zh-CN"/>
                            </w:rPr>
                            <w:t>t/a</w:t>
                          </w:r>
                        </w:p>
                      </w:txbxContent>
                    </v:textbox>
                  </v:shape>
                  <v:shape id="自选图形 2700" o:spid="_x0000_s2090" o:spt="32" type="#_x0000_t32" style="position:absolute;left:5642;top:4109;height:482;width:1;" filled="f" stroked="t" coordsize="21600,21600">
                    <v:path arrowok="t"/>
                    <v:fill on="f" focussize="0,0"/>
                    <v:stroke weight="0.25pt" color="#000000" endarrow="block"/>
                    <v:imagedata o:title=""/>
                    <o:lock v:ext="edit" aspectratio="f"/>
                  </v:shape>
                  <v:shape id="文本框 2265" o:spid="_x0000_s2091" o:spt="202" type="#_x0000_t202" style="position:absolute;left:4690;top:4524;height:439;width:2100;"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eastAsia="宋体"/>
                              <w:color w:val="auto"/>
                              <w:lang w:val="en-US" w:eastAsia="zh-CN"/>
                            </w:rPr>
                            <w:t>进入大气</w:t>
                          </w:r>
                          <w:r>
                            <w:rPr>
                              <w:rFonts w:hint="eastAsia"/>
                              <w:lang w:val="en-US" w:eastAsia="zh-CN"/>
                            </w:rPr>
                            <w:t>0.075</w:t>
                          </w:r>
                          <w:r>
                            <w:rPr>
                              <w:rFonts w:hint="eastAsia" w:eastAsia="宋体"/>
                              <w:lang w:val="en-US" w:eastAsia="zh-CN"/>
                            </w:rPr>
                            <w:t>t/a</w:t>
                          </w:r>
                        </w:p>
                        <w:p>
                          <w:pPr>
                            <w:jc w:val="center"/>
                            <w:rPr>
                              <w:rFonts w:hint="eastAsia" w:eastAsia="宋体"/>
                              <w:color w:val="auto"/>
                              <w:lang w:val="en-US" w:eastAsia="zh-CN"/>
                            </w:rPr>
                          </w:pPr>
                        </w:p>
                      </w:txbxContent>
                    </v:textbox>
                  </v:shape>
                  <v:shape id="自选图形 2700" o:spid="_x0000_s2092" o:spt="32" type="#_x0000_t32" style="position:absolute;left:5628;top:3185;flip:y;height:442;width:0;" filled="f" stroked="t" coordsize="21600,21600">
                    <v:path arrowok="t"/>
                    <v:fill on="f" focussize="0,0"/>
                    <v:stroke weight="0.25pt" color="#000000" endarrow="block"/>
                    <v:imagedata o:title=""/>
                    <o:lock v:ext="edit" aspectratio="f"/>
                  </v:shape>
                  <w10:wrap type="none"/>
                  <w10:anchorlock/>
                </v:group>
              </w:pict>
            </w:r>
            <w:r>
              <w:rPr>
                <w:rFonts w:hint="eastAsia" w:cs="Times New Roman"/>
                <w:b/>
                <w:bCs/>
                <w:color w:val="auto"/>
                <w:sz w:val="24"/>
                <w:highlight w:val="none"/>
                <w:lang w:val="en-US" w:eastAsia="zh-CN"/>
              </w:rPr>
              <w:t xml:space="preserve"> </w:t>
            </w:r>
            <w:r>
              <w:rPr>
                <w:rFonts w:hint="eastAsia"/>
                <w:b/>
                <w:color w:val="auto"/>
                <w:sz w:val="24"/>
                <w:shd w:val="clear" w:color="auto" w:fill="auto"/>
              </w:rPr>
              <w:t>二、主要原辅材料：</w:t>
            </w:r>
          </w:p>
          <w:p>
            <w:pPr>
              <w:pStyle w:val="139"/>
              <w:numPr>
                <w:ilvl w:val="0"/>
                <w:numId w:val="5"/>
              </w:numPr>
              <w:tabs>
                <w:tab w:val="left" w:pos="420"/>
              </w:tabs>
              <w:spacing w:line="360" w:lineRule="auto"/>
              <w:ind w:left="0" w:firstLine="471"/>
              <w:rPr>
                <w:rFonts w:eastAsia="宋体" w:cs="Times New Roman"/>
                <w:b/>
                <w:color w:val="auto"/>
                <w:sz w:val="21"/>
                <w:szCs w:val="21"/>
                <w:shd w:val="clear" w:color="auto" w:fill="auto"/>
              </w:rPr>
            </w:pPr>
            <w:r>
              <w:rPr>
                <w:rFonts w:eastAsia="宋体" w:cs="Times New Roman"/>
                <w:b/>
                <w:color w:val="auto"/>
                <w:sz w:val="21"/>
                <w:szCs w:val="21"/>
                <w:shd w:val="clear" w:color="auto" w:fill="auto"/>
              </w:rPr>
              <w:t>主要原辅材料</w:t>
            </w:r>
          </w:p>
          <w:tbl>
            <w:tblPr>
              <w:tblStyle w:val="40"/>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130"/>
              <w:gridCol w:w="1964"/>
              <w:gridCol w:w="1576"/>
              <w:gridCol w:w="16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618" w:type="dxa"/>
                  <w:shd w:val="clear" w:color="auto" w:fill="auto"/>
                  <w:vAlign w:val="center"/>
                </w:tcPr>
                <w:p>
                  <w:pPr>
                    <w:pStyle w:val="29"/>
                    <w:spacing w:line="360" w:lineRule="auto"/>
                    <w:ind w:firstLine="0"/>
                    <w:jc w:val="center"/>
                    <w:rPr>
                      <w:b/>
                      <w:color w:val="auto"/>
                      <w:sz w:val="21"/>
                      <w:szCs w:val="21"/>
                      <w:shd w:val="clear" w:color="auto" w:fill="auto"/>
                    </w:rPr>
                  </w:pPr>
                  <w:r>
                    <w:rPr>
                      <w:b/>
                      <w:color w:val="auto"/>
                      <w:sz w:val="21"/>
                      <w:szCs w:val="21"/>
                      <w:shd w:val="clear" w:color="auto" w:fill="auto"/>
                    </w:rPr>
                    <w:t>序号</w:t>
                  </w:r>
                </w:p>
              </w:tc>
              <w:tc>
                <w:tcPr>
                  <w:tcW w:w="2130" w:type="dxa"/>
                  <w:shd w:val="clear" w:color="auto" w:fill="auto"/>
                  <w:vAlign w:val="center"/>
                </w:tcPr>
                <w:p>
                  <w:pPr>
                    <w:pStyle w:val="29"/>
                    <w:spacing w:line="360" w:lineRule="auto"/>
                    <w:ind w:firstLine="0"/>
                    <w:jc w:val="center"/>
                    <w:rPr>
                      <w:b/>
                      <w:color w:val="auto"/>
                      <w:sz w:val="21"/>
                      <w:szCs w:val="21"/>
                      <w:shd w:val="clear" w:color="auto" w:fill="auto"/>
                    </w:rPr>
                  </w:pPr>
                  <w:r>
                    <w:rPr>
                      <w:b/>
                      <w:color w:val="auto"/>
                      <w:sz w:val="21"/>
                      <w:szCs w:val="21"/>
                      <w:shd w:val="clear" w:color="auto" w:fill="auto"/>
                    </w:rPr>
                    <w:t>材料名称</w:t>
                  </w:r>
                </w:p>
              </w:tc>
              <w:tc>
                <w:tcPr>
                  <w:tcW w:w="1964" w:type="dxa"/>
                  <w:shd w:val="clear" w:color="auto" w:fill="auto"/>
                  <w:vAlign w:val="center"/>
                </w:tcPr>
                <w:p>
                  <w:pPr>
                    <w:pStyle w:val="29"/>
                    <w:spacing w:line="360" w:lineRule="auto"/>
                    <w:ind w:firstLine="0"/>
                    <w:jc w:val="center"/>
                    <w:rPr>
                      <w:b/>
                      <w:color w:val="auto"/>
                      <w:sz w:val="21"/>
                      <w:szCs w:val="21"/>
                      <w:shd w:val="clear" w:color="auto" w:fill="auto"/>
                    </w:rPr>
                  </w:pPr>
                  <w:r>
                    <w:rPr>
                      <w:rFonts w:hint="eastAsia"/>
                      <w:b/>
                      <w:color w:val="auto"/>
                      <w:sz w:val="21"/>
                      <w:szCs w:val="21"/>
                      <w:shd w:val="clear" w:color="auto" w:fill="auto"/>
                    </w:rPr>
                    <w:t>年</w:t>
                  </w:r>
                  <w:r>
                    <w:rPr>
                      <w:b/>
                      <w:color w:val="auto"/>
                      <w:sz w:val="21"/>
                      <w:szCs w:val="21"/>
                      <w:shd w:val="clear" w:color="auto" w:fill="auto"/>
                    </w:rPr>
                    <w:t>用量</w:t>
                  </w:r>
                </w:p>
              </w:tc>
              <w:tc>
                <w:tcPr>
                  <w:tcW w:w="1576" w:type="dxa"/>
                </w:tcPr>
                <w:p>
                  <w:pPr>
                    <w:pStyle w:val="29"/>
                    <w:spacing w:line="360" w:lineRule="auto"/>
                    <w:ind w:firstLine="0"/>
                    <w:jc w:val="center"/>
                    <w:rPr>
                      <w:rFonts w:hint="eastAsia" w:eastAsia="宋体"/>
                      <w:b/>
                      <w:color w:val="auto"/>
                      <w:sz w:val="21"/>
                      <w:szCs w:val="21"/>
                      <w:shd w:val="clear" w:color="auto" w:fill="auto"/>
                      <w:lang w:eastAsia="zh-CN"/>
                    </w:rPr>
                  </w:pPr>
                  <w:r>
                    <w:rPr>
                      <w:rFonts w:hint="eastAsia"/>
                      <w:b/>
                      <w:color w:val="auto"/>
                      <w:sz w:val="21"/>
                      <w:szCs w:val="21"/>
                      <w:shd w:val="clear" w:color="auto" w:fill="auto"/>
                      <w:lang w:eastAsia="zh-CN"/>
                    </w:rPr>
                    <w:t>最大存储量</w:t>
                  </w:r>
                </w:p>
              </w:tc>
              <w:tc>
                <w:tcPr>
                  <w:tcW w:w="1672" w:type="dxa"/>
                </w:tcPr>
                <w:p>
                  <w:pPr>
                    <w:pStyle w:val="29"/>
                    <w:spacing w:line="36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618" w:type="dxa"/>
                  <w:shd w:val="clear" w:color="auto" w:fill="auto"/>
                  <w:vAlign w:val="center"/>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w:t>
                  </w:r>
                </w:p>
              </w:tc>
              <w:tc>
                <w:tcPr>
                  <w:tcW w:w="2130"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 xml:space="preserve">    铜锭</w:t>
                  </w:r>
                </w:p>
              </w:tc>
              <w:tc>
                <w:tcPr>
                  <w:tcW w:w="1964" w:type="dxa"/>
                  <w:shd w:val="clear" w:color="auto" w:fill="auto"/>
                  <w:vAlign w:val="top"/>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80吨</w:t>
                  </w:r>
                </w:p>
              </w:tc>
              <w:tc>
                <w:tcPr>
                  <w:tcW w:w="1576"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2.6吨</w:t>
                  </w:r>
                </w:p>
              </w:tc>
              <w:tc>
                <w:tcPr>
                  <w:tcW w:w="1672" w:type="dxa"/>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618" w:type="dxa"/>
                  <w:shd w:val="clear" w:color="auto" w:fill="auto"/>
                  <w:vAlign w:val="center"/>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2</w:t>
                  </w:r>
                </w:p>
              </w:tc>
              <w:tc>
                <w:tcPr>
                  <w:tcW w:w="2130"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 xml:space="preserve">   石英砂</w:t>
                  </w:r>
                </w:p>
              </w:tc>
              <w:tc>
                <w:tcPr>
                  <w:tcW w:w="1964"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90吨</w:t>
                  </w:r>
                </w:p>
              </w:tc>
              <w:tc>
                <w:tcPr>
                  <w:tcW w:w="1576"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3吨</w:t>
                  </w:r>
                </w:p>
              </w:tc>
              <w:tc>
                <w:tcPr>
                  <w:tcW w:w="1672" w:type="dxa"/>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618" w:type="dxa"/>
                  <w:shd w:val="clear" w:color="auto" w:fill="auto"/>
                  <w:vAlign w:val="center"/>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3</w:t>
                  </w:r>
                </w:p>
              </w:tc>
              <w:tc>
                <w:tcPr>
                  <w:tcW w:w="2130"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 xml:space="preserve">  呋喃树脂</w:t>
                  </w:r>
                </w:p>
              </w:tc>
              <w:tc>
                <w:tcPr>
                  <w:tcW w:w="1964" w:type="dxa"/>
                  <w:shd w:val="clear" w:color="auto" w:fill="auto"/>
                  <w:vAlign w:val="top"/>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1.8吨</w:t>
                  </w:r>
                </w:p>
              </w:tc>
              <w:tc>
                <w:tcPr>
                  <w:tcW w:w="1576"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0.2吨</w:t>
                  </w:r>
                </w:p>
              </w:tc>
              <w:tc>
                <w:tcPr>
                  <w:tcW w:w="1672"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外购，200kg/桶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618" w:type="dxa"/>
                  <w:shd w:val="clear" w:color="auto" w:fill="auto"/>
                  <w:vAlign w:val="center"/>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4</w:t>
                  </w:r>
                </w:p>
              </w:tc>
              <w:tc>
                <w:tcPr>
                  <w:tcW w:w="2130"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抛光轮</w:t>
                  </w:r>
                </w:p>
              </w:tc>
              <w:tc>
                <w:tcPr>
                  <w:tcW w:w="1964" w:type="dxa"/>
                  <w:shd w:val="clear" w:color="auto" w:fill="auto"/>
                  <w:vAlign w:val="top"/>
                </w:tcPr>
                <w:p>
                  <w:pPr>
                    <w:pStyle w:val="29"/>
                    <w:spacing w:line="360" w:lineRule="auto"/>
                    <w:ind w:firstLine="0"/>
                    <w:jc w:val="center"/>
                    <w:rPr>
                      <w:rFonts w:hint="default"/>
                      <w:color w:val="auto"/>
                      <w:sz w:val="21"/>
                      <w:szCs w:val="21"/>
                      <w:shd w:val="clear" w:color="auto" w:fill="auto"/>
                      <w:lang w:val="en-US" w:eastAsia="zh-CN"/>
                    </w:rPr>
                  </w:pPr>
                  <w:r>
                    <w:rPr>
                      <w:rFonts w:hint="eastAsia" w:cs="Times New Roman"/>
                      <w:i w:val="0"/>
                      <w:color w:val="auto"/>
                      <w:kern w:val="0"/>
                      <w:sz w:val="21"/>
                      <w:szCs w:val="21"/>
                      <w:u w:val="none"/>
                      <w:lang w:val="en-US" w:eastAsia="zh-CN" w:bidi="ar"/>
                    </w:rPr>
                    <w:t>0.3吨</w:t>
                  </w:r>
                </w:p>
              </w:tc>
              <w:tc>
                <w:tcPr>
                  <w:tcW w:w="1576"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0.1吨</w:t>
                  </w:r>
                </w:p>
              </w:tc>
              <w:tc>
                <w:tcPr>
                  <w:tcW w:w="1672"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外购，0.5kg/个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618" w:type="dxa"/>
                  <w:shd w:val="clear" w:color="auto" w:fill="auto"/>
                  <w:vAlign w:val="center"/>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w:t>
                  </w:r>
                </w:p>
              </w:tc>
              <w:tc>
                <w:tcPr>
                  <w:tcW w:w="2130"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 xml:space="preserve">  水龙头配件</w:t>
                  </w:r>
                </w:p>
              </w:tc>
              <w:tc>
                <w:tcPr>
                  <w:tcW w:w="1964"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5吨</w:t>
                  </w:r>
                </w:p>
              </w:tc>
              <w:tc>
                <w:tcPr>
                  <w:tcW w:w="1576"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1吨</w:t>
                  </w:r>
                </w:p>
              </w:tc>
              <w:tc>
                <w:tcPr>
                  <w:tcW w:w="1672" w:type="dxa"/>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618" w:type="dxa"/>
                  <w:shd w:val="clear" w:color="auto" w:fill="auto"/>
                  <w:vAlign w:val="center"/>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6</w:t>
                  </w:r>
                </w:p>
              </w:tc>
              <w:tc>
                <w:tcPr>
                  <w:tcW w:w="2130" w:type="dxa"/>
                  <w:shd w:val="clear" w:color="auto" w:fill="auto"/>
                  <w:vAlign w:val="top"/>
                </w:tcPr>
                <w:p>
                  <w:pPr>
                    <w:pStyle w:val="29"/>
                    <w:spacing w:line="360" w:lineRule="auto"/>
                    <w:ind w:firstLine="0"/>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机油</w:t>
                  </w:r>
                </w:p>
              </w:tc>
              <w:tc>
                <w:tcPr>
                  <w:tcW w:w="1964" w:type="dxa"/>
                  <w:shd w:val="clear" w:color="auto" w:fill="auto"/>
                  <w:vAlign w:val="top"/>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0.1吨</w:t>
                  </w:r>
                </w:p>
              </w:tc>
              <w:tc>
                <w:tcPr>
                  <w:tcW w:w="1576"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0.1吨</w:t>
                  </w:r>
                </w:p>
              </w:tc>
              <w:tc>
                <w:tcPr>
                  <w:tcW w:w="1672" w:type="dxa"/>
                </w:tcPr>
                <w:p>
                  <w:pPr>
                    <w:pStyle w:val="29"/>
                    <w:spacing w:line="360" w:lineRule="auto"/>
                    <w:ind w:firstLine="0"/>
                    <w:jc w:val="center"/>
                    <w:rPr>
                      <w:rFonts w:hint="default"/>
                      <w:color w:val="auto"/>
                      <w:sz w:val="21"/>
                      <w:szCs w:val="21"/>
                      <w:shd w:val="clear" w:color="auto" w:fill="auto"/>
                      <w:lang w:val="en-US" w:eastAsia="zh-CN"/>
                    </w:rPr>
                  </w:pPr>
                  <w:r>
                    <w:rPr>
                      <w:rFonts w:hint="eastAsia"/>
                      <w:color w:val="auto"/>
                      <w:sz w:val="21"/>
                      <w:szCs w:val="21"/>
                      <w:shd w:val="clear" w:color="auto" w:fill="auto"/>
                      <w:lang w:val="en-US" w:eastAsia="zh-CN"/>
                    </w:rPr>
                    <w:t>外购，50kg/桶</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2" w:firstLineChars="200"/>
              <w:jc w:val="both"/>
              <w:textAlignment w:val="auto"/>
              <w:outlineLvl w:val="9"/>
              <w:rPr>
                <w:rFonts w:hint="default" w:ascii="Times New Roman" w:hAnsi="Times New Roman" w:cs="Times New Roman"/>
                <w:b w:val="0"/>
                <w:bCs w:val="0"/>
                <w:color w:val="auto"/>
                <w:sz w:val="21"/>
                <w:szCs w:val="21"/>
                <w:vertAlign w:val="baseline"/>
                <w:lang w:val="en-US" w:eastAsia="zh-CN"/>
              </w:rPr>
            </w:pPr>
            <w:r>
              <w:rPr>
                <w:rFonts w:hint="eastAsia" w:cs="Times New Roman"/>
                <w:b/>
                <w:bCs/>
                <w:color w:val="auto"/>
                <w:sz w:val="21"/>
                <w:szCs w:val="21"/>
                <w:vertAlign w:val="baseline"/>
                <w:lang w:eastAsia="zh-CN"/>
              </w:rPr>
              <w:t>说明：</w:t>
            </w:r>
            <w:r>
              <w:rPr>
                <w:rFonts w:hint="eastAsia" w:ascii="Times New Roman" w:hAnsi="Times New Roman" w:cs="Times New Roman"/>
                <w:b/>
                <w:bCs/>
                <w:color w:val="auto"/>
                <w:sz w:val="21"/>
                <w:szCs w:val="21"/>
                <w:vertAlign w:val="baseline"/>
                <w:lang w:val="en-US" w:eastAsia="zh-CN"/>
              </w:rPr>
              <w:t>石英砂：</w:t>
            </w:r>
            <w:r>
              <w:rPr>
                <w:rFonts w:hint="eastAsia" w:ascii="Times New Roman" w:hAnsi="Times New Roman" w:cs="Times New Roman"/>
                <w:b w:val="0"/>
                <w:bCs w:val="0"/>
                <w:color w:val="auto"/>
                <w:sz w:val="21"/>
                <w:szCs w:val="21"/>
                <w:vertAlign w:val="baseline"/>
                <w:lang w:val="en-US" w:eastAsia="zh-CN"/>
              </w:rPr>
              <w:t>石英砂是石英石经破碎加工而成的石英颗粒。石英石是一种非金属矿物质，是一种坚硬、耐磨、化学性能稳定的硅酸盐矿物。石英砂的颜色为乳白色、或无色半透明状，莫氏硬度7。石英砂是重要的工业矿物原料，非化学危险品，广泛用于玻璃、铸造、陶瓷及防火材料、冶炼硅铁、冶金熔剂、冶金、建筑、化工、塑料、橡胶、磨料</w:t>
            </w:r>
            <w:r>
              <w:rPr>
                <w:rFonts w:hint="eastAsia" w:cs="Times New Roman"/>
                <w:b w:val="0"/>
                <w:bCs w:val="0"/>
                <w:color w:val="auto"/>
                <w:sz w:val="21"/>
                <w:szCs w:val="21"/>
                <w:vertAlign w:val="baseline"/>
                <w:lang w:val="en-US" w:eastAsia="zh-CN"/>
              </w:rPr>
              <w:t>、</w:t>
            </w:r>
            <w:r>
              <w:rPr>
                <w:rFonts w:hint="eastAsia" w:ascii="Times New Roman" w:hAnsi="Times New Roman" w:cs="Times New Roman"/>
                <w:b w:val="0"/>
                <w:bCs w:val="0"/>
                <w:color w:val="auto"/>
                <w:sz w:val="21"/>
                <w:szCs w:val="21"/>
                <w:vertAlign w:val="baseline"/>
                <w:lang w:val="en-US" w:eastAsia="zh-CN"/>
              </w:rPr>
              <w:t>滤料等工业。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2" w:firstLineChars="200"/>
              <w:jc w:val="both"/>
              <w:textAlignment w:val="auto"/>
              <w:outlineLvl w:val="9"/>
              <w:rPr>
                <w:rFonts w:hint="default" w:ascii="Times New Roman" w:hAnsi="Times New Roman" w:cs="Times New Roman"/>
                <w:b w:val="0"/>
                <w:bCs w:val="0"/>
                <w:color w:val="auto"/>
                <w:sz w:val="21"/>
                <w:szCs w:val="21"/>
                <w:vertAlign w:val="baseline"/>
                <w:lang w:eastAsia="zh-CN"/>
              </w:rPr>
            </w:pPr>
            <w:r>
              <w:rPr>
                <w:rFonts w:hint="default" w:ascii="Times New Roman" w:hAnsi="Times New Roman" w:cs="Times New Roman"/>
                <w:b/>
                <w:bCs/>
                <w:color w:val="auto"/>
                <w:sz w:val="21"/>
                <w:szCs w:val="21"/>
                <w:vertAlign w:val="baseline"/>
                <w:lang w:eastAsia="zh-CN"/>
              </w:rPr>
              <w:t>呋喃树脂：</w:t>
            </w:r>
            <w:r>
              <w:rPr>
                <w:rFonts w:hint="eastAsia" w:ascii="Arial" w:hAnsi="Arial" w:eastAsia="宋体" w:cs="Arial"/>
                <w:i w:val="0"/>
                <w:caps w:val="0"/>
                <w:color w:val="auto"/>
                <w:spacing w:val="0"/>
                <w:sz w:val="21"/>
                <w:szCs w:val="21"/>
                <w:shd w:val="clear" w:fill="FFFFFF"/>
              </w:rPr>
              <w:t>呋喃树脂是指以具有呋喃环的糠醇和糠醛作原料生产的树脂类的总称，其在强酸作用下固化为不溶和不熔的固形物，种类有脲醛改性呋喃树脂、酚醛改性呋喃树脂、酮醛改性呋喃树脂、脲醛酚醛改性呋喃树脂等。</w:t>
            </w:r>
            <w:r>
              <w:rPr>
                <w:rFonts w:hint="eastAsia" w:cs="Times New Roman"/>
                <w:b w:val="0"/>
                <w:bCs w:val="0"/>
                <w:color w:val="auto"/>
                <w:sz w:val="21"/>
                <w:szCs w:val="21"/>
                <w:vertAlign w:val="baseline"/>
                <w:lang w:eastAsia="zh-CN"/>
              </w:rPr>
              <w:t>本项目所用呋喃树脂的检</w:t>
            </w:r>
            <w:r>
              <w:rPr>
                <w:rFonts w:hint="eastAsia" w:cs="Times New Roman"/>
                <w:b w:val="0"/>
                <w:bCs w:val="0"/>
                <w:color w:val="auto"/>
                <w:sz w:val="21"/>
                <w:szCs w:val="21"/>
                <w:vertAlign w:val="baseline"/>
                <w:lang w:val="en-US" w:eastAsia="zh-CN"/>
              </w:rPr>
              <w:t>验</w:t>
            </w:r>
            <w:r>
              <w:rPr>
                <w:rFonts w:hint="eastAsia" w:cs="Times New Roman"/>
                <w:b w:val="0"/>
                <w:bCs w:val="0"/>
                <w:color w:val="auto"/>
                <w:sz w:val="21"/>
                <w:szCs w:val="21"/>
                <w:vertAlign w:val="baseline"/>
                <w:lang w:eastAsia="zh-CN"/>
              </w:rPr>
              <w:t>报告见附件</w:t>
            </w:r>
            <w:r>
              <w:rPr>
                <w:rFonts w:hint="eastAsia" w:cs="Times New Roman"/>
                <w:b w:val="0"/>
                <w:bCs w:val="0"/>
                <w:color w:val="auto"/>
                <w:sz w:val="21"/>
                <w:szCs w:val="21"/>
                <w:vertAlign w:val="baseline"/>
                <w:lang w:val="en-US" w:eastAsia="zh-CN"/>
              </w:rPr>
              <w:t>5</w:t>
            </w:r>
            <w:r>
              <w:rPr>
                <w:rFonts w:hint="default" w:ascii="Times New Roman" w:hAnsi="Times New Roman" w:cs="Times New Roman"/>
                <w:b w:val="0"/>
                <w:bCs w:val="0"/>
                <w:color w:val="auto"/>
                <w:sz w:val="21"/>
                <w:szCs w:val="21"/>
                <w:vertAlign w:val="baseline"/>
                <w:lang w:eastAsia="zh-CN"/>
              </w:rPr>
              <w:t>。</w:t>
            </w:r>
          </w:p>
          <w:p>
            <w:pPr>
              <w:ind w:firstLine="482" w:firstLineChars="200"/>
              <w:rPr>
                <w:b/>
                <w:color w:val="auto"/>
                <w:sz w:val="24"/>
                <w:shd w:val="clear" w:color="auto" w:fill="auto"/>
              </w:rPr>
            </w:pPr>
            <w:r>
              <w:rPr>
                <w:rFonts w:hint="eastAsia"/>
                <w:b/>
                <w:color w:val="auto"/>
                <w:sz w:val="24"/>
                <w:shd w:val="clear" w:color="auto" w:fill="auto"/>
              </w:rPr>
              <w:t>三、主要生产设备及数量：</w:t>
            </w:r>
          </w:p>
          <w:p>
            <w:pPr>
              <w:pStyle w:val="139"/>
              <w:numPr>
                <w:ilvl w:val="0"/>
                <w:numId w:val="5"/>
              </w:numPr>
              <w:tabs>
                <w:tab w:val="left" w:pos="420"/>
              </w:tabs>
              <w:spacing w:line="360" w:lineRule="auto"/>
              <w:ind w:left="0" w:firstLine="471"/>
              <w:rPr>
                <w:rFonts w:eastAsia="宋体" w:cs="Times New Roman"/>
                <w:b/>
                <w:color w:val="auto"/>
                <w:sz w:val="21"/>
                <w:szCs w:val="21"/>
                <w:shd w:val="clear" w:color="auto" w:fill="auto"/>
              </w:rPr>
            </w:pPr>
            <w:r>
              <w:rPr>
                <w:rFonts w:eastAsia="宋体" w:cs="Times New Roman"/>
                <w:b/>
                <w:color w:val="auto"/>
                <w:sz w:val="21"/>
                <w:szCs w:val="21"/>
                <w:shd w:val="clear" w:color="auto" w:fill="auto"/>
              </w:rPr>
              <w:t>主要设备</w:t>
            </w:r>
          </w:p>
          <w:tbl>
            <w:tblPr>
              <w:tblStyle w:val="40"/>
              <w:tblW w:w="90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2951"/>
              <w:gridCol w:w="1876"/>
              <w:gridCol w:w="992"/>
              <w:gridCol w:w="1418"/>
              <w:gridCol w:w="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018" w:type="dxa"/>
                  <w:shd w:val="clear" w:color="auto" w:fill="auto"/>
                  <w:vAlign w:val="center"/>
                </w:tcPr>
                <w:p>
                  <w:pPr>
                    <w:spacing w:line="360" w:lineRule="auto"/>
                    <w:jc w:val="center"/>
                    <w:rPr>
                      <w:rFonts w:hint="default" w:ascii="Times New Roman" w:hAnsi="Times New Roman" w:cs="Times New Roman"/>
                      <w:b/>
                      <w:color w:val="auto"/>
                      <w:sz w:val="21"/>
                      <w:szCs w:val="21"/>
                      <w:shd w:val="clear" w:color="auto" w:fill="auto"/>
                    </w:rPr>
                  </w:pPr>
                  <w:r>
                    <w:rPr>
                      <w:rFonts w:hint="default" w:ascii="Times New Roman" w:hAnsi="Times New Roman" w:cs="Times New Roman"/>
                      <w:b/>
                      <w:color w:val="auto"/>
                      <w:sz w:val="21"/>
                      <w:szCs w:val="21"/>
                      <w:shd w:val="clear" w:color="auto" w:fill="auto"/>
                    </w:rPr>
                    <w:t>序号</w:t>
                  </w:r>
                </w:p>
              </w:tc>
              <w:tc>
                <w:tcPr>
                  <w:tcW w:w="2951" w:type="dxa"/>
                  <w:vAlign w:val="center"/>
                </w:tcPr>
                <w:p>
                  <w:pPr>
                    <w:spacing w:line="360" w:lineRule="auto"/>
                    <w:jc w:val="center"/>
                    <w:rPr>
                      <w:rFonts w:hint="default" w:ascii="Times New Roman" w:hAnsi="Times New Roman" w:cs="Times New Roman"/>
                      <w:b/>
                      <w:color w:val="auto"/>
                      <w:sz w:val="21"/>
                      <w:szCs w:val="21"/>
                      <w:shd w:val="clear" w:color="auto" w:fill="auto"/>
                    </w:rPr>
                  </w:pPr>
                  <w:r>
                    <w:rPr>
                      <w:rFonts w:hint="default" w:ascii="Times New Roman" w:hAnsi="Times New Roman" w:cs="Times New Roman"/>
                      <w:b/>
                      <w:color w:val="auto"/>
                      <w:sz w:val="21"/>
                      <w:szCs w:val="21"/>
                      <w:shd w:val="clear" w:color="auto" w:fill="auto"/>
                    </w:rPr>
                    <w:t>设备名称</w:t>
                  </w:r>
                </w:p>
              </w:tc>
              <w:tc>
                <w:tcPr>
                  <w:tcW w:w="1876" w:type="dxa"/>
                  <w:vAlign w:val="center"/>
                </w:tcPr>
                <w:p>
                  <w:pPr>
                    <w:spacing w:line="360" w:lineRule="auto"/>
                    <w:jc w:val="center"/>
                    <w:rPr>
                      <w:rFonts w:hint="default" w:ascii="Times New Roman" w:hAnsi="Times New Roman" w:cs="Times New Roman"/>
                      <w:b/>
                      <w:color w:val="auto"/>
                      <w:sz w:val="21"/>
                      <w:szCs w:val="21"/>
                      <w:shd w:val="clear" w:color="auto" w:fill="auto"/>
                    </w:rPr>
                  </w:pPr>
                  <w:r>
                    <w:rPr>
                      <w:rFonts w:hint="default" w:ascii="Times New Roman" w:hAnsi="Times New Roman" w:cs="Times New Roman"/>
                      <w:b/>
                      <w:color w:val="auto"/>
                      <w:sz w:val="21"/>
                      <w:szCs w:val="21"/>
                      <w:shd w:val="clear" w:color="auto" w:fill="auto"/>
                    </w:rPr>
                    <w:t>规格型号</w:t>
                  </w:r>
                </w:p>
              </w:tc>
              <w:tc>
                <w:tcPr>
                  <w:tcW w:w="992" w:type="dxa"/>
                  <w:vAlign w:val="center"/>
                </w:tcPr>
                <w:p>
                  <w:pPr>
                    <w:spacing w:line="360" w:lineRule="auto"/>
                    <w:jc w:val="center"/>
                    <w:rPr>
                      <w:rFonts w:hint="default" w:ascii="Times New Roman" w:hAnsi="Times New Roman" w:cs="Times New Roman"/>
                      <w:b/>
                      <w:color w:val="auto"/>
                      <w:sz w:val="21"/>
                      <w:szCs w:val="21"/>
                      <w:shd w:val="clear" w:color="auto" w:fill="auto"/>
                    </w:rPr>
                  </w:pPr>
                  <w:r>
                    <w:rPr>
                      <w:rFonts w:hint="default" w:ascii="Times New Roman" w:hAnsi="Times New Roman" w:cs="Times New Roman"/>
                      <w:b/>
                      <w:color w:val="auto"/>
                      <w:sz w:val="21"/>
                      <w:szCs w:val="21"/>
                      <w:shd w:val="clear" w:color="auto" w:fill="auto"/>
                    </w:rPr>
                    <w:t>数量</w:t>
                  </w:r>
                </w:p>
              </w:tc>
              <w:tc>
                <w:tcPr>
                  <w:tcW w:w="1418" w:type="dxa"/>
                  <w:vAlign w:val="center"/>
                </w:tcPr>
                <w:p>
                  <w:pPr>
                    <w:spacing w:line="360" w:lineRule="auto"/>
                    <w:jc w:val="center"/>
                    <w:rPr>
                      <w:rFonts w:hint="default" w:ascii="Times New Roman" w:hAnsi="Times New Roman" w:cs="Times New Roman"/>
                      <w:b/>
                      <w:color w:val="auto"/>
                      <w:sz w:val="21"/>
                      <w:szCs w:val="21"/>
                      <w:shd w:val="clear" w:color="auto" w:fill="auto"/>
                    </w:rPr>
                  </w:pPr>
                  <w:r>
                    <w:rPr>
                      <w:rFonts w:hint="default" w:ascii="Times New Roman" w:hAnsi="Times New Roman" w:cs="Times New Roman"/>
                      <w:b/>
                      <w:color w:val="auto"/>
                      <w:sz w:val="21"/>
                      <w:szCs w:val="21"/>
                      <w:shd w:val="clear" w:color="auto" w:fill="auto"/>
                    </w:rPr>
                    <w:t>工序/用途</w:t>
                  </w:r>
                </w:p>
              </w:tc>
              <w:tc>
                <w:tcPr>
                  <w:tcW w:w="776" w:type="dxa"/>
                  <w:shd w:val="clear" w:color="auto" w:fill="auto"/>
                  <w:vAlign w:val="center"/>
                </w:tcPr>
                <w:p>
                  <w:pPr>
                    <w:spacing w:line="360" w:lineRule="auto"/>
                    <w:jc w:val="center"/>
                    <w:rPr>
                      <w:rFonts w:hint="default" w:ascii="Times New Roman" w:hAnsi="Times New Roman" w:cs="Times New Roman"/>
                      <w:b/>
                      <w:color w:val="auto"/>
                      <w:sz w:val="21"/>
                      <w:szCs w:val="21"/>
                      <w:shd w:val="clear" w:color="auto" w:fill="auto"/>
                    </w:rPr>
                  </w:pPr>
                  <w:r>
                    <w:rPr>
                      <w:rFonts w:hint="default" w:ascii="Times New Roman" w:hAnsi="Times New Roman" w:cs="Times New Roman"/>
                      <w:b/>
                      <w:color w:val="auto"/>
                      <w:sz w:val="21"/>
                      <w:szCs w:val="21"/>
                      <w:shd w:val="clear" w:color="auto" w:fil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018"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1</w:t>
                  </w:r>
                </w:p>
              </w:tc>
              <w:tc>
                <w:tcPr>
                  <w:tcW w:w="2951" w:type="dxa"/>
                  <w:vAlign w:val="center"/>
                </w:tcPr>
                <w:p>
                  <w:pPr>
                    <w:jc w:val="center"/>
                    <w:rPr>
                      <w:rFonts w:hint="default" w:ascii="Times New Roman" w:hAnsi="Times New Roman" w:eastAsia="宋体"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shd w:val="clear" w:color="auto" w:fill="auto"/>
                      <w:lang w:val="en-US" w:eastAsia="zh-CN"/>
                    </w:rPr>
                    <w:t>电熔炉</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B3R125</w:t>
                  </w:r>
                </w:p>
              </w:tc>
              <w:tc>
                <w:tcPr>
                  <w:tcW w:w="992" w:type="dxa"/>
                  <w:vAlign w:val="center"/>
                </w:tcPr>
                <w:p>
                  <w:pPr>
                    <w:jc w:val="center"/>
                    <w:rPr>
                      <w:rFonts w:hint="default" w:ascii="Times New Roman" w:hAnsi="Times New Roman" w:cs="Times New Roman"/>
                      <w:b w:val="0"/>
                      <w:bCs w:val="0"/>
                      <w:color w:val="auto"/>
                      <w:sz w:val="21"/>
                      <w:szCs w:val="21"/>
                      <w:shd w:val="clear" w:color="auto" w:fill="auto"/>
                    </w:rPr>
                  </w:pPr>
                  <w:r>
                    <w:rPr>
                      <w:rFonts w:hint="default" w:ascii="Times New Roman" w:hAnsi="Times New Roman" w:cs="Times New Roman"/>
                      <w:b w:val="0"/>
                      <w:bCs w:val="0"/>
                      <w:color w:val="auto"/>
                      <w:sz w:val="21"/>
                      <w:szCs w:val="21"/>
                    </w:rPr>
                    <w:t>2台</w:t>
                  </w:r>
                </w:p>
              </w:tc>
              <w:tc>
                <w:tcPr>
                  <w:tcW w:w="1418" w:type="dxa"/>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熔化</w:t>
                  </w:r>
                </w:p>
              </w:tc>
              <w:tc>
                <w:tcPr>
                  <w:tcW w:w="776"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2</w:t>
                  </w:r>
                </w:p>
              </w:tc>
              <w:tc>
                <w:tcPr>
                  <w:tcW w:w="2951" w:type="dxa"/>
                  <w:vAlign w:val="center"/>
                </w:tcPr>
                <w:p>
                  <w:pPr>
                    <w:jc w:val="center"/>
                    <w:rPr>
                      <w:rFonts w:hint="default" w:ascii="Times New Roman" w:hAnsi="Times New Roman"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shd w:val="clear" w:color="auto" w:fill="auto"/>
                      <w:lang w:val="en-US" w:eastAsia="zh-CN"/>
                    </w:rPr>
                    <w:t>铸造机</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lang w:eastAsia="zh-CN"/>
                    </w:rPr>
                  </w:pPr>
                  <w:r>
                    <w:rPr>
                      <w:rFonts w:hint="default" w:ascii="Times New Roman" w:hAnsi="Times New Roman" w:eastAsia="宋体" w:cs="Times New Roman"/>
                      <w:color w:val="auto"/>
                      <w:lang w:val="en-US" w:eastAsia="zh-CN"/>
                    </w:rPr>
                    <w:t>DL-2450-B</w:t>
                  </w:r>
                </w:p>
              </w:tc>
              <w:tc>
                <w:tcPr>
                  <w:tcW w:w="992" w:type="dxa"/>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2台</w:t>
                  </w:r>
                </w:p>
              </w:tc>
              <w:tc>
                <w:tcPr>
                  <w:tcW w:w="1418" w:type="dxa"/>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铸造</w:t>
                  </w:r>
                </w:p>
              </w:tc>
              <w:tc>
                <w:tcPr>
                  <w:tcW w:w="776"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val="en-US" w:eastAsia="zh-CN"/>
                    </w:rPr>
                    <w:t>3</w:t>
                  </w:r>
                </w:p>
              </w:tc>
              <w:tc>
                <w:tcPr>
                  <w:tcW w:w="2951" w:type="dxa"/>
                  <w:vAlign w:val="center"/>
                </w:tcPr>
                <w:p>
                  <w:pPr>
                    <w:jc w:val="center"/>
                    <w:rPr>
                      <w:rFonts w:hint="default" w:ascii="Times New Roman" w:hAnsi="Times New Roman" w:eastAsia="宋体"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lang w:val="en-US" w:eastAsia="zh-CN"/>
                    </w:rPr>
                    <w:t>砂芯机</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DL-361-A</w:t>
                  </w:r>
                </w:p>
              </w:tc>
              <w:tc>
                <w:tcPr>
                  <w:tcW w:w="992" w:type="dxa"/>
                  <w:vAlign w:val="center"/>
                </w:tcPr>
                <w:p>
                  <w:pPr>
                    <w:jc w:val="center"/>
                    <w:rPr>
                      <w:rFonts w:hint="default" w:ascii="Times New Roman" w:hAnsi="Times New Roman" w:cs="Times New Roman"/>
                      <w:b w:val="0"/>
                      <w:bCs w:val="0"/>
                      <w:color w:val="auto"/>
                      <w:sz w:val="21"/>
                      <w:szCs w:val="21"/>
                      <w:shd w:val="clear" w:color="auto" w:fill="auto"/>
                    </w:rPr>
                  </w:pPr>
                  <w:r>
                    <w:rPr>
                      <w:rFonts w:hint="default" w:ascii="Times New Roman" w:hAnsi="Times New Roman" w:cs="Times New Roman"/>
                      <w:b w:val="0"/>
                      <w:bCs w:val="0"/>
                      <w:color w:val="auto"/>
                      <w:sz w:val="21"/>
                      <w:szCs w:val="21"/>
                      <w:lang w:val="en-US" w:eastAsia="zh-CN"/>
                    </w:rPr>
                    <w:t>4</w:t>
                  </w:r>
                  <w:r>
                    <w:rPr>
                      <w:rFonts w:hint="default" w:ascii="Times New Roman" w:hAnsi="Times New Roman" w:cs="Times New Roman"/>
                      <w:b w:val="0"/>
                      <w:bCs w:val="0"/>
                      <w:color w:val="auto"/>
                      <w:sz w:val="21"/>
                      <w:szCs w:val="21"/>
                    </w:rPr>
                    <w:t>台</w:t>
                  </w:r>
                </w:p>
              </w:tc>
              <w:tc>
                <w:tcPr>
                  <w:tcW w:w="1418"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lang w:val="en-US" w:eastAsia="zh-CN"/>
                    </w:rPr>
                    <w:t>制芯</w:t>
                  </w:r>
                </w:p>
              </w:tc>
              <w:tc>
                <w:tcPr>
                  <w:tcW w:w="776"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val="en-US" w:eastAsia="zh-CN"/>
                    </w:rPr>
                    <w:t>4</w:t>
                  </w:r>
                </w:p>
              </w:tc>
              <w:tc>
                <w:tcPr>
                  <w:tcW w:w="2951" w:type="dxa"/>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滚砂机</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Q326</w:t>
                  </w:r>
                </w:p>
              </w:tc>
              <w:tc>
                <w:tcPr>
                  <w:tcW w:w="992" w:type="dxa"/>
                  <w:vAlign w:val="center"/>
                </w:tcPr>
                <w:p>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1台</w:t>
                  </w:r>
                </w:p>
              </w:tc>
              <w:tc>
                <w:tcPr>
                  <w:tcW w:w="1418" w:type="dxa"/>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val="en-US" w:eastAsia="zh-CN"/>
                    </w:rPr>
                    <w:t>滚砂</w:t>
                  </w:r>
                </w:p>
              </w:tc>
              <w:tc>
                <w:tcPr>
                  <w:tcW w:w="776"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5</w:t>
                  </w:r>
                </w:p>
              </w:tc>
              <w:tc>
                <w:tcPr>
                  <w:tcW w:w="2951" w:type="dxa"/>
                  <w:vAlign w:val="center"/>
                </w:tcPr>
                <w:p>
                  <w:pPr>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车床</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G-CNC350</w:t>
                  </w:r>
                </w:p>
              </w:tc>
              <w:tc>
                <w:tcPr>
                  <w:tcW w:w="992" w:type="dxa"/>
                  <w:vAlign w:val="center"/>
                </w:tcPr>
                <w:p>
                  <w:pPr>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20台</w:t>
                  </w:r>
                </w:p>
              </w:tc>
              <w:tc>
                <w:tcPr>
                  <w:tcW w:w="1418" w:type="dxa"/>
                  <w:vMerge w:val="restart"/>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机加工</w:t>
                  </w:r>
                </w:p>
              </w:tc>
              <w:tc>
                <w:tcPr>
                  <w:tcW w:w="776" w:type="dxa"/>
                  <w:vMerge w:val="restart"/>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6</w:t>
                  </w:r>
                </w:p>
              </w:tc>
              <w:tc>
                <w:tcPr>
                  <w:tcW w:w="2951" w:type="dxa"/>
                  <w:vAlign w:val="center"/>
                </w:tcPr>
                <w:p>
                  <w:pPr>
                    <w:jc w:val="center"/>
                    <w:rPr>
                      <w:rFonts w:hint="default" w:ascii="Times New Roman" w:hAnsi="Times New Roman" w:eastAsia="宋体"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rPr>
                    <w:t>双头钻</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YD95</w:t>
                  </w:r>
                </w:p>
              </w:tc>
              <w:tc>
                <w:tcPr>
                  <w:tcW w:w="992" w:type="dxa"/>
                  <w:vAlign w:val="center"/>
                </w:tcPr>
                <w:p>
                  <w:pPr>
                    <w:jc w:val="center"/>
                    <w:rPr>
                      <w:rFonts w:hint="default" w:ascii="Times New Roman" w:hAnsi="Times New Roman" w:cs="Times New Roman"/>
                      <w:b w:val="0"/>
                      <w:bCs w:val="0"/>
                      <w:color w:val="auto"/>
                      <w:sz w:val="21"/>
                      <w:szCs w:val="21"/>
                      <w:shd w:val="clear" w:color="auto" w:fill="auto"/>
                    </w:rPr>
                  </w:pPr>
                  <w:r>
                    <w:rPr>
                      <w:rFonts w:hint="default" w:ascii="Times New Roman" w:hAnsi="Times New Roman" w:cs="Times New Roman"/>
                      <w:b w:val="0"/>
                      <w:bCs w:val="0"/>
                      <w:color w:val="auto"/>
                      <w:sz w:val="21"/>
                      <w:szCs w:val="21"/>
                    </w:rPr>
                    <w:t>5台</w:t>
                  </w:r>
                </w:p>
              </w:tc>
              <w:tc>
                <w:tcPr>
                  <w:tcW w:w="1418" w:type="dxa"/>
                  <w:vMerge w:val="continue"/>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p>
              </w:tc>
              <w:tc>
                <w:tcPr>
                  <w:tcW w:w="776" w:type="dxa"/>
                  <w:vMerge w:val="continue"/>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7</w:t>
                  </w:r>
                </w:p>
              </w:tc>
              <w:tc>
                <w:tcPr>
                  <w:tcW w:w="2951" w:type="dxa"/>
                  <w:vAlign w:val="center"/>
                </w:tcPr>
                <w:p>
                  <w:pPr>
                    <w:jc w:val="center"/>
                    <w:rPr>
                      <w:rFonts w:hint="default" w:ascii="Times New Roman" w:hAnsi="Times New Roman" w:eastAsia="宋体"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rPr>
                    <w:t>单头钻</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ZS4116B</w:t>
                  </w:r>
                </w:p>
              </w:tc>
              <w:tc>
                <w:tcPr>
                  <w:tcW w:w="992" w:type="dxa"/>
                  <w:vAlign w:val="center"/>
                </w:tcPr>
                <w:p>
                  <w:pPr>
                    <w:jc w:val="center"/>
                    <w:rPr>
                      <w:rFonts w:hint="default" w:ascii="Times New Roman" w:hAnsi="Times New Roman" w:cs="Times New Roman"/>
                      <w:b w:val="0"/>
                      <w:bCs w:val="0"/>
                      <w:color w:val="auto"/>
                      <w:sz w:val="21"/>
                      <w:szCs w:val="21"/>
                      <w:shd w:val="clear" w:color="auto" w:fill="auto"/>
                    </w:rPr>
                  </w:pPr>
                  <w:r>
                    <w:rPr>
                      <w:rFonts w:hint="default" w:ascii="Times New Roman" w:hAnsi="Times New Roman" w:cs="Times New Roman"/>
                      <w:b w:val="0"/>
                      <w:bCs w:val="0"/>
                      <w:color w:val="auto"/>
                      <w:sz w:val="21"/>
                      <w:szCs w:val="21"/>
                      <w:lang w:val="en-US" w:eastAsia="zh-CN"/>
                    </w:rPr>
                    <w:t>10</w:t>
                  </w:r>
                  <w:r>
                    <w:rPr>
                      <w:rFonts w:hint="default" w:ascii="Times New Roman" w:hAnsi="Times New Roman" w:cs="Times New Roman"/>
                      <w:b w:val="0"/>
                      <w:bCs w:val="0"/>
                      <w:color w:val="auto"/>
                      <w:sz w:val="21"/>
                      <w:szCs w:val="21"/>
                    </w:rPr>
                    <w:t>台</w:t>
                  </w:r>
                </w:p>
              </w:tc>
              <w:tc>
                <w:tcPr>
                  <w:tcW w:w="1418" w:type="dxa"/>
                  <w:vMerge w:val="continue"/>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p>
              </w:tc>
              <w:tc>
                <w:tcPr>
                  <w:tcW w:w="776" w:type="dxa"/>
                  <w:vMerge w:val="continue"/>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8</w:t>
                  </w:r>
                </w:p>
              </w:tc>
              <w:tc>
                <w:tcPr>
                  <w:tcW w:w="2951" w:type="dxa"/>
                  <w:vAlign w:val="center"/>
                </w:tcPr>
                <w:p>
                  <w:pPr>
                    <w:jc w:val="center"/>
                    <w:rPr>
                      <w:rFonts w:hint="default" w:ascii="Times New Roman" w:hAnsi="Times New Roman" w:eastAsia="宋体"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rPr>
                    <w:t>铣床</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XK6325A</w:t>
                  </w:r>
                </w:p>
              </w:tc>
              <w:tc>
                <w:tcPr>
                  <w:tcW w:w="992" w:type="dxa"/>
                  <w:vAlign w:val="center"/>
                </w:tcPr>
                <w:p>
                  <w:pPr>
                    <w:jc w:val="center"/>
                    <w:rPr>
                      <w:rFonts w:hint="default" w:ascii="Times New Roman" w:hAnsi="Times New Roman" w:cs="Times New Roman"/>
                      <w:b w:val="0"/>
                      <w:bCs w:val="0"/>
                      <w:color w:val="auto"/>
                      <w:sz w:val="21"/>
                      <w:szCs w:val="21"/>
                      <w:shd w:val="clear" w:color="auto" w:fill="auto"/>
                    </w:rPr>
                  </w:pPr>
                  <w:r>
                    <w:rPr>
                      <w:rFonts w:hint="default" w:ascii="Times New Roman" w:hAnsi="Times New Roman" w:cs="Times New Roman"/>
                      <w:b w:val="0"/>
                      <w:bCs w:val="0"/>
                      <w:color w:val="auto"/>
                      <w:sz w:val="21"/>
                      <w:szCs w:val="21"/>
                      <w:lang w:val="en-US" w:eastAsia="zh-CN"/>
                    </w:rPr>
                    <w:t>2</w:t>
                  </w:r>
                  <w:r>
                    <w:rPr>
                      <w:rFonts w:hint="default" w:ascii="Times New Roman" w:hAnsi="Times New Roman" w:cs="Times New Roman"/>
                      <w:b w:val="0"/>
                      <w:bCs w:val="0"/>
                      <w:color w:val="auto"/>
                      <w:sz w:val="21"/>
                      <w:szCs w:val="21"/>
                    </w:rPr>
                    <w:t>台</w:t>
                  </w:r>
                </w:p>
              </w:tc>
              <w:tc>
                <w:tcPr>
                  <w:tcW w:w="1418" w:type="dxa"/>
                  <w:vMerge w:val="continue"/>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p>
              </w:tc>
              <w:tc>
                <w:tcPr>
                  <w:tcW w:w="776" w:type="dxa"/>
                  <w:vMerge w:val="continue"/>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9</w:t>
                  </w:r>
                </w:p>
              </w:tc>
              <w:tc>
                <w:tcPr>
                  <w:tcW w:w="2951" w:type="dxa"/>
                  <w:vAlign w:val="center"/>
                </w:tcPr>
                <w:p>
                  <w:pPr>
                    <w:jc w:val="center"/>
                    <w:rPr>
                      <w:rFonts w:hint="default" w:ascii="Times New Roman" w:hAnsi="Times New Roman" w:eastAsia="宋体" w:cs="Times New Roman"/>
                      <w:b w:val="0"/>
                      <w:bCs w:val="0"/>
                      <w:color w:val="auto"/>
                      <w:sz w:val="21"/>
                      <w:szCs w:val="21"/>
                      <w:shd w:val="clear" w:color="auto" w:fill="auto"/>
                      <w:lang w:val="en-US" w:eastAsia="zh-CN"/>
                    </w:rPr>
                  </w:pPr>
                  <w:r>
                    <w:rPr>
                      <w:rFonts w:hint="default" w:ascii="Times New Roman" w:hAnsi="Times New Roman" w:cs="Times New Roman"/>
                      <w:b w:val="0"/>
                      <w:bCs w:val="0"/>
                      <w:color w:val="auto"/>
                      <w:sz w:val="21"/>
                      <w:szCs w:val="21"/>
                      <w:lang w:val="en-US" w:eastAsia="zh-CN"/>
                    </w:rPr>
                    <w:t>加工中心</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rPr>
                  </w:pPr>
                  <w:r>
                    <w:rPr>
                      <w:rFonts w:hint="default" w:ascii="Times New Roman" w:hAnsi="Times New Roman" w:eastAsia="宋体" w:cs="Times New Roman"/>
                      <w:color w:val="auto"/>
                      <w:sz w:val="21"/>
                      <w:szCs w:val="21"/>
                      <w:shd w:val="clear" w:color="auto" w:fill="auto"/>
                      <w:lang w:val="en-US" w:eastAsia="zh-CN"/>
                    </w:rPr>
                    <w:t>JTVC850</w:t>
                  </w:r>
                </w:p>
              </w:tc>
              <w:tc>
                <w:tcPr>
                  <w:tcW w:w="992" w:type="dxa"/>
                  <w:vAlign w:val="center"/>
                </w:tcPr>
                <w:p>
                  <w:pPr>
                    <w:jc w:val="center"/>
                    <w:rPr>
                      <w:rFonts w:hint="default" w:ascii="Times New Roman" w:hAnsi="Times New Roman" w:cs="Times New Roman"/>
                      <w:b w:val="0"/>
                      <w:bCs w:val="0"/>
                      <w:color w:val="auto"/>
                      <w:sz w:val="21"/>
                      <w:szCs w:val="21"/>
                      <w:shd w:val="clear" w:color="auto" w:fill="auto"/>
                    </w:rPr>
                  </w:pPr>
                  <w:r>
                    <w:rPr>
                      <w:rFonts w:hint="default" w:ascii="Times New Roman" w:hAnsi="Times New Roman" w:cs="Times New Roman"/>
                      <w:b w:val="0"/>
                      <w:bCs w:val="0"/>
                      <w:color w:val="auto"/>
                      <w:sz w:val="21"/>
                      <w:szCs w:val="21"/>
                      <w:lang w:val="en-US" w:eastAsia="zh-CN"/>
                    </w:rPr>
                    <w:t>2</w:t>
                  </w:r>
                  <w:r>
                    <w:rPr>
                      <w:rFonts w:hint="default" w:ascii="Times New Roman" w:hAnsi="Times New Roman" w:cs="Times New Roman"/>
                      <w:b w:val="0"/>
                      <w:bCs w:val="0"/>
                      <w:color w:val="auto"/>
                      <w:sz w:val="21"/>
                      <w:szCs w:val="21"/>
                    </w:rPr>
                    <w:t>台</w:t>
                  </w:r>
                </w:p>
              </w:tc>
              <w:tc>
                <w:tcPr>
                  <w:tcW w:w="1418" w:type="dxa"/>
                  <w:vMerge w:val="continue"/>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p>
              </w:tc>
              <w:tc>
                <w:tcPr>
                  <w:tcW w:w="776" w:type="dxa"/>
                  <w:vMerge w:val="continue"/>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10</w:t>
                  </w:r>
                </w:p>
              </w:tc>
              <w:tc>
                <w:tcPr>
                  <w:tcW w:w="2951" w:type="dxa"/>
                  <w:vAlign w:val="center"/>
                </w:tcPr>
                <w:p>
                  <w:pPr>
                    <w:jc w:val="center"/>
                    <w:rPr>
                      <w:rFonts w:hint="default" w:ascii="Times New Roman" w:hAnsi="Times New Roman" w:cs="Times New Roman"/>
                      <w:b w:val="0"/>
                      <w:bCs w:val="0"/>
                      <w:i w:val="0"/>
                      <w:color w:val="auto"/>
                      <w:kern w:val="0"/>
                      <w:sz w:val="21"/>
                      <w:szCs w:val="21"/>
                      <w:u w:val="none"/>
                      <w:lang w:val="en-US" w:eastAsia="zh-CN" w:bidi="ar"/>
                    </w:rPr>
                  </w:pPr>
                  <w:r>
                    <w:rPr>
                      <w:rFonts w:hint="default" w:ascii="Times New Roman" w:hAnsi="Times New Roman" w:cs="Times New Roman"/>
                      <w:b w:val="0"/>
                      <w:bCs w:val="0"/>
                      <w:color w:val="auto"/>
                      <w:sz w:val="21"/>
                      <w:szCs w:val="21"/>
                    </w:rPr>
                    <w:t>抛光机</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lang w:eastAsia="zh-CN"/>
                    </w:rPr>
                  </w:pPr>
                  <w:r>
                    <w:rPr>
                      <w:rFonts w:hint="default" w:ascii="Times New Roman" w:hAnsi="Times New Roman" w:eastAsia="宋体" w:cs="Times New Roman"/>
                      <w:color w:val="auto"/>
                      <w:sz w:val="21"/>
                      <w:szCs w:val="21"/>
                      <w:shd w:val="clear" w:color="auto" w:fill="auto"/>
                      <w:lang w:val="en-US" w:eastAsia="zh-CN"/>
                    </w:rPr>
                    <w:t>HX-M3</w:t>
                  </w:r>
                </w:p>
              </w:tc>
              <w:tc>
                <w:tcPr>
                  <w:tcW w:w="992" w:type="dxa"/>
                  <w:vAlign w:val="center"/>
                </w:tcPr>
                <w:p>
                  <w:pPr>
                    <w:jc w:val="center"/>
                    <w:rPr>
                      <w:rFonts w:hint="default" w:ascii="Times New Roman" w:hAnsi="Times New Roman" w:cs="Times New Roman"/>
                      <w:b w:val="0"/>
                      <w:bCs w:val="0"/>
                      <w:i w:val="0"/>
                      <w:color w:val="auto"/>
                      <w:kern w:val="0"/>
                      <w:sz w:val="21"/>
                      <w:szCs w:val="21"/>
                      <w:u w:val="none"/>
                      <w:lang w:val="en-US" w:eastAsia="zh-CN" w:bidi="ar"/>
                    </w:rPr>
                  </w:pPr>
                  <w:r>
                    <w:rPr>
                      <w:rFonts w:hint="default" w:ascii="Times New Roman" w:hAnsi="Times New Roman" w:cs="Times New Roman"/>
                      <w:b w:val="0"/>
                      <w:bCs w:val="0"/>
                      <w:color w:val="auto"/>
                      <w:sz w:val="21"/>
                      <w:szCs w:val="21"/>
                      <w:lang w:val="en-US" w:eastAsia="zh-CN"/>
                    </w:rPr>
                    <w:t>18</w:t>
                  </w:r>
                  <w:r>
                    <w:rPr>
                      <w:rFonts w:hint="default" w:ascii="Times New Roman" w:hAnsi="Times New Roman" w:cs="Times New Roman"/>
                      <w:b w:val="0"/>
                      <w:bCs w:val="0"/>
                      <w:color w:val="auto"/>
                      <w:sz w:val="21"/>
                      <w:szCs w:val="21"/>
                    </w:rPr>
                    <w:t>台</w:t>
                  </w:r>
                </w:p>
              </w:tc>
              <w:tc>
                <w:tcPr>
                  <w:tcW w:w="1418" w:type="dxa"/>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抛光</w:t>
                  </w:r>
                </w:p>
              </w:tc>
              <w:tc>
                <w:tcPr>
                  <w:tcW w:w="776" w:type="dxa"/>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11</w:t>
                  </w:r>
                </w:p>
              </w:tc>
              <w:tc>
                <w:tcPr>
                  <w:tcW w:w="2951" w:type="dxa"/>
                  <w:vAlign w:val="center"/>
                </w:tcPr>
                <w:p>
                  <w:pPr>
                    <w:jc w:val="center"/>
                    <w:rPr>
                      <w:rFonts w:hint="default" w:ascii="Times New Roman" w:hAnsi="Times New Roman" w:eastAsia="宋体" w:cs="Times New Roman"/>
                      <w:b w:val="0"/>
                      <w:bCs w:val="0"/>
                      <w:i w:val="0"/>
                      <w:color w:val="auto"/>
                      <w:kern w:val="0"/>
                      <w:sz w:val="21"/>
                      <w:szCs w:val="21"/>
                      <w:u w:val="none"/>
                      <w:lang w:val="en-US" w:eastAsia="zh-CN" w:bidi="ar"/>
                    </w:rPr>
                  </w:pPr>
                  <w:r>
                    <w:rPr>
                      <w:rFonts w:hint="default" w:ascii="Times New Roman" w:hAnsi="Times New Roman" w:cs="Times New Roman"/>
                      <w:b w:val="0"/>
                      <w:bCs w:val="0"/>
                      <w:color w:val="auto"/>
                      <w:sz w:val="21"/>
                      <w:szCs w:val="21"/>
                      <w:lang w:val="en-US" w:eastAsia="zh-CN"/>
                    </w:rPr>
                    <w:t>试水机</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w:t>
                  </w:r>
                </w:p>
              </w:tc>
              <w:tc>
                <w:tcPr>
                  <w:tcW w:w="992" w:type="dxa"/>
                  <w:vAlign w:val="center"/>
                </w:tcPr>
                <w:p>
                  <w:pPr>
                    <w:jc w:val="center"/>
                    <w:rPr>
                      <w:rFonts w:hint="default" w:ascii="Times New Roman" w:hAnsi="Times New Roman" w:cs="Times New Roman"/>
                      <w:b w:val="0"/>
                      <w:bCs w:val="0"/>
                      <w:i w:val="0"/>
                      <w:color w:val="auto"/>
                      <w:kern w:val="0"/>
                      <w:sz w:val="21"/>
                      <w:szCs w:val="21"/>
                      <w:u w:val="none"/>
                      <w:lang w:val="en-US" w:eastAsia="zh-CN" w:bidi="ar"/>
                    </w:rPr>
                  </w:pPr>
                  <w:r>
                    <w:rPr>
                      <w:rFonts w:hint="default" w:ascii="Times New Roman" w:hAnsi="Times New Roman" w:cs="Times New Roman"/>
                      <w:b w:val="0"/>
                      <w:bCs w:val="0"/>
                      <w:color w:val="auto"/>
                      <w:sz w:val="21"/>
                      <w:szCs w:val="21"/>
                      <w:lang w:val="en-US" w:eastAsia="zh-CN"/>
                    </w:rPr>
                    <w:t>8</w:t>
                  </w:r>
                  <w:r>
                    <w:rPr>
                      <w:rFonts w:hint="default" w:ascii="Times New Roman" w:hAnsi="Times New Roman" w:cs="Times New Roman"/>
                      <w:b w:val="0"/>
                      <w:bCs w:val="0"/>
                      <w:color w:val="auto"/>
                      <w:sz w:val="21"/>
                      <w:szCs w:val="21"/>
                    </w:rPr>
                    <w:t>台</w:t>
                  </w:r>
                </w:p>
              </w:tc>
              <w:tc>
                <w:tcPr>
                  <w:tcW w:w="1418" w:type="dxa"/>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测试</w:t>
                  </w:r>
                </w:p>
              </w:tc>
              <w:tc>
                <w:tcPr>
                  <w:tcW w:w="776"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12</w:t>
                  </w:r>
                </w:p>
              </w:tc>
              <w:tc>
                <w:tcPr>
                  <w:tcW w:w="2951" w:type="dxa"/>
                  <w:vAlign w:val="center"/>
                </w:tcPr>
                <w:p>
                  <w:pPr>
                    <w:jc w:val="center"/>
                    <w:rPr>
                      <w:rFonts w:hint="default" w:ascii="Times New Roman" w:hAnsi="Times New Roman" w:cs="Times New Roman"/>
                      <w:b w:val="0"/>
                      <w:bCs w:val="0"/>
                      <w:i w:val="0"/>
                      <w:color w:val="auto"/>
                      <w:kern w:val="0"/>
                      <w:sz w:val="21"/>
                      <w:szCs w:val="21"/>
                      <w:u w:val="none"/>
                      <w:lang w:val="en-US" w:eastAsia="zh-CN" w:bidi="ar"/>
                    </w:rPr>
                  </w:pPr>
                  <w:r>
                    <w:rPr>
                      <w:rFonts w:hint="default" w:ascii="Times New Roman" w:hAnsi="Times New Roman" w:cs="Times New Roman"/>
                      <w:b w:val="0"/>
                      <w:bCs w:val="0"/>
                      <w:color w:val="auto"/>
                      <w:sz w:val="21"/>
                      <w:szCs w:val="21"/>
                    </w:rPr>
                    <w:t>空压机</w:t>
                  </w:r>
                </w:p>
              </w:tc>
              <w:tc>
                <w:tcPr>
                  <w:tcW w:w="1876" w:type="dxa"/>
                  <w:vAlign w:val="center"/>
                </w:tcPr>
                <w:p>
                  <w:pPr>
                    <w:spacing w:line="360" w:lineRule="auto"/>
                    <w:jc w:val="center"/>
                    <w:rPr>
                      <w:rFonts w:hint="default" w:ascii="Times New Roman" w:hAnsi="Times New Roman" w:cs="Times New Roman"/>
                      <w:color w:val="auto"/>
                      <w:sz w:val="21"/>
                      <w:szCs w:val="21"/>
                      <w:shd w:val="clear" w:color="auto" w:fill="auto"/>
                      <w:lang w:eastAsia="zh-CN"/>
                    </w:rPr>
                  </w:pPr>
                  <w:r>
                    <w:rPr>
                      <w:rFonts w:hint="default" w:ascii="Times New Roman" w:hAnsi="Times New Roman" w:eastAsia="宋体" w:cs="Times New Roman"/>
                      <w:color w:val="auto"/>
                      <w:sz w:val="21"/>
                      <w:szCs w:val="21"/>
                      <w:shd w:val="clear" w:color="auto" w:fill="auto"/>
                      <w:lang w:val="en-US" w:eastAsia="zh-CN"/>
                    </w:rPr>
                    <w:t>KB-50A</w:t>
                  </w:r>
                </w:p>
              </w:tc>
              <w:tc>
                <w:tcPr>
                  <w:tcW w:w="992" w:type="dxa"/>
                  <w:vAlign w:val="center"/>
                </w:tcPr>
                <w:p>
                  <w:pPr>
                    <w:jc w:val="center"/>
                    <w:rPr>
                      <w:rFonts w:hint="default" w:ascii="Times New Roman" w:hAnsi="Times New Roman" w:cs="Times New Roman"/>
                      <w:b w:val="0"/>
                      <w:bCs w:val="0"/>
                      <w:i w:val="0"/>
                      <w:color w:val="auto"/>
                      <w:kern w:val="0"/>
                      <w:sz w:val="21"/>
                      <w:szCs w:val="21"/>
                      <w:u w:val="none"/>
                      <w:lang w:val="en-US" w:eastAsia="zh-CN" w:bidi="ar"/>
                    </w:rPr>
                  </w:pPr>
                  <w:r>
                    <w:rPr>
                      <w:rFonts w:hint="default" w:ascii="Times New Roman" w:hAnsi="Times New Roman" w:cs="Times New Roman"/>
                      <w:b w:val="0"/>
                      <w:bCs w:val="0"/>
                      <w:color w:val="auto"/>
                      <w:sz w:val="21"/>
                      <w:szCs w:val="21"/>
                      <w:lang w:val="en-US" w:eastAsia="zh-CN"/>
                    </w:rPr>
                    <w:t>2</w:t>
                  </w:r>
                  <w:r>
                    <w:rPr>
                      <w:rFonts w:hint="default" w:ascii="Times New Roman" w:hAnsi="Times New Roman" w:cs="Times New Roman"/>
                      <w:b w:val="0"/>
                      <w:bCs w:val="0"/>
                      <w:color w:val="auto"/>
                      <w:sz w:val="21"/>
                      <w:szCs w:val="21"/>
                    </w:rPr>
                    <w:t>台</w:t>
                  </w:r>
                </w:p>
              </w:tc>
              <w:tc>
                <w:tcPr>
                  <w:tcW w:w="1418" w:type="dxa"/>
                  <w:vMerge w:val="restart"/>
                  <w:vAlign w:val="center"/>
                </w:tcPr>
                <w:p>
                  <w:pPr>
                    <w:spacing w:line="360" w:lineRule="auto"/>
                    <w:jc w:val="center"/>
                    <w:rPr>
                      <w:rFonts w:hint="default" w:ascii="Times New Roman" w:hAnsi="Times New Roman" w:cs="Times New Roman"/>
                      <w:color w:val="auto"/>
                      <w:sz w:val="21"/>
                      <w:szCs w:val="21"/>
                      <w:shd w:val="clear" w:color="auto" w:fill="auto"/>
                      <w:lang w:val="en-US" w:eastAsia="zh-CN"/>
                    </w:rPr>
                  </w:pPr>
                  <w:r>
                    <w:rPr>
                      <w:rFonts w:hint="default" w:ascii="Times New Roman" w:hAnsi="Times New Roman" w:cs="Times New Roman"/>
                      <w:color w:val="auto"/>
                      <w:sz w:val="21"/>
                      <w:szCs w:val="21"/>
                      <w:shd w:val="clear" w:color="auto" w:fill="auto"/>
                      <w:lang w:val="en-US" w:eastAsia="zh-CN"/>
                    </w:rPr>
                    <w:t>辅助</w:t>
                  </w:r>
                </w:p>
              </w:tc>
              <w:tc>
                <w:tcPr>
                  <w:tcW w:w="776" w:type="dxa"/>
                  <w:vMerge w:val="restart"/>
                  <w:shd w:val="clear" w:color="auto" w:fill="auto"/>
                  <w:vAlign w:val="center"/>
                </w:tcPr>
                <w:p>
                  <w:pPr>
                    <w:spacing w:line="360" w:lineRule="auto"/>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dxa"/>
                  <w:shd w:val="clear" w:color="auto" w:fill="auto"/>
                  <w:vAlign w:val="center"/>
                </w:tcPr>
                <w:p>
                  <w:pPr>
                    <w:spacing w:line="360" w:lineRule="auto"/>
                    <w:jc w:val="center"/>
                    <w:rPr>
                      <w:rFonts w:hint="eastAsia"/>
                      <w:color w:val="auto"/>
                      <w:sz w:val="21"/>
                      <w:szCs w:val="21"/>
                      <w:shd w:val="clear" w:color="auto" w:fill="auto"/>
                      <w:lang w:val="en-US" w:eastAsia="zh-CN"/>
                    </w:rPr>
                  </w:pPr>
                  <w:r>
                    <w:rPr>
                      <w:rFonts w:hint="eastAsia"/>
                      <w:color w:val="auto"/>
                      <w:sz w:val="21"/>
                      <w:szCs w:val="21"/>
                      <w:shd w:val="clear" w:color="auto" w:fill="auto"/>
                      <w:lang w:val="en-US" w:eastAsia="zh-CN"/>
                    </w:rPr>
                    <w:t>13</w:t>
                  </w:r>
                </w:p>
              </w:tc>
              <w:tc>
                <w:tcPr>
                  <w:tcW w:w="2951" w:type="dxa"/>
                  <w:vAlign w:val="center"/>
                </w:tcPr>
                <w:p>
                  <w:pPr>
                    <w:jc w:val="center"/>
                    <w:rPr>
                      <w:rFonts w:hint="eastAsia" w:hAnsi="宋体" w:eastAsia="宋体"/>
                      <w:b w:val="0"/>
                      <w:bCs w:val="0"/>
                      <w:color w:val="auto"/>
                      <w:sz w:val="21"/>
                      <w:szCs w:val="21"/>
                      <w:lang w:val="en-US" w:eastAsia="zh-CN"/>
                    </w:rPr>
                  </w:pPr>
                  <w:r>
                    <w:rPr>
                      <w:rFonts w:hint="eastAsia" w:hAnsi="宋体"/>
                      <w:b w:val="0"/>
                      <w:bCs w:val="0"/>
                      <w:color w:val="auto"/>
                      <w:sz w:val="21"/>
                      <w:szCs w:val="21"/>
                      <w:lang w:val="en-US" w:eastAsia="zh-CN"/>
                    </w:rPr>
                    <w:t>冷却塔</w:t>
                  </w:r>
                </w:p>
              </w:tc>
              <w:tc>
                <w:tcPr>
                  <w:tcW w:w="1876" w:type="dxa"/>
                  <w:vAlign w:val="center"/>
                </w:tcPr>
                <w:p>
                  <w:pPr>
                    <w:spacing w:line="360" w:lineRule="auto"/>
                    <w:jc w:val="center"/>
                    <w:rPr>
                      <w:rFonts w:hint="eastAsia" w:ascii="宋体" w:hAnsi="宋体"/>
                      <w:color w:val="auto"/>
                      <w:sz w:val="21"/>
                      <w:szCs w:val="21"/>
                      <w:shd w:val="clear" w:color="auto" w:fill="auto"/>
                      <w:lang w:eastAsia="zh-CN"/>
                    </w:rPr>
                  </w:pPr>
                  <w:r>
                    <w:rPr>
                      <w:rFonts w:hint="default" w:ascii="Times New Roman" w:hAnsi="Times New Roman" w:eastAsia="宋体" w:cs="Times New Roman"/>
                      <w:color w:val="auto"/>
                      <w:sz w:val="21"/>
                      <w:szCs w:val="21"/>
                      <w:shd w:val="clear" w:color="auto" w:fill="auto"/>
                      <w:lang w:val="en-US" w:eastAsia="zh-CN"/>
                    </w:rPr>
                    <w:t>TH</w:t>
                  </w:r>
                </w:p>
              </w:tc>
              <w:tc>
                <w:tcPr>
                  <w:tcW w:w="992" w:type="dxa"/>
                  <w:vAlign w:val="center"/>
                </w:tcPr>
                <w:p>
                  <w:pPr>
                    <w:jc w:val="center"/>
                    <w:rPr>
                      <w:rFonts w:hint="eastAsia" w:hAnsi="宋体" w:eastAsia="宋体"/>
                      <w:b w:val="0"/>
                      <w:bCs w:val="0"/>
                      <w:color w:val="auto"/>
                      <w:sz w:val="21"/>
                      <w:szCs w:val="21"/>
                      <w:lang w:val="en-US" w:eastAsia="zh-CN"/>
                    </w:rPr>
                  </w:pPr>
                  <w:r>
                    <w:rPr>
                      <w:rFonts w:hint="eastAsia" w:hAnsi="宋体"/>
                      <w:b w:val="0"/>
                      <w:bCs w:val="0"/>
                      <w:color w:val="auto"/>
                      <w:sz w:val="21"/>
                      <w:szCs w:val="21"/>
                      <w:lang w:val="en-US" w:eastAsia="zh-CN"/>
                    </w:rPr>
                    <w:t>1台</w:t>
                  </w:r>
                </w:p>
              </w:tc>
              <w:tc>
                <w:tcPr>
                  <w:tcW w:w="1418" w:type="dxa"/>
                  <w:vMerge w:val="continue"/>
                  <w:vAlign w:val="center"/>
                </w:tcPr>
                <w:p>
                  <w:pPr>
                    <w:spacing w:line="360" w:lineRule="auto"/>
                    <w:jc w:val="center"/>
                    <w:rPr>
                      <w:rFonts w:hint="eastAsia" w:ascii="宋体" w:hAnsi="宋体"/>
                      <w:color w:val="auto"/>
                      <w:sz w:val="21"/>
                      <w:szCs w:val="21"/>
                      <w:shd w:val="clear" w:color="auto" w:fill="auto"/>
                      <w:lang w:val="en-US" w:eastAsia="zh-CN"/>
                    </w:rPr>
                  </w:pPr>
                </w:p>
              </w:tc>
              <w:tc>
                <w:tcPr>
                  <w:tcW w:w="776" w:type="dxa"/>
                  <w:vMerge w:val="continue"/>
                  <w:shd w:val="clear" w:color="auto" w:fill="auto"/>
                  <w:vAlign w:val="center"/>
                </w:tcPr>
                <w:p>
                  <w:pPr>
                    <w:spacing w:line="360" w:lineRule="auto"/>
                    <w:jc w:val="center"/>
                    <w:rPr>
                      <w:rFonts w:hint="eastAsia" w:ascii="宋体" w:hAnsi="宋体"/>
                      <w:color w:val="auto"/>
                      <w:sz w:val="21"/>
                      <w:szCs w:val="21"/>
                      <w:shd w:val="clear" w:color="auto" w:fill="auto"/>
                      <w:lang w:eastAsia="zh-CN"/>
                    </w:rPr>
                  </w:pPr>
                </w:p>
              </w:tc>
            </w:tr>
          </w:tbl>
          <w:p>
            <w:pPr>
              <w:spacing w:line="360" w:lineRule="auto"/>
              <w:ind w:firstLine="422" w:firstLineChars="200"/>
              <w:rPr>
                <w:b/>
                <w:color w:val="auto"/>
                <w:sz w:val="21"/>
                <w:szCs w:val="21"/>
                <w:shd w:val="clear" w:color="auto" w:fill="auto"/>
              </w:rPr>
            </w:pPr>
            <w:r>
              <w:rPr>
                <w:rFonts w:hint="eastAsia"/>
                <w:b/>
                <w:color w:val="auto"/>
                <w:sz w:val="21"/>
                <w:szCs w:val="21"/>
                <w:shd w:val="clear" w:color="auto" w:fill="auto"/>
              </w:rPr>
              <w:t>说明：项目</w:t>
            </w:r>
            <w:r>
              <w:rPr>
                <w:rFonts w:hint="eastAsia"/>
                <w:b/>
                <w:color w:val="auto"/>
                <w:sz w:val="21"/>
                <w:szCs w:val="21"/>
                <w:shd w:val="clear" w:color="auto" w:fill="auto"/>
                <w:lang w:val="en-US" w:eastAsia="zh-CN"/>
              </w:rPr>
              <w:t>所用</w:t>
            </w:r>
            <w:r>
              <w:rPr>
                <w:rFonts w:hint="eastAsia"/>
                <w:b/>
                <w:color w:val="auto"/>
                <w:sz w:val="21"/>
                <w:szCs w:val="21"/>
                <w:shd w:val="clear" w:color="auto" w:fill="auto"/>
              </w:rPr>
              <w:t>设备均使用电能。</w:t>
            </w:r>
          </w:p>
          <w:p>
            <w:pPr>
              <w:keepNext w:val="0"/>
              <w:keepLines w:val="0"/>
              <w:pageBreakBefore w:val="0"/>
              <w:kinsoku/>
              <w:wordWrap/>
              <w:overflowPunct/>
              <w:topLinePunct w:val="0"/>
              <w:autoSpaceDE/>
              <w:autoSpaceDN/>
              <w:bidi w:val="0"/>
              <w:snapToGrid/>
              <w:spacing w:before="0" w:after="0" w:line="312" w:lineRule="auto"/>
              <w:ind w:left="0" w:firstLine="482"/>
              <w:jc w:val="both"/>
              <w:textAlignment w:val="auto"/>
              <w:rPr>
                <w:rFonts w:hint="default" w:ascii="Times New Roman" w:hAnsi="Times New Roman" w:eastAsia="宋体" w:cs="Times New Roman"/>
                <w:b/>
                <w:color w:val="auto"/>
                <w:w w:val="100"/>
                <w:sz w:val="24"/>
                <w:highlight w:val="none"/>
              </w:rPr>
            </w:pPr>
            <w:r>
              <w:rPr>
                <w:rFonts w:hint="default" w:ascii="Times New Roman" w:hAnsi="Times New Roman" w:eastAsia="宋体" w:cs="Times New Roman"/>
                <w:b/>
                <w:color w:val="auto"/>
                <w:w w:val="100"/>
                <w:sz w:val="24"/>
                <w:highlight w:val="none"/>
                <w:lang w:val="en-US" w:eastAsia="zh-CN"/>
              </w:rPr>
              <w:t>四</w:t>
            </w:r>
            <w:r>
              <w:rPr>
                <w:rFonts w:hint="default" w:ascii="Times New Roman" w:hAnsi="Times New Roman" w:eastAsia="宋体" w:cs="Times New Roman"/>
                <w:b/>
                <w:color w:val="auto"/>
                <w:w w:val="100"/>
                <w:sz w:val="24"/>
                <w:highlight w:val="none"/>
              </w:rPr>
              <w:t>、建设项目工程组成</w:t>
            </w:r>
          </w:p>
          <w:p>
            <w:pPr>
              <w:keepNext w:val="0"/>
              <w:keepLines w:val="0"/>
              <w:pageBreakBefore w:val="0"/>
              <w:kinsoku/>
              <w:wordWrap/>
              <w:overflowPunct/>
              <w:topLinePunct w:val="0"/>
              <w:autoSpaceDE/>
              <w:autoSpaceDN/>
              <w:bidi w:val="0"/>
              <w:snapToGrid/>
              <w:spacing w:before="0" w:after="0" w:line="312" w:lineRule="auto"/>
              <w:ind w:left="0" w:firstLine="480"/>
              <w:jc w:val="both"/>
              <w:textAlignment w:val="auto"/>
              <w:rPr>
                <w:rFonts w:hint="default"/>
                <w:color w:val="auto"/>
              </w:rPr>
            </w:pPr>
            <w:r>
              <w:rPr>
                <w:rFonts w:hint="default" w:ascii="Times New Roman" w:hAnsi="Times New Roman" w:eastAsia="宋体" w:cs="Times New Roman"/>
                <w:b w:val="0"/>
                <w:color w:val="auto"/>
                <w:w w:val="100"/>
                <w:sz w:val="24"/>
                <w:highlight w:val="none"/>
              </w:rPr>
              <w:t>项目</w:t>
            </w:r>
            <w:r>
              <w:rPr>
                <w:rFonts w:hint="default" w:ascii="Times New Roman" w:hAnsi="Times New Roman" w:eastAsia="宋体" w:cs="Times New Roman"/>
                <w:b w:val="0"/>
                <w:color w:val="auto"/>
                <w:w w:val="100"/>
                <w:sz w:val="24"/>
                <w:highlight w:val="none"/>
                <w:lang w:val="en-US" w:eastAsia="zh-CN"/>
              </w:rPr>
              <w:t>工程内容</w:t>
            </w:r>
            <w:r>
              <w:rPr>
                <w:rFonts w:hint="default" w:ascii="Times New Roman" w:hAnsi="Times New Roman" w:eastAsia="宋体" w:cs="Times New Roman"/>
                <w:b w:val="0"/>
                <w:color w:val="auto"/>
                <w:w w:val="100"/>
                <w:sz w:val="24"/>
                <w:highlight w:val="none"/>
              </w:rPr>
              <w:t>如</w:t>
            </w:r>
            <w:r>
              <w:rPr>
                <w:rFonts w:hint="default" w:ascii="Times New Roman" w:hAnsi="Times New Roman" w:eastAsia="宋体" w:cs="Times New Roman"/>
                <w:b w:val="0"/>
                <w:color w:val="auto"/>
                <w:w w:val="100"/>
                <w:sz w:val="24"/>
                <w:highlight w:val="none"/>
                <w:lang w:val="en-US" w:eastAsia="zh-CN"/>
              </w:rPr>
              <w:t>下表</w:t>
            </w:r>
            <w:r>
              <w:rPr>
                <w:rFonts w:hint="default" w:ascii="Times New Roman" w:hAnsi="Times New Roman" w:eastAsia="宋体" w:cs="Times New Roman"/>
                <w:b w:val="0"/>
                <w:color w:val="auto"/>
                <w:w w:val="100"/>
                <w:sz w:val="24"/>
                <w:highlight w:val="none"/>
              </w:rPr>
              <w:t>所示：</w:t>
            </w:r>
          </w:p>
          <w:p>
            <w:pPr>
              <w:pStyle w:val="139"/>
              <w:keepNext w:val="0"/>
              <w:keepLines w:val="0"/>
              <w:pageBreakBefore w:val="0"/>
              <w:numPr>
                <w:ilvl w:val="0"/>
                <w:numId w:val="5"/>
              </w:numPr>
              <w:tabs>
                <w:tab w:val="left" w:pos="420"/>
              </w:tabs>
              <w:kinsoku/>
              <w:wordWrap/>
              <w:overflowPunct/>
              <w:topLinePunct w:val="0"/>
              <w:autoSpaceDE/>
              <w:autoSpaceDN/>
              <w:bidi w:val="0"/>
              <w:spacing w:line="312" w:lineRule="auto"/>
              <w:ind w:left="0" w:firstLine="471"/>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val="en-US" w:eastAsia="zh-CN"/>
              </w:rPr>
              <w:t>工程内容</w:t>
            </w:r>
            <w:r>
              <w:rPr>
                <w:rFonts w:hint="default" w:ascii="Times New Roman" w:hAnsi="Times New Roman" w:eastAsia="宋体" w:cs="Times New Roman"/>
                <w:b/>
                <w:color w:val="auto"/>
                <w:sz w:val="21"/>
                <w:szCs w:val="21"/>
                <w:highlight w:val="none"/>
              </w:rPr>
              <w:t>一览表</w:t>
            </w:r>
          </w:p>
          <w:tbl>
            <w:tblPr>
              <w:tblStyle w:val="40"/>
              <w:tblW w:w="8739" w:type="dxa"/>
              <w:jc w:val="center"/>
              <w:tblLayout w:type="fixed"/>
              <w:tblCellMar>
                <w:top w:w="0" w:type="dxa"/>
                <w:left w:w="0" w:type="dxa"/>
                <w:bottom w:w="0" w:type="dxa"/>
                <w:right w:w="0" w:type="dxa"/>
              </w:tblCellMar>
            </w:tblPr>
            <w:tblGrid>
              <w:gridCol w:w="699"/>
              <w:gridCol w:w="780"/>
              <w:gridCol w:w="1303"/>
              <w:gridCol w:w="5957"/>
            </w:tblGrid>
            <w:tr>
              <w:tblPrEx>
                <w:tblCellMar>
                  <w:top w:w="0" w:type="dxa"/>
                  <w:left w:w="0" w:type="dxa"/>
                  <w:bottom w:w="0" w:type="dxa"/>
                  <w:right w:w="0" w:type="dxa"/>
                </w:tblCellMar>
              </w:tblPrEx>
              <w:trPr>
                <w:trHeight w:val="322" w:hRule="atLeast"/>
                <w:jc w:val="center"/>
              </w:trPr>
              <w:tc>
                <w:tcPr>
                  <w:tcW w:w="6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color w:val="auto"/>
                      <w:w w:val="100"/>
                      <w:sz w:val="21"/>
                      <w:highlight w:val="none"/>
                      <w:lang w:eastAsia="zh-CN"/>
                    </w:rPr>
                  </w:pPr>
                  <w:r>
                    <w:rPr>
                      <w:rFonts w:hint="default" w:ascii="Times New Roman" w:hAnsi="Times New Roman" w:eastAsia="宋体" w:cs="Times New Roman"/>
                      <w:b/>
                      <w:color w:val="auto"/>
                      <w:w w:val="100"/>
                      <w:sz w:val="21"/>
                      <w:highlight w:val="none"/>
                      <w:lang w:eastAsia="zh-CN"/>
                    </w:rPr>
                    <w:t>序号</w:t>
                  </w:r>
                </w:p>
              </w:tc>
              <w:tc>
                <w:tcPr>
                  <w:tcW w:w="2083" w:type="dxa"/>
                  <w:gridSpan w:val="2"/>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color w:val="auto"/>
                      <w:w w:val="100"/>
                      <w:sz w:val="21"/>
                      <w:highlight w:val="none"/>
                    </w:rPr>
                  </w:pPr>
                  <w:r>
                    <w:rPr>
                      <w:rFonts w:hint="default" w:ascii="Times New Roman" w:hAnsi="Times New Roman" w:eastAsia="宋体" w:cs="Times New Roman"/>
                      <w:b/>
                      <w:color w:val="auto"/>
                      <w:w w:val="100"/>
                      <w:sz w:val="21"/>
                      <w:highlight w:val="none"/>
                      <w:lang w:eastAsia="zh-CN"/>
                    </w:rPr>
                    <w:t>建设项目</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color w:val="auto"/>
                      <w:w w:val="100"/>
                      <w:sz w:val="21"/>
                      <w:highlight w:val="none"/>
                      <w:lang w:eastAsia="zh-CN"/>
                    </w:rPr>
                  </w:pPr>
                  <w:r>
                    <w:rPr>
                      <w:rFonts w:hint="default" w:ascii="Times New Roman" w:hAnsi="Times New Roman" w:eastAsia="宋体" w:cs="Times New Roman"/>
                      <w:b/>
                      <w:color w:val="auto"/>
                      <w:w w:val="100"/>
                      <w:sz w:val="21"/>
                      <w:highlight w:val="none"/>
                      <w:lang w:eastAsia="zh-CN"/>
                    </w:rPr>
                    <w:t>备注</w:t>
                  </w:r>
                </w:p>
              </w:tc>
            </w:tr>
            <w:tr>
              <w:tblPrEx>
                <w:tblCellMar>
                  <w:top w:w="0" w:type="dxa"/>
                  <w:left w:w="0" w:type="dxa"/>
                  <w:bottom w:w="0" w:type="dxa"/>
                  <w:right w:w="0" w:type="dxa"/>
                </w:tblCellMar>
              </w:tblPrEx>
              <w:trPr>
                <w:trHeight w:val="409" w:hRule="atLeast"/>
                <w:jc w:val="center"/>
              </w:trPr>
              <w:tc>
                <w:tcPr>
                  <w:tcW w:w="699" w:type="dxa"/>
                  <w:vMerge w:val="restart"/>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default" w:ascii="Times New Roman" w:hAnsi="Times New Roman" w:eastAsia="宋体" w:cs="Times New Roman"/>
                      <w:b w:val="0"/>
                      <w:color w:val="auto"/>
                      <w:w w:val="100"/>
                      <w:sz w:val="21"/>
                      <w:highlight w:val="none"/>
                      <w:lang w:eastAsia="zh-CN"/>
                    </w:rPr>
                    <w:t>1</w:t>
                  </w:r>
                </w:p>
              </w:tc>
              <w:tc>
                <w:tcPr>
                  <w:tcW w:w="780" w:type="dxa"/>
                  <w:vMerge w:val="restart"/>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主体工程</w:t>
                  </w:r>
                </w:p>
              </w:tc>
              <w:tc>
                <w:tcPr>
                  <w:tcW w:w="1303"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widowControl/>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eastAsia" w:cs="Times New Roman"/>
                      <w:b w:val="0"/>
                      <w:color w:val="auto"/>
                      <w:w w:val="100"/>
                      <w:sz w:val="21"/>
                      <w:highlight w:val="none"/>
                      <w:lang w:val="en-US" w:eastAsia="zh-CN"/>
                    </w:rPr>
                    <w:t>机加工车间</w:t>
                  </w:r>
                </w:p>
              </w:tc>
              <w:tc>
                <w:tcPr>
                  <w:tcW w:w="5957"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lang w:val="en-US" w:eastAsia="zh-CN"/>
                    </w:rPr>
                    <w:t>一栋</w:t>
                  </w:r>
                  <w:r>
                    <w:rPr>
                      <w:rFonts w:hint="eastAsia" w:cs="Times New Roman"/>
                      <w:b w:val="0"/>
                      <w:color w:val="auto"/>
                      <w:w w:val="100"/>
                      <w:sz w:val="21"/>
                      <w:highlight w:val="none"/>
                      <w:lang w:val="en-US" w:eastAsia="zh-CN"/>
                    </w:rPr>
                    <w:t>1</w:t>
                  </w:r>
                  <w:r>
                    <w:rPr>
                      <w:rFonts w:hint="default" w:ascii="Times New Roman" w:hAnsi="Times New Roman" w:eastAsia="宋体" w:cs="Times New Roman"/>
                      <w:b w:val="0"/>
                      <w:color w:val="auto"/>
                      <w:w w:val="100"/>
                      <w:sz w:val="21"/>
                      <w:highlight w:val="none"/>
                      <w:lang w:val="en-US" w:eastAsia="zh-CN"/>
                    </w:rPr>
                    <w:t>层，</w:t>
                  </w:r>
                  <w:r>
                    <w:rPr>
                      <w:rFonts w:hint="eastAsia" w:cs="Times New Roman"/>
                      <w:b w:val="0"/>
                      <w:color w:val="auto"/>
                      <w:w w:val="100"/>
                      <w:sz w:val="21"/>
                      <w:highlight w:val="none"/>
                      <w:lang w:val="en-US" w:eastAsia="zh-CN"/>
                    </w:rPr>
                    <w:t>占地面积为1135</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，建筑面积为1135</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，主要设置机加工工序</w:t>
                  </w:r>
                </w:p>
              </w:tc>
            </w:tr>
            <w:tr>
              <w:tblPrEx>
                <w:tblCellMar>
                  <w:top w:w="0" w:type="dxa"/>
                  <w:left w:w="0" w:type="dxa"/>
                  <w:bottom w:w="0" w:type="dxa"/>
                  <w:right w:w="0" w:type="dxa"/>
                </w:tblCellMar>
              </w:tblPrEx>
              <w:trPr>
                <w:trHeight w:val="409" w:hRule="atLeast"/>
                <w:jc w:val="center"/>
              </w:trPr>
              <w:tc>
                <w:tcPr>
                  <w:tcW w:w="699"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780"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widowControl/>
                    <w:autoSpaceDE/>
                    <w:autoSpaceDN/>
                    <w:snapToGrid/>
                    <w:spacing w:before="0" w:after="0" w:line="240" w:lineRule="auto"/>
                    <w:ind w:left="0" w:firstLine="0"/>
                    <w:jc w:val="center"/>
                    <w:rPr>
                      <w:rFonts w:hint="eastAsia" w:cs="Times New Roman"/>
                      <w:b w:val="0"/>
                      <w:color w:val="auto"/>
                      <w:w w:val="100"/>
                      <w:sz w:val="21"/>
                      <w:highlight w:val="none"/>
                      <w:lang w:val="en-US" w:eastAsia="zh-CN"/>
                    </w:rPr>
                  </w:pPr>
                  <w:r>
                    <w:rPr>
                      <w:rFonts w:hint="eastAsia" w:cs="Times New Roman"/>
                      <w:b w:val="0"/>
                      <w:color w:val="auto"/>
                      <w:w w:val="100"/>
                      <w:sz w:val="21"/>
                      <w:highlight w:val="none"/>
                      <w:lang w:val="en-US" w:eastAsia="zh-CN"/>
                    </w:rPr>
                    <w:t>铸造车间</w:t>
                  </w:r>
                </w:p>
              </w:tc>
              <w:tc>
                <w:tcPr>
                  <w:tcW w:w="5957"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lang w:val="en-US" w:eastAsia="zh-CN"/>
                    </w:rPr>
                    <w:t>一栋</w:t>
                  </w:r>
                  <w:r>
                    <w:rPr>
                      <w:rFonts w:hint="eastAsia" w:cs="Times New Roman"/>
                      <w:b w:val="0"/>
                      <w:color w:val="auto"/>
                      <w:w w:val="100"/>
                      <w:sz w:val="21"/>
                      <w:highlight w:val="none"/>
                      <w:lang w:val="en-US" w:eastAsia="zh-CN"/>
                    </w:rPr>
                    <w:t>1</w:t>
                  </w:r>
                  <w:r>
                    <w:rPr>
                      <w:rFonts w:hint="default" w:ascii="Times New Roman" w:hAnsi="Times New Roman" w:eastAsia="宋体" w:cs="Times New Roman"/>
                      <w:b w:val="0"/>
                      <w:color w:val="auto"/>
                      <w:w w:val="100"/>
                      <w:sz w:val="21"/>
                      <w:highlight w:val="none"/>
                      <w:lang w:val="en-US" w:eastAsia="zh-CN"/>
                    </w:rPr>
                    <w:t>层，</w:t>
                  </w:r>
                  <w:r>
                    <w:rPr>
                      <w:rFonts w:hint="eastAsia" w:cs="Times New Roman"/>
                      <w:b w:val="0"/>
                      <w:color w:val="auto"/>
                      <w:w w:val="100"/>
                      <w:sz w:val="21"/>
                      <w:highlight w:val="none"/>
                      <w:lang w:val="en-US" w:eastAsia="zh-CN"/>
                    </w:rPr>
                    <w:t>占地面积为500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，建筑面积为500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，主要设置铸造工序</w:t>
                  </w:r>
                </w:p>
              </w:tc>
            </w:tr>
            <w:tr>
              <w:tblPrEx>
                <w:tblCellMar>
                  <w:top w:w="0" w:type="dxa"/>
                  <w:left w:w="0" w:type="dxa"/>
                  <w:bottom w:w="0" w:type="dxa"/>
                  <w:right w:w="0" w:type="dxa"/>
                </w:tblCellMar>
              </w:tblPrEx>
              <w:trPr>
                <w:trHeight w:val="409" w:hRule="atLeast"/>
                <w:jc w:val="center"/>
              </w:trPr>
              <w:tc>
                <w:tcPr>
                  <w:tcW w:w="699"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780"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widowControl/>
                    <w:autoSpaceDE/>
                    <w:autoSpaceDN/>
                    <w:snapToGrid/>
                    <w:spacing w:before="0" w:after="0" w:line="240" w:lineRule="auto"/>
                    <w:ind w:left="0" w:firstLine="0"/>
                    <w:jc w:val="center"/>
                    <w:rPr>
                      <w:rFonts w:hint="eastAsia" w:cs="Times New Roman"/>
                      <w:b w:val="0"/>
                      <w:color w:val="auto"/>
                      <w:w w:val="100"/>
                      <w:sz w:val="21"/>
                      <w:highlight w:val="none"/>
                      <w:lang w:val="en-US" w:eastAsia="zh-CN"/>
                    </w:rPr>
                  </w:pPr>
                  <w:r>
                    <w:rPr>
                      <w:rFonts w:hint="eastAsia" w:cs="Times New Roman"/>
                      <w:b w:val="0"/>
                      <w:color w:val="auto"/>
                      <w:w w:val="100"/>
                      <w:sz w:val="21"/>
                      <w:highlight w:val="none"/>
                      <w:lang w:val="en-US" w:eastAsia="zh-CN"/>
                    </w:rPr>
                    <w:t>抛光车间</w:t>
                  </w:r>
                </w:p>
              </w:tc>
              <w:tc>
                <w:tcPr>
                  <w:tcW w:w="5957"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lang w:val="en-US" w:eastAsia="zh-CN"/>
                    </w:rPr>
                    <w:t>一栋</w:t>
                  </w:r>
                  <w:r>
                    <w:rPr>
                      <w:rFonts w:hint="eastAsia" w:cs="Times New Roman"/>
                      <w:b w:val="0"/>
                      <w:color w:val="auto"/>
                      <w:w w:val="100"/>
                      <w:sz w:val="21"/>
                      <w:highlight w:val="none"/>
                      <w:lang w:val="en-US" w:eastAsia="zh-CN"/>
                    </w:rPr>
                    <w:t>1</w:t>
                  </w:r>
                  <w:r>
                    <w:rPr>
                      <w:rFonts w:hint="default" w:ascii="Times New Roman" w:hAnsi="Times New Roman" w:eastAsia="宋体" w:cs="Times New Roman"/>
                      <w:b w:val="0"/>
                      <w:color w:val="auto"/>
                      <w:w w:val="100"/>
                      <w:sz w:val="21"/>
                      <w:highlight w:val="none"/>
                      <w:lang w:val="en-US" w:eastAsia="zh-CN"/>
                    </w:rPr>
                    <w:t>层，</w:t>
                  </w:r>
                  <w:r>
                    <w:rPr>
                      <w:rFonts w:hint="eastAsia" w:cs="Times New Roman"/>
                      <w:b w:val="0"/>
                      <w:color w:val="auto"/>
                      <w:w w:val="100"/>
                      <w:sz w:val="21"/>
                      <w:highlight w:val="none"/>
                      <w:lang w:val="en-US" w:eastAsia="zh-CN"/>
                    </w:rPr>
                    <w:t>占地面积为450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，建筑面积为450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，主要设置抛光工序</w:t>
                  </w:r>
                </w:p>
              </w:tc>
            </w:tr>
            <w:tr>
              <w:tblPrEx>
                <w:tblCellMar>
                  <w:top w:w="0" w:type="dxa"/>
                  <w:left w:w="0" w:type="dxa"/>
                  <w:bottom w:w="0" w:type="dxa"/>
                  <w:right w:w="0" w:type="dxa"/>
                </w:tblCellMar>
              </w:tblPrEx>
              <w:trPr>
                <w:trHeight w:val="409" w:hRule="atLeast"/>
                <w:jc w:val="center"/>
              </w:trPr>
              <w:tc>
                <w:tcPr>
                  <w:tcW w:w="699"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780"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widowControl/>
                    <w:autoSpaceDE/>
                    <w:autoSpaceDN/>
                    <w:snapToGrid/>
                    <w:spacing w:before="0" w:after="0" w:line="240" w:lineRule="auto"/>
                    <w:ind w:left="0" w:firstLine="0"/>
                    <w:jc w:val="center"/>
                    <w:rPr>
                      <w:rFonts w:hint="eastAsia" w:cs="Times New Roman"/>
                      <w:b w:val="0"/>
                      <w:color w:val="auto"/>
                      <w:w w:val="100"/>
                      <w:sz w:val="21"/>
                      <w:highlight w:val="none"/>
                      <w:lang w:val="en-US" w:eastAsia="zh-CN"/>
                    </w:rPr>
                  </w:pPr>
                  <w:r>
                    <w:rPr>
                      <w:rFonts w:hint="eastAsia" w:cs="Times New Roman"/>
                      <w:b w:val="0"/>
                      <w:color w:val="auto"/>
                      <w:w w:val="100"/>
                      <w:sz w:val="21"/>
                      <w:highlight w:val="none"/>
                      <w:lang w:val="en-US" w:eastAsia="zh-CN"/>
                    </w:rPr>
                    <w:t>组装、测试车间</w:t>
                  </w:r>
                </w:p>
              </w:tc>
              <w:tc>
                <w:tcPr>
                  <w:tcW w:w="5957"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lang w:val="en-US" w:eastAsia="zh-CN"/>
                    </w:rPr>
                    <w:t>一栋</w:t>
                  </w:r>
                  <w:r>
                    <w:rPr>
                      <w:rFonts w:hint="eastAsia" w:cs="Times New Roman"/>
                      <w:b w:val="0"/>
                      <w:color w:val="auto"/>
                      <w:w w:val="100"/>
                      <w:sz w:val="21"/>
                      <w:highlight w:val="none"/>
                      <w:lang w:val="en-US" w:eastAsia="zh-CN"/>
                    </w:rPr>
                    <w:t>3</w:t>
                  </w:r>
                  <w:r>
                    <w:rPr>
                      <w:rFonts w:hint="default" w:ascii="Times New Roman" w:hAnsi="Times New Roman" w:eastAsia="宋体" w:cs="Times New Roman"/>
                      <w:b w:val="0"/>
                      <w:color w:val="auto"/>
                      <w:w w:val="100"/>
                      <w:sz w:val="21"/>
                      <w:highlight w:val="none"/>
                      <w:lang w:val="en-US" w:eastAsia="zh-CN"/>
                    </w:rPr>
                    <w:t>层，</w:t>
                  </w:r>
                  <w:r>
                    <w:rPr>
                      <w:rFonts w:hint="eastAsia" w:cs="Times New Roman"/>
                      <w:b w:val="0"/>
                      <w:color w:val="auto"/>
                      <w:w w:val="100"/>
                      <w:sz w:val="21"/>
                      <w:highlight w:val="none"/>
                      <w:lang w:val="en-US" w:eastAsia="zh-CN"/>
                    </w:rPr>
                    <w:t>占地面积为385</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，建筑面积为1155</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，1F主要设置组织、测试工序，2F、3F为仓库</w:t>
                  </w:r>
                </w:p>
              </w:tc>
            </w:tr>
            <w:tr>
              <w:tblPrEx>
                <w:tblCellMar>
                  <w:top w:w="0" w:type="dxa"/>
                  <w:left w:w="0" w:type="dxa"/>
                  <w:bottom w:w="0" w:type="dxa"/>
                  <w:right w:w="0" w:type="dxa"/>
                </w:tblCellMar>
              </w:tblPrEx>
              <w:trPr>
                <w:trHeight w:val="321" w:hRule="atLeast"/>
                <w:jc w:val="center"/>
              </w:trPr>
              <w:tc>
                <w:tcPr>
                  <w:tcW w:w="699"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780" w:type="dxa"/>
                  <w:vMerge w:val="continue"/>
                  <w:tcBorders>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auto"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widowControl/>
                    <w:autoSpaceDE/>
                    <w:autoSpaceDN/>
                    <w:snapToGrid/>
                    <w:spacing w:before="0" w:after="0" w:line="240" w:lineRule="auto"/>
                    <w:ind w:left="0" w:firstLine="0"/>
                    <w:jc w:val="center"/>
                    <w:rPr>
                      <w:rFonts w:hint="default" w:cs="Times New Roman"/>
                      <w:b w:val="0"/>
                      <w:color w:val="auto"/>
                      <w:w w:val="100"/>
                      <w:sz w:val="21"/>
                      <w:highlight w:val="none"/>
                      <w:lang w:val="en-US" w:eastAsia="zh-CN"/>
                    </w:rPr>
                  </w:pPr>
                  <w:r>
                    <w:rPr>
                      <w:rFonts w:hint="eastAsia" w:cs="Times New Roman"/>
                      <w:b w:val="0"/>
                      <w:color w:val="auto"/>
                      <w:w w:val="100"/>
                      <w:sz w:val="21"/>
                      <w:highlight w:val="none"/>
                      <w:lang w:val="en-US" w:eastAsia="zh-CN"/>
                    </w:rPr>
                    <w:t>仓库</w:t>
                  </w:r>
                </w:p>
              </w:tc>
              <w:tc>
                <w:tcPr>
                  <w:tcW w:w="5957" w:type="dxa"/>
                  <w:tcBorders>
                    <w:top w:val="single" w:color="auto"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eastAsia" w:cs="Times New Roman"/>
                      <w:b w:val="0"/>
                      <w:color w:val="auto"/>
                      <w:w w:val="100"/>
                      <w:sz w:val="21"/>
                      <w:highlight w:val="none"/>
                      <w:lang w:val="en-US" w:eastAsia="zh-CN"/>
                    </w:rPr>
                    <w:t>一栋1层仓库，占地面积为770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，建筑面积为770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；一栋3层仓库，占地面积为320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，建筑面积为960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，主要用于产品、原料的存放</w:t>
                  </w:r>
                </w:p>
              </w:tc>
            </w:tr>
            <w:tr>
              <w:tblPrEx>
                <w:tblCellMar>
                  <w:top w:w="0" w:type="dxa"/>
                  <w:left w:w="0" w:type="dxa"/>
                  <w:bottom w:w="0" w:type="dxa"/>
                  <w:right w:w="0" w:type="dxa"/>
                </w:tblCellMar>
              </w:tblPrEx>
              <w:trPr>
                <w:trHeight w:val="459" w:hRule="atLeast"/>
                <w:jc w:val="center"/>
              </w:trPr>
              <w:tc>
                <w:tcPr>
                  <w:tcW w:w="6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eastAsia" w:cs="Times New Roman"/>
                      <w:b w:val="0"/>
                      <w:color w:val="auto"/>
                      <w:w w:val="100"/>
                      <w:sz w:val="21"/>
                      <w:highlight w:val="none"/>
                      <w:lang w:val="en-US" w:eastAsia="zh-CN"/>
                    </w:rPr>
                    <w:t>2</w:t>
                  </w:r>
                </w:p>
              </w:tc>
              <w:tc>
                <w:tcPr>
                  <w:tcW w:w="780"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eastAsia" w:cs="Times New Roman"/>
                      <w:b w:val="0"/>
                      <w:color w:val="auto"/>
                      <w:w w:val="100"/>
                      <w:sz w:val="21"/>
                      <w:highlight w:val="none"/>
                      <w:lang w:eastAsia="zh-CN"/>
                    </w:rPr>
                    <w:t>辅助工程</w:t>
                  </w:r>
                </w:p>
              </w:tc>
              <w:tc>
                <w:tcPr>
                  <w:tcW w:w="1303"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widowControl/>
                    <w:autoSpaceDE/>
                    <w:autoSpaceDN/>
                    <w:snapToGrid/>
                    <w:spacing w:before="0" w:after="0" w:line="240" w:lineRule="auto"/>
                    <w:ind w:left="0" w:firstLine="0"/>
                    <w:jc w:val="center"/>
                    <w:rPr>
                      <w:rFonts w:hint="eastAsia" w:cs="Times New Roman"/>
                      <w:b w:val="0"/>
                      <w:color w:val="auto"/>
                      <w:w w:val="100"/>
                      <w:sz w:val="21"/>
                      <w:highlight w:val="none"/>
                      <w:lang w:val="en-US" w:eastAsia="zh-CN"/>
                    </w:rPr>
                  </w:pPr>
                  <w:r>
                    <w:rPr>
                      <w:rFonts w:hint="eastAsia" w:cs="Times New Roman"/>
                      <w:b w:val="0"/>
                      <w:color w:val="auto"/>
                      <w:w w:val="100"/>
                      <w:sz w:val="21"/>
                      <w:highlight w:val="none"/>
                      <w:lang w:val="en-US" w:eastAsia="zh-CN"/>
                    </w:rPr>
                    <w:t>办公楼</w:t>
                  </w:r>
                </w:p>
              </w:tc>
              <w:tc>
                <w:tcPr>
                  <w:tcW w:w="5957"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eastAsia" w:cs="Times New Roman"/>
                      <w:b w:val="0"/>
                      <w:color w:val="auto"/>
                      <w:w w:val="100"/>
                      <w:sz w:val="21"/>
                      <w:highlight w:val="none"/>
                      <w:lang w:val="en-US" w:eastAsia="zh-CN"/>
                    </w:rPr>
                    <w:t>一栋3层办公楼，占地面积为500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，建筑面积为1500</w:t>
                  </w:r>
                  <w:r>
                    <w:rPr>
                      <w:color w:val="auto"/>
                      <w:sz w:val="21"/>
                      <w:szCs w:val="21"/>
                      <w:shd w:val="clear" w:color="auto" w:fill="auto"/>
                    </w:rPr>
                    <w:t>m</w:t>
                  </w:r>
                  <w:r>
                    <w:rPr>
                      <w:color w:val="auto"/>
                      <w:sz w:val="21"/>
                      <w:szCs w:val="21"/>
                      <w:shd w:val="clear" w:color="auto" w:fill="auto"/>
                      <w:vertAlign w:val="superscript"/>
                    </w:rPr>
                    <w:t>2</w:t>
                  </w:r>
                  <w:r>
                    <w:rPr>
                      <w:rFonts w:hint="eastAsia" w:cs="Times New Roman"/>
                      <w:b w:val="0"/>
                      <w:color w:val="auto"/>
                      <w:w w:val="100"/>
                      <w:sz w:val="21"/>
                      <w:highlight w:val="none"/>
                      <w:lang w:val="en-US" w:eastAsia="zh-CN"/>
                    </w:rPr>
                    <w:t>，主要用于办公、休息</w:t>
                  </w:r>
                </w:p>
              </w:tc>
            </w:tr>
            <w:tr>
              <w:tblPrEx>
                <w:tblCellMar>
                  <w:top w:w="0" w:type="dxa"/>
                  <w:left w:w="0" w:type="dxa"/>
                  <w:bottom w:w="0" w:type="dxa"/>
                  <w:right w:w="0" w:type="dxa"/>
                </w:tblCellMar>
              </w:tblPrEx>
              <w:trPr>
                <w:trHeight w:val="352" w:hRule="atLeast"/>
                <w:jc w:val="center"/>
              </w:trPr>
              <w:tc>
                <w:tcPr>
                  <w:tcW w:w="699" w:type="dxa"/>
                  <w:vMerge w:val="restar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eastAsia" w:cs="Times New Roman"/>
                      <w:b w:val="0"/>
                      <w:color w:val="auto"/>
                      <w:w w:val="100"/>
                      <w:sz w:val="21"/>
                      <w:highlight w:val="none"/>
                      <w:lang w:val="en-US" w:eastAsia="zh-CN"/>
                    </w:rPr>
                    <w:t>3</w:t>
                  </w:r>
                </w:p>
              </w:tc>
              <w:tc>
                <w:tcPr>
                  <w:tcW w:w="780" w:type="dxa"/>
                  <w:vMerge w:val="restar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公共配套设施</w:t>
                  </w: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供配电</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rPr>
                    <w:t>用电由市政电网供给</w:t>
                  </w:r>
                  <w:r>
                    <w:rPr>
                      <w:rFonts w:hint="default" w:ascii="Times New Roman" w:hAnsi="Times New Roman" w:eastAsia="宋体" w:cs="Times New Roman"/>
                      <w:b w:val="0"/>
                      <w:color w:val="auto"/>
                      <w:w w:val="100"/>
                      <w:sz w:val="21"/>
                      <w:highlight w:val="none"/>
                      <w:lang w:eastAsia="zh-CN"/>
                    </w:rPr>
                    <w:t>，年用电量约为</w:t>
                  </w:r>
                  <w:r>
                    <w:rPr>
                      <w:rFonts w:hint="eastAsia" w:cs="Times New Roman"/>
                      <w:b w:val="0"/>
                      <w:color w:val="auto"/>
                      <w:w w:val="100"/>
                      <w:sz w:val="21"/>
                      <w:highlight w:val="none"/>
                      <w:lang w:val="en-US" w:eastAsia="zh-CN"/>
                    </w:rPr>
                    <w:t>48</w:t>
                  </w:r>
                  <w:r>
                    <w:rPr>
                      <w:rFonts w:hint="default" w:ascii="Times New Roman" w:hAnsi="Times New Roman" w:eastAsia="宋体" w:cs="Times New Roman"/>
                      <w:b w:val="0"/>
                      <w:color w:val="auto"/>
                      <w:w w:val="100"/>
                      <w:sz w:val="21"/>
                      <w:highlight w:val="none"/>
                      <w:lang w:val="en-US" w:eastAsia="zh-CN"/>
                    </w:rPr>
                    <w:t>万度</w:t>
                  </w:r>
                </w:p>
              </w:tc>
            </w:tr>
            <w:tr>
              <w:tblPrEx>
                <w:tblCellMar>
                  <w:top w:w="0" w:type="dxa"/>
                  <w:left w:w="0" w:type="dxa"/>
                  <w:bottom w:w="0" w:type="dxa"/>
                  <w:right w:w="0" w:type="dxa"/>
                </w:tblCellMar>
              </w:tblPrEx>
              <w:trPr>
                <w:trHeight w:val="960"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供排水</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rPr>
                    <w:t>给水：由市政管网提供</w:t>
                  </w:r>
                  <w:r>
                    <w:rPr>
                      <w:rFonts w:hint="eastAsia" w:ascii="Times New Roman" w:hAnsi="Times New Roman" w:eastAsia="宋体" w:cs="Times New Roman"/>
                      <w:b w:val="0"/>
                      <w:color w:val="auto"/>
                      <w:w w:val="100"/>
                      <w:sz w:val="21"/>
                      <w:highlight w:val="none"/>
                      <w:lang w:eastAsia="zh-CN"/>
                    </w:rPr>
                    <w:t>；</w:t>
                  </w:r>
                  <w:r>
                    <w:rPr>
                      <w:rFonts w:hint="default" w:ascii="Times New Roman" w:hAnsi="Times New Roman" w:eastAsia="宋体" w:cs="Times New Roman"/>
                      <w:b w:val="0"/>
                      <w:color w:val="auto"/>
                      <w:w w:val="100"/>
                      <w:sz w:val="21"/>
                      <w:highlight w:val="none"/>
                    </w:rPr>
                    <w:t>排水：</w:t>
                  </w:r>
                  <w:r>
                    <w:rPr>
                      <w:rFonts w:hint="default" w:ascii="Times New Roman" w:hAnsi="Times New Roman" w:cs="Times New Roman"/>
                      <w:color w:val="auto"/>
                      <w:kern w:val="24"/>
                      <w:sz w:val="21"/>
                      <w:szCs w:val="21"/>
                      <w:highlight w:val="none"/>
                    </w:rPr>
                    <w:t>冷却用水</w:t>
                  </w:r>
                  <w:r>
                    <w:rPr>
                      <w:rFonts w:hint="eastAsia" w:cs="Times New Roman"/>
                      <w:color w:val="auto"/>
                      <w:kern w:val="24"/>
                      <w:sz w:val="21"/>
                      <w:szCs w:val="21"/>
                      <w:highlight w:val="none"/>
                      <w:lang w:eastAsia="zh-CN"/>
                    </w:rPr>
                    <w:t>和测试用水</w:t>
                  </w:r>
                  <w:r>
                    <w:rPr>
                      <w:rFonts w:hint="eastAsia"/>
                      <w:color w:val="auto"/>
                      <w:sz w:val="21"/>
                      <w:szCs w:val="21"/>
                      <w:shd w:val="clear" w:color="auto" w:fill="auto"/>
                      <w:lang w:eastAsia="zh-CN"/>
                    </w:rPr>
                    <w:t>循环使用，定期补充，不外排；</w:t>
                  </w:r>
                  <w:r>
                    <w:rPr>
                      <w:rFonts w:hint="eastAsia" w:cs="Times New Roman"/>
                      <w:b w:val="0"/>
                      <w:color w:val="auto"/>
                      <w:w w:val="100"/>
                      <w:sz w:val="21"/>
                      <w:highlight w:val="none"/>
                      <w:lang w:eastAsia="zh-CN"/>
                    </w:rPr>
                    <w:t>喷淋废水经收集后定期交具有零星废水处理资质的单位处理，不外排；</w:t>
                  </w:r>
                  <w:r>
                    <w:rPr>
                      <w:rFonts w:hint="default" w:ascii="Times New Roman" w:hAnsi="Times New Roman" w:eastAsia="宋体" w:cs="Times New Roman"/>
                      <w:b w:val="0"/>
                      <w:color w:val="auto"/>
                      <w:w w:val="100"/>
                      <w:sz w:val="21"/>
                      <w:highlight w:val="none"/>
                    </w:rPr>
                    <w:t>生活污水经三级化粪池处理后排放到市政污水管网，引至</w:t>
                  </w:r>
                  <w:r>
                    <w:rPr>
                      <w:rFonts w:hint="eastAsia" w:cs="Times New Roman"/>
                      <w:b w:val="0"/>
                      <w:color w:val="auto"/>
                      <w:w w:val="100"/>
                      <w:sz w:val="21"/>
                      <w:highlight w:val="none"/>
                      <w:lang w:eastAsia="zh-CN"/>
                    </w:rPr>
                    <w:t>开平市水口</w:t>
                  </w:r>
                  <w:r>
                    <w:rPr>
                      <w:rFonts w:hint="default" w:ascii="Times New Roman" w:hAnsi="Times New Roman" w:eastAsia="宋体" w:cs="Times New Roman"/>
                      <w:b w:val="0"/>
                      <w:color w:val="auto"/>
                      <w:w w:val="100"/>
                      <w:sz w:val="21"/>
                      <w:highlight w:val="none"/>
                    </w:rPr>
                    <w:t>污水处理厂处理</w:t>
                  </w:r>
                </w:p>
              </w:tc>
            </w:tr>
            <w:tr>
              <w:tblPrEx>
                <w:tblCellMar>
                  <w:top w:w="0" w:type="dxa"/>
                  <w:left w:w="0" w:type="dxa"/>
                  <w:bottom w:w="0" w:type="dxa"/>
                  <w:right w:w="0" w:type="dxa"/>
                </w:tblCellMar>
              </w:tblPrEx>
              <w:trPr>
                <w:trHeight w:val="292"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厂房通排风</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default" w:ascii="Times New Roman" w:hAnsi="Times New Roman" w:eastAsia="宋体" w:cs="Times New Roman"/>
                      <w:b w:val="0"/>
                      <w:color w:val="auto"/>
                      <w:w w:val="100"/>
                      <w:sz w:val="21"/>
                      <w:highlight w:val="none"/>
                    </w:rPr>
                    <w:t>通风设备</w:t>
                  </w:r>
                </w:p>
              </w:tc>
            </w:tr>
            <w:tr>
              <w:tblPrEx>
                <w:tblCellMar>
                  <w:top w:w="0" w:type="dxa"/>
                  <w:left w:w="0" w:type="dxa"/>
                  <w:bottom w:w="0" w:type="dxa"/>
                  <w:right w:w="0" w:type="dxa"/>
                </w:tblCellMar>
              </w:tblPrEx>
              <w:trPr>
                <w:trHeight w:val="327"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其他</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default" w:ascii="Times New Roman" w:hAnsi="Times New Roman" w:eastAsia="宋体" w:cs="Times New Roman"/>
                      <w:b w:val="0"/>
                      <w:color w:val="auto"/>
                      <w:w w:val="100"/>
                      <w:sz w:val="21"/>
                      <w:highlight w:val="none"/>
                    </w:rPr>
                    <w:t>固废垃圾收集、储存</w:t>
                  </w:r>
                </w:p>
              </w:tc>
            </w:tr>
            <w:tr>
              <w:tblPrEx>
                <w:tblCellMar>
                  <w:top w:w="0" w:type="dxa"/>
                  <w:left w:w="0" w:type="dxa"/>
                  <w:bottom w:w="0" w:type="dxa"/>
                  <w:right w:w="0" w:type="dxa"/>
                </w:tblCellMar>
              </w:tblPrEx>
              <w:trPr>
                <w:trHeight w:val="911" w:hRule="atLeast"/>
                <w:jc w:val="center"/>
              </w:trPr>
              <w:tc>
                <w:tcPr>
                  <w:tcW w:w="699" w:type="dxa"/>
                  <w:vMerge w:val="restar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eastAsia" w:cs="Times New Roman"/>
                      <w:b w:val="0"/>
                      <w:color w:val="auto"/>
                      <w:w w:val="100"/>
                      <w:sz w:val="21"/>
                      <w:highlight w:val="none"/>
                      <w:lang w:val="en-US" w:eastAsia="zh-CN"/>
                    </w:rPr>
                    <w:t>4</w:t>
                  </w:r>
                </w:p>
              </w:tc>
              <w:tc>
                <w:tcPr>
                  <w:tcW w:w="780" w:type="dxa"/>
                  <w:vMerge w:val="restart"/>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default" w:ascii="Times New Roman" w:hAnsi="Times New Roman" w:eastAsia="宋体" w:cs="Times New Roman"/>
                      <w:b w:val="0"/>
                      <w:color w:val="auto"/>
                      <w:w w:val="100"/>
                      <w:sz w:val="21"/>
                      <w:highlight w:val="none"/>
                      <w:lang w:eastAsia="zh-CN"/>
                    </w:rPr>
                    <w:t>环保设施</w:t>
                  </w: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szCs w:val="21"/>
                      <w:highlight w:val="none"/>
                      <w:lang w:eastAsia="zh-CN"/>
                    </w:rPr>
                  </w:pPr>
                  <w:r>
                    <w:rPr>
                      <w:rFonts w:hint="default" w:ascii="Times New Roman" w:hAnsi="Times New Roman" w:eastAsia="宋体" w:cs="Times New Roman"/>
                      <w:b w:val="0"/>
                      <w:color w:val="auto"/>
                      <w:w w:val="100"/>
                      <w:sz w:val="21"/>
                      <w:szCs w:val="21"/>
                      <w:highlight w:val="none"/>
                      <w:lang w:eastAsia="zh-CN"/>
                    </w:rPr>
                    <w:t>废气治理</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eastAsia" w:ascii="Times New Roman" w:hAnsi="Times New Roman" w:eastAsia="宋体" w:cs="Times New Roman"/>
                      <w:b w:val="0"/>
                      <w:color w:val="auto"/>
                      <w:w w:val="100"/>
                      <w:sz w:val="21"/>
                      <w:szCs w:val="21"/>
                      <w:highlight w:val="none"/>
                      <w:lang w:eastAsia="zh-CN"/>
                    </w:rPr>
                  </w:pPr>
                  <w:r>
                    <w:rPr>
                      <w:rFonts w:hint="eastAsia" w:ascii="宋体" w:hAnsi="Impact"/>
                      <w:bCs/>
                      <w:color w:val="auto"/>
                      <w:kern w:val="24"/>
                      <w:sz w:val="21"/>
                      <w:szCs w:val="21"/>
                      <w:lang w:val="en-US" w:eastAsia="zh-CN"/>
                    </w:rPr>
                    <w:t>熔化、</w:t>
                  </w:r>
                  <w:r>
                    <w:rPr>
                      <w:rFonts w:hint="eastAsia" w:ascii="Times New Roman" w:hAnsi="Times New Roman" w:cs="Times New Roman"/>
                      <w:color w:val="auto"/>
                      <w:kern w:val="2"/>
                      <w:sz w:val="21"/>
                      <w:szCs w:val="21"/>
                      <w:lang w:val="en-US" w:eastAsia="zh-CN"/>
                    </w:rPr>
                    <w:t>铸造</w:t>
                  </w:r>
                  <w:r>
                    <w:rPr>
                      <w:rFonts w:hint="eastAsia" w:cs="Times New Roman"/>
                      <w:color w:val="auto"/>
                      <w:kern w:val="2"/>
                      <w:sz w:val="21"/>
                      <w:szCs w:val="21"/>
                      <w:lang w:val="en-US" w:eastAsia="zh-CN"/>
                    </w:rPr>
                    <w:t>、制芯工序：</w:t>
                  </w:r>
                  <w:r>
                    <w:rPr>
                      <w:rFonts w:hint="eastAsia"/>
                      <w:color w:val="auto"/>
                      <w:sz w:val="21"/>
                      <w:szCs w:val="21"/>
                      <w:shd w:val="clear" w:color="auto" w:fill="auto"/>
                      <w:lang w:eastAsia="zh-CN"/>
                    </w:rPr>
                    <w:t>设置集气装置将废气收集后引至水喷淋+UV光解装置进行处理后经15m排气筒高空排放；</w:t>
                  </w:r>
                  <w:r>
                    <w:rPr>
                      <w:rFonts w:hint="eastAsia" w:ascii="Times New Roman" w:hAnsi="Times New Roman" w:cs="Times New Roman"/>
                      <w:color w:val="auto"/>
                      <w:kern w:val="2"/>
                      <w:sz w:val="21"/>
                      <w:szCs w:val="21"/>
                      <w:lang w:val="en-US" w:eastAsia="zh-CN"/>
                    </w:rPr>
                    <w:t>滚砂、机加工工序</w:t>
                  </w:r>
                  <w:r>
                    <w:rPr>
                      <w:rFonts w:hint="eastAsia" w:cs="Times New Roman"/>
                      <w:color w:val="auto"/>
                      <w:kern w:val="2"/>
                      <w:sz w:val="21"/>
                      <w:szCs w:val="21"/>
                      <w:lang w:val="en-US" w:eastAsia="zh-CN"/>
                    </w:rPr>
                    <w:t>：</w:t>
                  </w:r>
                  <w:r>
                    <w:rPr>
                      <w:rFonts w:hint="eastAsia"/>
                      <w:color w:val="auto"/>
                      <w:sz w:val="21"/>
                      <w:szCs w:val="21"/>
                      <w:shd w:val="clear" w:color="auto" w:fill="auto"/>
                      <w:lang w:eastAsia="zh-CN"/>
                    </w:rPr>
                    <w:t>加强机械通风措施；</w:t>
                  </w:r>
                  <w:r>
                    <w:rPr>
                      <w:rFonts w:hint="eastAsia" w:ascii="Times New Roman" w:hAnsi="Times New Roman"/>
                      <w:color w:val="auto"/>
                      <w:kern w:val="2"/>
                      <w:sz w:val="21"/>
                      <w:szCs w:val="21"/>
                      <w:shd w:val="clear" w:color="auto" w:fill="auto"/>
                      <w:lang w:eastAsia="zh-CN"/>
                    </w:rPr>
                    <w:t>抛光工序</w:t>
                  </w:r>
                  <w:r>
                    <w:rPr>
                      <w:rFonts w:hint="eastAsia"/>
                      <w:color w:val="auto"/>
                      <w:kern w:val="2"/>
                      <w:sz w:val="21"/>
                      <w:szCs w:val="21"/>
                      <w:shd w:val="clear" w:color="auto" w:fill="auto"/>
                      <w:lang w:eastAsia="zh-CN"/>
                    </w:rPr>
                    <w:t>：</w:t>
                  </w:r>
                  <w:r>
                    <w:rPr>
                      <w:rFonts w:hint="default" w:ascii="Times New Roman" w:hAnsi="Times New Roman" w:cs="Times New Roman"/>
                      <w:color w:val="auto"/>
                      <w:sz w:val="21"/>
                      <w:szCs w:val="21"/>
                      <w:shd w:val="clear" w:color="auto" w:fill="auto"/>
                      <w:lang w:eastAsia="zh-CN"/>
                    </w:rPr>
                    <w:t>设置集气装置将粉尘收集后引至布袋除尘装置进行处理后经15m排气筒高空排放</w:t>
                  </w:r>
                </w:p>
              </w:tc>
            </w:tr>
            <w:tr>
              <w:tblPrEx>
                <w:tblCellMar>
                  <w:top w:w="0" w:type="dxa"/>
                  <w:left w:w="0" w:type="dxa"/>
                  <w:bottom w:w="0" w:type="dxa"/>
                  <w:right w:w="0" w:type="dxa"/>
                </w:tblCellMar>
              </w:tblPrEx>
              <w:trPr>
                <w:trHeight w:val="23"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废水治理</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default" w:ascii="Times New Roman" w:hAnsi="Times New Roman" w:cs="Times New Roman"/>
                      <w:color w:val="auto"/>
                      <w:kern w:val="24"/>
                      <w:sz w:val="21"/>
                      <w:szCs w:val="21"/>
                      <w:highlight w:val="none"/>
                    </w:rPr>
                    <w:t>冷却用水</w:t>
                  </w:r>
                  <w:r>
                    <w:rPr>
                      <w:rFonts w:hint="eastAsia" w:cs="Times New Roman"/>
                      <w:color w:val="auto"/>
                      <w:kern w:val="24"/>
                      <w:sz w:val="21"/>
                      <w:szCs w:val="21"/>
                      <w:highlight w:val="none"/>
                      <w:lang w:eastAsia="zh-CN"/>
                    </w:rPr>
                    <w:t>和测试用水</w:t>
                  </w:r>
                  <w:r>
                    <w:rPr>
                      <w:rFonts w:hint="eastAsia"/>
                      <w:color w:val="auto"/>
                      <w:sz w:val="21"/>
                      <w:szCs w:val="21"/>
                      <w:shd w:val="clear" w:color="auto" w:fill="auto"/>
                      <w:lang w:eastAsia="zh-CN"/>
                    </w:rPr>
                    <w:t>循环使用，定期补充，不外排；</w:t>
                  </w:r>
                  <w:r>
                    <w:rPr>
                      <w:rFonts w:hint="eastAsia" w:cs="Times New Roman"/>
                      <w:b w:val="0"/>
                      <w:color w:val="auto"/>
                      <w:w w:val="100"/>
                      <w:sz w:val="21"/>
                      <w:highlight w:val="none"/>
                      <w:lang w:eastAsia="zh-CN"/>
                    </w:rPr>
                    <w:t>喷淋废水经收集后定期交具有零星废水处理资质的单位处理，不外排；</w:t>
                  </w:r>
                  <w:r>
                    <w:rPr>
                      <w:rFonts w:hint="default" w:ascii="Times New Roman" w:hAnsi="Times New Roman" w:eastAsia="宋体" w:cs="Times New Roman"/>
                      <w:b w:val="0"/>
                      <w:color w:val="auto"/>
                      <w:w w:val="100"/>
                      <w:sz w:val="21"/>
                      <w:highlight w:val="none"/>
                    </w:rPr>
                    <w:t>生活污水经三级化粪池处理后排放到市政污水管网，引至</w:t>
                  </w:r>
                  <w:r>
                    <w:rPr>
                      <w:rFonts w:hint="eastAsia" w:cs="Times New Roman"/>
                      <w:b w:val="0"/>
                      <w:color w:val="auto"/>
                      <w:w w:val="100"/>
                      <w:sz w:val="21"/>
                      <w:highlight w:val="none"/>
                      <w:lang w:eastAsia="zh-CN"/>
                    </w:rPr>
                    <w:t>开平市水口</w:t>
                  </w:r>
                  <w:r>
                    <w:rPr>
                      <w:rFonts w:hint="default" w:ascii="Times New Roman" w:hAnsi="Times New Roman" w:eastAsia="宋体" w:cs="Times New Roman"/>
                      <w:b w:val="0"/>
                      <w:color w:val="auto"/>
                      <w:w w:val="100"/>
                      <w:sz w:val="21"/>
                      <w:highlight w:val="none"/>
                    </w:rPr>
                    <w:t>污水处理厂处理</w:t>
                  </w:r>
                </w:p>
              </w:tc>
            </w:tr>
            <w:tr>
              <w:tblPrEx>
                <w:tblCellMar>
                  <w:top w:w="0" w:type="dxa"/>
                  <w:left w:w="0" w:type="dxa"/>
                  <w:bottom w:w="0" w:type="dxa"/>
                  <w:right w:w="0" w:type="dxa"/>
                </w:tblCellMar>
              </w:tblPrEx>
              <w:trPr>
                <w:trHeight w:val="322"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噪声治理</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r>
                    <w:rPr>
                      <w:rFonts w:hint="default" w:ascii="Times New Roman" w:hAnsi="Times New Roman" w:eastAsia="宋体" w:cs="Times New Roman"/>
                      <w:b w:val="0"/>
                      <w:color w:val="auto"/>
                      <w:w w:val="100"/>
                      <w:sz w:val="21"/>
                      <w:highlight w:val="none"/>
                    </w:rPr>
                    <w:t>减震、隔声、降噪</w:t>
                  </w:r>
                </w:p>
              </w:tc>
            </w:tr>
            <w:tr>
              <w:tblPrEx>
                <w:tblCellMar>
                  <w:top w:w="0" w:type="dxa"/>
                  <w:left w:w="0" w:type="dxa"/>
                  <w:bottom w:w="0" w:type="dxa"/>
                  <w:right w:w="0" w:type="dxa"/>
                </w:tblCellMar>
              </w:tblPrEx>
              <w:trPr>
                <w:trHeight w:val="23" w:hRule="atLeast"/>
                <w:jc w:val="center"/>
              </w:trPr>
              <w:tc>
                <w:tcPr>
                  <w:tcW w:w="699"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780" w:type="dxa"/>
                  <w:vMerge w:val="continue"/>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rPr>
                  </w:pPr>
                </w:p>
              </w:tc>
              <w:tc>
                <w:tcPr>
                  <w:tcW w:w="1303"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eastAsia="zh-CN"/>
                    </w:rPr>
                  </w:pPr>
                  <w:r>
                    <w:rPr>
                      <w:rFonts w:hint="default" w:ascii="Times New Roman" w:hAnsi="Times New Roman" w:eastAsia="宋体" w:cs="Times New Roman"/>
                      <w:b w:val="0"/>
                      <w:color w:val="auto"/>
                      <w:w w:val="100"/>
                      <w:sz w:val="21"/>
                      <w:highlight w:val="none"/>
                      <w:lang w:eastAsia="zh-CN"/>
                    </w:rPr>
                    <w:t>固废处置</w:t>
                  </w:r>
                </w:p>
              </w:tc>
              <w:tc>
                <w:tcPr>
                  <w:tcW w:w="595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autoSpaceDE/>
                    <w:autoSpaceDN/>
                    <w:snapToGrid/>
                    <w:spacing w:before="0" w:after="0" w:line="240" w:lineRule="auto"/>
                    <w:ind w:left="0" w:firstLine="0"/>
                    <w:jc w:val="center"/>
                    <w:rPr>
                      <w:rFonts w:hint="default" w:ascii="Times New Roman" w:hAnsi="Times New Roman" w:eastAsia="宋体" w:cs="Times New Roman"/>
                      <w:b w:val="0"/>
                      <w:color w:val="auto"/>
                      <w:w w:val="100"/>
                      <w:sz w:val="21"/>
                      <w:highlight w:val="none"/>
                      <w:lang w:val="en-US" w:eastAsia="zh-CN"/>
                    </w:rPr>
                  </w:pPr>
                  <w:r>
                    <w:rPr>
                      <w:rFonts w:hint="default" w:ascii="Times New Roman" w:hAnsi="Times New Roman" w:eastAsia="宋体" w:cs="Times New Roman"/>
                      <w:b w:val="0"/>
                      <w:color w:val="auto"/>
                      <w:w w:val="100"/>
                      <w:sz w:val="21"/>
                      <w:highlight w:val="none"/>
                    </w:rPr>
                    <w:t>生活垃圾</w:t>
                  </w:r>
                  <w:r>
                    <w:rPr>
                      <w:rFonts w:hint="default" w:ascii="Times New Roman" w:hAnsi="Times New Roman" w:cs="Times New Roman"/>
                      <w:color w:val="auto"/>
                      <w:kern w:val="0"/>
                      <w:szCs w:val="21"/>
                      <w:highlight w:val="none"/>
                    </w:rPr>
                    <w:t>交环卫部门处理</w:t>
                  </w:r>
                  <w:r>
                    <w:rPr>
                      <w:rFonts w:hint="default" w:ascii="Times New Roman" w:hAnsi="Times New Roman" w:eastAsia="宋体" w:cs="Times New Roman"/>
                      <w:b w:val="0"/>
                      <w:color w:val="auto"/>
                      <w:w w:val="100"/>
                      <w:sz w:val="21"/>
                      <w:highlight w:val="none"/>
                      <w:lang w:eastAsia="zh-CN"/>
                    </w:rPr>
                    <w:t>；</w:t>
                  </w:r>
                  <w:r>
                    <w:rPr>
                      <w:rFonts w:hint="default" w:ascii="Times New Roman" w:hAnsi="Times New Roman" w:eastAsia="宋体" w:cs="Times New Roman"/>
                      <w:b w:val="0"/>
                      <w:color w:val="auto"/>
                      <w:w w:val="100"/>
                      <w:sz w:val="21"/>
                      <w:highlight w:val="none"/>
                      <w:lang w:val="en-US" w:eastAsia="zh-CN"/>
                    </w:rPr>
                    <w:t>一般</w:t>
                  </w:r>
                  <w:r>
                    <w:rPr>
                      <w:rFonts w:hint="default" w:ascii="Times New Roman" w:hAnsi="Times New Roman" w:eastAsia="宋体" w:cs="Times New Roman"/>
                      <w:b w:val="0"/>
                      <w:color w:val="auto"/>
                      <w:w w:val="100"/>
                      <w:sz w:val="21"/>
                      <w:highlight w:val="none"/>
                    </w:rPr>
                    <w:t>固废</w:t>
                  </w:r>
                  <w:r>
                    <w:rPr>
                      <w:rFonts w:hint="default" w:ascii="Times New Roman" w:hAnsi="Times New Roman" w:eastAsia="宋体" w:cs="Times New Roman"/>
                      <w:b w:val="0"/>
                      <w:color w:val="auto"/>
                      <w:w w:val="100"/>
                      <w:sz w:val="21"/>
                      <w:highlight w:val="none"/>
                      <w:lang w:eastAsia="zh-CN"/>
                    </w:rPr>
                    <w:t>收集后</w:t>
                  </w:r>
                  <w:r>
                    <w:rPr>
                      <w:rFonts w:hint="default" w:ascii="Times New Roman" w:hAnsi="Times New Roman" w:cs="Times New Roman"/>
                      <w:color w:val="auto"/>
                      <w:szCs w:val="21"/>
                      <w:highlight w:val="none"/>
                    </w:rPr>
                    <w:t>交专业公司回收处理</w:t>
                  </w:r>
                  <w:r>
                    <w:rPr>
                      <w:rFonts w:hint="eastAsia" w:cs="Times New Roman"/>
                      <w:color w:val="auto"/>
                      <w:szCs w:val="21"/>
                      <w:highlight w:val="none"/>
                      <w:lang w:eastAsia="zh-CN"/>
                    </w:rPr>
                    <w:t>；</w:t>
                  </w:r>
                  <w:r>
                    <w:rPr>
                      <w:rFonts w:hint="eastAsia"/>
                      <w:color w:val="auto"/>
                      <w:sz w:val="21"/>
                      <w:szCs w:val="21"/>
                    </w:rPr>
                    <w:t>危险废物</w:t>
                  </w:r>
                  <w:r>
                    <w:rPr>
                      <w:rFonts w:hint="eastAsia" w:hAnsi="宋体"/>
                      <w:color w:val="auto"/>
                      <w:sz w:val="21"/>
                      <w:szCs w:val="21"/>
                    </w:rPr>
                    <w:t>交给有危险废物处置资质单位处置</w:t>
                  </w:r>
                </w:p>
              </w:tc>
            </w:tr>
          </w:tbl>
          <w:p>
            <w:pPr>
              <w:pStyle w:val="16"/>
              <w:keepNext w:val="0"/>
              <w:keepLines w:val="0"/>
              <w:pageBreakBefore w:val="0"/>
              <w:tabs>
                <w:tab w:val="left" w:pos="2226"/>
              </w:tabs>
              <w:kinsoku/>
              <w:wordWrap/>
              <w:overflowPunct/>
              <w:topLinePunct w:val="0"/>
              <w:autoSpaceDE/>
              <w:autoSpaceDN/>
              <w:bidi w:val="0"/>
              <w:adjustRightInd w:val="0"/>
              <w:snapToGrid w:val="0"/>
              <w:spacing w:line="336" w:lineRule="auto"/>
              <w:ind w:left="0" w:firstLine="482" w:firstLineChars="200"/>
              <w:textAlignment w:val="auto"/>
              <w:rPr>
                <w:b/>
                <w:color w:val="auto"/>
                <w:kern w:val="2"/>
                <w:shd w:val="clear" w:color="auto" w:fill="auto"/>
              </w:rPr>
            </w:pPr>
            <w:r>
              <w:rPr>
                <w:rFonts w:hint="eastAsia"/>
                <w:b/>
                <w:color w:val="auto"/>
                <w:kern w:val="2"/>
                <w:shd w:val="clear" w:color="auto" w:fill="auto"/>
                <w:lang w:eastAsia="zh-CN"/>
              </w:rPr>
              <w:t>五</w:t>
            </w:r>
            <w:r>
              <w:rPr>
                <w:b/>
                <w:color w:val="auto"/>
                <w:kern w:val="2"/>
                <w:shd w:val="clear" w:color="auto" w:fill="auto"/>
              </w:rPr>
              <w:t>、</w:t>
            </w:r>
            <w:r>
              <w:rPr>
                <w:b/>
                <w:bCs/>
                <w:color w:val="auto"/>
                <w:kern w:val="2"/>
                <w:shd w:val="clear" w:color="auto" w:fill="auto"/>
              </w:rPr>
              <w:t>公用工程</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ascii="Times New Roman" w:hAnsi="Times New Roman" w:eastAsia="宋体"/>
                <w:color w:val="auto"/>
                <w:kern w:val="0"/>
                <w:sz w:val="24"/>
                <w:shd w:val="clear" w:color="auto" w:fill="auto"/>
                <w:lang w:eastAsia="zh-CN"/>
              </w:rPr>
            </w:pPr>
            <w:r>
              <w:rPr>
                <w:rFonts w:ascii="Times New Roman" w:hAnsi="Times New Roman"/>
                <w:color w:val="auto"/>
                <w:kern w:val="0"/>
                <w:sz w:val="24"/>
                <w:shd w:val="clear" w:color="auto" w:fill="auto"/>
              </w:rPr>
              <w:t>（1）给水</w:t>
            </w:r>
            <w:r>
              <w:rPr>
                <w:rFonts w:hint="eastAsia" w:ascii="Times New Roman" w:hAnsi="Times New Roman"/>
                <w:color w:val="auto"/>
                <w:kern w:val="0"/>
                <w:sz w:val="24"/>
                <w:shd w:val="clear" w:color="auto" w:fill="auto"/>
              </w:rPr>
              <w:t>系统</w:t>
            </w:r>
          </w:p>
          <w:p>
            <w:pPr>
              <w:keepNext w:val="0"/>
              <w:keepLines w:val="0"/>
              <w:pageBreakBefore w:val="0"/>
              <w:kinsoku/>
              <w:wordWrap/>
              <w:overflowPunct/>
              <w:topLinePunct w:val="0"/>
              <w:autoSpaceDE/>
              <w:autoSpaceDN/>
              <w:bidi w:val="0"/>
              <w:adjustRightInd w:val="0"/>
              <w:spacing w:line="336" w:lineRule="auto"/>
              <w:ind w:firstLine="480" w:firstLineChars="200"/>
              <w:textAlignment w:val="auto"/>
              <w:rPr>
                <w:rFonts w:hint="eastAsia"/>
                <w:color w:val="auto"/>
                <w:sz w:val="24"/>
                <w:lang w:eastAsia="zh-CN"/>
              </w:rPr>
            </w:pPr>
            <w:r>
              <w:rPr>
                <w:rFonts w:hint="eastAsia"/>
                <w:color w:val="auto"/>
                <w:sz w:val="24"/>
                <w:lang w:eastAsia="zh-CN"/>
              </w:rPr>
              <w:t>本</w:t>
            </w:r>
            <w:r>
              <w:rPr>
                <w:rFonts w:ascii="Times New Roman" w:hAnsi="Times New Roman"/>
                <w:color w:val="auto"/>
                <w:sz w:val="24"/>
              </w:rPr>
              <w:t>项目</w:t>
            </w:r>
            <w:r>
              <w:rPr>
                <w:rFonts w:hint="eastAsia"/>
                <w:color w:val="auto"/>
                <w:sz w:val="24"/>
                <w:lang w:eastAsia="zh-CN"/>
              </w:rPr>
              <w:t>给水系统主要包括冷却用水、测试用水、喷淋用水和生活污水，均</w:t>
            </w:r>
            <w:r>
              <w:rPr>
                <w:rFonts w:ascii="Times New Roman" w:hAnsi="Times New Roman"/>
                <w:color w:val="auto"/>
                <w:sz w:val="24"/>
              </w:rPr>
              <w:t>由市政管道供给</w:t>
            </w:r>
            <w:r>
              <w:rPr>
                <w:rFonts w:hint="eastAsia"/>
                <w:color w:val="auto"/>
                <w:sz w:val="24"/>
                <w:lang w:eastAsia="zh-CN"/>
              </w:rPr>
              <w:t>。</w:t>
            </w:r>
          </w:p>
          <w:p>
            <w:pPr>
              <w:adjustRightInd w:val="0"/>
              <w:spacing w:line="360" w:lineRule="auto"/>
              <w:ind w:firstLine="480" w:firstLineChars="200"/>
              <w:rPr>
                <w:rFonts w:hint="eastAsia" w:hAnsi="宋体"/>
                <w:b w:val="0"/>
                <w:bCs/>
                <w:color w:val="auto"/>
                <w:sz w:val="24"/>
                <w:lang w:val="en-US" w:eastAsia="zh-CN"/>
              </w:rPr>
            </w:pPr>
            <w:r>
              <w:rPr>
                <w:rFonts w:hint="eastAsia" w:hAnsi="宋体"/>
                <w:b w:val="0"/>
                <w:bCs/>
                <w:color w:val="auto"/>
                <w:sz w:val="24"/>
                <w:lang w:eastAsia="zh-CN"/>
              </w:rPr>
              <w:t>冷却用水：项目冷却水循环使用，不外排，循环水量为2t/h，因受热等因素损失，需定期补充新鲜水，损耗补充用水约占循环水量的2%，即补充用水量为0.04t/h（96t/a）。</w:t>
            </w:r>
          </w:p>
          <w:p>
            <w:pPr>
              <w:adjustRightInd w:val="0"/>
              <w:spacing w:line="360" w:lineRule="auto"/>
              <w:ind w:firstLine="480" w:firstLineChars="200"/>
              <w:rPr>
                <w:rFonts w:hint="default" w:hAnsi="宋体" w:eastAsia="宋体"/>
                <w:b w:val="0"/>
                <w:bCs/>
                <w:color w:val="auto"/>
                <w:sz w:val="24"/>
                <w:lang w:val="en-US" w:eastAsia="zh-CN"/>
              </w:rPr>
            </w:pPr>
            <w:r>
              <w:rPr>
                <w:rFonts w:hint="eastAsia" w:hAnsi="宋体"/>
                <w:b w:val="0"/>
                <w:bCs/>
                <w:color w:val="auto"/>
                <w:sz w:val="24"/>
                <w:lang w:eastAsia="zh-CN"/>
              </w:rPr>
              <w:t>测试用水：项目测试用水循环使用，定期补充，不外排，年用量约3t/a。</w:t>
            </w:r>
          </w:p>
          <w:p>
            <w:pPr>
              <w:adjustRightInd w:val="0"/>
              <w:spacing w:line="360" w:lineRule="auto"/>
              <w:ind w:firstLine="480" w:firstLineChars="200"/>
              <w:rPr>
                <w:rFonts w:hint="eastAsia" w:hAnsi="宋体"/>
                <w:b w:val="0"/>
                <w:bCs/>
                <w:color w:val="auto"/>
                <w:sz w:val="24"/>
              </w:rPr>
            </w:pPr>
            <w:r>
              <w:rPr>
                <w:rFonts w:hint="eastAsia" w:hAnsi="宋体"/>
                <w:b w:val="0"/>
                <w:bCs/>
                <w:color w:val="auto"/>
                <w:sz w:val="24"/>
              </w:rPr>
              <w:t>喷淋用水：</w:t>
            </w:r>
            <w:r>
              <w:rPr>
                <w:rFonts w:hint="eastAsia" w:hAnsi="宋体"/>
                <w:color w:val="auto"/>
                <w:sz w:val="24"/>
              </w:rPr>
              <w:t>项目采用水喷淋</w:t>
            </w:r>
            <w:r>
              <w:rPr>
                <w:rFonts w:hint="eastAsia" w:hAnsi="宋体"/>
                <w:color w:val="auto"/>
                <w:sz w:val="24"/>
                <w:lang w:val="en-US" w:eastAsia="zh-CN"/>
              </w:rPr>
              <w:t>+UV光解</w:t>
            </w:r>
            <w:r>
              <w:rPr>
                <w:rFonts w:hint="eastAsia" w:hAnsi="宋体"/>
                <w:color w:val="auto"/>
                <w:sz w:val="24"/>
              </w:rPr>
              <w:t>装置对</w:t>
            </w:r>
            <w:r>
              <w:rPr>
                <w:rFonts w:hint="eastAsia" w:hAnsi="宋体"/>
                <w:color w:val="auto"/>
                <w:sz w:val="24"/>
                <w:lang w:val="en-US" w:eastAsia="zh-CN"/>
              </w:rPr>
              <w:t>熔化、铸造、制芯</w:t>
            </w:r>
            <w:r>
              <w:rPr>
                <w:rFonts w:hint="eastAsia" w:hAnsi="宋体"/>
                <w:color w:val="auto"/>
                <w:sz w:val="24"/>
              </w:rPr>
              <w:t>工序产生的</w:t>
            </w:r>
            <w:r>
              <w:rPr>
                <w:rFonts w:hint="eastAsia" w:hAnsi="宋体"/>
                <w:color w:val="auto"/>
                <w:sz w:val="24"/>
                <w:lang w:eastAsia="zh-CN"/>
              </w:rPr>
              <w:t>废气</w:t>
            </w:r>
            <w:r>
              <w:rPr>
                <w:rFonts w:hint="eastAsia" w:hAnsi="宋体"/>
                <w:color w:val="auto"/>
                <w:sz w:val="24"/>
              </w:rPr>
              <w:t>进行处理，</w:t>
            </w:r>
            <w:r>
              <w:rPr>
                <w:rFonts w:hint="default" w:ascii="Times New Roman" w:hAnsi="Times New Roman" w:cs="Times New Roman"/>
                <w:color w:val="auto"/>
                <w:sz w:val="24"/>
                <w:lang w:eastAsia="zh-CN"/>
              </w:rPr>
              <w:t>水喷淋装置循环水池有效水容积为</w:t>
            </w:r>
            <w:r>
              <w:rPr>
                <w:rFonts w:hint="eastAsia" w:cs="Times New Roman"/>
                <w:color w:val="auto"/>
                <w:sz w:val="24"/>
                <w:lang w:val="en-US" w:eastAsia="zh-CN"/>
              </w:rPr>
              <w:t>1.5</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，水泵流量为0.5t/h</w:t>
            </w:r>
            <w:r>
              <w:rPr>
                <w:rFonts w:hint="eastAsia" w:cs="Times New Roman"/>
                <w:color w:val="auto"/>
                <w:sz w:val="24"/>
                <w:lang w:eastAsia="zh-CN"/>
              </w:rPr>
              <w:t>，每天工作8h，循环水量为4t/d</w:t>
            </w:r>
            <w:r>
              <w:rPr>
                <w:rFonts w:hint="default" w:ascii="Times New Roman" w:hAnsi="Times New Roman" w:cs="Times New Roman"/>
                <w:color w:val="auto"/>
                <w:sz w:val="24"/>
                <w:lang w:val="en-US" w:eastAsia="zh-CN"/>
              </w:rPr>
              <w:t>，</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s="Times New Roman"/>
                <w:color w:val="auto"/>
                <w:sz w:val="24"/>
                <w:lang w:val="en-US" w:eastAsia="zh-CN"/>
              </w:rPr>
              <w:t>0.08</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w:t>
            </w:r>
            <w:r>
              <w:rPr>
                <w:rFonts w:hint="eastAsia" w:cs="Times New Roman"/>
                <w:color w:val="auto"/>
                <w:sz w:val="24"/>
                <w:lang w:val="en-US" w:eastAsia="zh-CN"/>
              </w:rPr>
              <w:t>24</w:t>
            </w:r>
            <w:r>
              <w:rPr>
                <w:rFonts w:hint="default" w:ascii="Times New Roman" w:hAnsi="Times New Roman" w:cs="Times New Roman"/>
                <w:color w:val="auto"/>
                <w:sz w:val="24"/>
              </w:rPr>
              <w:t>t/a。</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default" w:ascii="Times New Roman" w:hAnsi="Times New Roman" w:cs="Times New Roman"/>
                <w:color w:val="auto"/>
                <w:sz w:val="24"/>
                <w:shd w:val="clear" w:color="auto" w:fill="auto"/>
              </w:rPr>
            </w:pPr>
            <w:r>
              <w:rPr>
                <w:rFonts w:hint="eastAsia"/>
                <w:b w:val="0"/>
                <w:bCs/>
                <w:color w:val="auto"/>
                <w:sz w:val="24"/>
                <w:shd w:val="clear" w:color="auto" w:fill="auto"/>
              </w:rPr>
              <w:t>生活</w:t>
            </w:r>
            <w:r>
              <w:rPr>
                <w:rFonts w:hint="eastAsia"/>
                <w:b w:val="0"/>
                <w:bCs/>
                <w:color w:val="auto"/>
                <w:sz w:val="24"/>
                <w:shd w:val="clear" w:color="auto" w:fill="auto"/>
                <w:lang w:eastAsia="zh-CN"/>
              </w:rPr>
              <w:t>用</w:t>
            </w:r>
            <w:r>
              <w:rPr>
                <w:rFonts w:hint="eastAsia"/>
                <w:b w:val="0"/>
                <w:bCs/>
                <w:color w:val="auto"/>
                <w:sz w:val="24"/>
                <w:shd w:val="clear" w:color="auto" w:fill="auto"/>
              </w:rPr>
              <w:t>水：</w:t>
            </w:r>
            <w:r>
              <w:rPr>
                <w:rFonts w:hint="default" w:ascii="Times New Roman" w:hAnsi="Times New Roman" w:cs="Times New Roman"/>
                <w:color w:val="auto"/>
                <w:sz w:val="24"/>
                <w:shd w:val="clear" w:color="auto" w:fill="auto"/>
              </w:rPr>
              <w:t>项目设有员工及管理人员总数为</w:t>
            </w:r>
            <w:r>
              <w:rPr>
                <w:rFonts w:hint="eastAsia" w:cs="Times New Roman"/>
                <w:color w:val="auto"/>
                <w:sz w:val="24"/>
                <w:shd w:val="clear" w:color="auto" w:fill="auto"/>
                <w:lang w:val="en-US" w:eastAsia="zh-CN"/>
              </w:rPr>
              <w:t>70</w:t>
            </w:r>
            <w:r>
              <w:rPr>
                <w:rFonts w:hint="default" w:ascii="Times New Roman" w:hAnsi="Times New Roman" w:cs="Times New Roman"/>
                <w:color w:val="auto"/>
                <w:sz w:val="24"/>
                <w:shd w:val="clear" w:color="auto" w:fill="auto"/>
              </w:rPr>
              <w:t>人，均</w:t>
            </w:r>
            <w:r>
              <w:rPr>
                <w:rFonts w:hint="default" w:ascii="Times New Roman" w:hAnsi="Times New Roman" w:cs="Times New Roman"/>
                <w:color w:val="auto"/>
                <w:sz w:val="24"/>
                <w:shd w:val="clear" w:color="auto" w:fill="auto"/>
                <w:lang w:eastAsia="zh-CN"/>
              </w:rPr>
              <w:t>不</w:t>
            </w:r>
            <w:r>
              <w:rPr>
                <w:rFonts w:hint="default" w:ascii="Times New Roman" w:hAnsi="Times New Roman" w:cs="Times New Roman"/>
                <w:color w:val="auto"/>
                <w:sz w:val="24"/>
                <w:shd w:val="clear" w:color="auto" w:fill="auto"/>
              </w:rPr>
              <w:t>在项目内食宿</w:t>
            </w:r>
            <w:r>
              <w:rPr>
                <w:rFonts w:hint="default" w:ascii="Times New Roman" w:hAnsi="Times New Roman" w:cs="Times New Roman"/>
                <w:bCs/>
                <w:color w:val="auto"/>
                <w:sz w:val="24"/>
                <w:shd w:val="clear" w:color="auto" w:fill="auto"/>
              </w:rPr>
              <w:t>，根据《广东省用水定额》（DB 44/T 1461-2014），员工办用水定额按0.04t/人·日计，</w:t>
            </w:r>
            <w:r>
              <w:rPr>
                <w:rFonts w:hint="default" w:ascii="Times New Roman" w:hAnsi="Times New Roman" w:cs="Times New Roman"/>
                <w:color w:val="auto"/>
                <w:sz w:val="24"/>
                <w:shd w:val="clear" w:color="auto" w:fill="auto"/>
              </w:rPr>
              <w:t>则项目一天用水量=0.</w:t>
            </w:r>
            <w:r>
              <w:rPr>
                <w:rFonts w:hint="default" w:ascii="Times New Roman" w:hAnsi="Times New Roman" w:cs="Times New Roman"/>
                <w:color w:val="auto"/>
                <w:sz w:val="24"/>
                <w:shd w:val="clear" w:color="auto" w:fill="auto"/>
                <w:lang w:val="en-US" w:eastAsia="zh-CN"/>
              </w:rPr>
              <w:t>04</w:t>
            </w:r>
            <w:r>
              <w:rPr>
                <w:rFonts w:hint="default" w:ascii="Times New Roman" w:hAnsi="Times New Roman" w:cs="Times New Roman"/>
                <w:color w:val="auto"/>
                <w:sz w:val="24"/>
                <w:shd w:val="clear" w:color="auto" w:fill="auto"/>
              </w:rPr>
              <w:t>t/d×</w:t>
            </w:r>
            <w:r>
              <w:rPr>
                <w:rFonts w:hint="eastAsia" w:cs="Times New Roman"/>
                <w:color w:val="auto"/>
                <w:sz w:val="24"/>
                <w:shd w:val="clear" w:color="auto" w:fill="auto"/>
                <w:lang w:val="en-US" w:eastAsia="zh-CN"/>
              </w:rPr>
              <w:t>70</w:t>
            </w:r>
            <w:r>
              <w:rPr>
                <w:rFonts w:hint="default" w:ascii="Times New Roman" w:hAnsi="Times New Roman" w:cs="Times New Roman"/>
                <w:color w:val="auto"/>
                <w:sz w:val="24"/>
                <w:shd w:val="clear" w:color="auto" w:fill="auto"/>
              </w:rPr>
              <w:t>=</w:t>
            </w:r>
            <w:r>
              <w:rPr>
                <w:rFonts w:hint="eastAsia" w:cs="Times New Roman"/>
                <w:color w:val="auto"/>
                <w:sz w:val="24"/>
                <w:shd w:val="clear" w:color="auto" w:fill="auto"/>
                <w:lang w:val="en-US" w:eastAsia="zh-CN"/>
              </w:rPr>
              <w:t>2.8</w:t>
            </w:r>
            <w:r>
              <w:rPr>
                <w:rFonts w:hint="default" w:ascii="Times New Roman" w:hAnsi="Times New Roman" w:cs="Times New Roman"/>
                <w:color w:val="auto"/>
                <w:sz w:val="24"/>
                <w:shd w:val="clear" w:color="auto" w:fill="auto"/>
              </w:rPr>
              <w:t>t/d，一年300天计算，生活用水量为</w:t>
            </w:r>
            <w:r>
              <w:rPr>
                <w:rFonts w:hint="eastAsia" w:cs="Times New Roman"/>
                <w:color w:val="auto"/>
                <w:sz w:val="24"/>
                <w:shd w:val="clear" w:color="auto" w:fill="auto"/>
                <w:lang w:val="en-US" w:eastAsia="zh-CN"/>
              </w:rPr>
              <w:t>840</w:t>
            </w:r>
            <w:r>
              <w:rPr>
                <w:rFonts w:hint="default" w:ascii="Times New Roman" w:hAnsi="Times New Roman" w:cs="Times New Roman"/>
                <w:color w:val="auto"/>
                <w:sz w:val="24"/>
                <w:shd w:val="clear" w:color="auto" w:fill="auto"/>
              </w:rPr>
              <w:t>t/a。</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sz w:val="24"/>
              </w:rPr>
            </w:pPr>
            <w:r>
              <w:rPr>
                <w:rFonts w:hint="eastAsia"/>
                <w:color w:val="auto"/>
                <w:sz w:val="24"/>
              </w:rPr>
              <w:t>（2）排水系统</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sz w:val="24"/>
                <w:shd w:val="clear" w:color="auto" w:fill="auto"/>
              </w:rPr>
            </w:pPr>
            <w:r>
              <w:rPr>
                <w:rFonts w:hint="eastAsia"/>
                <w:color w:val="auto"/>
                <w:sz w:val="24"/>
              </w:rPr>
              <w:t>项目冷却用水和测试用水循环使用，定期补充，不外排；喷淋废水经收集后定期交具有零星废水处理资质的单位处理，不外排</w:t>
            </w:r>
            <w:r>
              <w:rPr>
                <w:rFonts w:hint="eastAsia"/>
                <w:color w:val="auto"/>
                <w:sz w:val="24"/>
                <w:lang w:eastAsia="zh-CN"/>
              </w:rPr>
              <w:t>，因此</w:t>
            </w:r>
            <w:r>
              <w:rPr>
                <w:rFonts w:hint="eastAsia"/>
                <w:color w:val="auto"/>
                <w:sz w:val="24"/>
              </w:rPr>
              <w:t>无生产废水排放。废水主要为生活污水</w:t>
            </w:r>
            <w:r>
              <w:rPr>
                <w:rFonts w:hint="eastAsia"/>
                <w:color w:val="auto"/>
                <w:sz w:val="24"/>
                <w:lang w:eastAsia="zh-CN"/>
              </w:rPr>
              <w:t>，</w:t>
            </w:r>
            <w:r>
              <w:rPr>
                <w:color w:val="auto"/>
                <w:sz w:val="24"/>
                <w:shd w:val="clear" w:color="auto" w:fill="auto"/>
              </w:rPr>
              <w:t>排污系数按0.9计算，则生活污水排放量约为</w:t>
            </w:r>
            <w:r>
              <w:rPr>
                <w:rFonts w:hint="eastAsia"/>
                <w:color w:val="auto"/>
                <w:sz w:val="24"/>
                <w:shd w:val="clear" w:color="auto" w:fill="auto"/>
                <w:lang w:val="en-US" w:eastAsia="zh-CN"/>
              </w:rPr>
              <w:t>756</w:t>
            </w:r>
            <w:r>
              <w:rPr>
                <w:rFonts w:hint="eastAsia"/>
                <w:color w:val="auto"/>
                <w:sz w:val="24"/>
                <w:shd w:val="clear" w:color="auto" w:fill="auto"/>
              </w:rPr>
              <w:t>t</w:t>
            </w:r>
            <w:r>
              <w:rPr>
                <w:color w:val="auto"/>
                <w:sz w:val="24"/>
                <w:shd w:val="clear" w:color="auto" w:fill="auto"/>
              </w:rPr>
              <w:t>/a，</w:t>
            </w:r>
            <w:r>
              <w:rPr>
                <w:rFonts w:hint="eastAsia"/>
                <w:bCs/>
                <w:color w:val="auto"/>
                <w:sz w:val="24"/>
                <w:shd w:val="clear" w:color="auto" w:fill="auto"/>
              </w:rPr>
              <w:t>生活污水经三级化粪池预处理后，达到</w:t>
            </w:r>
            <w:r>
              <w:rPr>
                <w:rFonts w:hint="eastAsia"/>
                <w:bCs/>
                <w:color w:val="auto"/>
                <w:sz w:val="24"/>
                <w:shd w:val="clear" w:color="auto" w:fill="auto"/>
                <w:lang w:eastAsia="zh-CN"/>
              </w:rPr>
              <w:t>广东省地方标准《水污染物排放限值》</w:t>
            </w:r>
            <w:r>
              <w:rPr>
                <w:rFonts w:hint="eastAsia"/>
                <w:bCs/>
                <w:color w:val="auto"/>
                <w:sz w:val="24"/>
                <w:shd w:val="clear" w:color="auto" w:fill="auto"/>
              </w:rPr>
              <w:t>（DB44/26-2001）第二时段三级标准</w:t>
            </w:r>
            <w:r>
              <w:rPr>
                <w:rFonts w:hint="eastAsia"/>
                <w:color w:val="auto"/>
                <w:sz w:val="24"/>
                <w:shd w:val="clear" w:color="auto" w:fill="auto"/>
              </w:rPr>
              <w:t>和</w:t>
            </w:r>
            <w:r>
              <w:rPr>
                <w:rFonts w:hint="eastAsia"/>
                <w:color w:val="auto"/>
                <w:sz w:val="24"/>
                <w:shd w:val="clear" w:color="auto" w:fill="auto"/>
                <w:lang w:eastAsia="zh-CN"/>
              </w:rPr>
              <w:t>《污水排入城镇下水道水质标准》(GB/T31962-2015 )B级标准</w:t>
            </w:r>
            <w:r>
              <w:rPr>
                <w:rFonts w:hint="eastAsia"/>
                <w:color w:val="auto"/>
                <w:sz w:val="24"/>
                <w:shd w:val="clear" w:color="auto" w:fill="auto"/>
              </w:rPr>
              <w:t>较严者</w:t>
            </w:r>
            <w:r>
              <w:rPr>
                <w:rFonts w:hint="eastAsia"/>
                <w:bCs/>
                <w:color w:val="auto"/>
                <w:sz w:val="24"/>
                <w:shd w:val="clear" w:color="auto" w:fill="auto"/>
              </w:rPr>
              <w:t>排放至市政污水管网，</w:t>
            </w:r>
            <w:r>
              <w:rPr>
                <w:rFonts w:hint="eastAsia"/>
                <w:color w:val="auto"/>
                <w:sz w:val="24"/>
                <w:shd w:val="clear" w:color="auto" w:fill="auto"/>
              </w:rPr>
              <w:t>然后</w:t>
            </w:r>
            <w:r>
              <w:rPr>
                <w:rFonts w:hint="eastAsia"/>
                <w:bCs/>
                <w:color w:val="auto"/>
                <w:sz w:val="24"/>
                <w:shd w:val="clear" w:color="auto" w:fill="auto"/>
              </w:rPr>
              <w:t>引</w:t>
            </w:r>
            <w:r>
              <w:rPr>
                <w:rFonts w:hint="eastAsia"/>
                <w:color w:val="auto"/>
                <w:sz w:val="24"/>
                <w:shd w:val="clear" w:color="auto" w:fill="auto"/>
              </w:rPr>
              <w:t>至</w:t>
            </w:r>
            <w:r>
              <w:rPr>
                <w:rFonts w:hint="eastAsia"/>
                <w:color w:val="auto"/>
                <w:sz w:val="24"/>
                <w:shd w:val="clear" w:color="auto" w:fill="auto"/>
                <w:lang w:eastAsia="zh-CN"/>
              </w:rPr>
              <w:t>开平市水口污水处理厂</w:t>
            </w:r>
            <w:r>
              <w:rPr>
                <w:rFonts w:hint="eastAsia"/>
                <w:color w:val="auto"/>
                <w:sz w:val="24"/>
                <w:shd w:val="clear" w:color="auto" w:fill="auto"/>
              </w:rPr>
              <w:t>处</w:t>
            </w:r>
            <w:r>
              <w:rPr>
                <w:rFonts w:hint="eastAsia"/>
                <w:bCs/>
                <w:color w:val="auto"/>
                <w:sz w:val="24"/>
                <w:shd w:val="clear" w:color="auto" w:fill="auto"/>
              </w:rPr>
              <w:t>理后达</w:t>
            </w:r>
            <w:r>
              <w:rPr>
                <w:rFonts w:hint="eastAsia"/>
                <w:color w:val="auto"/>
                <w:sz w:val="24"/>
                <w:shd w:val="clear" w:color="auto" w:fill="auto"/>
              </w:rPr>
              <w:t>到</w:t>
            </w:r>
            <w:r>
              <w:rPr>
                <w:rFonts w:hint="eastAsia"/>
                <w:color w:val="auto"/>
                <w:sz w:val="24"/>
                <w:shd w:val="clear" w:color="auto" w:fill="auto"/>
                <w:lang w:eastAsia="zh-CN"/>
              </w:rPr>
              <w:t>《城镇污水处理厂污染物排放标准》（GB18918-2002）中一级A 标准及广东省地方标准《水污染物排放限值》（DB44/26-2001）第二时段一级标准的较严值</w:t>
            </w:r>
            <w:r>
              <w:rPr>
                <w:bCs/>
                <w:color w:val="auto"/>
                <w:sz w:val="24"/>
                <w:shd w:val="clear" w:color="auto" w:fill="auto"/>
              </w:rPr>
              <w:t>后排放</w:t>
            </w:r>
            <w:r>
              <w:rPr>
                <w:rFonts w:hint="eastAsia"/>
                <w:color w:val="auto"/>
                <w:sz w:val="24"/>
                <w:shd w:val="clear" w:color="auto" w:fill="auto"/>
              </w:rPr>
              <w:t>。</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r>
              <w:rPr>
                <w:rFonts w:hint="eastAsia"/>
                <w:color w:val="auto"/>
                <w:kern w:val="0"/>
                <w:sz w:val="24"/>
                <w:lang w:val="en-US" w:eastAsia="zh-CN"/>
              </w:rPr>
              <w:t>项目水平衡图如下图所示：</w:t>
            </w: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keepNext w:val="0"/>
              <w:keepLines w:val="0"/>
              <w:pageBreakBefore w:val="0"/>
              <w:widowControl/>
              <w:kinsoku/>
              <w:wordWrap/>
              <w:overflowPunct/>
              <w:topLinePunct w:val="0"/>
              <w:autoSpaceDE/>
              <w:autoSpaceDN/>
              <w:bidi w:val="0"/>
              <w:adjustRightInd w:val="0"/>
              <w:snapToGrid w:val="0"/>
              <w:spacing w:line="336" w:lineRule="auto"/>
              <w:ind w:firstLine="480" w:firstLineChars="200"/>
              <w:textAlignment w:val="auto"/>
              <w:rPr>
                <w:rFonts w:hint="eastAsia"/>
                <w:color w:val="auto"/>
                <w:kern w:val="0"/>
                <w:sz w:val="24"/>
                <w:lang w:val="en-US" w:eastAsia="zh-CN"/>
              </w:rPr>
            </w:pPr>
          </w:p>
          <w:p>
            <w:pPr>
              <w:pStyle w:val="47"/>
              <w:rPr>
                <w:rFonts w:hint="eastAsia"/>
                <w:color w:val="auto"/>
                <w:kern w:val="0"/>
                <w:sz w:val="24"/>
                <w:lang w:val="en-US" w:eastAsia="zh-CN"/>
              </w:rPr>
            </w:pPr>
            <w:r>
              <w:rPr>
                <w:color w:val="auto"/>
                <w:sz w:val="24"/>
              </w:rPr>
              <w:pict>
                <v:group id="_x0000_s2093" o:spid="_x0000_s2093" o:spt="203" style="height:214.35pt;width:461.95pt;" coordsize="5866763,2722240" editas="canvas">
                  <o:lock v:ext="edit"/>
                  <v:shape id="_x0000_s2094" o:spid="_x0000_s2094" o:spt="75" type="#_x0000_t75" style="position:absolute;left:0;top:0;height:2722240;width:5866763;" filled="f" stroked="f" coordsize="21600,21600">
                    <v:path/>
                    <v:fill on="f" focussize="0,0"/>
                    <v:stroke on="f"/>
                    <v:imagedata o:title=""/>
                    <o:lock v:ext="edit" aspectratio="f"/>
                  </v:shape>
                  <v:shape id="_x0000_s2095" o:spid="_x0000_s2095" o:spt="202" type="#_x0000_t202" style="position:absolute;left:19050;top:1275078;height:317499;width:815340;" filled="f" stroked="f" coordsize="21600,21600">
                    <v:path/>
                    <v:fill on="f" focussize="0,0"/>
                    <v:stroke on="f"/>
                    <v:imagedata o:title=""/>
                    <o:lock v:ext="edit" aspectratio="f"/>
                    <v:textbox>
                      <w:txbxContent>
                        <w:p>
                          <w:pPr>
                            <w:rPr>
                              <w:rFonts w:hint="eastAsia" w:ascii="Times New Roman" w:hAnsi="Times New Roman" w:eastAsia="等线"/>
                              <w:color w:val="auto"/>
                              <w:lang w:val="en-US" w:eastAsia="zh-CN"/>
                            </w:rPr>
                          </w:pPr>
                          <w:r>
                            <w:rPr>
                              <w:rFonts w:hint="eastAsia" w:ascii="Times New Roman" w:hAnsi="Times New Roman"/>
                              <w:color w:val="auto"/>
                              <w:lang w:val="en-US" w:eastAsia="zh-CN"/>
                            </w:rPr>
                            <w:t>市政供水</w:t>
                          </w:r>
                        </w:p>
                      </w:txbxContent>
                    </v:textbox>
                  </v:shape>
                  <v:shape id="_x0000_s2096" o:spid="_x0000_s2096" o:spt="202" type="#_x0000_t202" style="position:absolute;left:1437005;top:313055;height:279400;width:736600;" filled="f" stroked="t" coordsize="21600,21600">
                    <v:path/>
                    <v:fill on="f" focussize="0,0"/>
                    <v:stroke color="#000000" joinstyle="miter"/>
                    <v:imagedata o:title=""/>
                    <o:lock v:ext="edit" aspectratio="f"/>
                    <v:textbox>
                      <w:txbxContent>
                        <w:p>
                          <w:pPr>
                            <w:jc w:val="center"/>
                            <w:rPr>
                              <w:rFonts w:ascii="宋体" w:hAnsi="宋体" w:eastAsia="宋体"/>
                              <w:color w:val="auto"/>
                            </w:rPr>
                          </w:pPr>
                          <w:r>
                            <w:rPr>
                              <w:rFonts w:hint="eastAsia" w:ascii="宋体" w:hAnsi="宋体" w:eastAsia="宋体"/>
                              <w:color w:val="auto"/>
                            </w:rPr>
                            <w:t>生活用水</w:t>
                          </w:r>
                        </w:p>
                      </w:txbxContent>
                    </v:textbox>
                  </v:shape>
                  <v:shape id="_x0000_s2097" o:spid="_x0000_s2097" o:spt="32" type="#_x0000_t32" style="position:absolute;left:2179954;top:484504;height:635;width:320675;" filled="f" stroked="t" coordsize="21600,21600">
                    <v:path arrowok="t"/>
                    <v:fill on="f" focussize="0,0"/>
                    <v:stroke color="#000000" endarrow="block"/>
                    <v:imagedata o:title=""/>
                    <o:lock v:ext="edit" aspectratio="f"/>
                  </v:shape>
                  <v:shape id="_x0000_s2098" o:spid="_x0000_s2098" o:spt="202" type="#_x0000_t202" style="position:absolute;left:2503804;top:294640;height:292735;width:892175;" filled="f" stroked="t" coordsize="21600,21600">
                    <v:path/>
                    <v:fill on="f" focussize="0,0"/>
                    <v:stroke color="#000000" joinstyle="miter"/>
                    <v:imagedata o:title=""/>
                    <o:lock v:ext="edit" aspectratio="f"/>
                    <v:textbox>
                      <w:txbxContent>
                        <w:p>
                          <w:pPr>
                            <w:jc w:val="center"/>
                            <w:rPr>
                              <w:rFonts w:ascii="宋体" w:hAnsi="宋体" w:eastAsia="宋体"/>
                              <w:color w:val="auto"/>
                            </w:rPr>
                          </w:pPr>
                          <w:r>
                            <w:rPr>
                              <w:rFonts w:hint="eastAsia" w:ascii="宋体" w:hAnsi="宋体" w:eastAsia="宋体"/>
                              <w:color w:val="auto"/>
                            </w:rPr>
                            <w:t>三级化粪池</w:t>
                          </w:r>
                        </w:p>
                      </w:txbxContent>
                    </v:textbox>
                  </v:shape>
                  <v:shape id="_x0000_s2099" o:spid="_x0000_s2099" o:spt="32" type="#_x0000_t32" style="position:absolute;left:3408679;top:465454;height:0;width:317500;" filled="f" stroked="t" coordsize="21600,21600">
                    <v:path arrowok="t"/>
                    <v:fill on="f" focussize="0,0"/>
                    <v:stroke color="#000000" endarrow="block"/>
                    <v:imagedata o:title=""/>
                    <o:lock v:ext="edit" aspectratio="f"/>
                  </v:shape>
                  <v:shape id="_x0000_s2100" o:spid="_x0000_s2100" o:spt="202" type="#_x0000_t202" style="position:absolute;left:3712844;top:283845;height:290830;width:1591309;" filled="f" stroked="t" coordsize="21600,21600">
                    <v:path/>
                    <v:fill on="f" focussize="0,0"/>
                    <v:stroke color="#000000" joinstyle="miter"/>
                    <v:imagedata o:title=""/>
                    <o:lock v:ext="edit" aspectratio="f"/>
                    <v:textbox>
                      <w:txbxContent>
                        <w:p>
                          <w:pPr>
                            <w:rPr>
                              <w:rFonts w:hint="eastAsia"/>
                              <w:sz w:val="21"/>
                              <w:szCs w:val="21"/>
                              <w:lang w:eastAsia="zh-CN"/>
                            </w:rPr>
                          </w:pPr>
                          <w:r>
                            <w:rPr>
                              <w:rFonts w:hint="eastAsia" w:ascii="Times New Roman" w:hAnsi="Times New Roman" w:cs="Times New Roman"/>
                              <w:color w:val="auto"/>
                              <w:sz w:val="21"/>
                              <w:szCs w:val="21"/>
                              <w:highlight w:val="none"/>
                              <w:lang w:eastAsia="zh-CN"/>
                            </w:rPr>
                            <w:t>开平市水口</w:t>
                          </w:r>
                          <w:r>
                            <w:rPr>
                              <w:rFonts w:hint="default" w:ascii="Times New Roman" w:hAnsi="Times New Roman" w:eastAsia="宋体" w:cs="Times New Roman"/>
                              <w:color w:val="auto"/>
                              <w:sz w:val="21"/>
                              <w:szCs w:val="21"/>
                              <w:highlight w:val="none"/>
                              <w:lang w:eastAsia="zh-CN"/>
                            </w:rPr>
                            <w:t>污水处理厂</w:t>
                          </w:r>
                        </w:p>
                      </w:txbxContent>
                    </v:textbox>
                  </v:shape>
                  <v:group id="组合 237" o:spid="_x0000_s2101" o:spt="203" style="position:absolute;left:1751329;top:151130;height:152400;width:177800;" coordorigin="2851,3304" coordsize="630,624">
                    <o:lock v:ext="edit" aspectratio="f"/>
                    <v:line id="直线 238" o:spid="_x0000_s2102" o:spt="20" style="position:absolute;left:2851;top:3616;flip:y;height:312;width:210;" filled="f" stroked="t" coordsize="21600,21600">
                      <v:path arrowok="t"/>
                      <v:fill on="f" focussize="0,0"/>
                      <v:stroke color="#000000" endarrowwidth="narrow"/>
                      <v:imagedata o:title=""/>
                      <o:lock v:ext="edit" aspectratio="f"/>
                    </v:line>
                    <v:line id="直线 239" o:spid="_x0000_s2103" o:spt="20" style="position:absolute;left:3061;top:3616;height:156;width:105;" filled="f" stroked="t" coordsize="21600,21600">
                      <v:path arrowok="t"/>
                      <v:fill on="f" focussize="0,0"/>
                      <v:stroke color="#000000" endarrowwidth="narrow"/>
                      <v:imagedata o:title=""/>
                      <o:lock v:ext="edit" aspectratio="f"/>
                    </v:line>
                    <v:line id="直线 240" o:spid="_x0000_s2104" o:spt="20" style="position:absolute;left:3166;top:3304;flip:y;height:468;width:315;" filled="f" stroked="t" coordsize="21600,21600">
                      <v:path arrowok="t"/>
                      <v:fill on="f" focussize="0,0"/>
                      <v:stroke color="#000000" endarrow="block" endarrowwidth="narrow"/>
                      <v:imagedata o:title=""/>
                      <o:lock v:ext="edit" aspectratio="f"/>
                    </v:line>
                  </v:group>
                  <v:shape id="_x0000_s2105" o:spid="_x0000_s2105" o:spt="202" type="#_x0000_t202" style="position:absolute;left:1856104;top:17780;height:317500;width:5969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eastAsia="等线"/>
                              <w:color w:val="auto"/>
                              <w:lang w:val="en-US" w:eastAsia="zh-CN"/>
                            </w:rPr>
                            <w:t>84</w:t>
                          </w:r>
                        </w:p>
                      </w:txbxContent>
                    </v:textbox>
                  </v:shape>
                  <v:shape id="_x0000_s2106" o:spid="_x0000_s2106" o:spt="202" type="#_x0000_t202" style="position:absolute;left:2122804;top:208280;height:317500;width:4826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eastAsia="等线"/>
                              <w:color w:val="auto"/>
                              <w:lang w:val="en-US" w:eastAsia="zh-CN"/>
                            </w:rPr>
                            <w:t>756</w:t>
                          </w:r>
                        </w:p>
                      </w:txbxContent>
                    </v:textbox>
                  </v:shape>
                  <v:shape id="_x0000_s2107" o:spid="_x0000_s2107" o:spt="202" type="#_x0000_t202" style="position:absolute;left:3332479;top:227330;height:317500;width:59690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eastAsia="等线"/>
                              <w:color w:val="auto"/>
                              <w:lang w:val="en-US" w:eastAsia="zh-CN"/>
                            </w:rPr>
                            <w:t>756</w:t>
                          </w:r>
                        </w:p>
                      </w:txbxContent>
                    </v:textbox>
                  </v:shape>
                  <v:shape id="_x0000_s2108" o:spid="_x0000_s2108" o:spt="202" type="#_x0000_t202" style="position:absolute;left:1056005;top:198755;height:317500;width:5969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eastAsia="等线"/>
                              <w:lang w:val="en-US" w:eastAsia="zh-CN"/>
                            </w:rPr>
                            <w:t>840</w:t>
                          </w:r>
                        </w:p>
                      </w:txbxContent>
                    </v:textbox>
                  </v:shape>
                  <v:shape id="_x0000_s2109" o:spid="_x0000_s2109" o:spt="202" type="#_x0000_t202" style="position:absolute;left:1808479;top:2377436;height:317499;width:1974214;"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ascii="Times New Roman" w:hAnsi="Times New Roman"/>
                              <w:b/>
                              <w:bCs/>
                              <w:color w:val="auto"/>
                              <w:lang w:val="en-US" w:eastAsia="zh-CN"/>
                            </w:rPr>
                            <w:t>项目水平衡图（单位：t/a）</w:t>
                          </w:r>
                        </w:p>
                      </w:txbxContent>
                    </v:textbox>
                  </v:shape>
                  <v:line id="直线 245" o:spid="_x0000_s2110" o:spt="20" style="position:absolute;left:732155;top:1389378;flip:y;height:0;width:381000;" filled="f" stroked="t" coordsize="21600,21600">
                    <v:path arrowok="t"/>
                    <v:fill on="f" focussize="0,0"/>
                    <v:stroke color="#000000"/>
                    <v:imagedata o:title=""/>
                    <o:lock v:ext="edit" aspectratio="f"/>
                  </v:line>
                  <v:shape id="_x0000_s2111" o:spid="_x0000_s2111" style="position:absolute;left:1122680;top:441324;height:1724657;width:333375;" filled="f" stroked="t" coordsize="525,1380" path="m495,0hal0,0hal0,1380hal525,1380hae">
                    <v:path arrowok="t"/>
                    <v:fill on="f" focussize="0,0"/>
                    <v:stroke color="#000000" startarrow="block" endarrow="block"/>
                    <v:imagedata o:title=""/>
                    <o:lock v:ext="edit" aspectratio="f"/>
                  </v:shape>
                  <v:shape id="_x0000_s2112" o:spid="_x0000_s2112" o:spt="202" type="#_x0000_t202" style="position:absolute;left:675005;top:1160778;height:279400;width:58674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969</w:t>
                          </w:r>
                        </w:p>
                      </w:txbxContent>
                    </v:textbox>
                  </v:shape>
                  <v:shape id="_x0000_s2114" o:spid="_x0000_s2114" o:spt="202" type="#_x0000_t202" style="position:absolute;left:1065530;top:865504;height:317499;width:416560;" filled="f" stroked="f" coordsize="21600,2160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96</w:t>
                          </w:r>
                        </w:p>
                      </w:txbxContent>
                    </v:textbox>
                  </v:shape>
                  <v:shape id="_x0000_s2116" o:spid="_x0000_s2116" o:spt="202" type="#_x0000_t202" style="position:absolute;left:2570479;top:1341753;height:269875;width:41656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3</w:t>
                          </w:r>
                        </w:p>
                      </w:txbxContent>
                    </v:textbox>
                  </v:shape>
                  <v:shape id="_x0000_s2117" o:spid="_x0000_s2117" o:spt="202" type="#_x0000_t202" style="position:absolute;left:1437005;top:1417953;height:279400;width:1143000;" filled="f" stroked="t" coordsize="21600,21600">
                    <v:path/>
                    <v:fill on="f" focussize="0,0"/>
                    <v:stroke color="#000000" joinstyle="miter"/>
                    <v:imagedata o:title=""/>
                    <o:lock v:ext="edit" aspectratio="f"/>
                    <v:textbox>
                      <w:txbxContent>
                        <w:p>
                          <w:pPr>
                            <w:jc w:val="center"/>
                            <w:rPr>
                              <w:rFonts w:hint="eastAsia" w:ascii="宋体" w:hAnsi="宋体" w:eastAsia="宋体"/>
                              <w:color w:val="auto"/>
                              <w:lang w:eastAsia="zh-CN"/>
                            </w:rPr>
                          </w:pPr>
                          <w:r>
                            <w:rPr>
                              <w:rFonts w:hint="eastAsia" w:ascii="宋体" w:hAnsi="宋体"/>
                              <w:color w:val="auto"/>
                              <w:lang w:eastAsia="zh-CN"/>
                            </w:rPr>
                            <w:t>测试用水</w:t>
                          </w:r>
                        </w:p>
                      </w:txbxContent>
                    </v:textbox>
                  </v:shape>
                  <v:shape id="_x0000_s2118" o:spid="_x0000_s2118" o:spt="202" type="#_x0000_t202" style="position:absolute;left:2935604;top:1417953;height:279400;width:749300;" filled="f" stroked="t" coordsize="21600,21600">
                    <v:path/>
                    <v:fill on="f" focussize="0,0"/>
                    <v:stroke color="#000000" joinstyle="miter"/>
                    <v:imagedata o:title=""/>
                    <o:lock v:ext="edit" aspectratio="f"/>
                    <v:textbox>
                      <w:txbxContent>
                        <w:p>
                          <w:pPr>
                            <w:rPr>
                              <w:rFonts w:hint="eastAsia" w:asciiTheme="majorEastAsia" w:hAnsiTheme="majorEastAsia" w:eastAsiaTheme="majorEastAsia" w:cstheme="majorEastAsia"/>
                              <w:color w:val="auto"/>
                              <w:lang w:val="en-US" w:eastAsia="zh-CN"/>
                            </w:rPr>
                          </w:pPr>
                          <w:r>
                            <w:rPr>
                              <w:rFonts w:hint="eastAsia" w:asciiTheme="majorEastAsia" w:hAnsiTheme="majorEastAsia" w:eastAsiaTheme="majorEastAsia" w:cstheme="majorEastAsia"/>
                              <w:color w:val="auto"/>
                              <w:lang w:val="en-US" w:eastAsia="zh-CN"/>
                            </w:rPr>
                            <w:t>挥发损失</w:t>
                          </w:r>
                        </w:p>
                      </w:txbxContent>
                    </v:textbox>
                  </v:shape>
                  <v:line id="直线 245" o:spid="_x0000_s2119" o:spt="20" style="position:absolute;left:2605404;top:1557652;flip:y;height:0;width:317500;" filled="f" stroked="t" coordsize="21600,21600">
                    <v:path arrowok="t"/>
                    <v:fill on="f" focussize="0,0"/>
                    <v:stroke color="#000000" endarrow="block"/>
                    <v:imagedata o:title=""/>
                    <o:lock v:ext="edit" aspectratio="f"/>
                  </v:line>
                  <v:shape id="_x0000_s2120" o:spid="_x0000_s2120" o:spt="202" type="#_x0000_t202" style="position:absolute;left:1427480;top:903603;height:279400;width:1143000;" filled="f" stroked="t" coordsize="21600,21600">
                    <v:path/>
                    <v:fill on="f" focussize="0,0"/>
                    <v:stroke color="#000000" joinstyle="miter"/>
                    <v:imagedata o:title=""/>
                    <o:lock v:ext="edit" aspectratio="f"/>
                    <v:textbox>
                      <w:txbxContent>
                        <w:p>
                          <w:pPr>
                            <w:jc w:val="center"/>
                            <w:rPr>
                              <w:rFonts w:hint="eastAsia" w:ascii="宋体" w:hAnsi="宋体" w:eastAsia="宋体"/>
                              <w:color w:val="auto"/>
                              <w:lang w:eastAsia="zh-CN"/>
                            </w:rPr>
                          </w:pPr>
                          <w:r>
                            <w:rPr>
                              <w:rFonts w:hint="eastAsia" w:ascii="宋体" w:hAnsi="宋体"/>
                              <w:color w:val="auto"/>
                              <w:lang w:eastAsia="zh-CN"/>
                            </w:rPr>
                            <w:t>冷却用水</w:t>
                          </w:r>
                        </w:p>
                      </w:txbxContent>
                    </v:textbox>
                  </v:shape>
                  <v:shape id="_x0000_s2121" o:spid="_x0000_s2121" o:spt="202" type="#_x0000_t202" style="position:absolute;left:2926079;top:903603;height:279400;width:749300;" filled="f" stroked="t" coordsize="21600,21600">
                    <v:path/>
                    <v:fill on="f" focussize="0,0"/>
                    <v:stroke color="#000000" joinstyle="miter"/>
                    <v:imagedata o:title=""/>
                    <o:lock v:ext="edit" aspectratio="f"/>
                    <v:textbox>
                      <w:txbxContent>
                        <w:p>
                          <w:pPr>
                            <w:rPr>
                              <w:rFonts w:hint="eastAsia" w:asciiTheme="majorEastAsia" w:hAnsiTheme="majorEastAsia" w:eastAsiaTheme="majorEastAsia" w:cstheme="majorEastAsia"/>
                              <w:color w:val="auto"/>
                              <w:lang w:val="en-US" w:eastAsia="zh-CN"/>
                            </w:rPr>
                          </w:pPr>
                          <w:r>
                            <w:rPr>
                              <w:rFonts w:hint="eastAsia" w:asciiTheme="majorEastAsia" w:hAnsiTheme="majorEastAsia" w:eastAsiaTheme="majorEastAsia" w:cstheme="majorEastAsia"/>
                              <w:color w:val="auto"/>
                              <w:lang w:val="en-US" w:eastAsia="zh-CN"/>
                            </w:rPr>
                            <w:t>挥发损失</w:t>
                          </w:r>
                        </w:p>
                      </w:txbxContent>
                    </v:textbox>
                  </v:shape>
                  <v:line id="直线 245" o:spid="_x0000_s2122" o:spt="20" style="position:absolute;left:2595879;top:1043303;flip:y;height:0;width:317500;" filled="f" stroked="t" coordsize="21600,21600">
                    <v:path arrowok="t"/>
                    <v:fill on="f" focussize="0,0"/>
                    <v:stroke color="#000000" endarrow="block"/>
                    <v:imagedata o:title=""/>
                    <o:lock v:ext="edit" aspectratio="f"/>
                  </v:line>
                  <v:shape id="文本框 141" o:spid="_x0000_s2123" o:spt="202" type="#_x0000_t202" style="position:absolute;left:1446530;top:2018027;height:279400;width:1143000;" filled="f" stroked="t" coordsize="21600,21600" o:gfxdata="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4L61b9QAAAAFAQAADwAAAAAAAAABACAAAAAiAAAAZHJzL2Rvd25yZXYueG1sUEsBAhQA&#10;FAAAAAgAh07iQK+N/mv2AQAAzQMAAA4AAAAAAAAAAQAgAAAAIwEAAGRycy9lMm9Eb2MueG1sUEsF&#10;BgAAAAAGAAYAWQEAAIsFAAAAAA==&#10;">
                    <v:path/>
                    <v:fill on="f" focussize="0,0"/>
                    <v:stroke color="#000000" joinstyle="miter"/>
                    <v:imagedata o:title=""/>
                    <o:lock v:ext="edit" aspectratio="f"/>
                    <v:textbox>
                      <w:txbxContent>
                        <w:p>
                          <w:pPr>
                            <w:jc w:val="center"/>
                            <w:rPr>
                              <w:rFonts w:hint="eastAsia" w:ascii="宋体" w:hAnsi="宋体" w:eastAsia="宋体"/>
                              <w:color w:val="auto"/>
                              <w:lang w:eastAsia="zh-CN"/>
                            </w:rPr>
                          </w:pPr>
                          <w:r>
                            <w:rPr>
                              <w:rFonts w:hint="eastAsia" w:ascii="宋体" w:hAnsi="宋体"/>
                              <w:color w:val="auto"/>
                              <w:lang w:eastAsia="zh-CN"/>
                            </w:rPr>
                            <w:t>喷淋用水</w:t>
                          </w:r>
                        </w:p>
                      </w:txbxContent>
                    </v:textbox>
                  </v:shape>
                  <v:shape id="文本框 143" o:spid="_x0000_s2124" o:spt="202" type="#_x0000_t202" style="position:absolute;left:2919729;top:2018027;height:279400;width:2336799;" filled="f" stroked="t" coordsize="21600,21600" o:gfxdata="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C+tW/UAAAABQEAAA8AAAAAAAAAAQAgAAAAIgAAAGRycy9kb3ducmV2LnhtbFBLAQIU&#10;ABQAAAAIAIdO4kC+/wcL9wEAAM4DAAAOAAAAAAAAAAEAIAAAACMBAABkcnMvZTJvRG9jLnhtbFBL&#10;BQYAAAAABgAGAFkBAACMBQAAAAA=&#10;">
                    <v:path/>
                    <v:fill on="f" focussize="0,0"/>
                    <v:stroke color="#000000" joinstyle="miter"/>
                    <v:imagedata o:title=""/>
                    <o:lock v:ext="edit" aspectratio="f"/>
                    <v:textbox>
                      <w:txbxContent>
                        <w:p>
                          <w:pPr>
                            <w:rPr>
                              <w:rFonts w:hint="eastAsia"/>
                              <w:lang w:eastAsia="zh-CN"/>
                            </w:rPr>
                          </w:pPr>
                          <w:r>
                            <w:rPr>
                              <w:rFonts w:hint="eastAsia" w:cs="Times New Roman"/>
                              <w:color w:val="auto"/>
                              <w:sz w:val="21"/>
                              <w:szCs w:val="21"/>
                              <w:highlight w:val="none"/>
                              <w:lang w:eastAsia="zh-CN"/>
                            </w:rPr>
                            <w:t>交具有零星废水处理资质的单位处理</w:t>
                          </w:r>
                        </w:p>
                      </w:txbxContent>
                    </v:textbox>
                  </v:shape>
                  <v:group id="组合 148" o:spid="_x0000_s2125" o:spt="203" style="position:absolute;left:1875154;top:1856102;height:152400;width:177800;" coordorigin="2851,3304" coordsize="630,624" o:gfxdata="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F4YGaXYAAAABQEAAA8AAAAA&#10;AAAAAQAgAAAAIgAAAGRycy9kb3ducmV2LnhtbFBLAQIUABQAAAAIAIdO4kBWhmyBvwIAAAoJAAAO&#10;AAAAAAAAAAEAIAAAACcBAABkcnMvZTJvRG9jLnhtbFBLBQYAAAAABgAGAFkBAABYBgAAAAA=&#10;">
                    <o:lock v:ext="edit" aspectratio="f"/>
                    <v:line id="直接连接符 145" o:spid="_x0000_s2126" o:spt="20" style="position:absolute;left:2851;top:3616;flip:y;height:312;width:210;" filled="f" stroked="t" coordsize="21600,21600" o:gfxdata="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V3gVLgAAADcAAAA&#10;DwAAAAAAAAABACAAAAAiAAAAZHJzL2Rvd25yZXYueG1sUEsBAhQAFAAAAAgAh07iQDMvBZ47AAAA&#10;OQAAABAAAAAAAAAAAQAgAAAABwEAAGRycy9zaGFwZXhtbC54bWxQSwUGAAAAAAYABgBbAQAAsQMA&#10;AAAA&#10;">
                      <v:path arrowok="t"/>
                      <v:fill on="f" focussize="0,0"/>
                      <v:stroke color="#000000" joinstyle="round" endarrowwidth="narrow"/>
                      <v:imagedata o:title=""/>
                      <o:lock v:ext="edit" aspectratio="f"/>
                    </v:line>
                    <v:line id="直接连接符 146" o:spid="_x0000_s2127" o:spt="20" style="position:absolute;left:3061;top:3616;height:156;width:105;" filled="f" stroked="t" coordsize="21600,21600" o:gfxdata="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NN9CvQAA&#10;ANwAAAAPAAAAAAAAAAEAIAAAACIAAABkcnMvZG93bnJldi54bWxQSwECFAAUAAAACACHTuJAMy8F&#10;njsAAAA5AAAAEAAAAAAAAAABACAAAAAMAQAAZHJzL3NoYXBleG1sLnhtbFBLBQYAAAAABgAGAFsB&#10;AAC2AwAAAAA=&#10;">
                      <v:path arrowok="t"/>
                      <v:fill on="f" focussize="0,0"/>
                      <v:stroke color="#000000" joinstyle="round" endarrowwidth="narrow"/>
                      <v:imagedata o:title=""/>
                      <o:lock v:ext="edit" aspectratio="f"/>
                    </v:line>
                    <v:line id="直接连接符 147" o:spid="_x0000_s2128" o:spt="20" style="position:absolute;left:3166;top:3304;flip:y;height:468;width:315;" filled="f" stroked="t" coordsize="21600,21600" o:gfxdata="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xwn5ugAAANwA&#10;AAAPAAAAAAAAAAEAIAAAACIAAABkcnMvZG93bnJldi54bWxQSwECFAAUAAAACACHTuJAMy8FnjsA&#10;AAA5AAAAEAAAAAAAAAABACAAAAAJAQAAZHJzL3NoYXBleG1sLnhtbFBLBQYAAAAABgAGAFsBAACz&#10;AwAAAAA=&#10;">
                      <v:path arrowok="t"/>
                      <v:fill on="f" focussize="0,0"/>
                      <v:stroke color="#000000" joinstyle="round" endarrow="block" endarrowwidth="narrow"/>
                      <v:imagedata o:title=""/>
                      <o:lock v:ext="edit" aspectratio="f"/>
                    </v:line>
                  </v:group>
                  <v:shape id="文本框 150" o:spid="_x0000_s2129" o:spt="202" type="#_x0000_t202" style="position:absolute;left:2589529;top:1932301;height:292099;width:596900;" filled="f" stroked="f" coordsize="21600,21600" o:gfxdata="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CXcIRzUAAAABQEAAA8AAAAAAAAAAQAgAAAAIgAA&#10;AGRycy9kb3ducmV2LnhtbFBLAQIUABQAAAAIAIdO4kA61d3SmgEAAA4DAAAOAAAAAAAAAAEAIAAA&#10;ACMBAABkcnMvZTJvRG9jLnhtbFBLBQYAAAAABgAGAFkBAAAvBQAAAAA=&#1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6</w:t>
                          </w:r>
                        </w:p>
                      </w:txbxContent>
                    </v:textbox>
                  </v:shape>
                  <v:line id="直接连接符 142" o:spid="_x0000_s2130" o:spt="20" style="position:absolute;left:2608579;top:2160901;flip:y;height:0;width:317500;" filled="f" stroked="t" coordsize="21600,21600" o:gfxdata="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wbUJLXAAAABQEAAA8AAAAAAAAAAQAgAAAAIgAAAGRycy9kb3ducmV2LnhtbFBLAQIUABQA&#10;AAAIAIdO4kDrf7JM8QEAALEDAAAOAAAAAAAAAAEAIAAAACYBAABkcnMvZTJvRG9jLnhtbFBLBQYA&#10;AAAABgAGAFkBAACJBQAAAAA=&#10;">
                    <v:path arrowok="t"/>
                    <v:fill on="f" focussize="0,0"/>
                    <v:stroke color="#000000" joinstyle="round" endarrow="block"/>
                    <v:imagedata o:title=""/>
                    <o:lock v:ext="edit" aspectratio="f"/>
                  </v:line>
                  <v:shape id="文本框 144" o:spid="_x0000_s2131" o:spt="202" type="#_x0000_t202" style="position:absolute;left:1979929;top:1751327;height:304799;width:596900;" filled="f" stroked="f" coordsize="21600,21600" o:gfxdata="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JdwhHNQAAAAFAQAADwAAAAAAAAABACAAAAAiAAAAZHJz&#10;L2Rvd25yZXYueG1sUEsBAhQAFAAAAAgAh07iQBs4HWqWAQAADQMAAA4AAAAAAAAAAQAgAAAAIwEA&#10;AGRycy9lMm9Eb2MueG1sUEsFBgAAAAAGAAYAWQEAACsFAAAAAA==&#10;">
                    <v:path/>
                    <v:fill on="f" focussize="0,0"/>
                    <v:stroke on="f"/>
                    <v:imagedata o:title=""/>
                    <o:lock v:ext="edit" aspectratio="f"/>
                    <v:textbox>
                      <w:txbxContent>
                        <w:p>
                          <w:pPr>
                            <w:rPr>
                              <w:rFonts w:hint="default" w:ascii="Times New Roman" w:hAnsi="Times New Roman" w:eastAsia="等线"/>
                              <w:color w:val="auto"/>
                              <w:lang w:val="en-US" w:eastAsia="zh-CN"/>
                            </w:rPr>
                          </w:pPr>
                          <w:r>
                            <w:rPr>
                              <w:rFonts w:hint="eastAsia"/>
                              <w:color w:val="auto"/>
                              <w:lang w:val="en-US" w:eastAsia="zh-CN"/>
                            </w:rPr>
                            <w:t>24</w:t>
                          </w:r>
                        </w:p>
                      </w:txbxContent>
                    </v:textbox>
                  </v:shape>
                  <v:shape id="_x0000_s2132" o:spid="_x0000_s2132" o:spt="202" type="#_x0000_t202" style="position:absolute;left:1084580;top:1951352;height:266700;width:4064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30</w:t>
                          </w:r>
                        </w:p>
                      </w:txbxContent>
                    </v:textbox>
                  </v:shape>
                  <v:shape id="_x0000_s2133" o:spid="_x0000_s2133" o:spt="202" type="#_x0000_t202" style="position:absolute;left:1084580;top:1408428;height:266700;width:4064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3</w:t>
                          </w:r>
                        </w:p>
                      </w:txbxContent>
                    </v:textbox>
                  </v:shape>
                  <v:shape id="_x0000_s2134" o:spid="_x0000_s2134" o:spt="202" type="#_x0000_t202" style="position:absolute;left:2551429;top:808354;height:266700;width:406400;" filled="f" stroked="f" coordsize="21600,21600">
                    <v:path/>
                    <v:fill on="f" focussize="0,0"/>
                    <v:stroke on="f"/>
                    <v:imagedata o:title=""/>
                    <o:lock v:ext="edit" aspectratio="f"/>
                    <v:textbox>
                      <w:txbxContent>
                        <w:p>
                          <w:pPr>
                            <w:rPr>
                              <w:rFonts w:hint="default" w:ascii="Times New Roman" w:hAnsi="Times New Roman" w:eastAsia="等线"/>
                              <w:lang w:val="en-US" w:eastAsia="zh-CN"/>
                            </w:rPr>
                          </w:pPr>
                          <w:r>
                            <w:rPr>
                              <w:rFonts w:hint="eastAsia"/>
                              <w:lang w:val="en-US" w:eastAsia="zh-CN"/>
                            </w:rPr>
                            <w:t>96</w:t>
                          </w:r>
                        </w:p>
                      </w:txbxContent>
                    </v:textbox>
                  </v:shape>
                  <v:line id="直线 245" o:spid="_x0000_s2135" o:spt="20" style="position:absolute;left:1122680;top:1065528;flip:y;height:0;width:317500;" filled="f" stroked="t" coordsize="21600,21600">
                    <v:path arrowok="t"/>
                    <v:fill on="f" focussize="0,0"/>
                    <v:stroke color="#000000" endarrow="block"/>
                    <v:imagedata o:title=""/>
                    <o:lock v:ext="edit" aspectratio="f"/>
                  </v:line>
                  <v:line id="直线 245" o:spid="_x0000_s2136" o:spt="20" style="position:absolute;left:1132205;top:1608452;flip:y;height:0;width:317500;" filled="f" stroked="t" coordsize="21600,21600">
                    <v:path arrowok="t"/>
                    <v:fill on="f" focussize="0,0"/>
                    <v:stroke color="#000000" endarrow="block"/>
                    <v:imagedata o:title=""/>
                    <o:lock v:ext="edit" aspectratio="f"/>
                  </v:line>
                  <w10:wrap type="none"/>
                  <w10:anchorlock/>
                </v:group>
              </w:pict>
            </w:r>
          </w:p>
          <w:p>
            <w:pPr>
              <w:widowControl/>
              <w:adjustRightInd w:val="0"/>
              <w:snapToGrid w:val="0"/>
              <w:spacing w:line="360" w:lineRule="auto"/>
              <w:ind w:firstLine="480" w:firstLineChars="200"/>
              <w:rPr>
                <w:rFonts w:ascii="Times New Roman" w:hAnsi="Times New Roman"/>
                <w:color w:val="auto"/>
                <w:kern w:val="0"/>
                <w:sz w:val="24"/>
              </w:rPr>
            </w:pPr>
            <w:r>
              <w:rPr>
                <w:rFonts w:ascii="Times New Roman" w:hAnsi="Times New Roman"/>
                <w:color w:val="auto"/>
                <w:kern w:val="0"/>
                <w:sz w:val="24"/>
              </w:rPr>
              <w:t>（</w:t>
            </w:r>
            <w:r>
              <w:rPr>
                <w:rFonts w:hint="eastAsia" w:ascii="Times New Roman" w:hAnsi="Times New Roman"/>
                <w:color w:val="auto"/>
                <w:kern w:val="0"/>
                <w:sz w:val="24"/>
              </w:rPr>
              <w:t>3</w:t>
            </w:r>
            <w:r>
              <w:rPr>
                <w:rFonts w:ascii="Times New Roman" w:hAnsi="Times New Roman"/>
                <w:color w:val="auto"/>
                <w:kern w:val="0"/>
                <w:sz w:val="24"/>
              </w:rPr>
              <w:t>）供电</w:t>
            </w:r>
          </w:p>
          <w:p>
            <w:pPr>
              <w:spacing w:line="360" w:lineRule="auto"/>
              <w:ind w:firstLine="480" w:firstLineChars="200"/>
              <w:rPr>
                <w:rFonts w:ascii="Times New Roman" w:hAnsi="Times New Roman"/>
                <w:color w:val="auto"/>
                <w:kern w:val="0"/>
                <w:sz w:val="24"/>
              </w:rPr>
            </w:pPr>
            <w:r>
              <w:rPr>
                <w:rFonts w:ascii="Times New Roman" w:hAnsi="Times New Roman"/>
                <w:color w:val="auto"/>
                <w:kern w:val="0"/>
                <w:sz w:val="24"/>
              </w:rPr>
              <w:t>项目用电由市政电网供给，</w:t>
            </w:r>
            <w:r>
              <w:rPr>
                <w:rFonts w:hint="eastAsia"/>
                <w:color w:val="auto"/>
                <w:kern w:val="0"/>
                <w:sz w:val="24"/>
                <w:lang w:eastAsia="zh-CN"/>
              </w:rPr>
              <w:t>年</w:t>
            </w:r>
            <w:r>
              <w:rPr>
                <w:rFonts w:ascii="Times New Roman" w:hAnsi="Times New Roman"/>
                <w:color w:val="auto"/>
                <w:kern w:val="0"/>
                <w:sz w:val="24"/>
              </w:rPr>
              <w:t>用电量约为</w:t>
            </w:r>
            <w:r>
              <w:rPr>
                <w:rFonts w:hint="eastAsia"/>
                <w:color w:val="auto"/>
                <w:kern w:val="0"/>
                <w:sz w:val="24"/>
                <w:lang w:val="en-US" w:eastAsia="zh-CN"/>
              </w:rPr>
              <w:t>48</w:t>
            </w:r>
            <w:r>
              <w:rPr>
                <w:rFonts w:ascii="Times New Roman" w:hAnsi="Times New Roman"/>
                <w:color w:val="auto"/>
                <w:kern w:val="0"/>
                <w:sz w:val="24"/>
              </w:rPr>
              <w:t>万</w:t>
            </w:r>
            <w:r>
              <w:rPr>
                <w:rFonts w:hint="eastAsia"/>
                <w:color w:val="auto"/>
                <w:kern w:val="0"/>
                <w:sz w:val="24"/>
                <w:lang w:eastAsia="zh-CN"/>
              </w:rPr>
              <w:t>度</w:t>
            </w:r>
            <w:r>
              <w:rPr>
                <w:rFonts w:ascii="Times New Roman" w:hAnsi="Times New Roman"/>
                <w:color w:val="auto"/>
                <w:kern w:val="0"/>
                <w:sz w:val="24"/>
              </w:rPr>
              <w:t>。本项目不设置备用发电机。</w:t>
            </w:r>
          </w:p>
          <w:p>
            <w:pPr>
              <w:spacing w:line="360" w:lineRule="auto"/>
              <w:ind w:firstLine="482" w:firstLineChars="200"/>
              <w:rPr>
                <w:color w:val="auto"/>
              </w:rPr>
            </w:pPr>
            <w:r>
              <w:rPr>
                <w:rFonts w:hint="eastAsia"/>
                <w:b/>
                <w:color w:val="auto"/>
                <w:sz w:val="24"/>
                <w:shd w:val="clear" w:color="auto" w:fill="auto"/>
                <w:lang w:eastAsia="zh-CN"/>
              </w:rPr>
              <w:t>六</w:t>
            </w:r>
            <w:r>
              <w:rPr>
                <w:b/>
                <w:color w:val="auto"/>
                <w:sz w:val="24"/>
                <w:shd w:val="clear" w:color="auto" w:fill="auto"/>
              </w:rPr>
              <w:t>、工作制度及劳动定员</w:t>
            </w:r>
            <w:r>
              <w:rPr>
                <w:rFonts w:hint="eastAsia"/>
                <w:b/>
                <w:color w:val="auto"/>
                <w:sz w:val="24"/>
                <w:shd w:val="clear" w:color="auto" w:fill="auto"/>
              </w:rPr>
              <w:t>：</w:t>
            </w:r>
          </w:p>
          <w:p>
            <w:pPr>
              <w:pStyle w:val="147"/>
              <w:ind w:firstLine="480" w:firstLineChars="200"/>
              <w:rPr>
                <w:rFonts w:hint="eastAsia"/>
                <w:b w:val="0"/>
                <w:bCs w:val="0"/>
                <w:color w:val="auto"/>
                <w:sz w:val="24"/>
                <w:shd w:val="clear" w:color="auto" w:fill="auto"/>
              </w:rPr>
            </w:pPr>
            <w:r>
              <w:rPr>
                <w:b w:val="0"/>
                <w:bCs w:val="0"/>
                <w:color w:val="auto"/>
                <w:sz w:val="24"/>
                <w:shd w:val="clear" w:color="auto" w:fill="auto"/>
              </w:rPr>
              <w:t>全年工作</w:t>
            </w:r>
            <w:r>
              <w:rPr>
                <w:rFonts w:hint="eastAsia"/>
                <w:b w:val="0"/>
                <w:bCs w:val="0"/>
                <w:color w:val="auto"/>
                <w:sz w:val="24"/>
                <w:shd w:val="clear" w:color="auto" w:fill="auto"/>
              </w:rPr>
              <w:t>300</w:t>
            </w:r>
            <w:r>
              <w:rPr>
                <w:b w:val="0"/>
                <w:bCs w:val="0"/>
                <w:color w:val="auto"/>
                <w:sz w:val="24"/>
                <w:shd w:val="clear" w:color="auto" w:fill="auto"/>
              </w:rPr>
              <w:t>天，每天</w:t>
            </w:r>
            <w:r>
              <w:rPr>
                <w:rFonts w:hint="eastAsia"/>
                <w:b w:val="0"/>
                <w:bCs w:val="0"/>
                <w:color w:val="auto"/>
                <w:sz w:val="24"/>
                <w:shd w:val="clear" w:color="auto" w:fill="auto"/>
              </w:rPr>
              <w:t>一</w:t>
            </w:r>
            <w:r>
              <w:rPr>
                <w:b w:val="0"/>
                <w:bCs w:val="0"/>
                <w:color w:val="auto"/>
                <w:sz w:val="24"/>
                <w:shd w:val="clear" w:color="auto" w:fill="auto"/>
              </w:rPr>
              <w:t>班，每班8小时。员工人数</w:t>
            </w:r>
            <w:r>
              <w:rPr>
                <w:rFonts w:hint="eastAsia"/>
                <w:b w:val="0"/>
                <w:bCs w:val="0"/>
                <w:color w:val="auto"/>
                <w:sz w:val="24"/>
                <w:shd w:val="clear" w:color="auto" w:fill="auto"/>
                <w:lang w:val="en-US" w:eastAsia="zh-CN"/>
              </w:rPr>
              <w:t>70</w:t>
            </w:r>
            <w:r>
              <w:rPr>
                <w:b w:val="0"/>
                <w:bCs w:val="0"/>
                <w:color w:val="auto"/>
                <w:sz w:val="24"/>
                <w:shd w:val="clear" w:color="auto" w:fill="auto"/>
              </w:rPr>
              <w:t>人，</w:t>
            </w:r>
            <w:r>
              <w:rPr>
                <w:rFonts w:hint="eastAsia"/>
                <w:b w:val="0"/>
                <w:bCs w:val="0"/>
                <w:color w:val="auto"/>
                <w:sz w:val="24"/>
                <w:shd w:val="clear" w:color="auto" w:fill="auto"/>
              </w:rPr>
              <w:t>均</w:t>
            </w:r>
            <w:r>
              <w:rPr>
                <w:rFonts w:hint="eastAsia"/>
                <w:b w:val="0"/>
                <w:bCs w:val="0"/>
                <w:color w:val="auto"/>
                <w:sz w:val="24"/>
                <w:shd w:val="clear" w:color="auto" w:fill="auto"/>
                <w:lang w:eastAsia="zh-CN"/>
              </w:rPr>
              <w:t>不</w:t>
            </w:r>
            <w:r>
              <w:rPr>
                <w:rFonts w:hint="eastAsia"/>
                <w:b w:val="0"/>
                <w:bCs w:val="0"/>
                <w:color w:val="auto"/>
                <w:sz w:val="24"/>
                <w:shd w:val="clear" w:color="auto" w:fill="auto"/>
              </w:rPr>
              <w:t>在项目内食宿。</w:t>
            </w:r>
          </w:p>
          <w:p>
            <w:pPr>
              <w:pStyle w:val="147"/>
              <w:ind w:firstLine="482" w:firstLineChars="200"/>
              <w:rPr>
                <w:rFonts w:hint="eastAsia" w:eastAsia="宋体"/>
                <w:color w:val="auto"/>
                <w:lang w:eastAsia="zh-CN"/>
              </w:rPr>
            </w:pPr>
            <w:r>
              <w:rPr>
                <w:rFonts w:hint="eastAsia"/>
                <w:color w:val="auto"/>
                <w:lang w:eastAsia="zh-CN"/>
              </w:rPr>
              <w:t>七</w:t>
            </w:r>
            <w:r>
              <w:rPr>
                <w:rFonts w:hint="eastAsia"/>
                <w:color w:val="auto"/>
              </w:rPr>
              <w:t>、产业政策和用地相符性</w:t>
            </w:r>
            <w:r>
              <w:rPr>
                <w:rFonts w:hint="eastAsia"/>
                <w:color w:val="auto"/>
                <w:lang w:eastAsia="zh-CN"/>
              </w:rPr>
              <w:t>：</w:t>
            </w:r>
          </w:p>
          <w:p>
            <w:pPr>
              <w:pStyle w:val="148"/>
              <w:ind w:firstLine="480"/>
              <w:rPr>
                <w:rFonts w:hint="eastAsia"/>
                <w:color w:val="auto"/>
              </w:rPr>
            </w:pPr>
            <w:r>
              <w:rPr>
                <w:rFonts w:hint="eastAsia"/>
                <w:color w:val="auto"/>
              </w:rPr>
              <w:t>1）产业政策相符性</w:t>
            </w:r>
          </w:p>
          <w:p>
            <w:pPr>
              <w:pStyle w:val="148"/>
              <w:ind w:firstLine="480"/>
              <w:rPr>
                <w:color w:val="auto"/>
              </w:rPr>
            </w:pPr>
            <w:r>
              <w:rPr>
                <w:rFonts w:hint="eastAsia"/>
                <w:color w:val="auto"/>
              </w:rPr>
              <w:t>项目主要从事</w:t>
            </w:r>
            <w:r>
              <w:rPr>
                <w:rFonts w:hint="eastAsia"/>
                <w:color w:val="auto"/>
                <w:lang w:eastAsia="zh-CN"/>
              </w:rPr>
              <w:t>水龙头的加工生产</w:t>
            </w:r>
            <w:r>
              <w:rPr>
                <w:rFonts w:hint="eastAsia"/>
                <w:color w:val="auto"/>
              </w:rPr>
              <w:t>：</w:t>
            </w:r>
          </w:p>
          <w:p>
            <w:pPr>
              <w:pStyle w:val="148"/>
              <w:ind w:firstLine="480"/>
              <w:rPr>
                <w:color w:val="auto"/>
              </w:rPr>
            </w:pPr>
            <w:r>
              <w:rPr>
                <w:rFonts w:hint="eastAsia"/>
                <w:color w:val="auto"/>
              </w:rPr>
              <w:t>（1）根据</w:t>
            </w:r>
            <w:r>
              <w:rPr>
                <w:rFonts w:hint="eastAsia"/>
                <w:color w:val="auto"/>
                <w:lang w:eastAsia="zh-CN"/>
              </w:rPr>
              <w:t>《产业结构调整指导目录（2019年本）》</w:t>
            </w:r>
            <w:r>
              <w:rPr>
                <w:rFonts w:hint="eastAsia" w:cs="Times New Roman"/>
                <w:color w:val="auto"/>
                <w:lang w:eastAsia="zh-CN"/>
              </w:rPr>
              <w:t>中华人民共和国国家发展和改革委员会令第29号</w:t>
            </w:r>
            <w:r>
              <w:rPr>
                <w:rFonts w:hint="eastAsia"/>
                <w:color w:val="auto"/>
              </w:rPr>
              <w:t>，项目不属于限制和淘汰类。</w:t>
            </w:r>
          </w:p>
          <w:p>
            <w:pPr>
              <w:pStyle w:val="148"/>
              <w:ind w:firstLine="480"/>
              <w:rPr>
                <w:rFonts w:hint="default" w:ascii="Times New Roman" w:hAnsi="Times New Roman" w:cs="Times New Roman"/>
                <w:bCs/>
                <w:color w:val="auto"/>
                <w:sz w:val="24"/>
                <w:shd w:val="clear" w:color="auto" w:fill="auto"/>
                <w:lang w:val="en-US" w:eastAsia="zh-CN"/>
              </w:rPr>
            </w:pPr>
            <w:r>
              <w:rPr>
                <w:rFonts w:hint="eastAsia"/>
                <w:color w:val="auto"/>
              </w:rPr>
              <w:t>（</w:t>
            </w:r>
            <w:r>
              <w:rPr>
                <w:rFonts w:hint="eastAsia"/>
                <w:color w:val="auto"/>
                <w:lang w:val="en-US" w:eastAsia="zh-CN"/>
              </w:rPr>
              <w:t>2</w:t>
            </w:r>
            <w:r>
              <w:rPr>
                <w:rFonts w:hint="eastAsia"/>
                <w:color w:val="auto"/>
              </w:rPr>
              <w:t>）</w:t>
            </w:r>
            <w:r>
              <w:rPr>
                <w:rFonts w:hint="eastAsia"/>
                <w:color w:val="auto"/>
                <w:lang w:val="en-US" w:eastAsia="zh-CN"/>
              </w:rPr>
              <w:t>项目</w:t>
            </w:r>
            <w:r>
              <w:rPr>
                <w:rFonts w:hint="default" w:ascii="Times New Roman" w:hAnsi="Times New Roman" w:cs="Times New Roman"/>
                <w:bCs/>
                <w:color w:val="auto"/>
                <w:sz w:val="24"/>
                <w:shd w:val="clear" w:color="auto" w:fill="auto"/>
                <w:lang w:val="en-US" w:eastAsia="zh-CN"/>
              </w:rPr>
              <w:t>不</w:t>
            </w:r>
            <w:r>
              <w:rPr>
                <w:rFonts w:hint="eastAsia" w:cs="Times New Roman"/>
                <w:bCs/>
                <w:color w:val="auto"/>
                <w:sz w:val="24"/>
                <w:shd w:val="clear" w:color="auto" w:fill="auto"/>
                <w:lang w:val="en-US" w:eastAsia="zh-CN"/>
              </w:rPr>
              <w:t>属于《市场准入负面清单（2019年版）》发改体改[2019]1685号中</w:t>
            </w:r>
            <w:r>
              <w:rPr>
                <w:rFonts w:hint="default" w:ascii="Times New Roman" w:hAnsi="Times New Roman" w:cs="Times New Roman"/>
                <w:bCs/>
                <w:color w:val="auto"/>
                <w:sz w:val="24"/>
                <w:shd w:val="clear" w:color="auto" w:fill="auto"/>
                <w:lang w:val="en-US" w:eastAsia="zh-CN"/>
              </w:rPr>
              <w:t>禁止准入类和限制准入类</w:t>
            </w:r>
            <w:r>
              <w:rPr>
                <w:rFonts w:hint="eastAsia" w:cs="Times New Roman"/>
                <w:bCs/>
                <w:color w:val="auto"/>
                <w:sz w:val="24"/>
                <w:shd w:val="clear" w:color="auto" w:fill="auto"/>
                <w:lang w:val="en-US" w:eastAsia="zh-CN"/>
              </w:rPr>
              <w:t>。</w:t>
            </w:r>
          </w:p>
          <w:p>
            <w:pPr>
              <w:spacing w:line="360" w:lineRule="auto"/>
              <w:ind w:firstLine="480" w:firstLineChars="200"/>
              <w:jc w:val="left"/>
              <w:rPr>
                <w:rFonts w:hint="eastAsia"/>
                <w:b w:val="0"/>
                <w:bCs w:val="0"/>
                <w:color w:val="auto"/>
                <w:sz w:val="24"/>
                <w:szCs w:val="24"/>
                <w:highlight w:val="none"/>
              </w:rPr>
            </w:pPr>
            <w:r>
              <w:rPr>
                <w:rFonts w:hint="eastAsia"/>
                <w:b w:val="0"/>
                <w:bCs w:val="0"/>
                <w:color w:val="auto"/>
                <w:sz w:val="24"/>
                <w:szCs w:val="24"/>
                <w:highlight w:val="none"/>
                <w:lang w:eastAsia="zh-CN"/>
              </w:rPr>
              <w:t>（</w:t>
            </w:r>
            <w:r>
              <w:rPr>
                <w:rFonts w:hint="eastAsia"/>
                <w:b w:val="0"/>
                <w:bCs w:val="0"/>
                <w:color w:val="auto"/>
                <w:sz w:val="24"/>
                <w:szCs w:val="24"/>
                <w:highlight w:val="none"/>
                <w:lang w:val="en-US" w:eastAsia="zh-CN"/>
              </w:rPr>
              <w:t>3</w:t>
            </w:r>
            <w:r>
              <w:rPr>
                <w:rFonts w:hint="eastAsia"/>
                <w:b w:val="0"/>
                <w:bCs w:val="0"/>
                <w:color w:val="auto"/>
                <w:sz w:val="24"/>
                <w:szCs w:val="24"/>
                <w:highlight w:val="none"/>
                <w:lang w:eastAsia="zh-CN"/>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w:t>
            </w:r>
          </w:p>
          <w:p>
            <w:pPr>
              <w:spacing w:line="360" w:lineRule="auto"/>
              <w:jc w:val="left"/>
              <w:rPr>
                <w:rFonts w:hint="eastAsia"/>
                <w:b w:val="0"/>
                <w:bCs w:val="0"/>
                <w:color w:val="auto"/>
                <w:sz w:val="24"/>
                <w:szCs w:val="24"/>
                <w:highlight w:val="none"/>
              </w:rPr>
            </w:pPr>
            <w:r>
              <w:rPr>
                <w:rFonts w:hint="eastAsia"/>
                <w:b w:val="0"/>
                <w:bCs w:val="0"/>
                <w:color w:val="auto"/>
                <w:sz w:val="24"/>
                <w:szCs w:val="24"/>
                <w:highlight w:val="none"/>
              </w:rPr>
              <w:t>年）》、《十三五挥发性有机物污染防治工作方案》相符，本项目主要</w:t>
            </w:r>
            <w:r>
              <w:rPr>
                <w:rFonts w:hint="eastAsia"/>
                <w:b w:val="0"/>
                <w:bCs w:val="0"/>
                <w:color w:val="auto"/>
                <w:sz w:val="24"/>
                <w:szCs w:val="24"/>
                <w:highlight w:val="none"/>
                <w:lang w:eastAsia="zh-CN"/>
              </w:rPr>
              <w:t>从事金属</w:t>
            </w:r>
            <w:r>
              <w:rPr>
                <w:rFonts w:hint="eastAsia"/>
                <w:b w:val="0"/>
                <w:bCs w:val="0"/>
                <w:color w:val="auto"/>
                <w:sz w:val="24"/>
                <w:szCs w:val="24"/>
                <w:highlight w:val="none"/>
              </w:rPr>
              <w:t>制品生产，同时生产过程中产生的有机废气通过</w:t>
            </w:r>
            <w:r>
              <w:rPr>
                <w:rFonts w:hint="eastAsia" w:hAnsi="宋体"/>
                <w:color w:val="auto"/>
                <w:sz w:val="24"/>
                <w:shd w:val="clear" w:color="auto" w:fill="auto"/>
                <w:lang w:val="en-US" w:eastAsia="zh-CN"/>
              </w:rPr>
              <w:t>水喷淋+</w:t>
            </w:r>
            <w:r>
              <w:rPr>
                <w:rFonts w:hint="eastAsia"/>
                <w:b w:val="0"/>
                <w:bCs w:val="0"/>
                <w:color w:val="auto"/>
                <w:sz w:val="24"/>
                <w:szCs w:val="24"/>
                <w:highlight w:val="none"/>
              </w:rPr>
              <w:t>UV光解</w:t>
            </w:r>
            <w:r>
              <w:rPr>
                <w:rFonts w:hint="eastAsia"/>
                <w:b w:val="0"/>
                <w:bCs w:val="0"/>
                <w:color w:val="auto"/>
                <w:sz w:val="24"/>
                <w:szCs w:val="24"/>
                <w:highlight w:val="none"/>
                <w:lang w:eastAsia="zh-CN"/>
              </w:rPr>
              <w:t>装置</w:t>
            </w:r>
            <w:r>
              <w:rPr>
                <w:rFonts w:hint="eastAsia"/>
                <w:b w:val="0"/>
                <w:bCs w:val="0"/>
                <w:color w:val="auto"/>
                <w:sz w:val="24"/>
                <w:szCs w:val="24"/>
                <w:highlight w:val="none"/>
              </w:rPr>
              <w:t>治理，符合“全面推进医药、合成树脂、橡胶和塑料制品制造、涂料/油墨/颜料制造等化工行业VOCs减排，通过源头预防、过程控制、末端治理等综合措施，确保实现达标排放”的要求。</w:t>
            </w:r>
          </w:p>
          <w:p>
            <w:pPr>
              <w:pStyle w:val="47"/>
              <w:rPr>
                <w:rFonts w:hint="eastAsia"/>
                <w:b w:val="0"/>
                <w:bCs w:val="0"/>
                <w:color w:val="auto"/>
                <w:sz w:val="24"/>
                <w:szCs w:val="24"/>
                <w:highlight w:val="none"/>
              </w:rPr>
            </w:pPr>
          </w:p>
          <w:p>
            <w:pPr>
              <w:pStyle w:val="49"/>
              <w:rPr>
                <w:rFonts w:hint="eastAsia"/>
                <w:b w:val="0"/>
                <w:bCs w:val="0"/>
                <w:color w:val="auto"/>
                <w:sz w:val="24"/>
                <w:szCs w:val="24"/>
                <w:highlight w:val="none"/>
              </w:rPr>
            </w:pPr>
          </w:p>
          <w:p>
            <w:pPr>
              <w:pStyle w:val="139"/>
              <w:numPr>
                <w:ilvl w:val="0"/>
                <w:numId w:val="5"/>
              </w:numPr>
              <w:tabs>
                <w:tab w:val="left" w:pos="420"/>
              </w:tabs>
              <w:spacing w:line="360" w:lineRule="auto"/>
              <w:ind w:left="0" w:firstLine="471"/>
              <w:rPr>
                <w:rFonts w:hint="eastAsia" w:eastAsia="宋体" w:cs="Times New Roman"/>
                <w:b/>
                <w:color w:val="auto"/>
                <w:sz w:val="21"/>
                <w:szCs w:val="21"/>
              </w:rPr>
            </w:pPr>
            <w:r>
              <w:rPr>
                <w:rFonts w:hint="eastAsia" w:eastAsia="宋体" w:cs="Times New Roman"/>
                <w:b/>
                <w:color w:val="auto"/>
                <w:sz w:val="21"/>
                <w:szCs w:val="21"/>
              </w:rPr>
              <w:t>项目与《工作方案》的相符性分析表</w:t>
            </w:r>
          </w:p>
          <w:tbl>
            <w:tblPr>
              <w:tblStyle w:val="41"/>
              <w:tblW w:w="92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6"/>
              <w:gridCol w:w="2535"/>
              <w:gridCol w:w="1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66" w:type="dxa"/>
                  <w:vAlign w:val="center"/>
                </w:tcPr>
                <w:p>
                  <w:pPr>
                    <w:jc w:val="center"/>
                    <w:rPr>
                      <w:rFonts w:hint="eastAsia"/>
                      <w:b/>
                      <w:bCs/>
                      <w:color w:val="auto"/>
                    </w:rPr>
                  </w:pPr>
                  <w:r>
                    <w:rPr>
                      <w:rFonts w:hint="eastAsia"/>
                      <w:b/>
                      <w:bCs/>
                      <w:color w:val="auto"/>
                    </w:rPr>
                    <w:t>规范要求</w:t>
                  </w:r>
                </w:p>
              </w:tc>
              <w:tc>
                <w:tcPr>
                  <w:tcW w:w="2535" w:type="dxa"/>
                  <w:vAlign w:val="center"/>
                </w:tcPr>
                <w:p>
                  <w:pPr>
                    <w:jc w:val="center"/>
                    <w:rPr>
                      <w:rFonts w:hint="eastAsia"/>
                      <w:b/>
                      <w:bCs/>
                      <w:color w:val="auto"/>
                      <w:lang w:eastAsia="zh-CN"/>
                    </w:rPr>
                  </w:pPr>
                  <w:r>
                    <w:rPr>
                      <w:rFonts w:hint="eastAsia"/>
                      <w:b/>
                      <w:bCs/>
                      <w:color w:val="auto"/>
                    </w:rPr>
                    <w:t>本项目情</w:t>
                  </w:r>
                  <w:r>
                    <w:rPr>
                      <w:rFonts w:hint="eastAsia"/>
                      <w:b/>
                      <w:bCs/>
                      <w:color w:val="auto"/>
                      <w:lang w:eastAsia="zh-CN"/>
                    </w:rPr>
                    <w:t>况</w:t>
                  </w:r>
                </w:p>
              </w:tc>
              <w:tc>
                <w:tcPr>
                  <w:tcW w:w="1248" w:type="dxa"/>
                  <w:vAlign w:val="center"/>
                </w:tcPr>
                <w:p>
                  <w:pPr>
                    <w:jc w:val="center"/>
                    <w:rPr>
                      <w:rFonts w:hint="eastAsia"/>
                      <w:b/>
                      <w:bCs/>
                      <w:color w:val="auto"/>
                    </w:rPr>
                  </w:pPr>
                  <w:r>
                    <w:rPr>
                      <w:rFonts w:hint="eastAsia"/>
                      <w:b/>
                      <w:bCs/>
                      <w:color w:val="auto"/>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66" w:type="dxa"/>
                  <w:vAlign w:val="center"/>
                </w:tcPr>
                <w:p>
                  <w:pPr>
                    <w:jc w:val="center"/>
                    <w:rPr>
                      <w:rFonts w:hint="eastAsia"/>
                      <w:color w:val="auto"/>
                    </w:rPr>
                  </w:pPr>
                  <w:r>
                    <w:rPr>
                      <w:rFonts w:hint="eastAsia"/>
                      <w:color w:val="auto"/>
                    </w:rPr>
                    <w:t>严格控制新增污染物排放量。严格限制石化、化工、包装印刷、工业涂装等高VOCs 排放建设项目。重点行业新建涉 VOCs 排放的工业企业原则上应入园区。未纳入《石化产业规划布局方案》的新建炼化项目一律不得建设。严格涉VOCs建设项目环境影响评价，实行区域内VOCs 排放等量或倍量削减替代，并将替代方案落实到企业排污许可证中，纳入环境执行管理。</w:t>
                  </w:r>
                </w:p>
              </w:tc>
              <w:tc>
                <w:tcPr>
                  <w:tcW w:w="2535" w:type="dxa"/>
                  <w:vAlign w:val="center"/>
                </w:tcPr>
                <w:p>
                  <w:pPr>
                    <w:jc w:val="center"/>
                    <w:rPr>
                      <w:rFonts w:hint="eastAsia" w:eastAsia="宋体"/>
                      <w:color w:val="auto"/>
                      <w:lang w:eastAsia="zh-CN"/>
                    </w:rPr>
                  </w:pPr>
                  <w:r>
                    <w:rPr>
                      <w:rFonts w:hint="eastAsia"/>
                      <w:color w:val="auto"/>
                    </w:rPr>
                    <w:t>本项目</w:t>
                  </w:r>
                  <w:r>
                    <w:rPr>
                      <w:rFonts w:hint="eastAsia"/>
                      <w:color w:val="auto"/>
                      <w:lang w:eastAsia="zh-CN"/>
                    </w:rPr>
                    <w:t>位于开平市水口镇黎村狗山开发区，且不属于重点行业。</w:t>
                  </w:r>
                </w:p>
              </w:tc>
              <w:tc>
                <w:tcPr>
                  <w:tcW w:w="1248" w:type="dxa"/>
                  <w:vAlign w:val="center"/>
                </w:tcPr>
                <w:p>
                  <w:pPr>
                    <w:jc w:val="center"/>
                    <w:rPr>
                      <w:rFonts w:hint="eastAsia"/>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4" w:hRule="atLeast"/>
                <w:jc w:val="center"/>
              </w:trPr>
              <w:tc>
                <w:tcPr>
                  <w:tcW w:w="5466" w:type="dxa"/>
                  <w:vAlign w:val="center"/>
                </w:tcPr>
                <w:p>
                  <w:pPr>
                    <w:jc w:val="center"/>
                    <w:rPr>
                      <w:rFonts w:hint="eastAsia"/>
                      <w:color w:val="auto"/>
                    </w:rPr>
                  </w:pPr>
                  <w:r>
                    <w:rPr>
                      <w:rFonts w:hint="eastAsia"/>
                      <w:color w:val="auto"/>
                    </w:rPr>
                    <w:t>落实源头控制措施。推广使用低毒、低（无）VOCs含量油墨、胶黏剂、清洗剂、润版剂、洗车水、涂布液等原辅材料。低（无）VOCs含量的原辅材料代替比例不低于60%。</w:t>
                  </w:r>
                </w:p>
              </w:tc>
              <w:tc>
                <w:tcPr>
                  <w:tcW w:w="2535" w:type="dxa"/>
                  <w:vAlign w:val="center"/>
                </w:tcPr>
                <w:p>
                  <w:pPr>
                    <w:jc w:val="center"/>
                    <w:rPr>
                      <w:rFonts w:hint="eastAsia" w:eastAsia="宋体"/>
                      <w:color w:val="auto"/>
                      <w:lang w:eastAsia="zh-CN"/>
                    </w:rPr>
                  </w:pPr>
                  <w:r>
                    <w:rPr>
                      <w:rFonts w:hint="eastAsia"/>
                      <w:color w:val="auto"/>
                    </w:rPr>
                    <w:t>本项目使用的低VOCs含量的</w:t>
                  </w:r>
                  <w:r>
                    <w:rPr>
                      <w:rFonts w:hint="eastAsia"/>
                      <w:color w:val="auto"/>
                      <w:lang w:eastAsia="zh-CN"/>
                    </w:rPr>
                    <w:t>呋喃树脂</w:t>
                  </w:r>
                  <w:r>
                    <w:rPr>
                      <w:rFonts w:hint="eastAsia"/>
                      <w:color w:val="auto"/>
                    </w:rPr>
                    <w:t>占比</w:t>
                  </w:r>
                  <w:r>
                    <w:rPr>
                      <w:rFonts w:hint="eastAsia"/>
                      <w:color w:val="auto"/>
                      <w:lang w:val="en-US" w:eastAsia="zh-CN"/>
                    </w:rPr>
                    <w:t>100</w:t>
                  </w:r>
                  <w:r>
                    <w:rPr>
                      <w:rFonts w:hint="eastAsia"/>
                      <w:color w:val="auto"/>
                    </w:rPr>
                    <w:t>%</w:t>
                  </w:r>
                  <w:r>
                    <w:rPr>
                      <w:rFonts w:hint="eastAsia"/>
                      <w:color w:val="auto"/>
                      <w:lang w:eastAsia="zh-CN"/>
                    </w:rPr>
                    <w:t>。</w:t>
                  </w:r>
                </w:p>
              </w:tc>
              <w:tc>
                <w:tcPr>
                  <w:tcW w:w="1248" w:type="dxa"/>
                  <w:vAlign w:val="center"/>
                </w:tcPr>
                <w:p>
                  <w:pPr>
                    <w:jc w:val="center"/>
                    <w:rPr>
                      <w:rFonts w:hint="eastAsia"/>
                      <w:color w:val="auto"/>
                    </w:rPr>
                  </w:pPr>
                  <w:r>
                    <w:rPr>
                      <w:rFonts w:hint="eastAsia"/>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5466" w:type="dxa"/>
                  <w:vAlign w:val="center"/>
                </w:tcPr>
                <w:p>
                  <w:pPr>
                    <w:jc w:val="center"/>
                    <w:rPr>
                      <w:rFonts w:hint="eastAsia"/>
                      <w:color w:val="auto"/>
                    </w:rPr>
                  </w:pPr>
                  <w:r>
                    <w:rPr>
                      <w:rFonts w:hint="eastAsia"/>
                      <w:color w:val="auto"/>
                    </w:rPr>
                    <w:t>优化生产工艺过程。加强工业企业VOCs无组织排放管理，推动企业实施生产过程密闭化、连续化、自动化技术改造，强化生产工艺环节的有机废气收集，减少挥发性有机物排放。</w:t>
                  </w:r>
                </w:p>
              </w:tc>
              <w:tc>
                <w:tcPr>
                  <w:tcW w:w="2535" w:type="dxa"/>
                  <w:vAlign w:val="center"/>
                </w:tcPr>
                <w:p>
                  <w:pPr>
                    <w:jc w:val="center"/>
                    <w:rPr>
                      <w:rFonts w:hint="eastAsia"/>
                      <w:color w:val="auto"/>
                    </w:rPr>
                  </w:pPr>
                  <w:r>
                    <w:rPr>
                      <w:rFonts w:hint="eastAsia"/>
                      <w:color w:val="auto"/>
                    </w:rPr>
                    <w:t>项目</w:t>
                  </w:r>
                  <w:r>
                    <w:rPr>
                      <w:rFonts w:hint="eastAsia"/>
                      <w:color w:val="auto"/>
                      <w:lang w:eastAsia="zh-CN"/>
                    </w:rPr>
                    <w:t>有机</w:t>
                  </w:r>
                  <w:r>
                    <w:rPr>
                      <w:rFonts w:hint="eastAsia"/>
                      <w:color w:val="auto"/>
                    </w:rPr>
                    <w:t>废气经</w:t>
                  </w:r>
                  <w:r>
                    <w:rPr>
                      <w:rFonts w:hint="eastAsia"/>
                      <w:color w:val="auto"/>
                      <w:lang w:eastAsia="zh-CN"/>
                    </w:rPr>
                    <w:t>水喷淋</w:t>
                  </w:r>
                  <w:r>
                    <w:rPr>
                      <w:rFonts w:hint="eastAsia"/>
                      <w:color w:val="auto"/>
                      <w:lang w:val="en-US" w:eastAsia="zh-CN"/>
                    </w:rPr>
                    <w:t>+</w:t>
                  </w:r>
                  <w:r>
                    <w:rPr>
                      <w:rFonts w:hint="eastAsia"/>
                      <w:color w:val="auto"/>
                    </w:rPr>
                    <w:t>UV光解</w:t>
                  </w:r>
                  <w:r>
                    <w:rPr>
                      <w:rFonts w:hint="eastAsia"/>
                      <w:color w:val="auto"/>
                      <w:lang w:eastAsia="zh-CN"/>
                    </w:rPr>
                    <w:t>装置</w:t>
                  </w:r>
                  <w:r>
                    <w:rPr>
                      <w:rFonts w:hint="eastAsia"/>
                      <w:color w:val="auto"/>
                    </w:rPr>
                    <w:t>处理后通过</w:t>
                  </w:r>
                  <w:r>
                    <w:rPr>
                      <w:rFonts w:hint="eastAsia"/>
                      <w:color w:val="auto"/>
                      <w:szCs w:val="21"/>
                    </w:rPr>
                    <w:t>15m排气筒</w:t>
                  </w:r>
                  <w:r>
                    <w:rPr>
                      <w:rFonts w:hint="eastAsia"/>
                      <w:color w:val="auto"/>
                    </w:rPr>
                    <w:t>高空排放。</w:t>
                  </w:r>
                </w:p>
              </w:tc>
              <w:tc>
                <w:tcPr>
                  <w:tcW w:w="1248" w:type="dxa"/>
                  <w:vAlign w:val="center"/>
                </w:tcPr>
                <w:p>
                  <w:pPr>
                    <w:jc w:val="center"/>
                    <w:rPr>
                      <w:rFonts w:hint="eastAsia"/>
                      <w:color w:val="auto"/>
                    </w:rPr>
                  </w:pPr>
                  <w:r>
                    <w:rPr>
                      <w:rFonts w:hint="eastAsia"/>
                      <w:color w:val="auto"/>
                    </w:rPr>
                    <w:t>符合</w:t>
                  </w:r>
                </w:p>
              </w:tc>
            </w:tr>
          </w:tbl>
          <w:p>
            <w:pPr>
              <w:spacing w:line="360" w:lineRule="auto"/>
              <w:ind w:firstLine="480" w:firstLineChars="200"/>
              <w:rPr>
                <w:rFonts w:hint="eastAsia"/>
                <w:b w:val="0"/>
                <w:bCs/>
                <w:color w:val="auto"/>
                <w:sz w:val="24"/>
                <w:szCs w:val="24"/>
                <w:highlight w:val="none"/>
                <w:lang w:val="en-US" w:eastAsia="zh-CN"/>
              </w:rPr>
            </w:pPr>
            <w:r>
              <w:rPr>
                <w:rFonts w:hint="eastAsia"/>
                <w:b w:val="0"/>
                <w:bCs/>
                <w:color w:val="auto"/>
                <w:sz w:val="24"/>
                <w:szCs w:val="24"/>
                <w:highlight w:val="none"/>
                <w:lang w:val="en-US" w:eastAsia="zh-CN"/>
              </w:rPr>
              <w:t>（4）与《工业炉窑大气污染综合治理方案》的相符性分析：</w:t>
            </w:r>
          </w:p>
          <w:p>
            <w:pPr>
              <w:pStyle w:val="139"/>
              <w:numPr>
                <w:ilvl w:val="0"/>
                <w:numId w:val="5"/>
              </w:numPr>
              <w:tabs>
                <w:tab w:val="left" w:pos="420"/>
              </w:tabs>
              <w:spacing w:line="360" w:lineRule="auto"/>
              <w:ind w:left="0" w:firstLine="471"/>
              <w:rPr>
                <w:rFonts w:hint="default" w:eastAsia="宋体" w:cs="Times New Roman"/>
                <w:b/>
                <w:color w:val="auto"/>
                <w:sz w:val="21"/>
                <w:szCs w:val="21"/>
                <w:lang w:val="en-US" w:eastAsia="zh-CN"/>
              </w:rPr>
            </w:pPr>
            <w:r>
              <w:rPr>
                <w:rFonts w:hint="eastAsia" w:eastAsia="宋体" w:cs="Times New Roman"/>
                <w:b/>
                <w:color w:val="auto"/>
                <w:sz w:val="21"/>
                <w:szCs w:val="21"/>
                <w:lang w:val="en-US" w:eastAsia="zh-CN"/>
              </w:rPr>
              <w:t>与《《工业炉窑大气污染综合治理方案》的相符性一览表</w:t>
            </w:r>
          </w:p>
          <w:tbl>
            <w:tblPr>
              <w:tblStyle w:val="41"/>
              <w:tblW w:w="90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5"/>
              <w:gridCol w:w="2490"/>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5" w:type="dxa"/>
                  <w:vAlign w:val="center"/>
                </w:tcPr>
                <w:p>
                  <w:pPr>
                    <w:spacing w:line="360" w:lineRule="auto"/>
                    <w:jc w:val="center"/>
                    <w:rPr>
                      <w:rFonts w:hint="eastAsia"/>
                      <w:b/>
                      <w:color w:val="auto"/>
                      <w:sz w:val="21"/>
                      <w:szCs w:val="21"/>
                      <w:highlight w:val="none"/>
                      <w:vertAlign w:val="baseline"/>
                      <w:lang w:val="en-US" w:eastAsia="zh-CN"/>
                    </w:rPr>
                  </w:pPr>
                  <w:r>
                    <w:rPr>
                      <w:rFonts w:hint="eastAsia"/>
                      <w:b/>
                      <w:color w:val="auto"/>
                      <w:sz w:val="21"/>
                      <w:szCs w:val="21"/>
                      <w:highlight w:val="none"/>
                      <w:vertAlign w:val="baseline"/>
                      <w:lang w:val="en-US" w:eastAsia="zh-CN"/>
                    </w:rPr>
                    <w:t>文件要求</w:t>
                  </w:r>
                </w:p>
              </w:tc>
              <w:tc>
                <w:tcPr>
                  <w:tcW w:w="2490" w:type="dxa"/>
                  <w:vAlign w:val="center"/>
                </w:tcPr>
                <w:p>
                  <w:pPr>
                    <w:spacing w:line="360" w:lineRule="auto"/>
                    <w:jc w:val="center"/>
                    <w:rPr>
                      <w:rFonts w:hint="eastAsia"/>
                      <w:b/>
                      <w:color w:val="auto"/>
                      <w:sz w:val="21"/>
                      <w:szCs w:val="21"/>
                      <w:highlight w:val="none"/>
                      <w:vertAlign w:val="baseline"/>
                      <w:lang w:val="en-US" w:eastAsia="zh-CN"/>
                    </w:rPr>
                  </w:pPr>
                  <w:r>
                    <w:rPr>
                      <w:rFonts w:hint="eastAsia"/>
                      <w:b/>
                      <w:color w:val="auto"/>
                      <w:sz w:val="21"/>
                      <w:szCs w:val="21"/>
                      <w:highlight w:val="none"/>
                      <w:vertAlign w:val="baseline"/>
                      <w:lang w:val="en-US" w:eastAsia="zh-CN"/>
                    </w:rPr>
                    <w:t>项目情况</w:t>
                  </w:r>
                </w:p>
              </w:tc>
              <w:tc>
                <w:tcPr>
                  <w:tcW w:w="1121" w:type="dxa"/>
                  <w:vAlign w:val="center"/>
                </w:tcPr>
                <w:p>
                  <w:pPr>
                    <w:spacing w:line="360" w:lineRule="auto"/>
                    <w:jc w:val="center"/>
                    <w:rPr>
                      <w:rFonts w:hint="eastAsia"/>
                      <w:b/>
                      <w:color w:val="auto"/>
                      <w:sz w:val="21"/>
                      <w:szCs w:val="21"/>
                      <w:highlight w:val="none"/>
                      <w:vertAlign w:val="baseline"/>
                      <w:lang w:val="en-US" w:eastAsia="zh-CN"/>
                    </w:rPr>
                  </w:pPr>
                  <w:r>
                    <w:rPr>
                      <w:rFonts w:hint="eastAsia"/>
                      <w:b/>
                      <w:color w:val="auto"/>
                      <w:sz w:val="21"/>
                      <w:szCs w:val="21"/>
                      <w:highlight w:val="none"/>
                      <w:vertAlign w:val="baseline"/>
                      <w:lang w:val="en-US" w:eastAsia="zh-CN"/>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5415" w:type="dxa"/>
                  <w:vAlign w:val="center"/>
                </w:tcPr>
                <w:p>
                  <w:pPr>
                    <w:spacing w:line="240" w:lineRule="auto"/>
                    <w:jc w:val="left"/>
                    <w:rPr>
                      <w:rFonts w:hint="eastAsia"/>
                      <w:b/>
                      <w:color w:val="auto"/>
                      <w:sz w:val="21"/>
                      <w:szCs w:val="21"/>
                      <w:highlight w:val="none"/>
                      <w:vertAlign w:val="baseline"/>
                      <w:lang w:val="en-US" w:eastAsia="zh-CN"/>
                    </w:rPr>
                  </w:pPr>
                  <w:r>
                    <w:rPr>
                      <w:rFonts w:hint="eastAsia"/>
                      <w:b w:val="0"/>
                      <w:bCs/>
                      <w:color w:val="auto"/>
                      <w:sz w:val="21"/>
                      <w:szCs w:val="21"/>
                      <w:highlight w:val="none"/>
                      <w:vertAlign w:val="baseline"/>
                      <w:lang w:val="en-US" w:eastAsia="zh-CN"/>
                    </w:rPr>
                    <w:t xml:space="preserve">  加快燃料清洁低碳化替代。对以煤、石油焦、渣油、重油等为燃料的工业炉窑，加快使用清洁低碳能源以及利用工厂余热、电厂热力等进行替代。</w:t>
                  </w:r>
                </w:p>
              </w:tc>
              <w:tc>
                <w:tcPr>
                  <w:tcW w:w="2490" w:type="dxa"/>
                  <w:vAlign w:val="center"/>
                </w:tcPr>
                <w:p>
                  <w:pPr>
                    <w:spacing w:line="240" w:lineRule="auto"/>
                    <w:jc w:val="left"/>
                    <w:rPr>
                      <w:rFonts w:hint="eastAsia"/>
                      <w:b w:val="0"/>
                      <w:bCs/>
                      <w:color w:val="auto"/>
                      <w:sz w:val="21"/>
                      <w:szCs w:val="21"/>
                      <w:highlight w:val="none"/>
                      <w:vertAlign w:val="baseline"/>
                      <w:lang w:val="en-US" w:eastAsia="zh-CN"/>
                    </w:rPr>
                  </w:pPr>
                  <w:r>
                    <w:rPr>
                      <w:rFonts w:hint="eastAsia"/>
                      <w:b w:val="0"/>
                      <w:bCs/>
                      <w:color w:val="auto"/>
                      <w:sz w:val="21"/>
                      <w:szCs w:val="21"/>
                      <w:highlight w:val="none"/>
                      <w:vertAlign w:val="baseline"/>
                      <w:lang w:val="en-US" w:eastAsia="zh-CN"/>
                    </w:rPr>
                    <w:t>本项目熔化、铸造工序使用电能。</w:t>
                  </w:r>
                </w:p>
              </w:tc>
              <w:tc>
                <w:tcPr>
                  <w:tcW w:w="1121" w:type="dxa"/>
                  <w:vAlign w:val="center"/>
                </w:tcPr>
                <w:p>
                  <w:pPr>
                    <w:spacing w:line="240" w:lineRule="auto"/>
                    <w:jc w:val="center"/>
                    <w:rPr>
                      <w:rFonts w:hint="eastAsia"/>
                      <w:b w:val="0"/>
                      <w:bCs/>
                      <w:color w:val="auto"/>
                      <w:sz w:val="21"/>
                      <w:szCs w:val="21"/>
                      <w:highlight w:val="none"/>
                      <w:vertAlign w:val="baseline"/>
                      <w:lang w:val="en-US" w:eastAsia="zh-CN"/>
                    </w:rPr>
                  </w:pPr>
                  <w:r>
                    <w:rPr>
                      <w:rFonts w:hint="eastAsia"/>
                      <w:b w:val="0"/>
                      <w:bCs/>
                      <w:color w:val="auto"/>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6" w:hRule="atLeast"/>
                <w:jc w:val="center"/>
              </w:trPr>
              <w:tc>
                <w:tcPr>
                  <w:tcW w:w="5415" w:type="dxa"/>
                  <w:vAlign w:val="center"/>
                </w:tcPr>
                <w:p>
                  <w:pPr>
                    <w:spacing w:line="240" w:lineRule="auto"/>
                    <w:jc w:val="left"/>
                    <w:rPr>
                      <w:rFonts w:hint="eastAsia"/>
                      <w:b/>
                      <w:color w:val="auto"/>
                      <w:sz w:val="21"/>
                      <w:szCs w:val="21"/>
                      <w:highlight w:val="none"/>
                      <w:vertAlign w:val="baseline"/>
                      <w:lang w:val="en-US" w:eastAsia="zh-CN"/>
                    </w:rPr>
                  </w:pPr>
                  <w:r>
                    <w:rPr>
                      <w:rFonts w:hint="eastAsia"/>
                      <w:b w:val="0"/>
                      <w:bCs/>
                      <w:color w:val="auto"/>
                      <w:sz w:val="21"/>
                      <w:szCs w:val="21"/>
                      <w:highlight w:val="none"/>
                      <w:vertAlign w:val="baseline"/>
                      <w:lang w:val="en-US" w:eastAsia="zh-CN"/>
                    </w:rPr>
                    <w:t xml:space="preserve">  实施污染深度治理。推进工业炉窑全面达标排放，已有行业排放标准的工业炉窑，严格执行行业排放标准相关规定，配套建设高效脱硫脱硝除尘设施，确保稳定达标排放；全面加强无组织排放管理。严格控制工业炉窑生产工艺过程及相关物料储存、输送等无组织排放，在保障生产安全的前提下，采取密闭、封闭等有效措施，有效提高废气收集率，产尘点及车间不得有可见烟粉尘外逸。生产工艺产尘点（装置）应采取密闭、封闭或设置集气罩等措施。</w:t>
                  </w:r>
                </w:p>
              </w:tc>
              <w:tc>
                <w:tcPr>
                  <w:tcW w:w="2490" w:type="dxa"/>
                  <w:vAlign w:val="center"/>
                </w:tcPr>
                <w:p>
                  <w:pPr>
                    <w:spacing w:line="240" w:lineRule="auto"/>
                    <w:jc w:val="left"/>
                    <w:rPr>
                      <w:rFonts w:hint="eastAsia"/>
                      <w:b w:val="0"/>
                      <w:bCs/>
                      <w:color w:val="auto"/>
                      <w:sz w:val="21"/>
                      <w:szCs w:val="21"/>
                      <w:highlight w:val="none"/>
                      <w:vertAlign w:val="baseline"/>
                      <w:lang w:val="en-US" w:eastAsia="zh-CN"/>
                    </w:rPr>
                  </w:pPr>
                  <w:r>
                    <w:rPr>
                      <w:rFonts w:hint="eastAsia"/>
                      <w:b w:val="0"/>
                      <w:bCs/>
                      <w:color w:val="auto"/>
                      <w:sz w:val="21"/>
                      <w:szCs w:val="21"/>
                      <w:highlight w:val="none"/>
                      <w:vertAlign w:val="baseline"/>
                      <w:lang w:val="en-US" w:eastAsia="zh-CN"/>
                    </w:rPr>
                    <w:t>本项目不产生燃烧废气；熔化、铸造工序产生的烟尘</w:t>
                  </w:r>
                  <w:r>
                    <w:rPr>
                      <w:rFonts w:hint="eastAsia"/>
                      <w:color w:val="auto"/>
                    </w:rPr>
                    <w:t>经</w:t>
                  </w:r>
                  <w:r>
                    <w:rPr>
                      <w:rFonts w:hint="eastAsia"/>
                      <w:color w:val="auto"/>
                      <w:lang w:eastAsia="zh-CN"/>
                    </w:rPr>
                    <w:t>水喷淋</w:t>
                  </w:r>
                  <w:r>
                    <w:rPr>
                      <w:rFonts w:hint="eastAsia"/>
                      <w:color w:val="auto"/>
                      <w:lang w:val="en-US" w:eastAsia="zh-CN"/>
                    </w:rPr>
                    <w:t>+</w:t>
                  </w:r>
                  <w:r>
                    <w:rPr>
                      <w:rFonts w:hint="eastAsia"/>
                      <w:color w:val="auto"/>
                    </w:rPr>
                    <w:t>UV光解</w:t>
                  </w:r>
                  <w:r>
                    <w:rPr>
                      <w:rFonts w:hint="eastAsia"/>
                      <w:color w:val="auto"/>
                      <w:lang w:eastAsia="zh-CN"/>
                    </w:rPr>
                    <w:t>装置</w:t>
                  </w:r>
                  <w:r>
                    <w:rPr>
                      <w:rFonts w:hint="eastAsia"/>
                      <w:color w:val="auto"/>
                    </w:rPr>
                    <w:t>处理后通过</w:t>
                  </w:r>
                  <w:r>
                    <w:rPr>
                      <w:rFonts w:hint="eastAsia"/>
                      <w:color w:val="auto"/>
                      <w:szCs w:val="21"/>
                    </w:rPr>
                    <w:t>15m排气筒</w:t>
                  </w:r>
                  <w:r>
                    <w:rPr>
                      <w:rFonts w:hint="eastAsia"/>
                      <w:color w:val="auto"/>
                    </w:rPr>
                    <w:t>高空排放。</w:t>
                  </w:r>
                </w:p>
              </w:tc>
              <w:tc>
                <w:tcPr>
                  <w:tcW w:w="1121" w:type="dxa"/>
                  <w:vAlign w:val="center"/>
                </w:tcPr>
                <w:p>
                  <w:pPr>
                    <w:spacing w:line="240" w:lineRule="auto"/>
                    <w:jc w:val="center"/>
                    <w:rPr>
                      <w:rFonts w:hint="eastAsia"/>
                      <w:b w:val="0"/>
                      <w:bCs/>
                      <w:color w:val="auto"/>
                      <w:sz w:val="21"/>
                      <w:szCs w:val="21"/>
                      <w:highlight w:val="none"/>
                      <w:vertAlign w:val="baseline"/>
                      <w:lang w:val="en-US" w:eastAsia="zh-CN"/>
                    </w:rPr>
                  </w:pPr>
                  <w:r>
                    <w:rPr>
                      <w:rFonts w:hint="eastAsia"/>
                      <w:b w:val="0"/>
                      <w:bCs/>
                      <w:color w:val="auto"/>
                      <w:sz w:val="21"/>
                      <w:szCs w:val="21"/>
                      <w:highlight w:val="none"/>
                      <w:vertAlign w:val="baseline"/>
                      <w:lang w:val="en-US" w:eastAsia="zh-CN"/>
                    </w:rPr>
                    <w:t>符合</w:t>
                  </w:r>
                </w:p>
              </w:tc>
            </w:tr>
          </w:tbl>
          <w:p>
            <w:pPr>
              <w:pStyle w:val="148"/>
              <w:ind w:firstLine="480"/>
              <w:rPr>
                <w:rFonts w:hint="eastAsia"/>
                <w:color w:val="auto"/>
              </w:rPr>
            </w:pPr>
            <w:r>
              <w:rPr>
                <w:rFonts w:hint="eastAsia"/>
                <w:color w:val="auto"/>
              </w:rPr>
              <w:t>综上所述，项目不属于国家</w:t>
            </w:r>
            <w:r>
              <w:rPr>
                <w:rFonts w:hint="eastAsia"/>
                <w:color w:val="auto"/>
                <w:lang w:eastAsia="zh-CN"/>
              </w:rPr>
              <w:t>《产业结构调整指导目录（2019年本）》</w:t>
            </w:r>
            <w:r>
              <w:rPr>
                <w:rFonts w:hint="eastAsia"/>
                <w:color w:val="auto"/>
              </w:rPr>
              <w:t>的限制或淘汰类别，</w:t>
            </w:r>
            <w:r>
              <w:rPr>
                <w:rFonts w:hint="default" w:ascii="Times New Roman" w:hAnsi="Times New Roman" w:cs="Times New Roman"/>
                <w:bCs/>
                <w:color w:val="auto"/>
                <w:sz w:val="24"/>
                <w:shd w:val="clear" w:color="auto" w:fill="auto"/>
                <w:lang w:val="en-US" w:eastAsia="zh-CN"/>
              </w:rPr>
              <w:t>不</w:t>
            </w:r>
            <w:r>
              <w:rPr>
                <w:rFonts w:hint="eastAsia" w:cs="Times New Roman"/>
                <w:bCs/>
                <w:color w:val="auto"/>
                <w:sz w:val="24"/>
                <w:shd w:val="clear" w:color="auto" w:fill="auto"/>
                <w:lang w:val="en-US" w:eastAsia="zh-CN"/>
              </w:rPr>
              <w:t>属于《市场准入负面清单（2019年版）》发改体改[2019]1685号中</w:t>
            </w:r>
            <w:r>
              <w:rPr>
                <w:rFonts w:hint="default" w:ascii="Times New Roman" w:hAnsi="Times New Roman" w:cs="Times New Roman"/>
                <w:bCs/>
                <w:color w:val="auto"/>
                <w:sz w:val="24"/>
                <w:shd w:val="clear" w:color="auto" w:fill="auto"/>
                <w:lang w:val="en-US" w:eastAsia="zh-CN"/>
              </w:rPr>
              <w:t>禁止准入类和限制准入类</w:t>
            </w:r>
            <w:r>
              <w:rPr>
                <w:rFonts w:hint="eastAsia" w:cs="Times New Roman"/>
                <w:bCs/>
                <w:color w:val="auto"/>
                <w:sz w:val="24"/>
                <w:shd w:val="clear" w:color="auto" w:fill="auto"/>
                <w:lang w:val="en-US" w:eastAsia="zh-CN"/>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号）、《江门市挥发性有机物（VOCs）整治与减排工作方案（2018~2020年）》、《十三五挥发性有机物污染防治工作方案》</w:t>
            </w:r>
            <w:r>
              <w:rPr>
                <w:rFonts w:hint="eastAsia"/>
                <w:b w:val="0"/>
                <w:bCs w:val="0"/>
                <w:color w:val="auto"/>
                <w:sz w:val="24"/>
                <w:szCs w:val="24"/>
                <w:highlight w:val="none"/>
                <w:lang w:eastAsia="zh-CN"/>
              </w:rPr>
              <w:t>、</w:t>
            </w:r>
            <w:r>
              <w:rPr>
                <w:rFonts w:hint="eastAsia"/>
                <w:b w:val="0"/>
                <w:bCs/>
                <w:color w:val="auto"/>
                <w:sz w:val="24"/>
                <w:szCs w:val="24"/>
                <w:highlight w:val="none"/>
                <w:lang w:val="en-US" w:eastAsia="zh-CN"/>
              </w:rPr>
              <w:t>《工业炉窑大气污染综合治理方案》</w:t>
            </w:r>
            <w:r>
              <w:rPr>
                <w:rFonts w:hint="eastAsia"/>
                <w:b w:val="0"/>
                <w:bCs w:val="0"/>
                <w:color w:val="auto"/>
                <w:sz w:val="24"/>
                <w:szCs w:val="24"/>
                <w:highlight w:val="none"/>
              </w:rPr>
              <w:t>相符</w:t>
            </w:r>
            <w:r>
              <w:rPr>
                <w:rFonts w:hint="eastAsia"/>
                <w:b w:val="0"/>
                <w:bCs w:val="0"/>
                <w:color w:val="auto"/>
                <w:sz w:val="24"/>
                <w:szCs w:val="24"/>
                <w:highlight w:val="none"/>
                <w:lang w:eastAsia="zh-CN"/>
              </w:rPr>
              <w:t>，</w:t>
            </w:r>
            <w:r>
              <w:rPr>
                <w:rFonts w:hint="eastAsia"/>
                <w:color w:val="auto"/>
              </w:rPr>
              <w:t>因此项目符合国家、广东省的产业政策。</w:t>
            </w:r>
          </w:p>
          <w:p>
            <w:pPr>
              <w:pStyle w:val="148"/>
              <w:ind w:firstLine="480"/>
              <w:rPr>
                <w:rFonts w:hint="eastAsia"/>
                <w:color w:val="auto"/>
              </w:rPr>
            </w:pPr>
            <w:r>
              <w:rPr>
                <w:rFonts w:hint="eastAsia"/>
                <w:color w:val="auto"/>
              </w:rPr>
              <w:t>2）用地功能相符性</w:t>
            </w:r>
          </w:p>
          <w:p>
            <w:pPr>
              <w:pStyle w:val="148"/>
              <w:ind w:firstLine="480"/>
              <w:rPr>
                <w:rFonts w:hint="eastAsia"/>
                <w:color w:val="auto"/>
              </w:rPr>
            </w:pPr>
            <w:r>
              <w:rPr>
                <w:rFonts w:hint="eastAsia"/>
                <w:color w:val="auto"/>
              </w:rPr>
              <w:t>本项目位于</w:t>
            </w:r>
            <w:r>
              <w:rPr>
                <w:rFonts w:hint="eastAsia"/>
                <w:bCs/>
                <w:color w:val="auto"/>
                <w:sz w:val="24"/>
                <w:shd w:val="clear" w:color="auto" w:fill="auto"/>
                <w:lang w:eastAsia="zh-CN"/>
              </w:rPr>
              <w:t>开平市水口镇黎村狗山开发区</w:t>
            </w:r>
            <w:r>
              <w:rPr>
                <w:rFonts w:hint="eastAsia"/>
                <w:color w:val="auto"/>
              </w:rPr>
              <w:t>，</w:t>
            </w:r>
            <w:r>
              <w:rPr>
                <w:rFonts w:hint="eastAsia"/>
                <w:color w:val="auto"/>
                <w:lang w:eastAsia="zh-CN"/>
              </w:rPr>
              <w:t>根据附件</w:t>
            </w:r>
            <w:r>
              <w:rPr>
                <w:rFonts w:hint="eastAsia"/>
                <w:color w:val="auto"/>
                <w:lang w:val="en-US" w:eastAsia="zh-CN"/>
              </w:rPr>
              <w:t>3国土证，</w:t>
            </w:r>
            <w:r>
              <w:rPr>
                <w:rFonts w:hint="eastAsia"/>
                <w:color w:val="auto"/>
              </w:rPr>
              <w:t>属于工业用地，土地功能符合规划要求。</w:t>
            </w:r>
          </w:p>
        </w:tc>
      </w:tr>
    </w:tbl>
    <w:p>
      <w:pPr>
        <w:spacing w:line="360" w:lineRule="auto"/>
        <w:rPr>
          <w:b/>
          <w:bCs/>
          <w:color w:val="auto"/>
          <w:sz w:val="28"/>
          <w:szCs w:val="28"/>
          <w:shd w:val="clear" w:color="auto" w:fill="auto"/>
        </w:rPr>
        <w:sectPr>
          <w:footerReference r:id="rId9" w:type="default"/>
          <w:pgSz w:w="11907" w:h="16840"/>
          <w:pgMar w:top="1531" w:right="1134" w:bottom="1134" w:left="1418" w:header="0" w:footer="1078" w:gutter="0"/>
          <w:pgBorders>
            <w:top w:val="none" w:sz="0" w:space="0"/>
            <w:left w:val="none" w:sz="0" w:space="0"/>
            <w:bottom w:val="none" w:sz="0" w:space="0"/>
            <w:right w:val="none" w:sz="0" w:space="0"/>
          </w:pgBorders>
          <w:pgNumType w:start="1"/>
          <w:cols w:space="720" w:num="1"/>
          <w:docGrid w:linePitch="326" w:charSpace="-4916"/>
        </w:sectPr>
      </w:pPr>
    </w:p>
    <w:tbl>
      <w:tblPr>
        <w:tblStyle w:val="40"/>
        <w:tblW w:w="100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1" w:hRule="atLeast"/>
          <w:jc w:val="center"/>
        </w:trPr>
        <w:tc>
          <w:tcPr>
            <w:tcW w:w="10032" w:type="dxa"/>
            <w:tcBorders>
              <w:bottom w:val="single" w:color="auto" w:sz="4" w:space="0"/>
            </w:tcBorders>
            <w:vAlign w:val="center"/>
          </w:tcPr>
          <w:p>
            <w:pPr>
              <w:spacing w:line="360" w:lineRule="auto"/>
              <w:rPr>
                <w:b/>
                <w:bCs/>
                <w:color w:val="auto"/>
                <w:sz w:val="28"/>
                <w:szCs w:val="28"/>
                <w:shd w:val="clear" w:color="auto" w:fill="auto"/>
              </w:rPr>
            </w:pPr>
            <w:r>
              <w:rPr>
                <w:rFonts w:hint="eastAsia"/>
                <w:b/>
                <w:bCs/>
                <w:color w:val="auto"/>
                <w:sz w:val="28"/>
                <w:szCs w:val="28"/>
                <w:shd w:val="clear" w:color="auto" w:fill="auto"/>
              </w:rPr>
              <w:t>与项目有关的原有污染情况及主要环境问题：</w:t>
            </w:r>
          </w:p>
          <w:p>
            <w:pPr>
              <w:spacing w:line="360" w:lineRule="auto"/>
              <w:ind w:firstLine="480" w:firstLineChars="200"/>
              <w:rPr>
                <w:bCs/>
                <w:color w:val="auto"/>
                <w:sz w:val="24"/>
                <w:shd w:val="clear" w:color="auto" w:fill="auto"/>
              </w:rPr>
            </w:pPr>
            <w:r>
              <w:rPr>
                <w:rFonts w:hint="eastAsia"/>
                <w:bCs/>
                <w:color w:val="auto"/>
                <w:sz w:val="24"/>
                <w:shd w:val="clear" w:color="auto" w:fill="auto"/>
              </w:rPr>
              <w:t>项目为新建项目，故不存在原有污染情况。</w:t>
            </w:r>
          </w:p>
          <w:p>
            <w:pPr>
              <w:spacing w:line="360" w:lineRule="auto"/>
              <w:ind w:firstLine="480" w:firstLineChars="200"/>
              <w:rPr>
                <w:rFonts w:hint="eastAsia"/>
                <w:b w:val="0"/>
                <w:bCs w:val="0"/>
                <w:color w:val="auto"/>
                <w:sz w:val="24"/>
                <w:shd w:val="clear" w:color="auto" w:fill="auto"/>
                <w:lang w:val="en-US" w:eastAsia="zh-CN"/>
              </w:rPr>
            </w:pPr>
            <w:r>
              <w:rPr>
                <w:rFonts w:hint="eastAsia"/>
                <w:bCs/>
                <w:color w:val="auto"/>
                <w:sz w:val="24"/>
                <w:shd w:val="clear" w:color="auto" w:fill="auto"/>
              </w:rPr>
              <w:t>项目位于</w:t>
            </w:r>
            <w:r>
              <w:rPr>
                <w:rFonts w:hint="eastAsia"/>
                <w:bCs/>
                <w:color w:val="auto"/>
                <w:sz w:val="24"/>
                <w:shd w:val="clear" w:color="auto" w:fill="auto"/>
                <w:lang w:eastAsia="zh-CN"/>
              </w:rPr>
              <w:t>开平市水口镇黎村狗山开发区</w:t>
            </w:r>
            <w:r>
              <w:rPr>
                <w:rFonts w:hint="eastAsia"/>
                <w:bCs/>
                <w:color w:val="auto"/>
                <w:sz w:val="24"/>
                <w:shd w:val="clear" w:color="auto" w:fill="auto"/>
              </w:rPr>
              <w:t>。</w:t>
            </w:r>
            <w:r>
              <w:rPr>
                <w:rFonts w:hint="eastAsia" w:hAnsi="宋体"/>
                <w:bCs/>
                <w:color w:val="auto"/>
                <w:sz w:val="24"/>
                <w:shd w:val="clear" w:color="auto" w:fill="auto"/>
              </w:rPr>
              <w:t>根据现场勘查，项目所在厂区东面</w:t>
            </w:r>
            <w:r>
              <w:rPr>
                <w:rFonts w:hint="eastAsia" w:hAnsi="宋体"/>
                <w:bCs/>
                <w:color w:val="auto"/>
                <w:sz w:val="24"/>
                <w:shd w:val="clear" w:color="auto" w:fill="auto"/>
                <w:lang w:val="en-US" w:eastAsia="zh-CN"/>
              </w:rPr>
              <w:t>隔S364省道约38m为富活钢材厂和工业厂房，南面相邻为池塘和林兴压铸厂，西面约13m为平冈村和平冈卫生站，西北面约35m为蓝岛卫浴有限公司。</w:t>
            </w:r>
            <w:r>
              <w:rPr>
                <w:rFonts w:hint="eastAsia"/>
                <w:b w:val="0"/>
                <w:bCs w:val="0"/>
                <w:color w:val="auto"/>
                <w:sz w:val="24"/>
                <w:shd w:val="clear" w:color="auto" w:fill="auto"/>
              </w:rPr>
              <w:t>项目四至</w:t>
            </w:r>
            <w:r>
              <w:rPr>
                <w:rFonts w:hint="eastAsia"/>
                <w:b w:val="0"/>
                <w:bCs w:val="0"/>
                <w:color w:val="auto"/>
                <w:sz w:val="24"/>
                <w:shd w:val="clear" w:color="auto" w:fill="auto"/>
                <w:lang w:eastAsia="zh-CN"/>
              </w:rPr>
              <w:t>图见附图</w:t>
            </w:r>
            <w:r>
              <w:rPr>
                <w:rFonts w:hint="eastAsia"/>
                <w:b w:val="0"/>
                <w:bCs w:val="0"/>
                <w:color w:val="auto"/>
                <w:sz w:val="24"/>
                <w:shd w:val="clear" w:color="auto" w:fill="auto"/>
                <w:lang w:val="en-US" w:eastAsia="zh-CN"/>
              </w:rPr>
              <w:t>2。</w:t>
            </w:r>
          </w:p>
          <w:p>
            <w:pPr>
              <w:spacing w:line="360" w:lineRule="auto"/>
              <w:ind w:firstLine="480" w:firstLineChars="200"/>
              <w:rPr>
                <w:rFonts w:hint="eastAsia"/>
                <w:bCs/>
                <w:color w:val="auto"/>
                <w:sz w:val="24"/>
                <w:shd w:val="clear" w:color="auto" w:fill="auto"/>
                <w:lang w:val="en-US" w:eastAsia="zh-CN"/>
              </w:rPr>
            </w:pPr>
            <w:r>
              <w:rPr>
                <w:rFonts w:hint="eastAsia"/>
                <w:bCs/>
                <w:color w:val="auto"/>
                <w:sz w:val="24"/>
                <w:shd w:val="clear" w:color="auto" w:fill="auto"/>
                <w:lang w:val="en-US" w:eastAsia="zh-CN"/>
              </w:rPr>
              <w:t>本项目周边主要环境问题为周边工厂产生的废水、废气、固废、噪声等，以及项目周边道路产生的交通尾气及噪声。项目所在地周围的现有污染源为项目周边生产企业产生的三废等。</w:t>
            </w:r>
          </w:p>
          <w:p>
            <w:pPr>
              <w:pStyle w:val="133"/>
              <w:rPr>
                <w:color w:val="auto"/>
                <w:szCs w:val="21"/>
                <w:shd w:val="clear" w:color="auto" w:fill="auto"/>
              </w:rPr>
            </w:pPr>
          </w:p>
          <w:p>
            <w:pPr>
              <w:pStyle w:val="133"/>
              <w:jc w:val="both"/>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p>
            <w:pPr>
              <w:pStyle w:val="133"/>
              <w:rPr>
                <w:color w:val="auto"/>
                <w:szCs w:val="21"/>
                <w:shd w:val="clear" w:color="auto" w:fill="auto"/>
              </w:rPr>
            </w:pPr>
          </w:p>
        </w:tc>
      </w:tr>
    </w:tbl>
    <w:p>
      <w:pPr>
        <w:spacing w:line="480" w:lineRule="auto"/>
        <w:rPr>
          <w:color w:val="auto"/>
          <w:sz w:val="28"/>
          <w:shd w:val="clear" w:color="auto" w:fill="auto"/>
        </w:rPr>
        <w:sectPr>
          <w:pgSz w:w="11907" w:h="16840"/>
          <w:pgMar w:top="1531" w:right="1134" w:bottom="1134" w:left="1418" w:header="0" w:footer="1078" w:gutter="0"/>
          <w:pgBorders>
            <w:top w:val="none" w:sz="0" w:space="0"/>
            <w:left w:val="none" w:sz="0" w:space="0"/>
            <w:bottom w:val="none" w:sz="0" w:space="0"/>
            <w:right w:val="none" w:sz="0" w:space="0"/>
          </w:pgBorders>
          <w:cols w:space="720" w:num="1"/>
          <w:docGrid w:linePitch="326" w:charSpace="-4916"/>
        </w:sectPr>
      </w:pPr>
    </w:p>
    <w:p>
      <w:pPr>
        <w:pStyle w:val="38"/>
        <w:jc w:val="left"/>
        <w:rPr>
          <w:rFonts w:ascii="Times New Roman" w:hAnsi="Times New Roman"/>
          <w:color w:val="auto"/>
          <w:shd w:val="clear" w:color="auto" w:fill="auto"/>
        </w:rPr>
      </w:pPr>
      <w:r>
        <w:rPr>
          <w:rFonts w:ascii="Times New Roman" w:hAnsi="Times New Roman"/>
          <w:color w:val="auto"/>
          <w:shd w:val="clear" w:color="auto" w:fill="auto"/>
        </w:rPr>
        <w:t>建设项目所在地自然环境简况</w:t>
      </w:r>
    </w:p>
    <w:tbl>
      <w:tblPr>
        <w:tblStyle w:val="41"/>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1" w:type="dxa"/>
          </w:tcPr>
          <w:p>
            <w:pPr>
              <w:spacing w:before="120"/>
              <w:rPr>
                <w:rFonts w:ascii="宋体" w:hAnsi="宋体"/>
                <w:b/>
                <w:bCs/>
                <w:color w:val="auto"/>
                <w:sz w:val="28"/>
              </w:rPr>
            </w:pPr>
            <w:r>
              <w:rPr>
                <w:rFonts w:hint="eastAsia" w:ascii="宋体" w:hAnsi="宋体"/>
                <w:b/>
                <w:bCs/>
                <w:color w:val="auto"/>
                <w:sz w:val="28"/>
              </w:rPr>
              <w:t>自然环境简况（地理位置、地质地貌、气象气候、河流水文特征、植被、水生生物等）：</w:t>
            </w:r>
          </w:p>
          <w:p>
            <w:pPr>
              <w:spacing w:line="360" w:lineRule="auto"/>
              <w:ind w:left="50" w:firstLine="480" w:firstLineChars="200"/>
              <w:rPr>
                <w:color w:val="auto"/>
                <w:sz w:val="24"/>
              </w:rPr>
            </w:pPr>
            <w:r>
              <w:rPr>
                <w:color w:val="auto"/>
                <w:sz w:val="24"/>
              </w:rPr>
              <w:t>开平市位于广东省中南部，东经 112°13′至 112°48′，北纬 21°56′至 22°39′；东北连新会，正北靠鹤山，东南近台山，西南接恩平，西北邻新兴。濒临南海，靠近港澳，东北距江门市区 46 km，距广州 110km，北扼鹤山之冲，西接恩平之咽，东南有新会为藩篱，西南以台山为屏障。位于江门五邑中心，地理位置优越。全市总面积 1659 平方公里。1649年建县，1993 年 1 月 5 日撤县设市，1995 年被国家定为二类市。现辖 13 个镇和三埠、长沙 2 个办事处。</w:t>
            </w:r>
          </w:p>
          <w:p>
            <w:pPr>
              <w:spacing w:line="360" w:lineRule="auto"/>
              <w:ind w:left="50" w:firstLine="482" w:firstLineChars="200"/>
              <w:rPr>
                <w:b/>
                <w:bCs/>
                <w:color w:val="auto"/>
                <w:sz w:val="24"/>
              </w:rPr>
            </w:pPr>
            <w:r>
              <w:rPr>
                <w:b/>
                <w:bCs/>
                <w:color w:val="auto"/>
                <w:sz w:val="24"/>
              </w:rPr>
              <w:t>1、地形地貌</w:t>
            </w:r>
          </w:p>
          <w:p>
            <w:pPr>
              <w:spacing w:line="360" w:lineRule="auto"/>
              <w:ind w:left="50" w:firstLine="480" w:firstLineChars="200"/>
              <w:rPr>
                <w:color w:val="auto"/>
                <w:sz w:val="24"/>
              </w:rPr>
            </w:pPr>
            <w:r>
              <w:rPr>
                <w:color w:val="auto"/>
                <w:sz w:val="24"/>
              </w:rPr>
              <w:t>开平市地势自南、北两面向潭江河谷倾斜，东、中部地势低。南部、北部多低山丘陵， 西北部的天露山海拔 1250 米，是江门五邑最高峰；东部、中部多丘陵平原，大部分在海拔 50 米以下，海拔较的有梁金山（456 米）、百立山（394 米）。主要山脉有天露山、梁金山、百立山、罗汉山等。主要矿藏有煤、铁、钨、铜、石英石等。地势自南北两面向潭江河各地带倾斜，海拔 50 米以下的平原面积占全市面积的 69%，丘陵面积占 29%，山地面积占 2%。</w:t>
            </w:r>
          </w:p>
          <w:p>
            <w:pPr>
              <w:spacing w:line="360" w:lineRule="auto"/>
              <w:ind w:left="50" w:firstLine="480" w:firstLineChars="200"/>
              <w:rPr>
                <w:color w:val="auto"/>
                <w:sz w:val="24"/>
              </w:rPr>
            </w:pPr>
            <w:r>
              <w:rPr>
                <w:color w:val="auto"/>
                <w:sz w:val="24"/>
              </w:rPr>
              <w:t>开平市的地质大部分为花岗岩和沙页岩结构。有两条断裂带横贯域内。一条是海陵断裂带，南起阳江市南部沿海，经恩平市大槐、恩城、沙湖进入域内马冈、苍城、大罗村， 再过鹤山、花县、河源、和平至江西龙南县；另一条是金鸡至鹤城断裂带（属活性断裂带），南起台山市挪扶，经域内金鸡墟、瓦片坑、蚬冈、赤坎、交流渡、梁金山、月山至鹤城。两条断裂带把市域划分为南、北、中三块。</w:t>
            </w:r>
          </w:p>
          <w:p>
            <w:pPr>
              <w:spacing w:line="360" w:lineRule="auto"/>
              <w:ind w:left="50" w:firstLine="482" w:firstLineChars="200"/>
              <w:rPr>
                <w:rStyle w:val="46"/>
                <w:color w:val="auto"/>
              </w:rPr>
            </w:pPr>
            <w:r>
              <w:rPr>
                <w:b/>
                <w:bCs/>
                <w:color w:val="auto"/>
                <w:sz w:val="24"/>
              </w:rPr>
              <w:t>2、气候气象</w:t>
            </w:r>
          </w:p>
          <w:p>
            <w:pPr>
              <w:widowControl w:val="0"/>
              <w:autoSpaceDE w:val="0"/>
              <w:autoSpaceDN w:val="0"/>
              <w:adjustRightInd w:val="0"/>
              <w:snapToGrid w:val="0"/>
              <w:spacing w:line="360" w:lineRule="auto"/>
              <w:ind w:left="0" w:right="0" w:firstLine="556"/>
              <w:jc w:val="both"/>
              <w:rPr>
                <w:rFonts w:ascii="Times New Roman" w:hAnsi="Times New Roman" w:eastAsia="宋体" w:cs="Times New Roman"/>
                <w:color w:val="auto"/>
                <w:spacing w:val="0"/>
                <w:kern w:val="0"/>
                <w:position w:val="0"/>
                <w:sz w:val="24"/>
                <w:szCs w:val="24"/>
                <w:lang w:val="en-US" w:eastAsia="zh-CN" w:bidi="ar-SA"/>
              </w:rPr>
            </w:pPr>
            <w:r>
              <w:rPr>
                <w:rFonts w:hint="eastAsia" w:ascii="Times New Roman" w:hAnsi="宋体" w:eastAsia="楷体_GB2312" w:cs="Times New Roman"/>
                <w:b/>
                <w:color w:val="auto"/>
                <w:spacing w:val="2"/>
                <w:kern w:val="2"/>
                <w:position w:val="-40"/>
                <w:sz w:val="24"/>
                <w:szCs w:val="20"/>
                <w:lang w:val="en-US" w:eastAsia="zh-CN" w:bidi="ar-SA"/>
              </w:rPr>
              <w:t xml:space="preserve"> </w:t>
            </w:r>
            <w:r>
              <w:rPr>
                <w:rFonts w:ascii="Times New Roman" w:hAnsi="Times New Roman" w:eastAsia="宋体" w:cs="Times New Roman"/>
                <w:color w:val="auto"/>
                <w:spacing w:val="0"/>
                <w:kern w:val="0"/>
                <w:position w:val="0"/>
                <w:sz w:val="24"/>
                <w:szCs w:val="24"/>
                <w:lang w:val="en-US" w:eastAsia="zh-CN" w:bidi="ar-SA"/>
              </w:rPr>
              <w:t>开平市地处北回归线以南，属南亚热带海洋性季风气候，濒临南海，有海洋风调节，常年气候温和湿润，日照充分，雨量充沛。全年主导风向为东北风，其中6～8月份以偏南风为主。全年80%以上的降水出现在4～9月，7～9月是台风活动的频发期。根据开平市最近20年的气象观测资料统计，其主要气象特征见下表。</w:t>
            </w:r>
          </w:p>
          <w:p>
            <w:pPr>
              <w:pStyle w:val="139"/>
              <w:numPr>
                <w:ilvl w:val="0"/>
                <w:numId w:val="5"/>
              </w:numPr>
              <w:tabs>
                <w:tab w:val="left" w:pos="420"/>
              </w:tabs>
              <w:spacing w:line="360" w:lineRule="auto"/>
              <w:ind w:left="0" w:firstLine="471"/>
              <w:rPr>
                <w:rFonts w:eastAsia="宋体" w:cs="Times New Roman"/>
                <w:b/>
                <w:color w:val="auto"/>
                <w:sz w:val="21"/>
                <w:szCs w:val="21"/>
                <w:shd w:val="clear" w:color="auto" w:fill="auto"/>
              </w:rPr>
            </w:pPr>
            <w:r>
              <w:rPr>
                <w:rFonts w:eastAsia="宋体" w:cs="Times New Roman"/>
                <w:b/>
                <w:color w:val="auto"/>
                <w:sz w:val="21"/>
                <w:szCs w:val="21"/>
                <w:shd w:val="clear" w:color="auto" w:fill="auto"/>
              </w:rPr>
              <w:t>开平市气象站近20年主要气候资料统计值（199</w:t>
            </w:r>
            <w:r>
              <w:rPr>
                <w:rFonts w:hint="eastAsia" w:eastAsia="宋体" w:cs="Times New Roman"/>
                <w:b/>
                <w:color w:val="auto"/>
                <w:sz w:val="21"/>
                <w:szCs w:val="21"/>
                <w:shd w:val="clear" w:color="auto" w:fill="auto"/>
              </w:rPr>
              <w:t>8</w:t>
            </w:r>
            <w:r>
              <w:rPr>
                <w:rFonts w:eastAsia="宋体" w:cs="Times New Roman"/>
                <w:b/>
                <w:color w:val="auto"/>
                <w:sz w:val="21"/>
                <w:szCs w:val="21"/>
                <w:shd w:val="clear" w:color="auto" w:fill="auto"/>
              </w:rPr>
              <w:t>-201</w:t>
            </w:r>
            <w:r>
              <w:rPr>
                <w:rFonts w:hint="eastAsia" w:eastAsia="宋体" w:cs="Times New Roman"/>
                <w:b/>
                <w:color w:val="auto"/>
                <w:sz w:val="21"/>
                <w:szCs w:val="21"/>
                <w:shd w:val="clear" w:color="auto" w:fill="auto"/>
              </w:rPr>
              <w:t>8</w:t>
            </w:r>
            <w:r>
              <w:rPr>
                <w:rFonts w:eastAsia="宋体" w:cs="Times New Roman"/>
                <w:b/>
                <w:color w:val="auto"/>
                <w:sz w:val="21"/>
                <w:szCs w:val="21"/>
                <w:shd w:val="clear" w:color="auto" w:fill="auto"/>
              </w:rPr>
              <w:t>）</w:t>
            </w:r>
          </w:p>
          <w:tbl>
            <w:tblPr>
              <w:tblStyle w:val="40"/>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3"/>
              <w:gridCol w:w="4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jc w:val="center"/>
                    <w:rPr>
                      <w:rFonts w:ascii="Times New Roman" w:hAnsi="Times New Roman" w:eastAsia="宋体" w:cs="Times New Roman"/>
                      <w:b/>
                      <w:color w:val="auto"/>
                    </w:rPr>
                  </w:pPr>
                  <w:r>
                    <w:rPr>
                      <w:rFonts w:ascii="Times New Roman" w:hAnsi="Times New Roman" w:eastAsia="宋体" w:cs="Times New Roman"/>
                      <w:b/>
                      <w:color w:val="auto"/>
                    </w:rPr>
                    <w:t>项目</w:t>
                  </w:r>
                </w:p>
              </w:tc>
              <w:tc>
                <w:tcPr>
                  <w:tcW w:w="4787" w:type="dxa"/>
                  <w:noWrap w:val="0"/>
                  <w:vAlign w:val="center"/>
                </w:tcPr>
                <w:p>
                  <w:pPr>
                    <w:jc w:val="center"/>
                    <w:rPr>
                      <w:rFonts w:ascii="Times New Roman" w:hAnsi="Times New Roman" w:eastAsia="宋体" w:cs="Times New Roman"/>
                      <w:b/>
                      <w:color w:val="auto"/>
                    </w:rPr>
                  </w:pPr>
                  <w:r>
                    <w:rPr>
                      <w:rFonts w:ascii="Times New Roman" w:hAnsi="Times New Roman" w:eastAsia="宋体" w:cs="Times New Roman"/>
                      <w:b/>
                      <w:color w:val="auto"/>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年平均风速(m/s)</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1.9</w:t>
                  </w:r>
                  <w:r>
                    <w:rPr>
                      <w:rFonts w:hint="eastAsia" w:ascii="Times New Roman" w:hAnsi="Times New Roman" w:eastAsia="宋体" w:cs="Times New Roman"/>
                      <w:snapToGrid w:val="0"/>
                      <w:color w:val="auto"/>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最大风速(m/s)及出现的时间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42.1</w:t>
                  </w:r>
                  <w:r>
                    <w:rPr>
                      <w:rFonts w:ascii="Times New Roman" w:hAnsi="Times New Roman" w:eastAsia="宋体" w:cs="Times New Roman"/>
                      <w:snapToGrid w:val="0"/>
                      <w:color w:val="auto"/>
                      <w:szCs w:val="21"/>
                    </w:rPr>
                    <w:t>，NE</w:t>
                  </w:r>
                </w:p>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出现时间：201</w:t>
                  </w:r>
                  <w:r>
                    <w:rPr>
                      <w:rFonts w:hint="eastAsia" w:ascii="Times New Roman" w:hAnsi="Times New Roman" w:eastAsia="宋体" w:cs="Times New Roman"/>
                      <w:snapToGrid w:val="0"/>
                      <w:color w:val="auto"/>
                      <w:szCs w:val="21"/>
                    </w:rPr>
                    <w:t>8</w:t>
                  </w:r>
                  <w:r>
                    <w:rPr>
                      <w:rFonts w:ascii="Times New Roman" w:hAnsi="Times New Roman" w:eastAsia="宋体" w:cs="Times New Roman"/>
                      <w:snapToGrid w:val="0"/>
                      <w:color w:val="auto"/>
                      <w:szCs w:val="21"/>
                    </w:rPr>
                    <w:t>年</w:t>
                  </w:r>
                  <w:r>
                    <w:rPr>
                      <w:rFonts w:hint="eastAsia" w:ascii="Times New Roman" w:hAnsi="Times New Roman" w:eastAsia="宋体" w:cs="Times New Roman"/>
                      <w:snapToGrid w:val="0"/>
                      <w:color w:val="auto"/>
                      <w:szCs w:val="21"/>
                    </w:rPr>
                    <w:t>9</w:t>
                  </w:r>
                  <w:r>
                    <w:rPr>
                      <w:rFonts w:ascii="Times New Roman" w:hAnsi="Times New Roman" w:eastAsia="宋体" w:cs="Times New Roman"/>
                      <w:snapToGrid w:val="0"/>
                      <w:color w:val="auto"/>
                      <w:szCs w:val="21"/>
                    </w:rPr>
                    <w:t>月</w:t>
                  </w:r>
                  <w:r>
                    <w:rPr>
                      <w:rFonts w:hint="eastAsia" w:ascii="Times New Roman" w:hAnsi="Times New Roman" w:eastAsia="宋体" w:cs="Times New Roman"/>
                      <w:snapToGrid w:val="0"/>
                      <w:color w:val="auto"/>
                      <w:szCs w:val="21"/>
                    </w:rPr>
                    <w:t>16</w:t>
                  </w:r>
                  <w:r>
                    <w:rPr>
                      <w:rFonts w:ascii="Times New Roman" w:hAnsi="Times New Roman" w:eastAsia="宋体" w:cs="Times New Roman"/>
                      <w:snapToGrid w:val="0"/>
                      <w:color w:val="auto"/>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年平均气温（</w:t>
                  </w:r>
                  <w:r>
                    <w:rPr>
                      <w:rFonts w:hint="eastAsia" w:ascii="Times New Roman" w:hAnsi="Times New Roman" w:eastAsia="宋体" w:cs="Times New Roman"/>
                      <w:snapToGrid w:val="0"/>
                      <w:color w:val="auto"/>
                      <w:szCs w:val="21"/>
                    </w:rPr>
                    <w:t>℃</w:t>
                  </w:r>
                  <w:r>
                    <w:rPr>
                      <w:rFonts w:ascii="Times New Roman" w:hAnsi="Times New Roman" w:eastAsia="宋体" w:cs="Times New Roman"/>
                      <w:snapToGrid w:val="0"/>
                      <w:color w:val="auto"/>
                      <w:szCs w:val="21"/>
                    </w:rPr>
                    <w:t>）</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2</w:t>
                  </w:r>
                  <w:r>
                    <w:rPr>
                      <w:rFonts w:hint="eastAsia" w:ascii="Times New Roman" w:hAnsi="Times New Roman" w:eastAsia="宋体" w:cs="Times New Roman"/>
                      <w:snapToGrid w:val="0"/>
                      <w:color w:val="auto"/>
                      <w:szCs w:val="21"/>
                    </w:rPr>
                    <w:t>2</w:t>
                  </w:r>
                  <w:r>
                    <w:rPr>
                      <w:rFonts w:ascii="Times New Roman" w:hAnsi="Times New Roman" w:eastAsia="宋体" w:cs="Times New Roman"/>
                      <w:snapToGrid w:val="0"/>
                      <w:color w:val="auto"/>
                      <w:szCs w:val="21"/>
                    </w:rPr>
                    <w:t>.</w:t>
                  </w:r>
                  <w:r>
                    <w:rPr>
                      <w:rFonts w:hint="eastAsia" w:ascii="Times New Roman" w:hAnsi="Times New Roman" w:eastAsia="宋体" w:cs="Times New Roman"/>
                      <w:snapToGrid w:val="0"/>
                      <w:color w:val="auto"/>
                      <w:szCs w:val="21"/>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极端最高气温（</w:t>
                  </w:r>
                  <w:r>
                    <w:rPr>
                      <w:rFonts w:hint="eastAsia" w:ascii="Times New Roman" w:hAnsi="Times New Roman" w:eastAsia="宋体" w:cs="Times New Roman"/>
                      <w:snapToGrid w:val="0"/>
                      <w:color w:val="auto"/>
                      <w:szCs w:val="21"/>
                    </w:rPr>
                    <w:t>℃</w:t>
                  </w:r>
                  <w:r>
                    <w:rPr>
                      <w:rFonts w:ascii="Times New Roman" w:hAnsi="Times New Roman" w:eastAsia="宋体" w:cs="Times New Roman"/>
                      <w:snapToGrid w:val="0"/>
                      <w:color w:val="auto"/>
                      <w:szCs w:val="21"/>
                    </w:rPr>
                    <w:t>）及出现的时间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39.4</w:t>
                  </w:r>
                </w:p>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出现时间：2004年7月1日、2005年7月19日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极端最低气温（</w:t>
                  </w:r>
                  <w:r>
                    <w:rPr>
                      <w:rFonts w:hint="eastAsia" w:ascii="Times New Roman" w:hAnsi="Times New Roman" w:eastAsia="宋体" w:cs="Times New Roman"/>
                      <w:snapToGrid w:val="0"/>
                      <w:color w:val="auto"/>
                      <w:szCs w:val="21"/>
                    </w:rPr>
                    <w:t>℃</w:t>
                  </w:r>
                  <w:r>
                    <w:rPr>
                      <w:rFonts w:ascii="Times New Roman" w:hAnsi="Times New Roman" w:eastAsia="宋体" w:cs="Times New Roman"/>
                      <w:snapToGrid w:val="0"/>
                      <w:color w:val="auto"/>
                      <w:szCs w:val="21"/>
                    </w:rPr>
                    <w:t>）及出现的时间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1.5</w:t>
                  </w:r>
                </w:p>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出现时间：2010年12月17日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年平均相对湿度（%）</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77</w:t>
                  </w:r>
                  <w:r>
                    <w:rPr>
                      <w:rFonts w:hint="eastAsia" w:ascii="Times New Roman" w:hAnsi="Times New Roman" w:eastAsia="宋体" w:cs="Times New Roman"/>
                      <w:snapToGrid w:val="0"/>
                      <w:color w:val="auto"/>
                      <w:szCs w:val="21"/>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年均降水量（mm）</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1945.35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多年平均最大日降水量</w:t>
                  </w:r>
                  <w:r>
                    <w:rPr>
                      <w:rFonts w:ascii="Times New Roman" w:hAnsi="Times New Roman" w:eastAsia="宋体" w:cs="Times New Roman"/>
                      <w:snapToGrid w:val="0"/>
                      <w:color w:val="auto"/>
                      <w:szCs w:val="21"/>
                    </w:rPr>
                    <w:t>及出现的时间</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最大值：</w:t>
                  </w:r>
                  <w:r>
                    <w:rPr>
                      <w:rFonts w:hint="eastAsia" w:ascii="Times New Roman" w:hAnsi="Times New Roman" w:eastAsia="宋体" w:cs="Times New Roman"/>
                      <w:snapToGrid w:val="0"/>
                      <w:color w:val="auto"/>
                      <w:szCs w:val="21"/>
                    </w:rPr>
                    <w:t>287</w:t>
                  </w:r>
                  <w:r>
                    <w:rPr>
                      <w:rFonts w:ascii="Times New Roman" w:hAnsi="Times New Roman" w:eastAsia="宋体" w:cs="Times New Roman"/>
                      <w:snapToGrid w:val="0"/>
                      <w:color w:val="auto"/>
                      <w:szCs w:val="21"/>
                    </w:rPr>
                    <w:t>mm  出现时间：</w:t>
                  </w:r>
                  <w:r>
                    <w:rPr>
                      <w:rFonts w:hint="eastAsia" w:ascii="Times New Roman" w:hAnsi="Times New Roman" w:eastAsia="宋体" w:cs="Times New Roman"/>
                      <w:snapToGrid w:val="0"/>
                      <w:color w:val="auto"/>
                      <w:szCs w:val="21"/>
                    </w:rPr>
                    <w:t>1999</w:t>
                  </w:r>
                  <w:r>
                    <w:rPr>
                      <w:rFonts w:ascii="Times New Roman" w:hAnsi="Times New Roman" w:eastAsia="宋体" w:cs="Times New Roman"/>
                      <w:snapToGrid w:val="0"/>
                      <w:color w:val="auto"/>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年平均降水日数（d）</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151.37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年平均日照时数（h）</w:t>
                  </w:r>
                </w:p>
              </w:tc>
              <w:tc>
                <w:tcPr>
                  <w:tcW w:w="4787" w:type="dxa"/>
                  <w:noWrap w:val="0"/>
                  <w:vAlign w:val="center"/>
                </w:tcPr>
                <w:p>
                  <w:pPr>
                    <w:adjustRightInd w:val="0"/>
                    <w:snapToGrid w:val="0"/>
                    <w:jc w:val="center"/>
                    <w:rPr>
                      <w:rFonts w:ascii="Times New Roman" w:hAnsi="Times New Roman" w:eastAsia="宋体" w:cs="Times New Roman"/>
                      <w:snapToGrid w:val="0"/>
                      <w:color w:val="auto"/>
                      <w:szCs w:val="21"/>
                    </w:rPr>
                  </w:pPr>
                  <w:r>
                    <w:rPr>
                      <w:rFonts w:ascii="Times New Roman" w:hAnsi="Times New Roman" w:eastAsia="宋体" w:cs="Times New Roman"/>
                      <w:snapToGrid w:val="0"/>
                      <w:color w:val="auto"/>
                      <w:szCs w:val="21"/>
                    </w:rPr>
                    <w:t>1696.7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3" w:type="dxa"/>
                  <w:noWrap w:val="0"/>
                  <w:vAlign w:val="center"/>
                </w:tcPr>
                <w:p>
                  <w:pPr>
                    <w:adjustRightInd w:val="0"/>
                    <w:snapToGrid w:val="0"/>
                    <w:spacing w:line="360" w:lineRule="auto"/>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近五年（2</w:t>
                  </w:r>
                  <w:r>
                    <w:rPr>
                      <w:rFonts w:ascii="Times New Roman" w:hAnsi="Times New Roman" w:eastAsia="宋体" w:cs="Times New Roman"/>
                      <w:snapToGrid w:val="0"/>
                      <w:color w:val="auto"/>
                      <w:szCs w:val="21"/>
                    </w:rPr>
                    <w:t>01</w:t>
                  </w:r>
                  <w:r>
                    <w:rPr>
                      <w:rFonts w:hint="eastAsia" w:ascii="Times New Roman" w:hAnsi="Times New Roman" w:eastAsia="宋体" w:cs="Times New Roman"/>
                      <w:snapToGrid w:val="0"/>
                      <w:color w:val="auto"/>
                      <w:szCs w:val="21"/>
                    </w:rPr>
                    <w:t>3~</w:t>
                  </w:r>
                  <w:r>
                    <w:rPr>
                      <w:rFonts w:ascii="Times New Roman" w:hAnsi="Times New Roman" w:eastAsia="宋体" w:cs="Times New Roman"/>
                      <w:snapToGrid w:val="0"/>
                      <w:color w:val="auto"/>
                      <w:szCs w:val="21"/>
                    </w:rPr>
                    <w:t>201</w:t>
                  </w:r>
                  <w:r>
                    <w:rPr>
                      <w:rFonts w:hint="eastAsia" w:ascii="Times New Roman" w:hAnsi="Times New Roman" w:eastAsia="宋体" w:cs="Times New Roman"/>
                      <w:snapToGrid w:val="0"/>
                      <w:color w:val="auto"/>
                      <w:szCs w:val="21"/>
                    </w:rPr>
                    <w:t>8年）平均风速（m/</w:t>
                  </w:r>
                  <w:r>
                    <w:rPr>
                      <w:rFonts w:ascii="Times New Roman" w:hAnsi="Times New Roman" w:eastAsia="宋体" w:cs="Times New Roman"/>
                      <w:snapToGrid w:val="0"/>
                      <w:color w:val="auto"/>
                      <w:szCs w:val="21"/>
                    </w:rPr>
                    <w:t>s</w:t>
                  </w:r>
                  <w:r>
                    <w:rPr>
                      <w:rFonts w:hint="eastAsia" w:ascii="Times New Roman" w:hAnsi="Times New Roman" w:eastAsia="宋体" w:cs="Times New Roman"/>
                      <w:snapToGrid w:val="0"/>
                      <w:color w:val="auto"/>
                      <w:szCs w:val="21"/>
                    </w:rPr>
                    <w:t>）</w:t>
                  </w:r>
                </w:p>
              </w:tc>
              <w:tc>
                <w:tcPr>
                  <w:tcW w:w="4787" w:type="dxa"/>
                  <w:noWrap w:val="0"/>
                  <w:vAlign w:val="center"/>
                </w:tcPr>
                <w:p>
                  <w:pPr>
                    <w:adjustRightInd w:val="0"/>
                    <w:snapToGrid w:val="0"/>
                    <w:spacing w:line="360" w:lineRule="auto"/>
                    <w:jc w:val="center"/>
                    <w:rPr>
                      <w:rFonts w:ascii="Times New Roman" w:hAnsi="Times New Roman" w:eastAsia="宋体" w:cs="Times New Roman"/>
                      <w:snapToGrid w:val="0"/>
                      <w:color w:val="auto"/>
                      <w:szCs w:val="21"/>
                    </w:rPr>
                  </w:pPr>
                  <w:r>
                    <w:rPr>
                      <w:rFonts w:hint="eastAsia" w:ascii="Times New Roman" w:hAnsi="Times New Roman" w:eastAsia="宋体" w:cs="Times New Roman"/>
                      <w:snapToGrid w:val="0"/>
                      <w:color w:val="auto"/>
                      <w:szCs w:val="21"/>
                    </w:rPr>
                    <w:t>1.95</w:t>
                  </w:r>
                </w:p>
              </w:tc>
            </w:tr>
          </w:tbl>
          <w:p>
            <w:pPr>
              <w:widowControl/>
              <w:adjustRightInd w:val="0"/>
              <w:snapToGrid w:val="0"/>
              <w:spacing w:line="360" w:lineRule="auto"/>
              <w:ind w:firstLine="482" w:firstLineChars="200"/>
              <w:rPr>
                <w:rFonts w:ascii="Times New Roman" w:hAnsi="Times New Roman" w:cs="Times New Roman"/>
                <w:b/>
                <w:bCs/>
                <w:color w:val="auto"/>
                <w:szCs w:val="21"/>
              </w:rPr>
            </w:pPr>
            <w:r>
              <w:rPr>
                <w:rFonts w:ascii="Times New Roman" w:hAnsi="Times New Roman" w:cs="Times New Roman"/>
                <w:b/>
                <w:bCs/>
                <w:color w:val="auto"/>
                <w:sz w:val="24"/>
                <w:szCs w:val="24"/>
              </w:rPr>
              <w:t>3、</w:t>
            </w:r>
            <w:r>
              <w:rPr>
                <w:rFonts w:hint="eastAsia" w:ascii="Times New Roman" w:hAnsi="Times New Roman" w:cs="Times New Roman"/>
                <w:b/>
                <w:bCs/>
                <w:color w:val="auto"/>
                <w:sz w:val="24"/>
                <w:szCs w:val="24"/>
              </w:rPr>
              <w:t>水文水系特征</w:t>
            </w:r>
          </w:p>
          <w:p>
            <w:pPr>
              <w:pStyle w:val="37"/>
              <w:spacing w:before="0" w:beforeAutospacing="0" w:after="0" w:afterAutospacing="0" w:line="360" w:lineRule="auto"/>
              <w:ind w:firstLine="352" w:firstLineChars="147"/>
              <w:rPr>
                <w:rFonts w:ascii="Times New Roman" w:hAnsi="Times New Roman" w:cs="Times New Roman"/>
                <w:color w:val="auto"/>
                <w:szCs w:val="21"/>
              </w:rPr>
            </w:pPr>
            <w:r>
              <w:rPr>
                <w:rFonts w:ascii="Times New Roman" w:hAnsi="Times New Roman" w:cs="Times New Roman"/>
                <w:color w:val="auto"/>
                <w:szCs w:val="21"/>
              </w:rPr>
              <w:t>开平市内主要水系为潭江。潭江是珠三角水系的Ⅰ级支流，主流发源于阳江市阳东县牛围岭，与莲塘水汇合入境，经百合、三埠、水口入新会市境，直泻珠江三角河口区，向崖门奔注南海。潭江全长248km，流域面积5068km</w:t>
            </w:r>
            <w:r>
              <w:rPr>
                <w:rFonts w:ascii="Times New Roman" w:hAnsi="Times New Roman" w:cs="Times New Roman"/>
                <w:color w:val="auto"/>
                <w:szCs w:val="21"/>
                <w:vertAlign w:val="superscript"/>
              </w:rPr>
              <w:t>2</w:t>
            </w:r>
            <w:r>
              <w:rPr>
                <w:rFonts w:ascii="Times New Roman" w:hAnsi="Times New Roman" w:cs="Times New Roman"/>
                <w:color w:val="auto"/>
                <w:szCs w:val="21"/>
              </w:rPr>
              <w:t>；在开平境内河长56km，流域面积1580km</w:t>
            </w:r>
            <w:r>
              <w:rPr>
                <w:rFonts w:ascii="Times New Roman" w:hAnsi="Times New Roman" w:cs="Times New Roman"/>
                <w:color w:val="auto"/>
                <w:szCs w:val="21"/>
                <w:vertAlign w:val="superscript"/>
              </w:rPr>
              <w:t>2</w:t>
            </w:r>
            <w:r>
              <w:rPr>
                <w:rFonts w:ascii="Times New Roman" w:hAnsi="Times New Roman" w:cs="Times New Roman"/>
                <w:color w:val="auto"/>
                <w:szCs w:val="21"/>
              </w:rPr>
              <w:t>，全河平均坡降为0.45％。上游多高山峻岭，坡急流，山林较茂密，植被较好；中下游地势较为平坦开阔，坡度平缓，河道较为弯曲，低水时河沿沙洲毕露，从赤坎到三埠，比较大的江心洲有河南洲、羊咩洲、滘堤洲、祥龙洲、海心洲、长沙洲、沙皇洲等。潭江常年受潮汐影响，属弱径流强潮流的河道。据长沙、石咀、三江口、黄冲四水位站资料统计分析，潭江潮汐作用较强，而径流影响亦不可忽略。四站历年平均潮差依次为，涨潮：2.96m、3.09m、2.94m、2.59m，落潮：2.76m、2.88m、2.85m、2.75m，上游大于下游。</w:t>
            </w:r>
          </w:p>
          <w:p>
            <w:pPr>
              <w:pStyle w:val="37"/>
              <w:spacing w:before="0" w:beforeAutospacing="0" w:after="0" w:afterAutospacing="0" w:line="360" w:lineRule="auto"/>
              <w:ind w:firstLine="352" w:firstLineChars="147"/>
              <w:rPr>
                <w:rFonts w:ascii="Times New Roman" w:hAnsi="Times New Roman" w:cs="Times New Roman"/>
                <w:color w:val="auto"/>
                <w:szCs w:val="21"/>
              </w:rPr>
            </w:pPr>
            <w:r>
              <w:rPr>
                <w:rFonts w:ascii="Times New Roman" w:hAnsi="Times New Roman" w:cs="Times New Roman"/>
                <w:color w:val="auto"/>
                <w:szCs w:val="21"/>
              </w:rPr>
              <w:t>潭江地处暴雨区，汛期洪水峰高量大；枯水期则因径流量不大，河床逐年淤积，通航能力较差。三埠镇以下可通航600 吨的机动船，可直通广州、江门、香港和澳门。潭江干流水位变幅一般在2 米到9 米之间。据潢步水文站1956 年到1959 年实测资料统计，多年平均年径流量为21.29 亿m</w:t>
            </w:r>
            <w:r>
              <w:rPr>
                <w:rFonts w:ascii="Times New Roman" w:hAnsi="Times New Roman" w:cs="Times New Roman"/>
                <w:color w:val="auto"/>
                <w:szCs w:val="21"/>
                <w:vertAlign w:val="superscript"/>
              </w:rPr>
              <w:t>3</w:t>
            </w:r>
            <w:r>
              <w:rPr>
                <w:rFonts w:ascii="Times New Roman" w:hAnsi="Times New Roman" w:cs="Times New Roman"/>
                <w:color w:val="auto"/>
                <w:szCs w:val="21"/>
              </w:rPr>
              <w:t>，最大洪峰流量2870m</w:t>
            </w:r>
            <w:r>
              <w:rPr>
                <w:rFonts w:ascii="Times New Roman" w:hAnsi="Times New Roman" w:cs="Times New Roman"/>
                <w:color w:val="auto"/>
                <w:szCs w:val="21"/>
                <w:vertAlign w:val="superscript"/>
              </w:rPr>
              <w:t>3</w:t>
            </w:r>
            <w:r>
              <w:rPr>
                <w:rFonts w:ascii="Times New Roman" w:hAnsi="Times New Roman" w:cs="Times New Roman"/>
                <w:color w:val="auto"/>
                <w:szCs w:val="21"/>
              </w:rPr>
              <w:t>/s（1968 年5 月）。最小枯水流量为0.003 m</w:t>
            </w:r>
            <w:r>
              <w:rPr>
                <w:rFonts w:ascii="Times New Roman" w:hAnsi="Times New Roman" w:cs="Times New Roman"/>
                <w:color w:val="auto"/>
                <w:szCs w:val="21"/>
                <w:vertAlign w:val="superscript"/>
              </w:rPr>
              <w:t>3</w:t>
            </w:r>
            <w:r>
              <w:rPr>
                <w:rFonts w:ascii="Times New Roman" w:hAnsi="Times New Roman" w:cs="Times New Roman"/>
                <w:color w:val="auto"/>
                <w:szCs w:val="21"/>
              </w:rPr>
              <w:t>/s（1960年3 月），多年平均含沙量0.108kg/m</w:t>
            </w:r>
            <w:r>
              <w:rPr>
                <w:rFonts w:ascii="Times New Roman" w:hAnsi="Times New Roman" w:cs="Times New Roman"/>
                <w:color w:val="auto"/>
                <w:szCs w:val="21"/>
                <w:vertAlign w:val="superscript"/>
              </w:rPr>
              <w:t>3</w:t>
            </w:r>
            <w:r>
              <w:rPr>
                <w:rFonts w:ascii="Times New Roman" w:hAnsi="Times New Roman" w:cs="Times New Roman"/>
                <w:color w:val="auto"/>
                <w:szCs w:val="21"/>
              </w:rPr>
              <w:t>，多年平均悬移质输沙量23 万吨，多年平均枯水量4.37m</w:t>
            </w:r>
            <w:r>
              <w:rPr>
                <w:rFonts w:ascii="Times New Roman" w:hAnsi="Times New Roman" w:cs="Times New Roman"/>
                <w:color w:val="auto"/>
                <w:szCs w:val="21"/>
                <w:vertAlign w:val="superscript"/>
              </w:rPr>
              <w:t>3</w:t>
            </w:r>
            <w:r>
              <w:rPr>
                <w:rFonts w:ascii="Times New Roman" w:hAnsi="Times New Roman" w:cs="Times New Roman"/>
                <w:color w:val="auto"/>
                <w:szCs w:val="21"/>
              </w:rPr>
              <w:t>/s，最高水位9.88m，最低水量0.95m。</w:t>
            </w:r>
          </w:p>
          <w:p>
            <w:pPr>
              <w:pStyle w:val="37"/>
              <w:spacing w:before="0" w:beforeAutospacing="0" w:after="0" w:afterAutospacing="0" w:line="360" w:lineRule="auto"/>
              <w:ind w:firstLine="352" w:firstLineChars="147"/>
              <w:rPr>
                <w:rFonts w:ascii="Times New Roman" w:hAnsi="Times New Roman" w:cs="Times New Roman"/>
                <w:color w:val="auto"/>
                <w:szCs w:val="21"/>
              </w:rPr>
            </w:pPr>
            <w:r>
              <w:rPr>
                <w:rFonts w:ascii="Times New Roman" w:hAnsi="Times New Roman" w:cs="Times New Roman"/>
                <w:color w:val="auto"/>
                <w:szCs w:val="21"/>
              </w:rPr>
              <w:t>开平境内潭江的主要支流包括镇海水、新昌水、新桥水、公益水、白沙水和蚬岗水等。</w:t>
            </w:r>
          </w:p>
          <w:p>
            <w:pPr>
              <w:pStyle w:val="37"/>
              <w:spacing w:before="0" w:beforeAutospacing="0" w:after="0" w:afterAutospacing="0" w:line="360" w:lineRule="auto"/>
              <w:ind w:firstLine="354" w:firstLineChars="147"/>
              <w:rPr>
                <w:rFonts w:ascii="Times New Roman" w:hAnsi="Times New Roman" w:cs="Times New Roman"/>
                <w:b/>
                <w:bCs/>
                <w:color w:val="auto"/>
                <w:szCs w:val="21"/>
              </w:rPr>
            </w:pPr>
            <w:r>
              <w:rPr>
                <w:rFonts w:hint="eastAsia" w:ascii="Times New Roman" w:hAnsi="Times New Roman" w:cs="Times New Roman"/>
                <w:b/>
                <w:bCs/>
                <w:color w:val="auto"/>
                <w:szCs w:val="21"/>
              </w:rPr>
              <w:t>4、自然资源、土壤与植被</w:t>
            </w:r>
          </w:p>
          <w:p>
            <w:pPr>
              <w:pStyle w:val="37"/>
              <w:spacing w:before="0" w:beforeAutospacing="0" w:after="0" w:afterAutospacing="0" w:line="360" w:lineRule="auto"/>
              <w:ind w:firstLine="352" w:firstLineChars="147"/>
              <w:rPr>
                <w:rFonts w:ascii="Times New Roman" w:hAnsi="Times New Roman" w:cs="Times New Roman"/>
                <w:color w:val="auto"/>
                <w:szCs w:val="21"/>
              </w:rPr>
            </w:pPr>
            <w:r>
              <w:rPr>
                <w:rFonts w:hint="eastAsia" w:ascii="Times New Roman" w:hAnsi="Times New Roman" w:cs="Times New Roman"/>
                <w:color w:val="auto"/>
                <w:szCs w:val="21"/>
              </w:rPr>
              <w:t>开平市矿产资源丰富，矿产资源已探明和开采的有铁、锰、铜、锡、金、铀、煤、独硅石、耐火石、钾长石等 33 种。</w:t>
            </w:r>
          </w:p>
          <w:p>
            <w:pPr>
              <w:pStyle w:val="37"/>
              <w:spacing w:before="0" w:beforeAutospacing="0" w:after="0" w:afterAutospacing="0" w:line="360" w:lineRule="auto"/>
              <w:ind w:firstLine="352" w:firstLineChars="147"/>
              <w:rPr>
                <w:rFonts w:ascii="Times New Roman" w:hAnsi="Times New Roman" w:cs="Times New Roman"/>
                <w:color w:val="auto"/>
                <w:szCs w:val="21"/>
              </w:rPr>
            </w:pPr>
            <w:r>
              <w:rPr>
                <w:rFonts w:hint="eastAsia" w:ascii="Times New Roman" w:hAnsi="Times New Roman" w:cs="Times New Roman"/>
                <w:color w:val="auto"/>
                <w:szCs w:val="21"/>
              </w:rPr>
              <w:t>开平市生物资源种类繁多。植物方面有种子植物和蕨类植物，主要代表科有壳斗科、山茶科、木兰科、樟科、桑科、蝶形花科、梧桐科、苏木科、桃金娘科、山龙眼科和芭蕉科等。动物方面主要是鸟、鱼、虫、兽。常见的珍稀动物有穿山甲、大头龟、果子狸、猴面鹰。较多的野生动物有山猪、石蛤、鳖、蛇、鹧鸪、坑螺等。</w:t>
            </w:r>
          </w:p>
          <w:p>
            <w:pPr>
              <w:pStyle w:val="37"/>
              <w:spacing w:before="0" w:beforeAutospacing="0" w:after="0" w:afterAutospacing="0" w:line="360" w:lineRule="auto"/>
              <w:ind w:firstLine="352" w:firstLineChars="147"/>
              <w:rPr>
                <w:rFonts w:hint="eastAsia" w:ascii="Times New Roman" w:hAnsi="Times New Roman" w:cs="Times New Roman"/>
                <w:color w:val="auto"/>
                <w:szCs w:val="21"/>
              </w:rPr>
            </w:pPr>
            <w:r>
              <w:rPr>
                <w:rFonts w:hint="eastAsia" w:ascii="Times New Roman" w:hAnsi="Times New Roman" w:cs="Times New Roman"/>
                <w:color w:val="auto"/>
                <w:szCs w:val="21"/>
              </w:rPr>
              <w:t>项目所在区域的土壤属冲积泥沙土壤和冲积黄红壤；周围植被主要为亚热带、热带的树种。乔木主要有松科、杉科、樟科、木麻黄科等。草被以芒萁为主，蕨类次之，常见芒萁群和马尾松、岗松、小叶樟、大叶樟、鸭脚木、乌桕、荷木、桃金娘、野牡丹和算盘子等。</w:t>
            </w: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p>
            <w:pPr>
              <w:pStyle w:val="37"/>
              <w:spacing w:before="0" w:beforeAutospacing="0" w:after="0" w:afterAutospacing="0" w:line="360" w:lineRule="auto"/>
              <w:ind w:firstLine="352" w:firstLineChars="147"/>
              <w:rPr>
                <w:color w:val="auto"/>
                <w:vertAlign w:val="baseline"/>
              </w:rPr>
            </w:pPr>
          </w:p>
        </w:tc>
      </w:tr>
    </w:tbl>
    <w:p>
      <w:pPr>
        <w:spacing w:line="300" w:lineRule="auto"/>
        <w:ind w:firstLine="454"/>
        <w:rPr>
          <w:color w:val="auto"/>
          <w:sz w:val="28"/>
          <w:shd w:val="clear" w:color="auto" w:fill="auto"/>
        </w:rPr>
        <w:sectPr>
          <w:headerReference r:id="rId10" w:type="default"/>
          <w:footerReference r:id="rId11" w:type="default"/>
          <w:pgSz w:w="11907" w:h="16840"/>
          <w:pgMar w:top="1531" w:right="1134" w:bottom="1134" w:left="1418" w:header="907" w:footer="907" w:gutter="0"/>
          <w:pgBorders>
            <w:top w:val="none" w:sz="0" w:space="0"/>
            <w:left w:val="none" w:sz="0" w:space="0"/>
            <w:bottom w:val="none" w:sz="0" w:space="0"/>
            <w:right w:val="none" w:sz="0" w:space="0"/>
          </w:pgBorders>
          <w:cols w:space="720" w:num="1"/>
          <w:titlePg/>
          <w:docGrid w:linePitch="326" w:charSpace="-4916"/>
        </w:sectPr>
      </w:pPr>
    </w:p>
    <w:tbl>
      <w:tblPr>
        <w:tblStyle w:val="40"/>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155" w:hRule="atLeast"/>
        </w:trPr>
        <w:tc>
          <w:tcPr>
            <w:tcW w:w="9571" w:type="dxa"/>
            <w:tcBorders>
              <w:top w:val="single" w:color="auto" w:sz="4" w:space="0"/>
            </w:tcBorders>
            <w:vAlign w:val="center"/>
          </w:tcPr>
          <w:p>
            <w:pPr>
              <w:tabs>
                <w:tab w:val="left" w:pos="6600"/>
              </w:tabs>
              <w:spacing w:before="120" w:line="300" w:lineRule="auto"/>
              <w:rPr>
                <w:b/>
                <w:bCs/>
                <w:color w:val="auto"/>
                <w:sz w:val="28"/>
                <w:szCs w:val="28"/>
                <w:shd w:val="clear" w:color="auto" w:fill="auto"/>
              </w:rPr>
            </w:pPr>
            <w:r>
              <w:rPr>
                <w:b/>
                <w:color w:val="auto"/>
                <w:sz w:val="28"/>
                <w:szCs w:val="28"/>
                <w:shd w:val="clear" w:color="auto" w:fill="auto"/>
              </w:rPr>
              <w:t>项目所在地环境功能属性如下表所列：</w:t>
            </w:r>
          </w:p>
          <w:p>
            <w:pPr>
              <w:pStyle w:val="139"/>
              <w:numPr>
                <w:ilvl w:val="0"/>
                <w:numId w:val="5"/>
              </w:numPr>
              <w:tabs>
                <w:tab w:val="left" w:pos="420"/>
              </w:tabs>
              <w:spacing w:line="360" w:lineRule="auto"/>
              <w:ind w:left="0" w:firstLine="471"/>
              <w:rPr>
                <w:rFonts w:eastAsia="宋体" w:cs="Times New Roman"/>
                <w:b/>
                <w:color w:val="auto"/>
                <w:sz w:val="21"/>
                <w:szCs w:val="21"/>
                <w:shd w:val="clear" w:color="auto" w:fill="auto"/>
              </w:rPr>
            </w:pPr>
            <w:r>
              <w:rPr>
                <w:rFonts w:hint="eastAsia" w:eastAsia="宋体" w:cs="Times New Roman"/>
                <w:b/>
                <w:color w:val="auto"/>
                <w:sz w:val="21"/>
                <w:szCs w:val="21"/>
                <w:shd w:val="clear" w:color="auto" w:fill="auto"/>
              </w:rPr>
              <w:t>建设项目所在地环境功能属性表</w:t>
            </w:r>
          </w:p>
          <w:tbl>
            <w:tblPr>
              <w:tblStyle w:val="40"/>
              <w:tblW w:w="90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3038"/>
              <w:gridCol w:w="5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编号</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项目</w:t>
                  </w:r>
                </w:p>
              </w:tc>
              <w:tc>
                <w:tcPr>
                  <w:tcW w:w="5325" w:type="dxa"/>
                  <w:vAlign w:val="center"/>
                </w:tcPr>
                <w:p>
                  <w:pPr>
                    <w:pStyle w:val="57"/>
                    <w:spacing w:line="360" w:lineRule="auto"/>
                    <w:ind w:firstLine="360"/>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1</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水环境功能区</w:t>
                  </w:r>
                </w:p>
              </w:tc>
              <w:tc>
                <w:tcPr>
                  <w:tcW w:w="5325" w:type="dxa"/>
                  <w:vAlign w:val="center"/>
                </w:tcPr>
                <w:p>
                  <w:pPr>
                    <w:spacing w:line="360" w:lineRule="auto"/>
                    <w:jc w:val="center"/>
                    <w:rPr>
                      <w:color w:val="auto"/>
                      <w:sz w:val="21"/>
                      <w:szCs w:val="21"/>
                      <w:shd w:val="clear" w:color="auto" w:fill="auto"/>
                    </w:rPr>
                  </w:pPr>
                  <w:r>
                    <w:rPr>
                      <w:rFonts w:hint="eastAsia"/>
                      <w:color w:val="auto"/>
                      <w:sz w:val="21"/>
                      <w:szCs w:val="21"/>
                      <w:shd w:val="clear" w:color="auto" w:fill="auto"/>
                      <w:lang w:val="en-US" w:eastAsia="zh-CN"/>
                    </w:rPr>
                    <w:t>项目受纳水体为</w:t>
                  </w:r>
                  <w:r>
                    <w:rPr>
                      <w:rFonts w:hint="eastAsia"/>
                      <w:color w:val="auto"/>
                      <w:sz w:val="21"/>
                      <w:szCs w:val="21"/>
                      <w:shd w:val="clear" w:color="auto" w:fill="auto"/>
                    </w:rPr>
                    <w:t>潭江</w:t>
                  </w:r>
                  <w:r>
                    <w:rPr>
                      <w:rFonts w:hint="eastAsia"/>
                      <w:color w:val="auto"/>
                      <w:sz w:val="21"/>
                      <w:szCs w:val="21"/>
                      <w:shd w:val="clear" w:color="auto" w:fill="auto"/>
                      <w:lang w:eastAsia="zh-CN"/>
                    </w:rPr>
                    <w:t>，根据《关于印发&lt;广东省地表水环境功能区划&gt;的通知》（粤环[2011]14号）以及</w:t>
                  </w:r>
                  <w:r>
                    <w:rPr>
                      <w:rFonts w:hint="eastAsia" w:ascii="Times New Roman" w:hAnsi="Times New Roman" w:eastAsia="宋体"/>
                      <w:b w:val="0"/>
                      <w:bCs/>
                      <w:color w:val="auto"/>
                      <w:szCs w:val="24"/>
                      <w:shd w:val="clear" w:color="auto" w:fill="auto"/>
                      <w:lang w:eastAsia="zh-CN"/>
                    </w:rPr>
                    <w:t>《开平市水口污水处理厂提标改造工程项目》环境影响评价报告表与其批复</w:t>
                  </w:r>
                  <w:r>
                    <w:rPr>
                      <w:rFonts w:hint="eastAsia" w:ascii="Times New Roman" w:hAnsi="Times New Roman" w:eastAsia="宋体"/>
                      <w:b w:val="0"/>
                      <w:bCs/>
                      <w:color w:val="auto"/>
                      <w:szCs w:val="24"/>
                      <w:shd w:val="clear" w:color="auto" w:fill="auto"/>
                    </w:rPr>
                    <w:t>（</w:t>
                  </w:r>
                  <w:r>
                    <w:rPr>
                      <w:rFonts w:hint="eastAsia" w:ascii="Times New Roman" w:hAnsi="Times New Roman" w:eastAsia="宋体"/>
                      <w:b w:val="0"/>
                      <w:bCs/>
                      <w:color w:val="auto"/>
                      <w:szCs w:val="24"/>
                      <w:shd w:val="clear" w:color="auto" w:fill="auto"/>
                      <w:lang w:eastAsia="zh-CN"/>
                    </w:rPr>
                    <w:t>开环批</w:t>
                  </w:r>
                  <w:r>
                    <w:rPr>
                      <w:rFonts w:hint="eastAsia" w:ascii="Times New Roman" w:hAnsi="Times New Roman" w:eastAsia="宋体"/>
                      <w:b w:val="0"/>
                      <w:bCs/>
                      <w:color w:val="auto"/>
                      <w:szCs w:val="24"/>
                      <w:shd w:val="clear" w:color="auto" w:fill="auto"/>
                    </w:rPr>
                    <w:t>[201</w:t>
                  </w:r>
                  <w:r>
                    <w:rPr>
                      <w:rFonts w:hint="eastAsia" w:ascii="Times New Roman" w:hAnsi="Times New Roman" w:eastAsia="宋体"/>
                      <w:b w:val="0"/>
                      <w:bCs/>
                      <w:color w:val="auto"/>
                      <w:szCs w:val="24"/>
                      <w:shd w:val="clear" w:color="auto" w:fill="auto"/>
                      <w:lang w:val="en-US" w:eastAsia="zh-CN"/>
                    </w:rPr>
                    <w:t>8</w:t>
                  </w:r>
                  <w:r>
                    <w:rPr>
                      <w:rFonts w:hint="eastAsia" w:ascii="Times New Roman" w:hAnsi="Times New Roman" w:eastAsia="宋体"/>
                      <w:b w:val="0"/>
                      <w:bCs/>
                      <w:color w:val="auto"/>
                      <w:szCs w:val="24"/>
                      <w:shd w:val="clear" w:color="auto" w:fill="auto"/>
                    </w:rPr>
                    <w:t>]1</w:t>
                  </w:r>
                  <w:r>
                    <w:rPr>
                      <w:rFonts w:hint="eastAsia" w:ascii="Times New Roman" w:hAnsi="Times New Roman" w:eastAsia="宋体"/>
                      <w:b w:val="0"/>
                      <w:bCs/>
                      <w:color w:val="auto"/>
                      <w:szCs w:val="24"/>
                      <w:shd w:val="clear" w:color="auto" w:fill="auto"/>
                      <w:lang w:val="en-US" w:eastAsia="zh-CN"/>
                    </w:rPr>
                    <w:t>68</w:t>
                  </w:r>
                  <w:r>
                    <w:rPr>
                      <w:rFonts w:hint="eastAsia" w:ascii="Times New Roman" w:hAnsi="Times New Roman" w:eastAsia="宋体"/>
                      <w:b w:val="0"/>
                      <w:bCs/>
                      <w:color w:val="auto"/>
                      <w:szCs w:val="24"/>
                      <w:shd w:val="clear" w:color="auto" w:fill="auto"/>
                    </w:rPr>
                    <w:t>号）</w:t>
                  </w:r>
                  <w:r>
                    <w:rPr>
                      <w:rFonts w:hint="eastAsia"/>
                      <w:color w:val="auto"/>
                      <w:sz w:val="21"/>
                      <w:szCs w:val="21"/>
                      <w:shd w:val="clear" w:color="auto" w:fill="auto"/>
                      <w:lang w:eastAsia="zh-CN"/>
                    </w:rPr>
                    <w:t>，潭江</w:t>
                  </w:r>
                  <w:r>
                    <w:rPr>
                      <w:rFonts w:hint="eastAsia"/>
                      <w:color w:val="auto"/>
                      <w:sz w:val="21"/>
                      <w:szCs w:val="21"/>
                      <w:shd w:val="clear" w:color="auto" w:fill="auto"/>
                    </w:rPr>
                    <w:t>执行《地表水环境质量标准》（GB3838-2002）Ⅱ类标准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2</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环境空气功能区</w:t>
                  </w:r>
                </w:p>
              </w:tc>
              <w:tc>
                <w:tcPr>
                  <w:tcW w:w="5325" w:type="dxa"/>
                  <w:vAlign w:val="center"/>
                </w:tcPr>
                <w:p>
                  <w:pPr>
                    <w:pStyle w:val="57"/>
                    <w:spacing w:line="360" w:lineRule="auto"/>
                    <w:rPr>
                      <w:rFonts w:hint="eastAsia" w:ascii="Times New Roman" w:hAnsi="Times New Roman" w:eastAsia="宋体"/>
                      <w:color w:val="auto"/>
                      <w:kern w:val="2"/>
                      <w:sz w:val="21"/>
                      <w:szCs w:val="21"/>
                      <w:shd w:val="clear" w:color="auto" w:fill="auto"/>
                      <w:lang w:eastAsia="zh-CN"/>
                    </w:rPr>
                  </w:pPr>
                  <w:r>
                    <w:rPr>
                      <w:rFonts w:hint="eastAsia" w:ascii="Times New Roman" w:hAnsi="Times New Roman"/>
                      <w:color w:val="auto"/>
                      <w:kern w:val="2"/>
                      <w:sz w:val="21"/>
                      <w:szCs w:val="21"/>
                    </w:rPr>
                    <w:t>根据《江门市环境保护规划》（2006-2020年），项目</w:t>
                  </w:r>
                  <w:r>
                    <w:rPr>
                      <w:rFonts w:ascii="Times New Roman" w:hAnsi="Times New Roman"/>
                      <w:color w:val="auto"/>
                      <w:kern w:val="2"/>
                      <w:sz w:val="21"/>
                      <w:szCs w:val="21"/>
                    </w:rPr>
                    <w:t>属二类区域，</w:t>
                  </w:r>
                  <w:r>
                    <w:rPr>
                      <w:rFonts w:ascii="Times New Roman" w:hAnsi="Times New Roman"/>
                      <w:color w:val="auto"/>
                      <w:kern w:val="2"/>
                      <w:sz w:val="21"/>
                      <w:szCs w:val="21"/>
                      <w:shd w:val="clear" w:color="auto" w:fill="auto"/>
                    </w:rPr>
                    <w:t>执行</w:t>
                  </w:r>
                  <w:r>
                    <w:rPr>
                      <w:rFonts w:hint="eastAsia" w:ascii="Times New Roman" w:hAnsi="Times New Roman"/>
                      <w:color w:val="auto"/>
                      <w:kern w:val="2"/>
                      <w:sz w:val="21"/>
                      <w:szCs w:val="21"/>
                      <w:shd w:val="clear" w:color="auto" w:fill="auto"/>
                      <w:lang w:eastAsia="zh-CN"/>
                    </w:rPr>
                    <w:t>《环境空气质量标准》（GB3095-2012）及”2018修改单”二级标准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3</w:t>
                  </w:r>
                </w:p>
              </w:tc>
              <w:tc>
                <w:tcPr>
                  <w:tcW w:w="3038" w:type="dxa"/>
                  <w:vAlign w:val="center"/>
                </w:tcPr>
                <w:p>
                  <w:pPr>
                    <w:pStyle w:val="57"/>
                    <w:spacing w:line="360" w:lineRule="auto"/>
                    <w:rPr>
                      <w:rFonts w:hint="default" w:ascii="Times New Roman" w:hAnsi="Times New Roman" w:cs="Times New Roman"/>
                      <w:color w:val="auto"/>
                      <w:kern w:val="2"/>
                      <w:sz w:val="21"/>
                      <w:szCs w:val="21"/>
                      <w:highlight w:val="none"/>
                      <w:shd w:val="clear" w:color="auto" w:fill="auto"/>
                    </w:rPr>
                  </w:pPr>
                  <w:r>
                    <w:rPr>
                      <w:rFonts w:hint="default" w:ascii="Times New Roman" w:hAnsi="Times New Roman" w:cs="Times New Roman"/>
                      <w:color w:val="auto"/>
                      <w:kern w:val="2"/>
                      <w:sz w:val="21"/>
                      <w:szCs w:val="21"/>
                      <w:highlight w:val="none"/>
                      <w:shd w:val="clear" w:color="auto" w:fill="auto"/>
                    </w:rPr>
                    <w:t>环境噪声功能区</w:t>
                  </w:r>
                </w:p>
              </w:tc>
              <w:tc>
                <w:tcPr>
                  <w:tcW w:w="5325" w:type="dxa"/>
                  <w:vAlign w:val="center"/>
                </w:tcPr>
                <w:p>
                  <w:pPr>
                    <w:pStyle w:val="57"/>
                    <w:spacing w:line="360" w:lineRule="auto"/>
                    <w:rPr>
                      <w:rFonts w:hint="default" w:ascii="Times New Roman" w:hAnsi="Times New Roman" w:cs="Times New Roman"/>
                      <w:color w:val="auto"/>
                      <w:kern w:val="2"/>
                      <w:sz w:val="21"/>
                      <w:szCs w:val="21"/>
                      <w:highlight w:val="none"/>
                      <w:shd w:val="clear" w:color="auto" w:fill="auto"/>
                    </w:rPr>
                  </w:pPr>
                  <w:r>
                    <w:rPr>
                      <w:rFonts w:hint="default" w:ascii="Times New Roman" w:hAnsi="Times New Roman" w:cs="Times New Roman"/>
                      <w:color w:val="auto"/>
                      <w:kern w:val="2"/>
                      <w:sz w:val="21"/>
                      <w:szCs w:val="21"/>
                      <w:highlight w:val="none"/>
                    </w:rPr>
                    <w:t>根据</w:t>
                  </w:r>
                  <w:r>
                    <w:rPr>
                      <w:rFonts w:hint="default" w:ascii="Times New Roman" w:hAnsi="Times New Roman" w:cs="Times New Roman"/>
                      <w:color w:val="auto"/>
                      <w:kern w:val="2"/>
                      <w:sz w:val="21"/>
                      <w:szCs w:val="21"/>
                      <w:highlight w:val="none"/>
                      <w:lang w:eastAsia="zh-CN"/>
                    </w:rPr>
                    <w:t>《关于印发&lt;江门市声环境功能区划&gt;的通知》（江环（2019）378号）</w:t>
                  </w:r>
                  <w:r>
                    <w:rPr>
                      <w:rFonts w:hint="default" w:ascii="Times New Roman" w:hAnsi="Times New Roman" w:cs="Times New Roman"/>
                      <w:color w:val="auto"/>
                      <w:kern w:val="2"/>
                      <w:sz w:val="21"/>
                      <w:szCs w:val="21"/>
                      <w:highlight w:val="none"/>
                    </w:rPr>
                    <w:t>的相关规定，本项目所在区域</w:t>
                  </w:r>
                  <w:r>
                    <w:rPr>
                      <w:rFonts w:hint="default" w:ascii="Times New Roman" w:hAnsi="Times New Roman" w:cs="Times New Roman"/>
                      <w:color w:val="auto"/>
                      <w:kern w:val="2"/>
                      <w:sz w:val="21"/>
                      <w:szCs w:val="21"/>
                      <w:highlight w:val="none"/>
                      <w:lang w:eastAsia="zh-CN"/>
                    </w:rPr>
                    <w:t>南</w:t>
                  </w:r>
                  <w:r>
                    <w:rPr>
                      <w:rFonts w:hint="default" w:ascii="Times New Roman" w:hAnsi="Times New Roman" w:cs="Times New Roman"/>
                      <w:color w:val="auto"/>
                      <w:kern w:val="2"/>
                      <w:sz w:val="21"/>
                      <w:szCs w:val="21"/>
                      <w:highlight w:val="none"/>
                    </w:rPr>
                    <w:t>面、</w:t>
                  </w:r>
                  <w:r>
                    <w:rPr>
                      <w:rFonts w:hint="default" w:ascii="Times New Roman" w:hAnsi="Times New Roman" w:cs="Times New Roman"/>
                      <w:color w:val="auto"/>
                      <w:kern w:val="2"/>
                      <w:sz w:val="21"/>
                      <w:szCs w:val="21"/>
                      <w:highlight w:val="none"/>
                      <w:lang w:eastAsia="zh-CN"/>
                    </w:rPr>
                    <w:t>西</w:t>
                  </w:r>
                  <w:r>
                    <w:rPr>
                      <w:rFonts w:hint="default" w:ascii="Times New Roman" w:hAnsi="Times New Roman" w:cs="Times New Roman"/>
                      <w:color w:val="auto"/>
                      <w:kern w:val="2"/>
                      <w:sz w:val="21"/>
                      <w:szCs w:val="21"/>
                      <w:highlight w:val="none"/>
                    </w:rPr>
                    <w:t>面、北面</w:t>
                  </w:r>
                  <w:r>
                    <w:rPr>
                      <w:rFonts w:hint="default" w:ascii="Times New Roman" w:hAnsi="Times New Roman" w:cs="Times New Roman"/>
                      <w:color w:val="auto"/>
                      <w:kern w:val="2"/>
                      <w:sz w:val="21"/>
                      <w:szCs w:val="21"/>
                      <w:highlight w:val="none"/>
                      <w:lang w:eastAsia="zh-CN"/>
                    </w:rPr>
                    <w:t>属于</w:t>
                  </w:r>
                  <w:r>
                    <w:rPr>
                      <w:rFonts w:hint="default" w:ascii="Times New Roman" w:hAnsi="Times New Roman" w:cs="Times New Roman"/>
                      <w:color w:val="auto"/>
                      <w:kern w:val="2"/>
                      <w:sz w:val="21"/>
                      <w:szCs w:val="21"/>
                      <w:highlight w:val="none"/>
                      <w:lang w:val="en-US" w:eastAsia="zh-CN"/>
                    </w:rPr>
                    <w:t>2类声环境功能区，</w:t>
                  </w:r>
                  <w:r>
                    <w:rPr>
                      <w:rFonts w:hint="default" w:ascii="Times New Roman" w:hAnsi="Times New Roman" w:cs="Times New Roman"/>
                      <w:color w:val="auto"/>
                      <w:kern w:val="2"/>
                      <w:sz w:val="21"/>
                      <w:szCs w:val="21"/>
                      <w:highlight w:val="none"/>
                    </w:rPr>
                    <w:t>执行《声环境质量标准》（GB3096-2008）2类标准</w:t>
                  </w:r>
                  <w:r>
                    <w:rPr>
                      <w:rStyle w:val="46"/>
                      <w:rFonts w:hint="default" w:ascii="Times New Roman" w:hAnsi="Times New Roman" w:cs="Times New Roman"/>
                      <w:color w:val="auto"/>
                      <w:kern w:val="2"/>
                      <w:sz w:val="21"/>
                      <w:szCs w:val="21"/>
                      <w:highlight w:val="none"/>
                    </w:rPr>
                    <w:t>，</w:t>
                  </w:r>
                  <w:r>
                    <w:rPr>
                      <w:rFonts w:hint="default" w:ascii="Times New Roman" w:hAnsi="Times New Roman" w:cs="Times New Roman"/>
                      <w:color w:val="auto"/>
                      <w:kern w:val="2"/>
                      <w:sz w:val="21"/>
                      <w:szCs w:val="21"/>
                      <w:highlight w:val="none"/>
                      <w:lang w:eastAsia="zh-CN"/>
                    </w:rPr>
                    <w:t>东面相邻</w:t>
                  </w:r>
                  <w:r>
                    <w:rPr>
                      <w:rFonts w:hint="default" w:ascii="Times New Roman" w:hAnsi="Times New Roman" w:cs="Times New Roman"/>
                      <w:color w:val="auto"/>
                      <w:kern w:val="2"/>
                      <w:sz w:val="21"/>
                      <w:szCs w:val="21"/>
                      <w:highlight w:val="none"/>
                      <w:lang w:val="en-US" w:eastAsia="zh-CN"/>
                    </w:rPr>
                    <w:t>为273省道，属于4a类声功能区，</w:t>
                  </w:r>
                  <w:r>
                    <w:rPr>
                      <w:rFonts w:hint="default" w:ascii="Times New Roman" w:hAnsi="Times New Roman" w:cs="Times New Roman"/>
                      <w:color w:val="auto"/>
                      <w:kern w:val="2"/>
                      <w:sz w:val="21"/>
                      <w:szCs w:val="21"/>
                      <w:highlight w:val="none"/>
                    </w:rPr>
                    <w:t>执行4a类标准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4</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基本农田保护区</w:t>
                  </w:r>
                </w:p>
              </w:tc>
              <w:tc>
                <w:tcPr>
                  <w:tcW w:w="5325"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5</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风景名胜保护区</w:t>
                  </w:r>
                </w:p>
              </w:tc>
              <w:tc>
                <w:tcPr>
                  <w:tcW w:w="5325" w:type="dxa"/>
                  <w:vAlign w:val="center"/>
                </w:tcPr>
                <w:p>
                  <w:pPr>
                    <w:spacing w:line="360" w:lineRule="auto"/>
                    <w:jc w:val="center"/>
                    <w:rPr>
                      <w:color w:val="auto"/>
                      <w:sz w:val="21"/>
                      <w:szCs w:val="21"/>
                      <w:shd w:val="clear" w:color="auto" w:fill="auto"/>
                    </w:rPr>
                  </w:pPr>
                  <w:r>
                    <w:rPr>
                      <w:color w:val="auto"/>
                      <w:sz w:val="21"/>
                      <w:szCs w:val="21"/>
                      <w:shd w:val="clear" w:color="auto" w:fil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6</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水库库区</w:t>
                  </w:r>
                </w:p>
              </w:tc>
              <w:tc>
                <w:tcPr>
                  <w:tcW w:w="5325" w:type="dxa"/>
                  <w:vAlign w:val="center"/>
                </w:tcPr>
                <w:p>
                  <w:pPr>
                    <w:spacing w:line="360" w:lineRule="auto"/>
                    <w:jc w:val="center"/>
                    <w:rPr>
                      <w:color w:val="auto"/>
                      <w:sz w:val="21"/>
                      <w:szCs w:val="21"/>
                      <w:shd w:val="clear" w:color="auto" w:fill="auto"/>
                    </w:rPr>
                  </w:pPr>
                  <w:r>
                    <w:rPr>
                      <w:color w:val="auto"/>
                      <w:sz w:val="21"/>
                      <w:szCs w:val="21"/>
                      <w:shd w:val="clear" w:color="auto" w:fil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7</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hint="eastAsia" w:ascii="Times New Roman" w:hAnsi="Times New Roman"/>
                      <w:color w:val="auto"/>
                      <w:kern w:val="2"/>
                      <w:sz w:val="21"/>
                      <w:szCs w:val="21"/>
                      <w:shd w:val="clear" w:color="auto" w:fill="auto"/>
                    </w:rPr>
                    <w:t>是否城镇</w:t>
                  </w:r>
                  <w:r>
                    <w:rPr>
                      <w:rFonts w:ascii="Times New Roman" w:hAnsi="Times New Roman"/>
                      <w:color w:val="auto"/>
                      <w:kern w:val="2"/>
                      <w:sz w:val="21"/>
                      <w:szCs w:val="21"/>
                      <w:shd w:val="clear" w:color="auto" w:fill="auto"/>
                    </w:rPr>
                    <w:t>污水处理厂集水范围</w:t>
                  </w:r>
                </w:p>
              </w:tc>
              <w:tc>
                <w:tcPr>
                  <w:tcW w:w="5325" w:type="dxa"/>
                  <w:vAlign w:val="center"/>
                </w:tcPr>
                <w:p>
                  <w:pPr>
                    <w:spacing w:line="360" w:lineRule="auto"/>
                    <w:jc w:val="center"/>
                    <w:rPr>
                      <w:color w:val="auto"/>
                      <w:sz w:val="21"/>
                      <w:szCs w:val="21"/>
                      <w:shd w:val="clear" w:color="auto" w:fill="auto"/>
                    </w:rPr>
                  </w:pPr>
                  <w:r>
                    <w:rPr>
                      <w:rFonts w:hint="eastAsia"/>
                      <w:color w:val="auto"/>
                      <w:sz w:val="21"/>
                      <w:szCs w:val="21"/>
                      <w:shd w:val="clear" w:color="auto" w:fill="auto"/>
                    </w:rPr>
                    <w:t>是，属于</w:t>
                  </w:r>
                  <w:r>
                    <w:rPr>
                      <w:rFonts w:hint="eastAsia"/>
                      <w:color w:val="auto"/>
                      <w:sz w:val="21"/>
                      <w:szCs w:val="21"/>
                      <w:shd w:val="clear" w:color="auto" w:fill="auto"/>
                      <w:lang w:eastAsia="zh-CN"/>
                    </w:rPr>
                    <w:t>开平市水口污水处理厂</w:t>
                  </w:r>
                  <w:r>
                    <w:rPr>
                      <w:rFonts w:hint="eastAsia"/>
                      <w:color w:val="auto"/>
                      <w:sz w:val="21"/>
                      <w:szCs w:val="21"/>
                      <w:shd w:val="clear" w:color="auto" w:fill="auto"/>
                    </w:rPr>
                    <w:t>集水范围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8</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是否属煤气管道范围</w:t>
                  </w:r>
                </w:p>
              </w:tc>
              <w:tc>
                <w:tcPr>
                  <w:tcW w:w="5325"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9</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可否现场搅拌混凝土</w:t>
                  </w:r>
                </w:p>
              </w:tc>
              <w:tc>
                <w:tcPr>
                  <w:tcW w:w="5325"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698" w:type="dxa"/>
                  <w:vAlign w:val="center"/>
                </w:tcPr>
                <w:p>
                  <w:pPr>
                    <w:spacing w:line="360" w:lineRule="auto"/>
                    <w:ind w:right="-3"/>
                    <w:jc w:val="center"/>
                    <w:rPr>
                      <w:color w:val="auto"/>
                      <w:sz w:val="21"/>
                      <w:szCs w:val="21"/>
                      <w:shd w:val="clear" w:color="auto" w:fill="auto"/>
                    </w:rPr>
                  </w:pPr>
                  <w:r>
                    <w:rPr>
                      <w:color w:val="auto"/>
                      <w:sz w:val="21"/>
                      <w:szCs w:val="21"/>
                      <w:shd w:val="clear" w:color="auto" w:fill="auto"/>
                    </w:rPr>
                    <w:t>10</w:t>
                  </w:r>
                </w:p>
              </w:tc>
              <w:tc>
                <w:tcPr>
                  <w:tcW w:w="3038"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是否环境敏感区</w:t>
                  </w:r>
                </w:p>
              </w:tc>
              <w:tc>
                <w:tcPr>
                  <w:tcW w:w="5325" w:type="dxa"/>
                  <w:vAlign w:val="center"/>
                </w:tcPr>
                <w:p>
                  <w:pPr>
                    <w:pStyle w:val="57"/>
                    <w:spacing w:line="360" w:lineRule="auto"/>
                    <w:rPr>
                      <w:rFonts w:ascii="Times New Roman" w:hAnsi="Times New Roman"/>
                      <w:color w:val="auto"/>
                      <w:kern w:val="2"/>
                      <w:sz w:val="21"/>
                      <w:szCs w:val="21"/>
                      <w:shd w:val="clear" w:color="auto" w:fill="auto"/>
                    </w:rPr>
                  </w:pPr>
                  <w:r>
                    <w:rPr>
                      <w:rFonts w:ascii="Times New Roman" w:hAnsi="Times New Roman"/>
                      <w:color w:val="auto"/>
                      <w:kern w:val="2"/>
                      <w:sz w:val="21"/>
                      <w:szCs w:val="21"/>
                      <w:shd w:val="clear" w:color="auto" w:fill="auto"/>
                    </w:rPr>
                    <w:t>否</w:t>
                  </w:r>
                </w:p>
              </w:tc>
            </w:tr>
          </w:tbl>
          <w:p>
            <w:pPr>
              <w:pStyle w:val="29"/>
              <w:spacing w:line="360" w:lineRule="auto"/>
              <w:ind w:firstLine="480" w:firstLineChars="200"/>
              <w:rPr>
                <w:b/>
                <w:bCs/>
                <w:color w:val="auto"/>
                <w:sz w:val="28"/>
                <w:highlight w:val="none"/>
                <w:shd w:val="clear" w:color="auto" w:fill="auto"/>
              </w:rPr>
            </w:pPr>
            <w:r>
              <w:rPr>
                <w:color w:val="auto"/>
                <w:szCs w:val="24"/>
                <w:highlight w:val="none"/>
              </w:rPr>
              <w:t>根据《建设项目环境影响评价技术导则—地下水环境》（HJ610-2016）附录A地下水环境影响评价行业分类表，本项目属于“</w:t>
            </w:r>
            <w:r>
              <w:rPr>
                <w:rFonts w:hint="eastAsia"/>
                <w:color w:val="auto"/>
                <w:szCs w:val="24"/>
                <w:highlight w:val="none"/>
                <w:lang w:val="en-US" w:eastAsia="zh-CN"/>
              </w:rPr>
              <w:t>52</w:t>
            </w:r>
            <w:r>
              <w:rPr>
                <w:color w:val="auto"/>
                <w:szCs w:val="24"/>
                <w:highlight w:val="none"/>
              </w:rPr>
              <w:t>、</w:t>
            </w:r>
            <w:r>
              <w:rPr>
                <w:rFonts w:hint="eastAsia"/>
                <w:color w:val="auto"/>
                <w:szCs w:val="24"/>
                <w:highlight w:val="none"/>
                <w:lang w:eastAsia="zh-CN"/>
              </w:rPr>
              <w:t>金属铸件</w:t>
            </w:r>
            <w:r>
              <w:rPr>
                <w:color w:val="auto"/>
                <w:szCs w:val="24"/>
                <w:highlight w:val="none"/>
              </w:rPr>
              <w:t>”中的报告表类别，对应的是Ⅳ类项目，不开展地下水环境影响评价。</w:t>
            </w: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p>
            <w:pPr>
              <w:pStyle w:val="29"/>
              <w:ind w:firstLine="0"/>
              <w:rPr>
                <w:b/>
                <w:bCs/>
                <w:color w:val="auto"/>
                <w:sz w:val="28"/>
                <w:shd w:val="clear" w:color="auto" w:fill="auto"/>
              </w:rPr>
            </w:pPr>
          </w:p>
        </w:tc>
      </w:tr>
    </w:tbl>
    <w:p>
      <w:pPr>
        <w:pStyle w:val="38"/>
        <w:jc w:val="left"/>
        <w:rPr>
          <w:rFonts w:ascii="Times New Roman" w:hAnsi="Times New Roman"/>
          <w:color w:val="auto"/>
          <w:shd w:val="clear" w:color="auto" w:fill="auto"/>
        </w:rPr>
      </w:pPr>
      <w:r>
        <w:rPr>
          <w:rFonts w:hint="eastAsia" w:ascii="Times New Roman" w:hAnsi="Times New Roman"/>
          <w:color w:val="auto"/>
          <w:shd w:val="clear" w:color="auto" w:fill="auto"/>
        </w:rPr>
        <w:t>环境质量状况</w:t>
      </w:r>
    </w:p>
    <w:tbl>
      <w:tblPr>
        <w:tblStyle w:val="40"/>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825" w:hRule="atLeast"/>
        </w:trPr>
        <w:tc>
          <w:tcPr>
            <w:tcW w:w="9571" w:type="dxa"/>
            <w:tcBorders>
              <w:bottom w:val="single" w:color="auto" w:sz="4" w:space="0"/>
            </w:tcBorders>
          </w:tcPr>
          <w:p>
            <w:pPr>
              <w:spacing w:before="120" w:line="276" w:lineRule="auto"/>
              <w:rPr>
                <w:b/>
                <w:bCs/>
                <w:color w:val="auto"/>
                <w:sz w:val="28"/>
                <w:szCs w:val="28"/>
                <w:shd w:val="clear" w:color="auto" w:fill="auto"/>
              </w:rPr>
            </w:pPr>
            <w:r>
              <w:rPr>
                <w:rFonts w:hint="eastAsia"/>
                <w:b/>
                <w:bCs/>
                <w:color w:val="auto"/>
                <w:sz w:val="28"/>
                <w:szCs w:val="28"/>
                <w:shd w:val="clear" w:color="auto" w:fill="auto"/>
              </w:rPr>
              <w:t>建设项目所在地区域环境质量现状及主要环境问题(环境空气、地面水、地下水、声环境、生态环境等):</w:t>
            </w:r>
          </w:p>
          <w:p>
            <w:pPr>
              <w:pStyle w:val="3"/>
              <w:numPr>
                <w:ilvl w:val="0"/>
                <w:numId w:val="6"/>
              </w:numPr>
              <w:spacing w:before="0" w:after="0" w:line="360" w:lineRule="auto"/>
              <w:ind w:left="418" w:leftChars="199"/>
              <w:rPr>
                <w:rFonts w:ascii="Times New Roman" w:hAnsi="Times New Roman" w:eastAsia="宋体"/>
                <w:color w:val="auto"/>
                <w:shd w:val="clear" w:color="auto" w:fill="auto"/>
              </w:rPr>
            </w:pPr>
            <w:r>
              <w:rPr>
                <w:rFonts w:ascii="Times New Roman" w:hAnsi="Times New Roman" w:eastAsia="宋体"/>
                <w:color w:val="auto"/>
                <w:shd w:val="clear" w:color="auto" w:fill="auto"/>
              </w:rPr>
              <w:t>环境空气质量现状</w:t>
            </w:r>
          </w:p>
          <w:p>
            <w:pPr>
              <w:spacing w:line="360" w:lineRule="auto"/>
              <w:ind w:firstLine="480" w:firstLineChars="200"/>
              <w:jc w:val="left"/>
              <w:rPr>
                <w:rFonts w:hint="eastAsia" w:ascii="Times New Roman" w:hAnsi="Times New Roman" w:cs="Times New Roman"/>
                <w:b w:val="0"/>
                <w:bCs w:val="0"/>
                <w:color w:val="auto"/>
                <w:sz w:val="24"/>
                <w:szCs w:val="24"/>
                <w:highlight w:val="none"/>
                <w:lang w:eastAsia="zh-CN"/>
              </w:rPr>
            </w:pPr>
            <w:r>
              <w:rPr>
                <w:rFonts w:hint="default" w:ascii="Times New Roman" w:hAnsi="Times New Roman" w:cs="Times New Roman"/>
                <w:color w:val="auto"/>
                <w:sz w:val="24"/>
                <w:szCs w:val="24"/>
              </w:rPr>
              <w:t>本项目所在地属环境空气质量二类区域，执行《环境空气质量标准》（GB3095-2012）及”2018 修改单”二级标准。</w:t>
            </w:r>
          </w:p>
          <w:p>
            <w:pPr>
              <w:spacing w:line="360" w:lineRule="auto"/>
              <w:ind w:firstLine="482" w:firstLineChars="200"/>
              <w:jc w:val="left"/>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eastAsia="zh-CN"/>
              </w:rPr>
              <w:t>（</w:t>
            </w:r>
            <w:r>
              <w:rPr>
                <w:rFonts w:hint="eastAsia" w:cs="Times New Roman"/>
                <w:b/>
                <w:bCs/>
                <w:color w:val="auto"/>
                <w:sz w:val="24"/>
                <w:szCs w:val="24"/>
                <w:highlight w:val="none"/>
                <w:lang w:val="en-US" w:eastAsia="zh-CN"/>
              </w:rPr>
              <w:t>1）空气质量达标区判定</w:t>
            </w:r>
          </w:p>
          <w:p>
            <w:pPr>
              <w:spacing w:line="360" w:lineRule="auto"/>
              <w:ind w:firstLine="480" w:firstLineChars="200"/>
              <w:jc w:val="left"/>
              <w:rPr>
                <w:rFonts w:hint="default"/>
                <w:color w:val="auto"/>
                <w:highlight w:val="none"/>
              </w:rPr>
            </w:pPr>
            <w:r>
              <w:rPr>
                <w:rFonts w:hint="default" w:ascii="Times New Roman" w:hAnsi="Times New Roman" w:cs="Times New Roman"/>
                <w:color w:val="auto"/>
                <w:sz w:val="24"/>
                <w:szCs w:val="24"/>
                <w:highlight w:val="none"/>
              </w:rPr>
              <w:t>根据江门市环境保护局官网发布的《2018 年江门市环境质量状况》，</w:t>
            </w:r>
            <w:r>
              <w:rPr>
                <w:rFonts w:hint="eastAsia" w:cs="Times New Roman"/>
                <w:color w:val="auto"/>
                <w:sz w:val="24"/>
                <w:szCs w:val="24"/>
                <w:highlight w:val="none"/>
                <w:lang w:eastAsia="zh-CN"/>
              </w:rPr>
              <w:t>江门市</w:t>
            </w:r>
            <w:r>
              <w:rPr>
                <w:rFonts w:hint="default" w:ascii="Times New Roman" w:hAnsi="Times New Roman" w:cs="Times New Roman"/>
                <w:color w:val="auto"/>
                <w:sz w:val="24"/>
                <w:szCs w:val="24"/>
                <w:highlight w:val="none"/>
              </w:rPr>
              <w:t>2018年环境空气质量情况见下表。</w:t>
            </w:r>
          </w:p>
          <w:p>
            <w:pPr>
              <w:pStyle w:val="139"/>
              <w:numPr>
                <w:ilvl w:val="0"/>
                <w:numId w:val="5"/>
              </w:numPr>
              <w:tabs>
                <w:tab w:val="left" w:pos="420"/>
              </w:tabs>
              <w:spacing w:line="360" w:lineRule="auto"/>
              <w:ind w:left="0" w:firstLine="471"/>
              <w:rPr>
                <w:rFonts w:hint="default" w:eastAsia="宋体" w:cs="Times New Roman"/>
                <w:b/>
                <w:color w:val="auto"/>
                <w:sz w:val="21"/>
                <w:szCs w:val="21"/>
                <w:highlight w:val="none"/>
                <w:shd w:val="clear" w:color="auto" w:fill="auto"/>
              </w:rPr>
            </w:pPr>
            <w:r>
              <w:rPr>
                <w:rFonts w:hint="eastAsia" w:eastAsia="宋体" w:cs="Times New Roman"/>
                <w:b/>
                <w:color w:val="auto"/>
                <w:sz w:val="21"/>
                <w:szCs w:val="21"/>
                <w:highlight w:val="none"/>
                <w:shd w:val="clear" w:color="auto" w:fill="auto"/>
                <w:lang w:eastAsia="zh-CN"/>
              </w:rPr>
              <w:t>江门</w:t>
            </w:r>
            <w:r>
              <w:rPr>
                <w:rFonts w:hint="default" w:eastAsia="宋体" w:cs="Times New Roman"/>
                <w:b/>
                <w:color w:val="auto"/>
                <w:sz w:val="21"/>
                <w:szCs w:val="21"/>
                <w:highlight w:val="none"/>
                <w:shd w:val="clear" w:color="auto" w:fill="auto"/>
              </w:rPr>
              <w:t>市2018年</w:t>
            </w:r>
            <w:r>
              <w:rPr>
                <w:rFonts w:hint="eastAsia" w:eastAsia="宋体" w:cs="Times New Roman"/>
                <w:b/>
                <w:color w:val="auto"/>
                <w:sz w:val="21"/>
                <w:szCs w:val="21"/>
                <w:highlight w:val="none"/>
                <w:shd w:val="clear" w:color="auto" w:fill="auto"/>
                <w:lang w:eastAsia="zh-CN"/>
              </w:rPr>
              <w:t>区域空气质量现状评价表</w:t>
            </w:r>
          </w:p>
          <w:tbl>
            <w:tblPr>
              <w:tblStyle w:val="40"/>
              <w:tblW w:w="92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2677"/>
              <w:gridCol w:w="1395"/>
              <w:gridCol w:w="1457"/>
              <w:gridCol w:w="1605"/>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line="360" w:lineRule="auto"/>
                    <w:jc w:val="center"/>
                    <w:rPr>
                      <w:rFonts w:hint="eastAsia" w:ascii="Times New Roman" w:hAnsi="Times New Roman" w:eastAsia="宋体" w:cs="Times New Roman"/>
                      <w:b/>
                      <w:bCs/>
                      <w:color w:val="auto"/>
                      <w:szCs w:val="21"/>
                      <w:highlight w:val="none"/>
                      <w:lang w:eastAsia="zh-CN"/>
                    </w:rPr>
                  </w:pPr>
                  <w:r>
                    <w:rPr>
                      <w:rFonts w:hint="eastAsia" w:cs="Times New Roman"/>
                      <w:b/>
                      <w:bCs/>
                      <w:color w:val="auto"/>
                      <w:szCs w:val="21"/>
                      <w:highlight w:val="none"/>
                      <w:lang w:eastAsia="zh-CN"/>
                    </w:rPr>
                    <w:t>污染物</w:t>
                  </w:r>
                </w:p>
              </w:tc>
              <w:tc>
                <w:tcPr>
                  <w:tcW w:w="2677" w:type="dxa"/>
                  <w:noWrap w:val="0"/>
                  <w:vAlign w:val="center"/>
                </w:tcPr>
                <w:p>
                  <w:pPr>
                    <w:widowControl w:val="0"/>
                    <w:spacing w:line="360" w:lineRule="auto"/>
                    <w:jc w:val="center"/>
                    <w:rPr>
                      <w:rFonts w:hint="default" w:ascii="Times New Roman" w:hAnsi="Times New Roman" w:cs="Times New Roman"/>
                      <w:b/>
                      <w:bCs/>
                      <w:color w:val="auto"/>
                      <w:szCs w:val="21"/>
                      <w:highlight w:val="none"/>
                    </w:rPr>
                  </w:pPr>
                  <w:r>
                    <w:rPr>
                      <w:rFonts w:hint="eastAsia" w:cs="Times New Roman"/>
                      <w:b/>
                      <w:bCs/>
                      <w:color w:val="auto"/>
                      <w:szCs w:val="21"/>
                      <w:highlight w:val="none"/>
                      <w:lang w:eastAsia="zh-CN"/>
                    </w:rPr>
                    <w:t>年评价指标</w:t>
                  </w:r>
                </w:p>
              </w:tc>
              <w:tc>
                <w:tcPr>
                  <w:tcW w:w="1395"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eastAsia" w:cs="Times New Roman"/>
                      <w:b/>
                      <w:bCs/>
                      <w:color w:val="auto"/>
                      <w:szCs w:val="21"/>
                      <w:highlight w:val="none"/>
                      <w:lang w:eastAsia="zh-CN"/>
                    </w:rPr>
                    <w:t>现状浓度</w:t>
                  </w:r>
                  <w:r>
                    <w:rPr>
                      <w:rFonts w:hint="default" w:eastAsia="宋体" w:cs="Times New Roman"/>
                      <w:b/>
                      <w:color w:val="auto"/>
                      <w:sz w:val="21"/>
                      <w:szCs w:val="21"/>
                      <w:highlight w:val="none"/>
                      <w:shd w:val="clear" w:color="auto" w:fill="auto"/>
                    </w:rPr>
                    <w:t>（μg/m³）</w:t>
                  </w:r>
                </w:p>
              </w:tc>
              <w:tc>
                <w:tcPr>
                  <w:tcW w:w="1457" w:type="dxa"/>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标准值</w:t>
                  </w:r>
                </w:p>
                <w:p>
                  <w:pPr>
                    <w:widowControl w:val="0"/>
                    <w:spacing w:line="240" w:lineRule="auto"/>
                    <w:jc w:val="center"/>
                    <w:rPr>
                      <w:rFonts w:hint="eastAsia" w:ascii="Times New Roman" w:hAnsi="Times New Roman" w:eastAsia="宋体" w:cs="Times New Roman"/>
                      <w:b/>
                      <w:bCs/>
                      <w:color w:val="auto"/>
                      <w:szCs w:val="21"/>
                      <w:highlight w:val="none"/>
                      <w:lang w:eastAsia="zh-CN"/>
                    </w:rPr>
                  </w:pPr>
                  <w:r>
                    <w:rPr>
                      <w:rFonts w:hint="default" w:eastAsia="宋体" w:cs="Times New Roman"/>
                      <w:b/>
                      <w:color w:val="auto"/>
                      <w:sz w:val="21"/>
                      <w:szCs w:val="21"/>
                      <w:highlight w:val="none"/>
                      <w:shd w:val="clear" w:color="auto" w:fill="auto"/>
                    </w:rPr>
                    <w:t>（μg/m³）</w:t>
                  </w:r>
                </w:p>
              </w:tc>
              <w:tc>
                <w:tcPr>
                  <w:tcW w:w="1605" w:type="dxa"/>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占标率</w:t>
                  </w:r>
                </w:p>
                <w:p>
                  <w:pPr>
                    <w:widowControl w:val="0"/>
                    <w:spacing w:line="240" w:lineRule="auto"/>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eastAsia="zh-CN"/>
                    </w:rPr>
                    <w:t>（</w:t>
                  </w:r>
                  <w:r>
                    <w:rPr>
                      <w:rFonts w:hint="eastAsia" w:cs="Times New Roman"/>
                      <w:b/>
                      <w:bCs/>
                      <w:color w:val="auto"/>
                      <w:szCs w:val="21"/>
                      <w:highlight w:val="none"/>
                      <w:lang w:val="en-US" w:eastAsia="zh-CN"/>
                    </w:rPr>
                    <w:t>%）</w:t>
                  </w:r>
                </w:p>
              </w:tc>
              <w:tc>
                <w:tcPr>
                  <w:tcW w:w="1172" w:type="dxa"/>
                  <w:noWrap w:val="0"/>
                  <w:vAlign w:val="center"/>
                </w:tcPr>
                <w:p>
                  <w:pPr>
                    <w:widowControl w:val="0"/>
                    <w:spacing w:line="360" w:lineRule="auto"/>
                    <w:jc w:val="center"/>
                    <w:rPr>
                      <w:rFonts w:hint="eastAsia" w:ascii="Times New Roman" w:hAnsi="Times New Roman" w:eastAsia="宋体" w:cs="Times New Roman"/>
                      <w:b/>
                      <w:bCs/>
                      <w:color w:val="auto"/>
                      <w:szCs w:val="21"/>
                      <w:highlight w:val="none"/>
                      <w:lang w:eastAsia="zh-CN"/>
                    </w:rPr>
                  </w:pPr>
                  <w:r>
                    <w:rPr>
                      <w:rFonts w:hint="default" w:ascii="Times New Roman" w:hAnsi="Times New Roman" w:cs="Times New Roman"/>
                      <w:b/>
                      <w:bCs/>
                      <w:color w:val="auto"/>
                      <w:szCs w:val="21"/>
                      <w:highlight w:val="none"/>
                    </w:rPr>
                    <w:t>达标</w:t>
                  </w:r>
                  <w:r>
                    <w:rPr>
                      <w:rFonts w:hint="eastAsia" w:cs="Times New Roman"/>
                      <w:b/>
                      <w:bCs/>
                      <w:color w:val="auto"/>
                      <w:szCs w:val="21"/>
                      <w:highlight w:val="none"/>
                      <w:lang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677" w:type="dxa"/>
                  <w:noWrap w:val="0"/>
                  <w:vAlign w:val="center"/>
                </w:tcPr>
                <w:p>
                  <w:pPr>
                    <w:widowControl w:val="0"/>
                    <w:spacing w:line="360" w:lineRule="auto"/>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年平均质量浓度</w:t>
                  </w:r>
                </w:p>
              </w:tc>
              <w:tc>
                <w:tcPr>
                  <w:tcW w:w="139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9</w:t>
                  </w:r>
                </w:p>
              </w:tc>
              <w:tc>
                <w:tcPr>
                  <w:tcW w:w="145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60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0.15</w:t>
                  </w:r>
                </w:p>
              </w:tc>
              <w:tc>
                <w:tcPr>
                  <w:tcW w:w="1172"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267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年平均质量浓度</w:t>
                  </w:r>
                </w:p>
              </w:tc>
              <w:tc>
                <w:tcPr>
                  <w:tcW w:w="139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35</w:t>
                  </w:r>
                </w:p>
              </w:tc>
              <w:tc>
                <w:tcPr>
                  <w:tcW w:w="145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160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0.875</w:t>
                  </w:r>
                </w:p>
              </w:tc>
              <w:tc>
                <w:tcPr>
                  <w:tcW w:w="1172"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267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年平均质量浓度</w:t>
                  </w:r>
                </w:p>
              </w:tc>
              <w:tc>
                <w:tcPr>
                  <w:tcW w:w="139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56</w:t>
                  </w:r>
                </w:p>
              </w:tc>
              <w:tc>
                <w:tcPr>
                  <w:tcW w:w="145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160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0.8</w:t>
                  </w:r>
                </w:p>
              </w:tc>
              <w:tc>
                <w:tcPr>
                  <w:tcW w:w="1172"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267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年平均质量浓度</w:t>
                  </w:r>
                </w:p>
              </w:tc>
              <w:tc>
                <w:tcPr>
                  <w:tcW w:w="139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31</w:t>
                  </w:r>
                </w:p>
              </w:tc>
              <w:tc>
                <w:tcPr>
                  <w:tcW w:w="145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c>
                <w:tcPr>
                  <w:tcW w:w="160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0.886</w:t>
                  </w:r>
                </w:p>
              </w:tc>
              <w:tc>
                <w:tcPr>
                  <w:tcW w:w="1172"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74"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267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日均值第95百分位数浓度</w:t>
                  </w:r>
                </w:p>
              </w:tc>
              <w:tc>
                <w:tcPr>
                  <w:tcW w:w="139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1200</w:t>
                  </w:r>
                </w:p>
              </w:tc>
              <w:tc>
                <w:tcPr>
                  <w:tcW w:w="145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≤4000</w:t>
                  </w:r>
                </w:p>
              </w:tc>
              <w:tc>
                <w:tcPr>
                  <w:tcW w:w="160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0.3</w:t>
                  </w:r>
                </w:p>
              </w:tc>
              <w:tc>
                <w:tcPr>
                  <w:tcW w:w="1172"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74"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2677"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日最大8小时平均第90百分位数浓度</w:t>
                  </w:r>
                </w:p>
              </w:tc>
              <w:tc>
                <w:tcPr>
                  <w:tcW w:w="139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184</w:t>
                  </w:r>
                </w:p>
              </w:tc>
              <w:tc>
                <w:tcPr>
                  <w:tcW w:w="1457" w:type="dxa"/>
                  <w:noWrap w:val="0"/>
                  <w:vAlign w:val="center"/>
                </w:tcPr>
                <w:p>
                  <w:pPr>
                    <w:widowControl w:val="0"/>
                    <w:spacing w:line="36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w:t>
                  </w:r>
                </w:p>
              </w:tc>
              <w:tc>
                <w:tcPr>
                  <w:tcW w:w="1605" w:type="dxa"/>
                  <w:noWrap w:val="0"/>
                  <w:vAlign w:val="center"/>
                </w:tcPr>
                <w:p>
                  <w:pPr>
                    <w:widowControl w:val="0"/>
                    <w:spacing w:line="36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1.15</w:t>
                  </w:r>
                </w:p>
              </w:tc>
              <w:tc>
                <w:tcPr>
                  <w:tcW w:w="1172" w:type="dxa"/>
                  <w:noWrap w:val="0"/>
                  <w:vAlign w:val="center"/>
                </w:tcPr>
                <w:p>
                  <w:pPr>
                    <w:widowControl w:val="0"/>
                    <w:spacing w:line="360" w:lineRule="auto"/>
                    <w:jc w:val="center"/>
                    <w:rPr>
                      <w:rFonts w:hint="eastAsia" w:cs="Times New Roman"/>
                      <w:color w:val="auto"/>
                      <w:szCs w:val="21"/>
                      <w:highlight w:val="none"/>
                      <w:lang w:eastAsia="zh-CN"/>
                    </w:rPr>
                  </w:pPr>
                  <w:r>
                    <w:rPr>
                      <w:rFonts w:hint="eastAsia" w:cs="Times New Roman"/>
                      <w:color w:val="auto"/>
                      <w:szCs w:val="21"/>
                      <w:highlight w:val="none"/>
                      <w:lang w:eastAsia="zh-CN"/>
                    </w:rPr>
                    <w:t>不</w:t>
                  </w:r>
                  <w:r>
                    <w:rPr>
                      <w:rFonts w:hint="default" w:ascii="Times New Roman" w:hAnsi="Times New Roman" w:cs="Times New Roman"/>
                      <w:color w:val="auto"/>
                      <w:szCs w:val="21"/>
                      <w:highlight w:val="none"/>
                    </w:rPr>
                    <w:t>达标</w:t>
                  </w:r>
                </w:p>
              </w:tc>
            </w:tr>
          </w:tbl>
          <w:p>
            <w:pPr>
              <w:spacing w:beforeLines="0" w:afterLines="0" w:line="360" w:lineRule="auto"/>
              <w:ind w:firstLine="480" w:firstLineChars="200"/>
              <w:jc w:val="left"/>
              <w:rPr>
                <w:rFonts w:hint="default" w:ascii="Times New Roman" w:hAnsi="Times New Roman" w:cs="Times New Roman"/>
                <w:color w:val="auto"/>
                <w:sz w:val="24"/>
                <w:szCs w:val="24"/>
                <w:highlight w:val="none"/>
              </w:rPr>
            </w:pPr>
            <w:r>
              <w:rPr>
                <w:rFonts w:hint="eastAsia" w:ascii="宋体" w:hAnsi="宋体" w:eastAsia="宋体"/>
                <w:color w:val="auto"/>
                <w:sz w:val="24"/>
                <w:highlight w:val="none"/>
              </w:rPr>
              <w:t>由上表可见，该地区</w:t>
            </w:r>
            <w:r>
              <w:rPr>
                <w:rFonts w:hint="eastAsia" w:ascii="TimesNewRomanPSMT" w:hAnsi="TimesNewRomanPSMT" w:eastAsia="TimesNewRomanPSMT"/>
                <w:color w:val="auto"/>
                <w:sz w:val="24"/>
                <w:highlight w:val="none"/>
              </w:rPr>
              <w:t>SO</w:t>
            </w:r>
            <w:r>
              <w:rPr>
                <w:rFonts w:hint="eastAsia" w:ascii="TimesNewRomanPSMT" w:hAnsi="TimesNewRomanPSMT" w:eastAsia="TimesNewRomanPSMT"/>
                <w:color w:val="auto"/>
                <w:sz w:val="16"/>
                <w:highlight w:val="none"/>
              </w:rPr>
              <w:t>2</w:t>
            </w:r>
            <w:r>
              <w:rPr>
                <w:rFonts w:hint="eastAsia" w:ascii="宋体" w:hAnsi="宋体" w:eastAsia="宋体"/>
                <w:color w:val="auto"/>
                <w:sz w:val="24"/>
                <w:highlight w:val="none"/>
              </w:rPr>
              <w:t>、</w:t>
            </w:r>
            <w:r>
              <w:rPr>
                <w:rFonts w:hint="eastAsia" w:ascii="TimesNewRomanPSMT" w:hAnsi="TimesNewRomanPSMT" w:eastAsia="TimesNewRomanPSMT"/>
                <w:color w:val="auto"/>
                <w:sz w:val="24"/>
                <w:highlight w:val="none"/>
              </w:rPr>
              <w:t>NO</w:t>
            </w:r>
            <w:r>
              <w:rPr>
                <w:rFonts w:hint="eastAsia" w:ascii="TimesNewRomanPSMT" w:hAnsi="TimesNewRomanPSMT" w:eastAsia="TimesNewRomanPSMT"/>
                <w:color w:val="auto"/>
                <w:sz w:val="16"/>
                <w:highlight w:val="none"/>
              </w:rPr>
              <w:t>2</w:t>
            </w:r>
            <w:r>
              <w:rPr>
                <w:rFonts w:hint="eastAsia" w:ascii="宋体" w:hAnsi="宋体" w:eastAsia="宋体"/>
                <w:color w:val="auto"/>
                <w:sz w:val="24"/>
                <w:highlight w:val="none"/>
              </w:rPr>
              <w:t>、</w:t>
            </w:r>
            <w:r>
              <w:rPr>
                <w:rFonts w:hint="eastAsia" w:ascii="TimesNewRomanPSMT" w:hAnsi="TimesNewRomanPSMT" w:eastAsia="TimesNewRomanPSMT"/>
                <w:color w:val="auto"/>
                <w:sz w:val="24"/>
                <w:highlight w:val="none"/>
              </w:rPr>
              <w:t>PM</w:t>
            </w:r>
            <w:r>
              <w:rPr>
                <w:rFonts w:hint="eastAsia" w:ascii="TimesNewRomanPSMT" w:hAnsi="TimesNewRomanPSMT" w:eastAsia="TimesNewRomanPSMT"/>
                <w:color w:val="auto"/>
                <w:sz w:val="16"/>
                <w:highlight w:val="none"/>
              </w:rPr>
              <w:t xml:space="preserve">10 </w:t>
            </w:r>
            <w:r>
              <w:rPr>
                <w:rFonts w:hint="eastAsia" w:ascii="宋体" w:hAnsi="宋体" w:eastAsia="宋体"/>
                <w:color w:val="auto"/>
                <w:sz w:val="24"/>
                <w:highlight w:val="none"/>
              </w:rPr>
              <w:t>、</w:t>
            </w:r>
            <w:r>
              <w:rPr>
                <w:rFonts w:hint="eastAsia" w:ascii="TimesNewRomanPSMT" w:hAnsi="TimesNewRomanPSMT" w:eastAsia="TimesNewRomanPSMT"/>
                <w:color w:val="auto"/>
                <w:sz w:val="24"/>
                <w:highlight w:val="none"/>
              </w:rPr>
              <w:t>PM</w:t>
            </w:r>
            <w:r>
              <w:rPr>
                <w:rFonts w:hint="eastAsia" w:ascii="TimesNewRomanPSMT" w:hAnsi="TimesNewRomanPSMT" w:eastAsia="TimesNewRomanPSMT"/>
                <w:color w:val="auto"/>
                <w:sz w:val="16"/>
                <w:highlight w:val="none"/>
              </w:rPr>
              <w:t xml:space="preserve">2.5 </w:t>
            </w:r>
            <w:r>
              <w:rPr>
                <w:rFonts w:hint="eastAsia" w:cs="Times New Roman"/>
                <w:color w:val="auto"/>
                <w:sz w:val="24"/>
                <w:szCs w:val="24"/>
                <w:highlight w:val="none"/>
                <w:lang w:eastAsia="zh-CN"/>
              </w:rPr>
              <w:t>年平均质量浓度</w:t>
            </w:r>
            <w:r>
              <w:rPr>
                <w:rFonts w:hint="eastAsia" w:ascii="宋体" w:hAnsi="宋体"/>
                <w:color w:val="auto"/>
                <w:sz w:val="24"/>
                <w:highlight w:val="none"/>
                <w:lang w:eastAsia="zh-CN"/>
              </w:rPr>
              <w:t>以及</w:t>
            </w:r>
            <w:r>
              <w:rPr>
                <w:rFonts w:hint="eastAsia" w:ascii="TimesNewRomanPSMT" w:hAnsi="TimesNewRomanPSMT" w:eastAsia="TimesNewRomanPSMT"/>
                <w:color w:val="auto"/>
                <w:sz w:val="24"/>
                <w:highlight w:val="none"/>
              </w:rPr>
              <w:t>CO日均值第95百分位数浓度</w:t>
            </w:r>
            <w:r>
              <w:rPr>
                <w:rFonts w:hint="eastAsia" w:ascii="宋体" w:hAnsi="宋体" w:eastAsia="宋体"/>
                <w:color w:val="auto"/>
                <w:sz w:val="24"/>
                <w:highlight w:val="none"/>
              </w:rPr>
              <w:t>均满足《环境空气质量标准》（</w:t>
            </w:r>
            <w:r>
              <w:rPr>
                <w:rFonts w:hint="eastAsia" w:ascii="TimesNewRomanPSMT" w:hAnsi="TimesNewRomanPSMT" w:eastAsia="TimesNewRomanPSMT"/>
                <w:color w:val="auto"/>
                <w:sz w:val="24"/>
                <w:highlight w:val="none"/>
              </w:rPr>
              <w:t>GB3095-2012</w:t>
            </w:r>
            <w:r>
              <w:rPr>
                <w:rFonts w:hint="eastAsia" w:ascii="宋体" w:hAnsi="宋体" w:eastAsia="宋体"/>
                <w:color w:val="auto"/>
                <w:sz w:val="24"/>
                <w:highlight w:val="none"/>
              </w:rPr>
              <w:t>）及</w:t>
            </w:r>
            <w:r>
              <w:rPr>
                <w:rFonts w:hint="eastAsia" w:ascii="TimesNewRomanPSMT" w:hAnsi="TimesNewRomanPSMT" w:eastAsia="TimesNewRomanPSMT"/>
                <w:color w:val="auto"/>
                <w:sz w:val="24"/>
                <w:highlight w:val="none"/>
              </w:rPr>
              <w:t>”2018</w:t>
            </w:r>
            <w:r>
              <w:rPr>
                <w:rFonts w:hint="eastAsia" w:ascii="宋体" w:hAnsi="宋体" w:eastAsia="宋体"/>
                <w:color w:val="auto"/>
                <w:sz w:val="24"/>
                <w:highlight w:val="none"/>
              </w:rPr>
              <w:t>修改单</w:t>
            </w:r>
            <w:r>
              <w:rPr>
                <w:rFonts w:hint="eastAsia" w:ascii="TimesNewRomanPSMT" w:hAnsi="TimesNewRomanPSMT" w:eastAsia="TimesNewRomanPSMT"/>
                <w:color w:val="auto"/>
                <w:sz w:val="24"/>
                <w:highlight w:val="none"/>
              </w:rPr>
              <w:t>”</w:t>
            </w:r>
            <w:r>
              <w:rPr>
                <w:rFonts w:hint="eastAsia" w:ascii="宋体" w:hAnsi="宋体" w:eastAsia="宋体"/>
                <w:color w:val="auto"/>
                <w:sz w:val="24"/>
                <w:highlight w:val="none"/>
              </w:rPr>
              <w:t>二级标准要求，</w:t>
            </w:r>
            <w:r>
              <w:rPr>
                <w:rFonts w:hint="default" w:ascii="Times New Roman" w:hAnsi="Times New Roman" w:cs="Times New Roman"/>
                <w:color w:val="auto"/>
                <w:sz w:val="24"/>
                <w:szCs w:val="24"/>
                <w:highlight w:val="none"/>
              </w:rPr>
              <w:t>O</w:t>
            </w:r>
            <w:r>
              <w:rPr>
                <w:rFonts w:hint="default" w:ascii="Times New Roman" w:hAnsi="Times New Roman" w:cs="Times New Roman"/>
                <w:color w:val="auto"/>
                <w:sz w:val="24"/>
                <w:szCs w:val="24"/>
                <w:highlight w:val="none"/>
                <w:vertAlign w:val="subscript"/>
              </w:rPr>
              <w:t>3</w:t>
            </w:r>
            <w:r>
              <w:rPr>
                <w:rFonts w:hint="eastAsia" w:ascii="宋体" w:hAnsi="宋体" w:eastAsia="宋体"/>
                <w:color w:val="auto"/>
                <w:sz w:val="24"/>
                <w:highlight w:val="none"/>
              </w:rPr>
              <w:t>日最大</w:t>
            </w:r>
            <w:r>
              <w:rPr>
                <w:rFonts w:hint="eastAsia" w:ascii="TimesNewRomanPSMT" w:hAnsi="TimesNewRomanPSMT" w:eastAsia="TimesNewRomanPSMT"/>
                <w:color w:val="auto"/>
                <w:sz w:val="24"/>
                <w:highlight w:val="none"/>
              </w:rPr>
              <w:t>8</w:t>
            </w:r>
            <w:r>
              <w:rPr>
                <w:rFonts w:hint="eastAsia" w:ascii="宋体" w:hAnsi="宋体" w:eastAsia="宋体"/>
                <w:color w:val="auto"/>
                <w:sz w:val="24"/>
                <w:highlight w:val="none"/>
              </w:rPr>
              <w:t>小时平均第</w:t>
            </w:r>
            <w:r>
              <w:rPr>
                <w:rFonts w:hint="eastAsia" w:ascii="TimesNewRomanPSMT" w:hAnsi="TimesNewRomanPSMT" w:eastAsia="TimesNewRomanPSMT"/>
                <w:color w:val="auto"/>
                <w:sz w:val="24"/>
                <w:highlight w:val="none"/>
              </w:rPr>
              <w:t>90</w:t>
            </w:r>
            <w:r>
              <w:rPr>
                <w:rFonts w:hint="eastAsia" w:ascii="宋体" w:hAnsi="宋体" w:eastAsia="宋体"/>
                <w:color w:val="auto"/>
                <w:sz w:val="24"/>
                <w:highlight w:val="none"/>
              </w:rPr>
              <w:t>百分位数不能满足《环境空气质量标准》（</w:t>
            </w:r>
            <w:r>
              <w:rPr>
                <w:rFonts w:hint="eastAsia" w:ascii="TimesNewRomanPSMT" w:hAnsi="TimesNewRomanPSMT" w:eastAsia="TimesNewRomanPSMT"/>
                <w:color w:val="auto"/>
                <w:sz w:val="24"/>
                <w:highlight w:val="none"/>
              </w:rPr>
              <w:t>GB3095-2012</w:t>
            </w:r>
            <w:r>
              <w:rPr>
                <w:rFonts w:hint="eastAsia" w:ascii="宋体" w:hAnsi="宋体" w:eastAsia="宋体"/>
                <w:color w:val="auto"/>
                <w:sz w:val="24"/>
                <w:highlight w:val="none"/>
              </w:rPr>
              <w:t>）及</w:t>
            </w:r>
            <w:r>
              <w:rPr>
                <w:rFonts w:hint="eastAsia" w:ascii="TimesNewRomanPSMT" w:hAnsi="TimesNewRomanPSMT" w:eastAsia="TimesNewRomanPSMT"/>
                <w:color w:val="auto"/>
                <w:sz w:val="24"/>
                <w:highlight w:val="none"/>
              </w:rPr>
              <w:t>”2018</w:t>
            </w:r>
            <w:r>
              <w:rPr>
                <w:rFonts w:hint="eastAsia" w:ascii="宋体" w:hAnsi="宋体" w:eastAsia="宋体"/>
                <w:color w:val="auto"/>
                <w:sz w:val="24"/>
                <w:highlight w:val="none"/>
              </w:rPr>
              <w:t>修改单</w:t>
            </w:r>
            <w:r>
              <w:rPr>
                <w:rFonts w:hint="eastAsia" w:ascii="TimesNewRomanPSMT" w:hAnsi="TimesNewRomanPSMT" w:eastAsia="TimesNewRomanPSMT"/>
                <w:color w:val="auto"/>
                <w:sz w:val="24"/>
                <w:highlight w:val="none"/>
              </w:rPr>
              <w:t>”</w:t>
            </w:r>
            <w:r>
              <w:rPr>
                <w:rFonts w:hint="eastAsia" w:ascii="宋体" w:hAnsi="宋体" w:eastAsia="宋体"/>
                <w:color w:val="auto"/>
                <w:sz w:val="24"/>
                <w:highlight w:val="none"/>
              </w:rPr>
              <w:t>二级标准要求，</w:t>
            </w:r>
            <w:r>
              <w:rPr>
                <w:rFonts w:hint="eastAsia" w:ascii="宋体" w:hAnsi="宋体" w:eastAsia="宋体"/>
                <w:b w:val="0"/>
                <w:bCs/>
                <w:color w:val="auto"/>
                <w:sz w:val="24"/>
                <w:highlight w:val="none"/>
              </w:rPr>
              <w:t>故该区域为环境空气质量不达标区域。</w:t>
            </w:r>
          </w:p>
          <w:p>
            <w:pPr>
              <w:pStyle w:val="49"/>
              <w:ind w:left="0" w:leftChars="0" w:firstLine="482" w:firstLineChars="200"/>
              <w:jc w:val="left"/>
              <w:rPr>
                <w:rFonts w:hint="eastAsia" w:ascii="Times New Roman" w:cs="Times New Roman"/>
                <w:b/>
                <w:bCs/>
                <w:color w:val="auto"/>
                <w:sz w:val="24"/>
                <w:szCs w:val="24"/>
                <w:highlight w:val="none"/>
                <w:lang w:val="en-US" w:eastAsia="zh-CN"/>
              </w:rPr>
            </w:pPr>
            <w:r>
              <w:rPr>
                <w:rFonts w:hint="eastAsia" w:ascii="Times New Roman" w:cs="Times New Roman"/>
                <w:b/>
                <w:bCs/>
                <w:color w:val="auto"/>
                <w:sz w:val="24"/>
                <w:szCs w:val="24"/>
                <w:highlight w:val="none"/>
                <w:lang w:eastAsia="zh-CN"/>
              </w:rPr>
              <w:t>（</w:t>
            </w:r>
            <w:r>
              <w:rPr>
                <w:rFonts w:hint="eastAsia" w:ascii="Times New Roman" w:cs="Times New Roman"/>
                <w:b/>
                <w:bCs/>
                <w:color w:val="auto"/>
                <w:sz w:val="24"/>
                <w:szCs w:val="24"/>
                <w:highlight w:val="none"/>
                <w:lang w:val="en-US" w:eastAsia="zh-CN"/>
              </w:rPr>
              <w:t>2）基本污染物环境质量现状</w:t>
            </w:r>
          </w:p>
          <w:p>
            <w:pPr>
              <w:pStyle w:val="49"/>
              <w:spacing w:line="360" w:lineRule="auto"/>
              <w:ind w:left="0" w:leftChars="0" w:firstLine="480" w:firstLineChars="200"/>
              <w:jc w:val="left"/>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根据江门市环境保护局官网发布的《2018 年江门市环境质量状况》，</w:t>
            </w:r>
            <w:r>
              <w:rPr>
                <w:rFonts w:hint="eastAsia" w:ascii="Times New Roman" w:cs="Times New Roman"/>
                <w:color w:val="auto"/>
                <w:sz w:val="24"/>
                <w:szCs w:val="24"/>
                <w:highlight w:val="none"/>
                <w:lang w:eastAsia="zh-CN"/>
              </w:rPr>
              <w:t>开平市</w:t>
            </w:r>
            <w:r>
              <w:rPr>
                <w:rFonts w:hint="default" w:ascii="Times New Roman" w:hAnsi="Times New Roman" w:cs="Times New Roman"/>
                <w:color w:val="auto"/>
                <w:sz w:val="24"/>
                <w:szCs w:val="24"/>
                <w:highlight w:val="none"/>
              </w:rPr>
              <w:t>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default" w:ascii="Times New Roman" w:hAnsi="Times New Roman" w:cs="Times New Roman"/>
                <w:color w:val="auto"/>
                <w:sz w:val="24"/>
                <w:szCs w:val="24"/>
                <w:highlight w:val="none"/>
              </w:rPr>
              <w:t xml:space="preserve"> 、PM</w:t>
            </w:r>
            <w:r>
              <w:rPr>
                <w:rFonts w:hint="default" w:ascii="Times New Roman" w:hAnsi="Times New Roman" w:cs="Times New Roman"/>
                <w:color w:val="auto"/>
                <w:sz w:val="24"/>
                <w:szCs w:val="24"/>
                <w:highlight w:val="none"/>
                <w:vertAlign w:val="subscript"/>
              </w:rPr>
              <w:t>2.5</w:t>
            </w:r>
            <w:r>
              <w:rPr>
                <w:rFonts w:hint="default" w:ascii="Times New Roman" w:hAnsi="Times New Roman" w:cs="Times New Roman"/>
                <w:color w:val="auto"/>
                <w:sz w:val="24"/>
                <w:szCs w:val="24"/>
                <w:highlight w:val="none"/>
              </w:rPr>
              <w:t>、CO和O</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 xml:space="preserve"> </w:t>
            </w:r>
            <w:r>
              <w:rPr>
                <w:rFonts w:hint="eastAsia" w:ascii="Times New Roman" w:cs="Times New Roman"/>
                <w:color w:val="auto"/>
                <w:sz w:val="24"/>
                <w:szCs w:val="24"/>
                <w:highlight w:val="none"/>
                <w:lang w:eastAsia="zh-CN"/>
              </w:rPr>
              <w:t>六项基本污染物环境质量现状数据见下表。</w:t>
            </w:r>
          </w:p>
          <w:p>
            <w:pPr>
              <w:pStyle w:val="139"/>
              <w:numPr>
                <w:ilvl w:val="0"/>
                <w:numId w:val="5"/>
              </w:numPr>
              <w:tabs>
                <w:tab w:val="left" w:pos="420"/>
              </w:tabs>
              <w:spacing w:line="360" w:lineRule="auto"/>
              <w:ind w:left="0" w:firstLine="471"/>
              <w:rPr>
                <w:rFonts w:hint="default" w:eastAsia="宋体" w:cs="Times New Roman"/>
                <w:b/>
                <w:color w:val="auto"/>
                <w:sz w:val="21"/>
                <w:szCs w:val="21"/>
                <w:highlight w:val="none"/>
                <w:shd w:val="clear" w:color="auto" w:fill="auto"/>
              </w:rPr>
            </w:pPr>
            <w:r>
              <w:rPr>
                <w:rFonts w:hint="eastAsia" w:eastAsia="宋体" w:cs="Times New Roman"/>
                <w:b/>
                <w:color w:val="auto"/>
                <w:sz w:val="21"/>
                <w:szCs w:val="21"/>
                <w:highlight w:val="none"/>
                <w:shd w:val="clear" w:color="auto" w:fill="auto"/>
                <w:lang w:eastAsia="zh-CN"/>
              </w:rPr>
              <w:t>基本污染物环境质量现状</w:t>
            </w:r>
          </w:p>
          <w:tbl>
            <w:tblPr>
              <w:tblStyle w:val="40"/>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508"/>
              <w:gridCol w:w="555"/>
              <w:gridCol w:w="934"/>
              <w:gridCol w:w="1391"/>
              <w:gridCol w:w="1140"/>
              <w:gridCol w:w="1058"/>
              <w:gridCol w:w="997"/>
              <w:gridCol w:w="1089"/>
              <w:gridCol w:w="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666" w:type="dxa"/>
                  <w:vMerge w:val="restart"/>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监测点名称</w:t>
                  </w:r>
                </w:p>
              </w:tc>
              <w:tc>
                <w:tcPr>
                  <w:tcW w:w="1063" w:type="dxa"/>
                  <w:gridSpan w:val="2"/>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监测点坐标</w:t>
                  </w:r>
                </w:p>
              </w:tc>
              <w:tc>
                <w:tcPr>
                  <w:tcW w:w="934" w:type="dxa"/>
                  <w:vMerge w:val="restart"/>
                  <w:noWrap w:val="0"/>
                  <w:vAlign w:val="center"/>
                </w:tcPr>
                <w:p>
                  <w:pPr>
                    <w:widowControl w:val="0"/>
                    <w:spacing w:line="240" w:lineRule="auto"/>
                    <w:jc w:val="center"/>
                    <w:rPr>
                      <w:rFonts w:hint="eastAsia" w:ascii="Times New Roman" w:hAnsi="Times New Roman" w:eastAsia="宋体" w:cs="Times New Roman"/>
                      <w:b/>
                      <w:bCs/>
                      <w:color w:val="auto"/>
                      <w:szCs w:val="21"/>
                      <w:highlight w:val="none"/>
                      <w:lang w:eastAsia="zh-CN"/>
                    </w:rPr>
                  </w:pPr>
                  <w:r>
                    <w:rPr>
                      <w:rFonts w:hint="eastAsia" w:cs="Times New Roman"/>
                      <w:b/>
                      <w:bCs/>
                      <w:color w:val="auto"/>
                      <w:szCs w:val="21"/>
                      <w:highlight w:val="none"/>
                      <w:lang w:eastAsia="zh-CN"/>
                    </w:rPr>
                    <w:t>污染物</w:t>
                  </w:r>
                </w:p>
              </w:tc>
              <w:tc>
                <w:tcPr>
                  <w:tcW w:w="1391" w:type="dxa"/>
                  <w:vMerge w:val="restart"/>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eastAsia" w:cs="Times New Roman"/>
                      <w:b/>
                      <w:bCs/>
                      <w:color w:val="auto"/>
                      <w:szCs w:val="21"/>
                      <w:highlight w:val="none"/>
                      <w:lang w:eastAsia="zh-CN"/>
                    </w:rPr>
                    <w:t>年评价指标</w:t>
                  </w:r>
                </w:p>
              </w:tc>
              <w:tc>
                <w:tcPr>
                  <w:tcW w:w="1140" w:type="dxa"/>
                  <w:vMerge w:val="restart"/>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eastAsia" w:cs="Times New Roman"/>
                      <w:b/>
                      <w:bCs/>
                      <w:color w:val="auto"/>
                      <w:szCs w:val="21"/>
                      <w:highlight w:val="none"/>
                      <w:lang w:eastAsia="zh-CN"/>
                    </w:rPr>
                    <w:t>现状浓度</w:t>
                  </w:r>
                  <w:r>
                    <w:rPr>
                      <w:rFonts w:hint="default" w:eastAsia="宋体" w:cs="Times New Roman"/>
                      <w:b/>
                      <w:color w:val="auto"/>
                      <w:sz w:val="21"/>
                      <w:szCs w:val="21"/>
                      <w:highlight w:val="none"/>
                      <w:shd w:val="clear" w:color="auto" w:fill="auto"/>
                    </w:rPr>
                    <w:t>（μg/m³）</w:t>
                  </w:r>
                </w:p>
              </w:tc>
              <w:tc>
                <w:tcPr>
                  <w:tcW w:w="1058" w:type="dxa"/>
                  <w:vMerge w:val="restart"/>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标准值</w:t>
                  </w:r>
                </w:p>
                <w:p>
                  <w:pPr>
                    <w:widowControl w:val="0"/>
                    <w:spacing w:line="240" w:lineRule="auto"/>
                    <w:jc w:val="center"/>
                    <w:rPr>
                      <w:rFonts w:hint="eastAsia" w:ascii="Times New Roman" w:hAnsi="Times New Roman" w:eastAsia="宋体" w:cs="Times New Roman"/>
                      <w:b/>
                      <w:bCs/>
                      <w:color w:val="auto"/>
                      <w:szCs w:val="21"/>
                      <w:highlight w:val="none"/>
                      <w:lang w:eastAsia="zh-CN"/>
                    </w:rPr>
                  </w:pPr>
                  <w:r>
                    <w:rPr>
                      <w:rFonts w:hint="default" w:eastAsia="宋体" w:cs="Times New Roman"/>
                      <w:b/>
                      <w:color w:val="auto"/>
                      <w:sz w:val="21"/>
                      <w:szCs w:val="21"/>
                      <w:highlight w:val="none"/>
                      <w:shd w:val="clear" w:color="auto" w:fill="auto"/>
                    </w:rPr>
                    <w:t>（μg/m³）</w:t>
                  </w:r>
                </w:p>
              </w:tc>
              <w:tc>
                <w:tcPr>
                  <w:tcW w:w="997" w:type="dxa"/>
                  <w:vMerge w:val="restart"/>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占标率</w:t>
                  </w:r>
                </w:p>
                <w:p>
                  <w:pPr>
                    <w:widowControl w:val="0"/>
                    <w:spacing w:line="240" w:lineRule="auto"/>
                    <w:jc w:val="center"/>
                    <w:rPr>
                      <w:rFonts w:hint="default" w:ascii="Times New Roman" w:hAnsi="Times New Roman" w:eastAsia="宋体" w:cs="Times New Roman"/>
                      <w:b/>
                      <w:bCs/>
                      <w:color w:val="auto"/>
                      <w:szCs w:val="21"/>
                      <w:highlight w:val="none"/>
                      <w:lang w:val="en-US" w:eastAsia="zh-CN"/>
                    </w:rPr>
                  </w:pPr>
                  <w:r>
                    <w:rPr>
                      <w:rFonts w:hint="eastAsia" w:cs="Times New Roman"/>
                      <w:b/>
                      <w:bCs/>
                      <w:color w:val="auto"/>
                      <w:szCs w:val="21"/>
                      <w:highlight w:val="none"/>
                      <w:lang w:eastAsia="zh-CN"/>
                    </w:rPr>
                    <w:t>（</w:t>
                  </w:r>
                  <w:r>
                    <w:rPr>
                      <w:rFonts w:hint="eastAsia" w:cs="Times New Roman"/>
                      <w:b/>
                      <w:bCs/>
                      <w:color w:val="auto"/>
                      <w:szCs w:val="21"/>
                      <w:highlight w:val="none"/>
                      <w:lang w:val="en-US" w:eastAsia="zh-CN"/>
                    </w:rPr>
                    <w:t>%）</w:t>
                  </w:r>
                </w:p>
              </w:tc>
              <w:tc>
                <w:tcPr>
                  <w:tcW w:w="1089" w:type="dxa"/>
                  <w:vMerge w:val="restart"/>
                  <w:noWrap w:val="0"/>
                  <w:vAlign w:val="center"/>
                </w:tcPr>
                <w:p>
                  <w:pPr>
                    <w:widowControl w:val="0"/>
                    <w:spacing w:line="240" w:lineRule="auto"/>
                    <w:jc w:val="center"/>
                    <w:rPr>
                      <w:rFonts w:hint="eastAsia" w:cs="Times New Roman"/>
                      <w:b/>
                      <w:bCs/>
                      <w:color w:val="auto"/>
                      <w:szCs w:val="21"/>
                      <w:highlight w:val="none"/>
                      <w:lang w:eastAsia="zh-CN"/>
                    </w:rPr>
                  </w:pPr>
                  <w:r>
                    <w:rPr>
                      <w:rFonts w:hint="eastAsia" w:cs="Times New Roman"/>
                      <w:b/>
                      <w:bCs/>
                      <w:color w:val="auto"/>
                      <w:szCs w:val="21"/>
                      <w:highlight w:val="none"/>
                      <w:lang w:eastAsia="zh-CN"/>
                    </w:rPr>
                    <w:t>超标频率（</w:t>
                  </w:r>
                  <w:r>
                    <w:rPr>
                      <w:rFonts w:hint="eastAsia" w:cs="Times New Roman"/>
                      <w:b/>
                      <w:bCs/>
                      <w:color w:val="auto"/>
                      <w:szCs w:val="21"/>
                      <w:highlight w:val="none"/>
                      <w:lang w:val="en-US" w:eastAsia="zh-CN"/>
                    </w:rPr>
                    <w:t>%）</w:t>
                  </w:r>
                </w:p>
              </w:tc>
              <w:tc>
                <w:tcPr>
                  <w:tcW w:w="982" w:type="dxa"/>
                  <w:vMerge w:val="restart"/>
                  <w:noWrap w:val="0"/>
                  <w:vAlign w:val="center"/>
                </w:tcPr>
                <w:p>
                  <w:pPr>
                    <w:widowControl w:val="0"/>
                    <w:spacing w:line="240" w:lineRule="auto"/>
                    <w:jc w:val="center"/>
                    <w:rPr>
                      <w:rFonts w:hint="eastAsia" w:ascii="Times New Roman" w:hAnsi="Times New Roman" w:eastAsia="宋体" w:cs="Times New Roman"/>
                      <w:b/>
                      <w:bCs/>
                      <w:color w:val="auto"/>
                      <w:szCs w:val="21"/>
                      <w:highlight w:val="none"/>
                      <w:lang w:eastAsia="zh-CN"/>
                    </w:rPr>
                  </w:pPr>
                  <w:r>
                    <w:rPr>
                      <w:rFonts w:hint="default" w:ascii="Times New Roman" w:hAnsi="Times New Roman" w:cs="Times New Roman"/>
                      <w:b/>
                      <w:bCs/>
                      <w:color w:val="auto"/>
                      <w:szCs w:val="21"/>
                      <w:highlight w:val="none"/>
                    </w:rPr>
                    <w:t>达标</w:t>
                  </w:r>
                  <w:r>
                    <w:rPr>
                      <w:rFonts w:hint="eastAsia" w:cs="Times New Roman"/>
                      <w:b/>
                      <w:bCs/>
                      <w:color w:val="auto"/>
                      <w:szCs w:val="21"/>
                      <w:highlight w:val="none"/>
                      <w:lang w:eastAsia="zh-CN"/>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Merge w:val="continue"/>
                  <w:noWrap w:val="0"/>
                  <w:vAlign w:val="center"/>
                </w:tcPr>
                <w:p>
                  <w:pPr>
                    <w:widowControl w:val="0"/>
                    <w:spacing w:line="240" w:lineRule="auto"/>
                    <w:jc w:val="center"/>
                    <w:rPr>
                      <w:rFonts w:hint="eastAsia" w:cs="Times New Roman"/>
                      <w:b/>
                      <w:bCs/>
                      <w:color w:val="auto"/>
                      <w:szCs w:val="21"/>
                      <w:highlight w:val="none"/>
                      <w:lang w:eastAsia="zh-CN"/>
                    </w:rPr>
                  </w:pPr>
                </w:p>
              </w:tc>
              <w:tc>
                <w:tcPr>
                  <w:tcW w:w="508" w:type="dxa"/>
                  <w:noWrap w:val="0"/>
                  <w:vAlign w:val="center"/>
                </w:tcPr>
                <w:p>
                  <w:pPr>
                    <w:widowControl w:val="0"/>
                    <w:spacing w:line="240" w:lineRule="auto"/>
                    <w:jc w:val="center"/>
                    <w:rPr>
                      <w:rFonts w:hint="default" w:cs="Times New Roman"/>
                      <w:b/>
                      <w:bCs/>
                      <w:color w:val="auto"/>
                      <w:szCs w:val="21"/>
                      <w:highlight w:val="none"/>
                      <w:lang w:val="en-US" w:eastAsia="zh-CN"/>
                    </w:rPr>
                  </w:pPr>
                  <w:r>
                    <w:rPr>
                      <w:rFonts w:hint="eastAsia" w:cs="Times New Roman"/>
                      <w:b/>
                      <w:bCs/>
                      <w:color w:val="auto"/>
                      <w:szCs w:val="21"/>
                      <w:highlight w:val="none"/>
                      <w:lang w:val="en-US" w:eastAsia="zh-CN"/>
                    </w:rPr>
                    <w:t>X</w:t>
                  </w:r>
                </w:p>
              </w:tc>
              <w:tc>
                <w:tcPr>
                  <w:tcW w:w="555" w:type="dxa"/>
                  <w:noWrap w:val="0"/>
                  <w:vAlign w:val="center"/>
                </w:tcPr>
                <w:p>
                  <w:pPr>
                    <w:widowControl w:val="0"/>
                    <w:spacing w:line="240" w:lineRule="auto"/>
                    <w:jc w:val="center"/>
                    <w:rPr>
                      <w:rFonts w:hint="default" w:cs="Times New Roman"/>
                      <w:b/>
                      <w:bCs/>
                      <w:color w:val="auto"/>
                      <w:szCs w:val="21"/>
                      <w:highlight w:val="none"/>
                      <w:lang w:val="en-US" w:eastAsia="zh-CN"/>
                    </w:rPr>
                  </w:pPr>
                  <w:r>
                    <w:rPr>
                      <w:rFonts w:hint="eastAsia" w:cs="Times New Roman"/>
                      <w:b/>
                      <w:bCs/>
                      <w:color w:val="auto"/>
                      <w:szCs w:val="21"/>
                      <w:highlight w:val="none"/>
                      <w:lang w:val="en-US" w:eastAsia="zh-CN"/>
                    </w:rPr>
                    <w:t>Y</w:t>
                  </w:r>
                </w:p>
              </w:tc>
              <w:tc>
                <w:tcPr>
                  <w:tcW w:w="934" w:type="dxa"/>
                  <w:vMerge w:val="continue"/>
                  <w:noWrap w:val="0"/>
                  <w:vAlign w:val="center"/>
                </w:tcPr>
                <w:p>
                  <w:pPr>
                    <w:widowControl w:val="0"/>
                    <w:spacing w:line="240" w:lineRule="auto"/>
                    <w:jc w:val="center"/>
                    <w:rPr>
                      <w:rFonts w:hint="eastAsia" w:cs="Times New Roman"/>
                      <w:b/>
                      <w:bCs/>
                      <w:color w:val="auto"/>
                      <w:szCs w:val="21"/>
                      <w:highlight w:val="none"/>
                      <w:lang w:eastAsia="zh-CN"/>
                    </w:rPr>
                  </w:pPr>
                </w:p>
              </w:tc>
              <w:tc>
                <w:tcPr>
                  <w:tcW w:w="1391" w:type="dxa"/>
                  <w:vMerge w:val="continue"/>
                  <w:noWrap w:val="0"/>
                  <w:vAlign w:val="center"/>
                </w:tcPr>
                <w:p>
                  <w:pPr>
                    <w:widowControl w:val="0"/>
                    <w:spacing w:line="240" w:lineRule="auto"/>
                    <w:jc w:val="center"/>
                    <w:rPr>
                      <w:rFonts w:hint="eastAsia" w:cs="Times New Roman"/>
                      <w:b/>
                      <w:bCs/>
                      <w:color w:val="auto"/>
                      <w:szCs w:val="21"/>
                      <w:highlight w:val="none"/>
                      <w:lang w:eastAsia="zh-CN"/>
                    </w:rPr>
                  </w:pPr>
                </w:p>
              </w:tc>
              <w:tc>
                <w:tcPr>
                  <w:tcW w:w="1140" w:type="dxa"/>
                  <w:vMerge w:val="continue"/>
                  <w:noWrap w:val="0"/>
                  <w:vAlign w:val="center"/>
                </w:tcPr>
                <w:p>
                  <w:pPr>
                    <w:widowControl w:val="0"/>
                    <w:spacing w:line="240" w:lineRule="auto"/>
                    <w:jc w:val="center"/>
                    <w:rPr>
                      <w:rFonts w:hint="eastAsia" w:cs="Times New Roman"/>
                      <w:b/>
                      <w:bCs/>
                      <w:color w:val="auto"/>
                      <w:szCs w:val="21"/>
                      <w:highlight w:val="none"/>
                      <w:lang w:eastAsia="zh-CN"/>
                    </w:rPr>
                  </w:pPr>
                </w:p>
              </w:tc>
              <w:tc>
                <w:tcPr>
                  <w:tcW w:w="1058" w:type="dxa"/>
                  <w:vMerge w:val="continue"/>
                  <w:noWrap w:val="0"/>
                  <w:vAlign w:val="center"/>
                </w:tcPr>
                <w:p>
                  <w:pPr>
                    <w:widowControl w:val="0"/>
                    <w:spacing w:line="240" w:lineRule="auto"/>
                    <w:jc w:val="center"/>
                    <w:rPr>
                      <w:rFonts w:hint="default" w:eastAsia="宋体" w:cs="Times New Roman"/>
                      <w:b/>
                      <w:color w:val="auto"/>
                      <w:sz w:val="21"/>
                      <w:szCs w:val="21"/>
                      <w:highlight w:val="none"/>
                      <w:shd w:val="clear" w:color="auto" w:fill="auto"/>
                    </w:rPr>
                  </w:pPr>
                </w:p>
              </w:tc>
              <w:tc>
                <w:tcPr>
                  <w:tcW w:w="997" w:type="dxa"/>
                  <w:vMerge w:val="continue"/>
                  <w:noWrap w:val="0"/>
                  <w:vAlign w:val="center"/>
                </w:tcPr>
                <w:p>
                  <w:pPr>
                    <w:widowControl w:val="0"/>
                    <w:spacing w:line="240" w:lineRule="auto"/>
                    <w:jc w:val="center"/>
                    <w:rPr>
                      <w:rFonts w:hint="eastAsia" w:cs="Times New Roman"/>
                      <w:b/>
                      <w:bCs/>
                      <w:color w:val="auto"/>
                      <w:szCs w:val="21"/>
                      <w:highlight w:val="none"/>
                      <w:lang w:eastAsia="zh-CN"/>
                    </w:rPr>
                  </w:pPr>
                </w:p>
              </w:tc>
              <w:tc>
                <w:tcPr>
                  <w:tcW w:w="1089" w:type="dxa"/>
                  <w:vMerge w:val="continue"/>
                  <w:noWrap w:val="0"/>
                  <w:vAlign w:val="center"/>
                </w:tcPr>
                <w:p>
                  <w:pPr>
                    <w:widowControl w:val="0"/>
                    <w:spacing w:line="240" w:lineRule="auto"/>
                    <w:jc w:val="center"/>
                    <w:rPr>
                      <w:rFonts w:hint="eastAsia" w:cs="Times New Roman"/>
                      <w:b/>
                      <w:bCs/>
                      <w:color w:val="auto"/>
                      <w:szCs w:val="21"/>
                      <w:highlight w:val="none"/>
                      <w:lang w:eastAsia="zh-CN"/>
                    </w:rPr>
                  </w:pPr>
                </w:p>
              </w:tc>
              <w:tc>
                <w:tcPr>
                  <w:tcW w:w="982" w:type="dxa"/>
                  <w:vMerge w:val="continue"/>
                  <w:noWrap w:val="0"/>
                  <w:vAlign w:val="center"/>
                </w:tcPr>
                <w:p>
                  <w:pPr>
                    <w:widowControl w:val="0"/>
                    <w:spacing w:line="240" w:lineRule="auto"/>
                    <w:jc w:val="center"/>
                    <w:rPr>
                      <w:rFonts w:hint="default" w:ascii="Times New Roman" w:hAnsi="Times New Roman" w:cs="Times New Roman"/>
                      <w:b/>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restart"/>
                  <w:noWrap w:val="0"/>
                  <w:vAlign w:val="center"/>
                </w:tcPr>
                <w:p>
                  <w:pPr>
                    <w:widowControl w:val="0"/>
                    <w:spacing w:line="240" w:lineRule="auto"/>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开平市气象站</w:t>
                  </w:r>
                </w:p>
              </w:tc>
              <w:tc>
                <w:tcPr>
                  <w:tcW w:w="508" w:type="dxa"/>
                  <w:vMerge w:val="restart"/>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555" w:type="dxa"/>
                  <w:vMerge w:val="restart"/>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34"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1391" w:type="dxa"/>
                  <w:noWrap w:val="0"/>
                  <w:vAlign w:val="center"/>
                </w:tcPr>
                <w:p>
                  <w:pPr>
                    <w:widowControl w:val="0"/>
                    <w:spacing w:line="240" w:lineRule="auto"/>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年平均质量浓度</w:t>
                  </w:r>
                </w:p>
              </w:tc>
              <w:tc>
                <w:tcPr>
                  <w:tcW w:w="1140"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w:t>
                  </w:r>
                </w:p>
              </w:tc>
              <w:tc>
                <w:tcPr>
                  <w:tcW w:w="1058"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997"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18.3</w:t>
                  </w:r>
                </w:p>
              </w:tc>
              <w:tc>
                <w:tcPr>
                  <w:tcW w:w="1089" w:type="dxa"/>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82"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08"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55"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934"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13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年平均质量浓度</w:t>
                  </w:r>
                </w:p>
              </w:tc>
              <w:tc>
                <w:tcPr>
                  <w:tcW w:w="1140"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25</w:t>
                  </w:r>
                </w:p>
              </w:tc>
              <w:tc>
                <w:tcPr>
                  <w:tcW w:w="1058"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w:t>
                  </w:r>
                </w:p>
              </w:tc>
              <w:tc>
                <w:tcPr>
                  <w:tcW w:w="997"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62.5</w:t>
                  </w:r>
                </w:p>
              </w:tc>
              <w:tc>
                <w:tcPr>
                  <w:tcW w:w="1089" w:type="dxa"/>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82"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08"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55"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934"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13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年平均质量浓度</w:t>
                  </w:r>
                </w:p>
              </w:tc>
              <w:tc>
                <w:tcPr>
                  <w:tcW w:w="1140"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56</w:t>
                  </w:r>
                </w:p>
              </w:tc>
              <w:tc>
                <w:tcPr>
                  <w:tcW w:w="1058"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997"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80</w:t>
                  </w:r>
                </w:p>
              </w:tc>
              <w:tc>
                <w:tcPr>
                  <w:tcW w:w="1089" w:type="dxa"/>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82"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08"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55"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934"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13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eastAsia" w:cs="Times New Roman"/>
                      <w:color w:val="auto"/>
                      <w:szCs w:val="21"/>
                      <w:highlight w:val="none"/>
                      <w:lang w:eastAsia="zh-CN"/>
                    </w:rPr>
                    <w:t>年平均质量浓度</w:t>
                  </w:r>
                </w:p>
              </w:tc>
              <w:tc>
                <w:tcPr>
                  <w:tcW w:w="1140"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30</w:t>
                  </w:r>
                </w:p>
              </w:tc>
              <w:tc>
                <w:tcPr>
                  <w:tcW w:w="1058"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c>
                <w:tcPr>
                  <w:tcW w:w="997"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85.7</w:t>
                  </w:r>
                </w:p>
              </w:tc>
              <w:tc>
                <w:tcPr>
                  <w:tcW w:w="1089" w:type="dxa"/>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82"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66"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08"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55"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934"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13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日均值第95百分位数浓度</w:t>
                  </w:r>
                </w:p>
              </w:tc>
              <w:tc>
                <w:tcPr>
                  <w:tcW w:w="1140"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1200</w:t>
                  </w:r>
                </w:p>
              </w:tc>
              <w:tc>
                <w:tcPr>
                  <w:tcW w:w="1058"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≤4000</w:t>
                  </w:r>
                </w:p>
              </w:tc>
              <w:tc>
                <w:tcPr>
                  <w:tcW w:w="997"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30</w:t>
                  </w:r>
                </w:p>
              </w:tc>
              <w:tc>
                <w:tcPr>
                  <w:tcW w:w="1089" w:type="dxa"/>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82"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666"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08"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555" w:type="dxa"/>
                  <w:vMerge w:val="continue"/>
                  <w:noWrap w:val="0"/>
                  <w:vAlign w:val="center"/>
                </w:tcPr>
                <w:p>
                  <w:pPr>
                    <w:widowControl w:val="0"/>
                    <w:spacing w:line="240" w:lineRule="auto"/>
                    <w:jc w:val="center"/>
                    <w:rPr>
                      <w:rFonts w:hint="default" w:ascii="Times New Roman" w:hAnsi="Times New Roman" w:cs="Times New Roman"/>
                      <w:color w:val="auto"/>
                      <w:szCs w:val="21"/>
                      <w:highlight w:val="none"/>
                    </w:rPr>
                  </w:pPr>
                </w:p>
              </w:tc>
              <w:tc>
                <w:tcPr>
                  <w:tcW w:w="934"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13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日最大8小时平均第90百分位数浓度</w:t>
                  </w:r>
                </w:p>
              </w:tc>
              <w:tc>
                <w:tcPr>
                  <w:tcW w:w="1140"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169</w:t>
                  </w:r>
                </w:p>
              </w:tc>
              <w:tc>
                <w:tcPr>
                  <w:tcW w:w="1058"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w:t>
                  </w:r>
                </w:p>
              </w:tc>
              <w:tc>
                <w:tcPr>
                  <w:tcW w:w="997"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105.6</w:t>
                  </w:r>
                </w:p>
              </w:tc>
              <w:tc>
                <w:tcPr>
                  <w:tcW w:w="1089" w:type="dxa"/>
                  <w:noWrap w:val="0"/>
                  <w:vAlign w:val="center"/>
                </w:tcPr>
                <w:p>
                  <w:pPr>
                    <w:widowControl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982" w:type="dxa"/>
                  <w:noWrap w:val="0"/>
                  <w:vAlign w:val="center"/>
                </w:tcPr>
                <w:p>
                  <w:pPr>
                    <w:widowControl w:val="0"/>
                    <w:spacing w:line="240" w:lineRule="auto"/>
                    <w:jc w:val="center"/>
                    <w:rPr>
                      <w:rFonts w:hint="eastAsia" w:cs="Times New Roman"/>
                      <w:color w:val="auto"/>
                      <w:szCs w:val="21"/>
                      <w:highlight w:val="none"/>
                      <w:lang w:eastAsia="zh-CN"/>
                    </w:rPr>
                  </w:pPr>
                  <w:r>
                    <w:rPr>
                      <w:rFonts w:hint="eastAsia" w:cs="Times New Roman"/>
                      <w:color w:val="auto"/>
                      <w:szCs w:val="21"/>
                      <w:highlight w:val="none"/>
                      <w:lang w:eastAsia="zh-CN"/>
                    </w:rPr>
                    <w:t>不</w:t>
                  </w:r>
                  <w:r>
                    <w:rPr>
                      <w:rFonts w:hint="default" w:ascii="Times New Roman" w:hAnsi="Times New Roman" w:cs="Times New Roman"/>
                      <w:color w:val="auto"/>
                      <w:szCs w:val="21"/>
                      <w:highlight w:val="none"/>
                    </w:rPr>
                    <w:t>达标</w:t>
                  </w:r>
                </w:p>
              </w:tc>
            </w:tr>
          </w:tbl>
          <w:p>
            <w:pPr>
              <w:pStyle w:val="3"/>
              <w:spacing w:before="0" w:after="0" w:line="360" w:lineRule="auto"/>
              <w:ind w:firstLine="480" w:firstLineChars="200"/>
              <w:rPr>
                <w:rFonts w:hint="default" w:ascii="Times New Roman" w:hAnsi="Times New Roman" w:cs="Times New Roman" w:eastAsiaTheme="minorEastAsia"/>
                <w:b w:val="0"/>
                <w:bCs/>
                <w:color w:val="auto"/>
                <w:sz w:val="24"/>
                <w:highlight w:val="none"/>
              </w:rPr>
            </w:pPr>
            <w:r>
              <w:rPr>
                <w:rFonts w:hint="default" w:ascii="Times New Roman" w:hAnsi="Times New Roman" w:cs="Times New Roman" w:eastAsiaTheme="minorEastAsia"/>
                <w:b w:val="0"/>
                <w:bCs/>
                <w:color w:val="auto"/>
                <w:sz w:val="24"/>
                <w:highlight w:val="none"/>
              </w:rPr>
              <w:t>由上表可见，该地区SO</w:t>
            </w:r>
            <w:r>
              <w:rPr>
                <w:rFonts w:hint="default" w:ascii="Times New Roman" w:hAnsi="Times New Roman" w:cs="Times New Roman" w:eastAsiaTheme="minorEastAsia"/>
                <w:b w:val="0"/>
                <w:bCs/>
                <w:color w:val="auto"/>
                <w:sz w:val="16"/>
                <w:highlight w:val="none"/>
              </w:rPr>
              <w:t>2</w:t>
            </w:r>
            <w:r>
              <w:rPr>
                <w:rFonts w:hint="default" w:ascii="Times New Roman" w:hAnsi="Times New Roman" w:cs="Times New Roman" w:eastAsiaTheme="minorEastAsia"/>
                <w:b w:val="0"/>
                <w:bCs/>
                <w:color w:val="auto"/>
                <w:sz w:val="24"/>
                <w:highlight w:val="none"/>
              </w:rPr>
              <w:t>、NO</w:t>
            </w:r>
            <w:r>
              <w:rPr>
                <w:rFonts w:hint="default" w:ascii="Times New Roman" w:hAnsi="Times New Roman" w:cs="Times New Roman" w:eastAsiaTheme="minorEastAsia"/>
                <w:b w:val="0"/>
                <w:bCs/>
                <w:color w:val="auto"/>
                <w:sz w:val="16"/>
                <w:highlight w:val="none"/>
              </w:rPr>
              <w:t>2</w:t>
            </w:r>
            <w:r>
              <w:rPr>
                <w:rFonts w:hint="default" w:ascii="Times New Roman" w:hAnsi="Times New Roman" w:cs="Times New Roman" w:eastAsiaTheme="minorEastAsia"/>
                <w:b w:val="0"/>
                <w:bCs/>
                <w:color w:val="auto"/>
                <w:sz w:val="24"/>
                <w:highlight w:val="none"/>
              </w:rPr>
              <w:t>、PM</w:t>
            </w:r>
            <w:r>
              <w:rPr>
                <w:rFonts w:hint="default" w:ascii="Times New Roman" w:hAnsi="Times New Roman" w:cs="Times New Roman" w:eastAsiaTheme="minorEastAsia"/>
                <w:b w:val="0"/>
                <w:bCs/>
                <w:color w:val="auto"/>
                <w:sz w:val="16"/>
                <w:highlight w:val="none"/>
              </w:rPr>
              <w:t xml:space="preserve">10 </w:t>
            </w:r>
            <w:r>
              <w:rPr>
                <w:rFonts w:hint="default" w:ascii="Times New Roman" w:hAnsi="Times New Roman" w:cs="Times New Roman" w:eastAsiaTheme="minorEastAsia"/>
                <w:b w:val="0"/>
                <w:bCs/>
                <w:color w:val="auto"/>
                <w:sz w:val="24"/>
                <w:highlight w:val="none"/>
              </w:rPr>
              <w:t>、PM</w:t>
            </w:r>
            <w:r>
              <w:rPr>
                <w:rFonts w:hint="default" w:ascii="Times New Roman" w:hAnsi="Times New Roman" w:cs="Times New Roman" w:eastAsiaTheme="minorEastAsia"/>
                <w:b w:val="0"/>
                <w:bCs/>
                <w:color w:val="auto"/>
                <w:sz w:val="16"/>
                <w:highlight w:val="none"/>
              </w:rPr>
              <w:t xml:space="preserve">2.5 </w:t>
            </w:r>
            <w:r>
              <w:rPr>
                <w:rFonts w:hint="default" w:ascii="Times New Roman" w:hAnsi="Times New Roman" w:cs="Times New Roman" w:eastAsiaTheme="minorEastAsia"/>
                <w:b w:val="0"/>
                <w:bCs/>
                <w:color w:val="auto"/>
                <w:sz w:val="24"/>
                <w:szCs w:val="24"/>
                <w:highlight w:val="none"/>
                <w:lang w:eastAsia="zh-CN"/>
              </w:rPr>
              <w:t>年平均质量浓度</w:t>
            </w:r>
            <w:r>
              <w:rPr>
                <w:rFonts w:hint="default" w:ascii="Times New Roman" w:hAnsi="Times New Roman" w:cs="Times New Roman" w:eastAsiaTheme="minorEastAsia"/>
                <w:b w:val="0"/>
                <w:bCs/>
                <w:color w:val="auto"/>
                <w:sz w:val="24"/>
                <w:highlight w:val="none"/>
                <w:lang w:eastAsia="zh-CN"/>
              </w:rPr>
              <w:t>以及</w:t>
            </w:r>
            <w:r>
              <w:rPr>
                <w:rFonts w:hint="default" w:ascii="Times New Roman" w:hAnsi="Times New Roman" w:cs="Times New Roman" w:eastAsiaTheme="minorEastAsia"/>
                <w:b w:val="0"/>
                <w:bCs/>
                <w:color w:val="auto"/>
                <w:sz w:val="24"/>
                <w:highlight w:val="none"/>
              </w:rPr>
              <w:t>CO日均值第95百分位数浓度均满足《环境空气质量标准》（GB3095-2012）及”2018修改单”二级标准要求，</w:t>
            </w:r>
            <w:r>
              <w:rPr>
                <w:rFonts w:hint="default" w:ascii="Times New Roman" w:hAnsi="Times New Roman" w:cs="Times New Roman" w:eastAsiaTheme="minorEastAsia"/>
                <w:b w:val="0"/>
                <w:bCs/>
                <w:color w:val="auto"/>
                <w:sz w:val="24"/>
                <w:szCs w:val="24"/>
                <w:highlight w:val="none"/>
              </w:rPr>
              <w:t>O</w:t>
            </w:r>
            <w:r>
              <w:rPr>
                <w:rFonts w:hint="default" w:ascii="Times New Roman" w:hAnsi="Times New Roman" w:cs="Times New Roman" w:eastAsiaTheme="minorEastAsia"/>
                <w:b w:val="0"/>
                <w:bCs/>
                <w:color w:val="auto"/>
                <w:sz w:val="24"/>
                <w:szCs w:val="24"/>
                <w:highlight w:val="none"/>
                <w:vertAlign w:val="subscript"/>
              </w:rPr>
              <w:t>3</w:t>
            </w:r>
            <w:r>
              <w:rPr>
                <w:rFonts w:hint="default" w:ascii="Times New Roman" w:hAnsi="Times New Roman" w:cs="Times New Roman" w:eastAsiaTheme="minorEastAsia"/>
                <w:b w:val="0"/>
                <w:bCs/>
                <w:color w:val="auto"/>
                <w:sz w:val="24"/>
                <w:highlight w:val="none"/>
              </w:rPr>
              <w:t>日最大8小时平均第90百分位数不能满足《环境空气质量标准》（GB3095-2012）及”2018修改单”二级标准要求，</w:t>
            </w:r>
            <w:r>
              <w:rPr>
                <w:rFonts w:hint="default" w:ascii="Times New Roman" w:hAnsi="Times New Roman" w:cs="Times New Roman" w:eastAsiaTheme="minorEastAsia"/>
                <w:b w:val="0"/>
                <w:bCs/>
                <w:color w:val="auto"/>
                <w:sz w:val="24"/>
                <w:highlight w:val="none"/>
                <w:lang w:eastAsia="zh-CN"/>
              </w:rPr>
              <w:t>说明该区域环境空气质量一般</w:t>
            </w:r>
            <w:r>
              <w:rPr>
                <w:rFonts w:hint="default" w:ascii="Times New Roman" w:hAnsi="Times New Roman" w:cs="Times New Roman" w:eastAsiaTheme="minorEastAsia"/>
                <w:b w:val="0"/>
                <w:bCs/>
                <w:color w:val="auto"/>
                <w:sz w:val="24"/>
                <w:highlight w:val="none"/>
              </w:rPr>
              <w:t>。</w:t>
            </w:r>
          </w:p>
          <w:p>
            <w:pPr>
              <w:spacing w:line="360" w:lineRule="auto"/>
              <w:ind w:firstLine="482" w:firstLineChars="200"/>
              <w:rPr>
                <w:b/>
                <w:color w:val="auto"/>
                <w:sz w:val="24"/>
              </w:rPr>
            </w:pPr>
            <w:r>
              <w:rPr>
                <w:rFonts w:hint="eastAsia"/>
                <w:b/>
                <w:color w:val="auto"/>
                <w:sz w:val="24"/>
              </w:rPr>
              <w:t>（3）其他污染物环境质量现状</w:t>
            </w:r>
          </w:p>
          <w:p>
            <w:pPr>
              <w:spacing w:line="360" w:lineRule="auto"/>
              <w:ind w:firstLine="480" w:firstLineChars="200"/>
              <w:rPr>
                <w:rFonts w:hint="eastAsia" w:eastAsia="宋体"/>
                <w:color w:val="auto"/>
                <w:sz w:val="24"/>
                <w:lang w:eastAsia="zh-CN"/>
              </w:rPr>
            </w:pPr>
            <w:r>
              <w:rPr>
                <w:bCs/>
                <w:color w:val="auto"/>
                <w:sz w:val="24"/>
              </w:rPr>
              <w:t>本项目</w:t>
            </w:r>
            <w:r>
              <w:rPr>
                <w:rFonts w:hint="eastAsia"/>
                <w:bCs/>
                <w:color w:val="auto"/>
                <w:sz w:val="24"/>
              </w:rPr>
              <w:t>特征</w:t>
            </w:r>
            <w:r>
              <w:rPr>
                <w:bCs/>
                <w:color w:val="auto"/>
                <w:sz w:val="24"/>
              </w:rPr>
              <w:t>污染物</w:t>
            </w:r>
            <w:r>
              <w:rPr>
                <w:rFonts w:hint="eastAsia"/>
                <w:color w:val="auto"/>
                <w:sz w:val="24"/>
                <w:szCs w:val="24"/>
                <w:lang w:val="en-US" w:eastAsia="zh-CN"/>
              </w:rPr>
              <w:t>非甲烷总烃</w:t>
            </w:r>
            <w:r>
              <w:rPr>
                <w:rFonts w:hint="eastAsia"/>
                <w:bCs/>
                <w:color w:val="auto"/>
                <w:sz w:val="24"/>
              </w:rPr>
              <w:t>的</w:t>
            </w:r>
            <w:r>
              <w:rPr>
                <w:bCs/>
                <w:color w:val="auto"/>
                <w:sz w:val="24"/>
              </w:rPr>
              <w:t>环境质量现状</w:t>
            </w:r>
            <w:r>
              <w:rPr>
                <w:rFonts w:hint="eastAsia"/>
                <w:bCs/>
                <w:color w:val="auto"/>
                <w:sz w:val="24"/>
              </w:rPr>
              <w:t>引用广州市二轻系统环境检测站</w:t>
            </w:r>
            <w:r>
              <w:rPr>
                <w:bCs/>
                <w:color w:val="auto"/>
                <w:sz w:val="24"/>
              </w:rPr>
              <w:t>于</w:t>
            </w:r>
            <w:r>
              <w:rPr>
                <w:rFonts w:hint="default" w:ascii="Times New Roman" w:hAnsi="Times New Roman" w:cs="Times New Roman"/>
                <w:bCs/>
                <w:color w:val="auto"/>
                <w:sz w:val="24"/>
              </w:rPr>
              <w:t>2019年6月24日至6月30日</w:t>
            </w:r>
            <w:r>
              <w:rPr>
                <w:rFonts w:hint="eastAsia"/>
                <w:color w:val="auto"/>
                <w:sz w:val="24"/>
              </w:rPr>
              <w:t>对</w:t>
            </w:r>
            <w:r>
              <w:rPr>
                <w:rFonts w:hint="eastAsia"/>
                <w:color w:val="auto"/>
                <w:sz w:val="24"/>
                <w:lang w:eastAsia="zh-CN"/>
              </w:rPr>
              <w:t>开平市水口镇怡泰五金厂</w:t>
            </w:r>
            <w:r>
              <w:rPr>
                <w:rFonts w:hint="eastAsia"/>
                <w:color w:val="auto"/>
                <w:sz w:val="24"/>
              </w:rPr>
              <w:t>所在地的大气环境进行监测，该厂距离本项目</w:t>
            </w:r>
            <w:r>
              <w:rPr>
                <w:rFonts w:hint="eastAsia"/>
                <w:color w:val="auto"/>
                <w:sz w:val="24"/>
                <w:lang w:val="en-US" w:eastAsia="zh-CN"/>
              </w:rPr>
              <w:t>855</w:t>
            </w:r>
            <w:r>
              <w:rPr>
                <w:rFonts w:hint="eastAsia"/>
                <w:color w:val="auto"/>
                <w:sz w:val="24"/>
              </w:rPr>
              <w:t>m，在本项目的</w:t>
            </w:r>
            <w:r>
              <w:rPr>
                <w:rFonts w:hint="eastAsia"/>
                <w:color w:val="auto"/>
                <w:sz w:val="24"/>
                <w:lang w:eastAsia="zh-CN"/>
              </w:rPr>
              <w:t>大气</w:t>
            </w:r>
            <w:r>
              <w:rPr>
                <w:rFonts w:hint="eastAsia"/>
                <w:color w:val="auto"/>
                <w:sz w:val="24"/>
              </w:rPr>
              <w:t>评价范围内，因此数据有效</w:t>
            </w:r>
            <w:r>
              <w:rPr>
                <w:rFonts w:hint="eastAsia" w:eastAsia="宋体"/>
                <w:color w:val="auto"/>
                <w:sz w:val="24"/>
                <w:lang w:eastAsia="zh-CN"/>
              </w:rPr>
              <w:t>；</w:t>
            </w:r>
            <w:r>
              <w:rPr>
                <w:rFonts w:hint="default" w:ascii="Times New Roman" w:hAnsi="Times New Roman" w:cs="Times New Roman"/>
                <w:bCs/>
                <w:color w:val="auto"/>
                <w:sz w:val="24"/>
              </w:rPr>
              <w:t>特征污染物</w:t>
            </w:r>
            <w:r>
              <w:rPr>
                <w:rFonts w:hint="eastAsia" w:ascii="Times New Roman" w:hAnsi="Times New Roman" w:cs="Times New Roman"/>
                <w:bCs/>
                <w:color w:val="auto"/>
                <w:sz w:val="24"/>
                <w:lang w:val="en-US" w:eastAsia="zh-CN"/>
              </w:rPr>
              <w:t>TSP</w:t>
            </w:r>
            <w:r>
              <w:rPr>
                <w:rFonts w:hint="default" w:ascii="Times New Roman" w:hAnsi="Times New Roman" w:cs="Times New Roman"/>
                <w:bCs/>
                <w:color w:val="auto"/>
                <w:sz w:val="24"/>
              </w:rPr>
              <w:t>的环境质量现状引用广州市恒力检测股份有限公司于2018年8月13日至8月19日</w:t>
            </w:r>
            <w:r>
              <w:rPr>
                <w:rFonts w:hint="default" w:ascii="Times New Roman" w:hAnsi="Times New Roman" w:cs="Times New Roman"/>
                <w:color w:val="auto"/>
                <w:sz w:val="24"/>
              </w:rPr>
              <w:t>对</w:t>
            </w:r>
            <w:r>
              <w:rPr>
                <w:rFonts w:hint="eastAsia" w:eastAsia="宋体"/>
                <w:color w:val="auto"/>
                <w:sz w:val="24"/>
                <w:shd w:val="clear" w:color="auto" w:fill="auto"/>
                <w:lang w:eastAsia="zh-CN"/>
              </w:rPr>
              <w:t>开平市水口镇明明五金加工店</w:t>
            </w:r>
            <w:r>
              <w:rPr>
                <w:rFonts w:hint="default" w:ascii="Times New Roman" w:hAnsi="Times New Roman" w:cs="Times New Roman"/>
                <w:color w:val="auto"/>
                <w:sz w:val="24"/>
              </w:rPr>
              <w:t>所在地的大气环境进行监测，该厂距离本项目</w:t>
            </w:r>
            <w:r>
              <w:rPr>
                <w:rFonts w:hint="eastAsia" w:cs="Times New Roman"/>
                <w:color w:val="auto"/>
                <w:sz w:val="24"/>
                <w:lang w:val="en-US" w:eastAsia="zh-CN"/>
              </w:rPr>
              <w:t>1137</w:t>
            </w:r>
            <w:r>
              <w:rPr>
                <w:rFonts w:hint="default" w:ascii="Times New Roman" w:hAnsi="Times New Roman" w:cs="Times New Roman"/>
                <w:color w:val="auto"/>
                <w:sz w:val="24"/>
              </w:rPr>
              <w:t>m，在本项目的</w:t>
            </w:r>
            <w:r>
              <w:rPr>
                <w:rFonts w:hint="eastAsia" w:cs="Times New Roman"/>
                <w:color w:val="auto"/>
                <w:sz w:val="24"/>
                <w:lang w:eastAsia="zh-CN"/>
              </w:rPr>
              <w:t>大气</w:t>
            </w:r>
            <w:r>
              <w:rPr>
                <w:rFonts w:hint="default" w:ascii="Times New Roman" w:hAnsi="Times New Roman" w:cs="Times New Roman"/>
                <w:color w:val="auto"/>
                <w:sz w:val="24"/>
              </w:rPr>
              <w:t>评价范围内，因此数据有效</w:t>
            </w:r>
            <w:r>
              <w:rPr>
                <w:rFonts w:hint="eastAsia" w:cs="Times New Roman"/>
                <w:color w:val="auto"/>
                <w:sz w:val="24"/>
                <w:lang w:eastAsia="zh-CN"/>
              </w:rPr>
              <w:t>（大气监测点与本项目的位置关系详见附图</w:t>
            </w:r>
            <w:r>
              <w:rPr>
                <w:rFonts w:hint="eastAsia" w:cs="Times New Roman"/>
                <w:color w:val="auto"/>
                <w:sz w:val="24"/>
                <w:lang w:val="en-US" w:eastAsia="zh-CN"/>
              </w:rPr>
              <w:t>8</w:t>
            </w:r>
            <w:r>
              <w:rPr>
                <w:rFonts w:hint="eastAsia" w:cs="Times New Roman"/>
                <w:color w:val="auto"/>
                <w:sz w:val="24"/>
                <w:lang w:eastAsia="zh-CN"/>
              </w:rPr>
              <w:t>）。</w:t>
            </w:r>
          </w:p>
          <w:p>
            <w:pPr>
              <w:pStyle w:val="139"/>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lang w:eastAsia="zh-CN"/>
              </w:rPr>
              <w:t>其他污染物</w:t>
            </w:r>
            <w:r>
              <w:rPr>
                <w:rFonts w:hint="eastAsia" w:eastAsia="宋体" w:cs="Times New Roman"/>
                <w:b/>
                <w:color w:val="auto"/>
                <w:sz w:val="21"/>
                <w:szCs w:val="21"/>
              </w:rPr>
              <w:t xml:space="preserve">补充监测点位基本信息 </w:t>
            </w:r>
          </w:p>
          <w:tbl>
            <w:tblPr>
              <w:tblStyle w:val="40"/>
              <w:tblW w:w="8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844"/>
              <w:gridCol w:w="814"/>
              <w:gridCol w:w="1430"/>
              <w:gridCol w:w="2382"/>
              <w:gridCol w:w="1095"/>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blHeader/>
                <w:jc w:val="center"/>
              </w:trPr>
              <w:tc>
                <w:tcPr>
                  <w:tcW w:w="1344" w:type="dxa"/>
                  <w:vMerge w:val="restart"/>
                  <w:tcBorders>
                    <w:tl2br w:val="nil"/>
                    <w:tr2bl w:val="nil"/>
                  </w:tcBorders>
                  <w:vAlign w:val="center"/>
                </w:tcPr>
                <w:p>
                  <w:pPr>
                    <w:jc w:val="center"/>
                    <w:rPr>
                      <w:b/>
                      <w:color w:val="auto"/>
                      <w:szCs w:val="21"/>
                    </w:rPr>
                  </w:pPr>
                  <w:r>
                    <w:rPr>
                      <w:rFonts w:hint="eastAsia"/>
                      <w:b/>
                      <w:color w:val="auto"/>
                      <w:szCs w:val="21"/>
                    </w:rPr>
                    <w:t>监测点名称</w:t>
                  </w:r>
                </w:p>
              </w:tc>
              <w:tc>
                <w:tcPr>
                  <w:tcW w:w="1658" w:type="dxa"/>
                  <w:gridSpan w:val="2"/>
                  <w:tcBorders>
                    <w:tl2br w:val="nil"/>
                    <w:tr2bl w:val="nil"/>
                  </w:tcBorders>
                  <w:vAlign w:val="center"/>
                </w:tcPr>
                <w:p>
                  <w:pPr>
                    <w:autoSpaceDE w:val="0"/>
                    <w:autoSpaceDN w:val="0"/>
                    <w:jc w:val="center"/>
                    <w:rPr>
                      <w:b/>
                      <w:color w:val="auto"/>
                      <w:szCs w:val="21"/>
                    </w:rPr>
                  </w:pPr>
                  <w:r>
                    <w:rPr>
                      <w:rFonts w:hint="eastAsia"/>
                      <w:b/>
                      <w:color w:val="auto"/>
                      <w:szCs w:val="21"/>
                    </w:rPr>
                    <w:t>监测点坐标/m</w:t>
                  </w:r>
                </w:p>
              </w:tc>
              <w:tc>
                <w:tcPr>
                  <w:tcW w:w="1430" w:type="dxa"/>
                  <w:vMerge w:val="restart"/>
                  <w:tcBorders>
                    <w:tl2br w:val="nil"/>
                    <w:tr2bl w:val="nil"/>
                  </w:tcBorders>
                  <w:vAlign w:val="center"/>
                </w:tcPr>
                <w:p>
                  <w:pPr>
                    <w:jc w:val="center"/>
                    <w:rPr>
                      <w:b/>
                      <w:color w:val="auto"/>
                      <w:szCs w:val="21"/>
                    </w:rPr>
                  </w:pPr>
                  <w:r>
                    <w:rPr>
                      <w:rFonts w:hint="eastAsia"/>
                      <w:b/>
                      <w:color w:val="auto"/>
                      <w:szCs w:val="21"/>
                    </w:rPr>
                    <w:t>监测因子</w:t>
                  </w:r>
                </w:p>
              </w:tc>
              <w:tc>
                <w:tcPr>
                  <w:tcW w:w="2382" w:type="dxa"/>
                  <w:vMerge w:val="restart"/>
                  <w:tcBorders>
                    <w:tl2br w:val="nil"/>
                    <w:tr2bl w:val="nil"/>
                  </w:tcBorders>
                  <w:vAlign w:val="center"/>
                </w:tcPr>
                <w:p>
                  <w:pPr>
                    <w:jc w:val="center"/>
                    <w:rPr>
                      <w:b/>
                      <w:color w:val="auto"/>
                      <w:szCs w:val="21"/>
                    </w:rPr>
                  </w:pPr>
                  <w:r>
                    <w:rPr>
                      <w:rFonts w:hint="eastAsia"/>
                      <w:b/>
                      <w:color w:val="auto"/>
                      <w:szCs w:val="21"/>
                    </w:rPr>
                    <w:t>监测时段</w:t>
                  </w:r>
                </w:p>
              </w:tc>
              <w:tc>
                <w:tcPr>
                  <w:tcW w:w="1095" w:type="dxa"/>
                  <w:vMerge w:val="restart"/>
                  <w:tcBorders>
                    <w:tl2br w:val="nil"/>
                    <w:tr2bl w:val="nil"/>
                  </w:tcBorders>
                  <w:vAlign w:val="center"/>
                </w:tcPr>
                <w:p>
                  <w:pPr>
                    <w:jc w:val="center"/>
                    <w:rPr>
                      <w:b/>
                      <w:color w:val="auto"/>
                      <w:szCs w:val="21"/>
                    </w:rPr>
                  </w:pPr>
                  <w:r>
                    <w:rPr>
                      <w:rFonts w:hint="eastAsia"/>
                      <w:b/>
                      <w:bCs/>
                      <w:color w:val="auto"/>
                      <w:szCs w:val="21"/>
                    </w:rPr>
                    <w:t>相对厂址方位</w:t>
                  </w:r>
                </w:p>
              </w:tc>
              <w:tc>
                <w:tcPr>
                  <w:tcW w:w="1065" w:type="dxa"/>
                  <w:vMerge w:val="restart"/>
                  <w:tcBorders>
                    <w:tl2br w:val="nil"/>
                    <w:tr2bl w:val="nil"/>
                  </w:tcBorders>
                  <w:vAlign w:val="center"/>
                </w:tcPr>
                <w:p>
                  <w:pPr>
                    <w:jc w:val="center"/>
                    <w:rPr>
                      <w:b/>
                      <w:color w:val="auto"/>
                      <w:szCs w:val="21"/>
                    </w:rPr>
                  </w:pPr>
                  <w:r>
                    <w:rPr>
                      <w:rFonts w:hint="eastAsia"/>
                      <w:b/>
                      <w:color w:val="auto"/>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344" w:type="dxa"/>
                  <w:vMerge w:val="continue"/>
                  <w:tcBorders>
                    <w:tl2br w:val="nil"/>
                    <w:tr2bl w:val="nil"/>
                  </w:tcBorders>
                  <w:vAlign w:val="center"/>
                </w:tcPr>
                <w:p>
                  <w:pPr>
                    <w:jc w:val="center"/>
                    <w:rPr>
                      <w:color w:val="auto"/>
                    </w:rPr>
                  </w:pPr>
                </w:p>
              </w:tc>
              <w:tc>
                <w:tcPr>
                  <w:tcW w:w="844" w:type="dxa"/>
                  <w:tcBorders>
                    <w:tl2br w:val="nil"/>
                    <w:tr2bl w:val="nil"/>
                  </w:tcBorders>
                  <w:vAlign w:val="center"/>
                </w:tcPr>
                <w:p>
                  <w:pPr>
                    <w:autoSpaceDE w:val="0"/>
                    <w:autoSpaceDN w:val="0"/>
                    <w:jc w:val="center"/>
                    <w:rPr>
                      <w:color w:val="auto"/>
                    </w:rPr>
                  </w:pPr>
                  <w:r>
                    <w:rPr>
                      <w:rFonts w:hint="eastAsia"/>
                      <w:color w:val="auto"/>
                    </w:rPr>
                    <w:t>X</w:t>
                  </w:r>
                </w:p>
              </w:tc>
              <w:tc>
                <w:tcPr>
                  <w:tcW w:w="814" w:type="dxa"/>
                  <w:tcBorders>
                    <w:tl2br w:val="nil"/>
                    <w:tr2bl w:val="nil"/>
                  </w:tcBorders>
                  <w:vAlign w:val="center"/>
                </w:tcPr>
                <w:p>
                  <w:pPr>
                    <w:autoSpaceDE w:val="0"/>
                    <w:autoSpaceDN w:val="0"/>
                    <w:jc w:val="center"/>
                    <w:rPr>
                      <w:color w:val="auto"/>
                    </w:rPr>
                  </w:pPr>
                  <w:r>
                    <w:rPr>
                      <w:rFonts w:hint="eastAsia"/>
                      <w:color w:val="auto"/>
                    </w:rPr>
                    <w:t>Y</w:t>
                  </w:r>
                </w:p>
              </w:tc>
              <w:tc>
                <w:tcPr>
                  <w:tcW w:w="1430" w:type="dxa"/>
                  <w:vMerge w:val="continue"/>
                  <w:tcBorders>
                    <w:tl2br w:val="nil"/>
                    <w:tr2bl w:val="nil"/>
                  </w:tcBorders>
                  <w:vAlign w:val="center"/>
                </w:tcPr>
                <w:p>
                  <w:pPr>
                    <w:jc w:val="center"/>
                    <w:rPr>
                      <w:color w:val="auto"/>
                    </w:rPr>
                  </w:pPr>
                </w:p>
              </w:tc>
              <w:tc>
                <w:tcPr>
                  <w:tcW w:w="2382" w:type="dxa"/>
                  <w:vMerge w:val="continue"/>
                  <w:tcBorders>
                    <w:tl2br w:val="nil"/>
                    <w:tr2bl w:val="nil"/>
                  </w:tcBorders>
                  <w:vAlign w:val="center"/>
                </w:tcPr>
                <w:p>
                  <w:pPr>
                    <w:jc w:val="center"/>
                    <w:rPr>
                      <w:color w:val="auto"/>
                    </w:rPr>
                  </w:pPr>
                </w:p>
              </w:tc>
              <w:tc>
                <w:tcPr>
                  <w:tcW w:w="1095" w:type="dxa"/>
                  <w:vMerge w:val="continue"/>
                  <w:tcBorders>
                    <w:tl2br w:val="nil"/>
                    <w:tr2bl w:val="nil"/>
                  </w:tcBorders>
                  <w:vAlign w:val="center"/>
                </w:tcPr>
                <w:p>
                  <w:pPr>
                    <w:jc w:val="center"/>
                    <w:rPr>
                      <w:color w:val="auto"/>
                    </w:rPr>
                  </w:pPr>
                </w:p>
              </w:tc>
              <w:tc>
                <w:tcPr>
                  <w:tcW w:w="1065" w:type="dxa"/>
                  <w:vMerge w:val="continue"/>
                  <w:tcBorders>
                    <w:tl2br w:val="nil"/>
                    <w:tr2bl w:val="nil"/>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344" w:type="dxa"/>
                  <w:tcBorders>
                    <w:tl2br w:val="nil"/>
                    <w:tr2bl w:val="nil"/>
                  </w:tcBorders>
                  <w:vAlign w:val="center"/>
                </w:tcPr>
                <w:p>
                  <w:pPr>
                    <w:pStyle w:val="47"/>
                    <w:jc w:val="center"/>
                    <w:rPr>
                      <w:rFonts w:hint="eastAsia" w:eastAsia="宋体"/>
                      <w:color w:val="auto"/>
                      <w:sz w:val="21"/>
                      <w:szCs w:val="21"/>
                      <w:lang w:eastAsia="zh-CN"/>
                    </w:rPr>
                  </w:pPr>
                  <w:r>
                    <w:rPr>
                      <w:rFonts w:hint="eastAsia" w:ascii="Times New Roman" w:cs="Times New Roman"/>
                      <w:color w:val="auto"/>
                      <w:sz w:val="21"/>
                      <w:szCs w:val="21"/>
                      <w:lang w:eastAsia="zh-CN"/>
                    </w:rPr>
                    <w:t>开平市水口镇怡泰五金厂所在地</w:t>
                  </w:r>
                </w:p>
              </w:tc>
              <w:tc>
                <w:tcPr>
                  <w:tcW w:w="844"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-900</w:t>
                  </w:r>
                </w:p>
              </w:tc>
              <w:tc>
                <w:tcPr>
                  <w:tcW w:w="814"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-290</w:t>
                  </w:r>
                </w:p>
              </w:tc>
              <w:tc>
                <w:tcPr>
                  <w:tcW w:w="1430" w:type="dxa"/>
                  <w:tcBorders>
                    <w:tl2br w:val="nil"/>
                    <w:tr2bl w:val="nil"/>
                  </w:tcBorders>
                  <w:vAlign w:val="center"/>
                </w:tcPr>
                <w:p>
                  <w:pPr>
                    <w:jc w:val="center"/>
                    <w:rPr>
                      <w:color w:val="auto"/>
                      <w:szCs w:val="21"/>
                    </w:rPr>
                  </w:pPr>
                  <w:r>
                    <w:rPr>
                      <w:rFonts w:hint="eastAsia"/>
                      <w:color w:val="auto"/>
                      <w:szCs w:val="21"/>
                    </w:rPr>
                    <w:t>非甲烷总烃</w:t>
                  </w:r>
                </w:p>
              </w:tc>
              <w:tc>
                <w:tcPr>
                  <w:tcW w:w="2382" w:type="dxa"/>
                  <w:tcBorders>
                    <w:tl2br w:val="nil"/>
                    <w:tr2bl w:val="nil"/>
                  </w:tcBorders>
                  <w:vAlign w:val="center"/>
                </w:tcPr>
                <w:p>
                  <w:pPr>
                    <w:widowControl w:val="0"/>
                    <w:spacing w:after="0" w:line="240" w:lineRule="auto"/>
                    <w:jc w:val="center"/>
                    <w:rPr>
                      <w:rFonts w:hint="default" w:eastAsia="宋体"/>
                      <w:color w:val="auto"/>
                      <w:szCs w:val="21"/>
                      <w:lang w:val="en-US" w:eastAsia="zh-CN"/>
                    </w:rPr>
                  </w:pPr>
                  <w:r>
                    <w:rPr>
                      <w:rFonts w:hint="eastAsia" w:cs="Times New Roman"/>
                      <w:color w:val="auto"/>
                      <w:sz w:val="21"/>
                      <w:szCs w:val="21"/>
                      <w:lang w:val="en-US" w:eastAsia="zh-CN"/>
                    </w:rPr>
                    <w:t>2019</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06</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24~2019</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6/30</w:t>
                  </w:r>
                </w:p>
              </w:tc>
              <w:tc>
                <w:tcPr>
                  <w:tcW w:w="1095" w:type="dxa"/>
                  <w:tcBorders>
                    <w:tl2br w:val="nil"/>
                    <w:tr2bl w:val="nil"/>
                  </w:tcBorders>
                  <w:vAlign w:val="center"/>
                </w:tcPr>
                <w:p>
                  <w:pPr>
                    <w:pStyle w:val="153"/>
                    <w:tabs>
                      <w:tab w:val="left" w:pos="-2848"/>
                    </w:tabs>
                    <w:rPr>
                      <w:rFonts w:hint="eastAsia" w:eastAsia="宋体"/>
                      <w:color w:val="auto"/>
                      <w:szCs w:val="21"/>
                      <w:lang w:eastAsia="zh-CN"/>
                    </w:rPr>
                  </w:pPr>
                  <w:r>
                    <w:rPr>
                      <w:rFonts w:hint="eastAsia"/>
                      <w:color w:val="auto"/>
                      <w:szCs w:val="21"/>
                      <w:lang w:val="en-US" w:eastAsia="zh-CN"/>
                    </w:rPr>
                    <w:t>西南</w:t>
                  </w:r>
                </w:p>
              </w:tc>
              <w:tc>
                <w:tcPr>
                  <w:tcW w:w="106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855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344" w:type="dxa"/>
                  <w:tcBorders>
                    <w:tl2br w:val="nil"/>
                    <w:tr2bl w:val="nil"/>
                  </w:tcBorders>
                  <w:vAlign w:val="center"/>
                </w:tcPr>
                <w:p>
                  <w:pPr>
                    <w:widowControl w:val="0"/>
                    <w:autoSpaceDE w:val="0"/>
                    <w:autoSpaceDN w:val="0"/>
                    <w:adjustRightInd w:val="0"/>
                    <w:jc w:val="center"/>
                    <w:rPr>
                      <w:rFonts w:ascii="Times New Roman" w:cs="Times New Roman"/>
                      <w:color w:val="auto"/>
                      <w:sz w:val="21"/>
                      <w:szCs w:val="21"/>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844" w:type="dxa"/>
                  <w:tcBorders>
                    <w:tl2br w:val="nil"/>
                    <w:tr2bl w:val="nil"/>
                  </w:tcBorders>
                  <w:vAlign w:val="center"/>
                </w:tcPr>
                <w:p>
                  <w:pPr>
                    <w:widowControl w:val="0"/>
                    <w:spacing w:after="0" w:line="240" w:lineRule="auto"/>
                    <w:jc w:val="center"/>
                    <w:rPr>
                      <w:rFonts w:hint="default" w:eastAsia="宋体"/>
                      <w:color w:val="auto"/>
                      <w:szCs w:val="21"/>
                      <w:lang w:val="en-US" w:eastAsia="zh-CN"/>
                    </w:rPr>
                  </w:pPr>
                  <w:r>
                    <w:rPr>
                      <w:rFonts w:hint="eastAsia"/>
                      <w:color w:val="auto"/>
                      <w:szCs w:val="21"/>
                      <w:lang w:val="en-US" w:eastAsia="zh-CN"/>
                    </w:rPr>
                    <w:t>931</w:t>
                  </w:r>
                </w:p>
              </w:tc>
              <w:tc>
                <w:tcPr>
                  <w:tcW w:w="814" w:type="dxa"/>
                  <w:tcBorders>
                    <w:tl2br w:val="nil"/>
                    <w:tr2bl w:val="nil"/>
                  </w:tcBorders>
                  <w:vAlign w:val="center"/>
                </w:tcPr>
                <w:p>
                  <w:pPr>
                    <w:widowControl w:val="0"/>
                    <w:spacing w:after="0" w:line="240" w:lineRule="auto"/>
                    <w:jc w:val="center"/>
                    <w:rPr>
                      <w:rFonts w:hint="default" w:eastAsia="宋体"/>
                      <w:color w:val="auto"/>
                      <w:szCs w:val="21"/>
                      <w:lang w:val="en-US" w:eastAsia="zh-CN"/>
                    </w:rPr>
                  </w:pPr>
                  <w:r>
                    <w:rPr>
                      <w:rFonts w:hint="eastAsia"/>
                      <w:color w:val="auto"/>
                      <w:szCs w:val="21"/>
                      <w:lang w:val="en-US" w:eastAsia="zh-CN"/>
                    </w:rPr>
                    <w:t>-672</w:t>
                  </w:r>
                </w:p>
              </w:tc>
              <w:tc>
                <w:tcPr>
                  <w:tcW w:w="1430" w:type="dxa"/>
                  <w:tcBorders>
                    <w:tl2br w:val="nil"/>
                    <w:tr2bl w:val="nil"/>
                  </w:tcBorders>
                  <w:vAlign w:val="center"/>
                </w:tcPr>
                <w:p>
                  <w:pPr>
                    <w:widowControl w:val="0"/>
                    <w:spacing w:after="0" w:line="240" w:lineRule="auto"/>
                    <w:jc w:val="center"/>
                    <w:rPr>
                      <w:color w:val="auto"/>
                      <w:szCs w:val="21"/>
                    </w:rPr>
                  </w:pPr>
                  <w:r>
                    <w:rPr>
                      <w:rFonts w:hint="eastAsia" w:ascii="Times New Roman" w:hAnsi="Times New Roman" w:eastAsia="宋体" w:cs="Times New Roman"/>
                      <w:color w:val="auto"/>
                      <w:kern w:val="2"/>
                      <w:sz w:val="21"/>
                      <w:szCs w:val="21"/>
                      <w:highlight w:val="none"/>
                      <w:lang w:val="en-US" w:eastAsia="zh-CN"/>
                    </w:rPr>
                    <w:t>TSP</w:t>
                  </w:r>
                </w:p>
              </w:tc>
              <w:tc>
                <w:tcPr>
                  <w:tcW w:w="2382" w:type="dxa"/>
                  <w:tcBorders>
                    <w:tl2br w:val="nil"/>
                    <w:tr2bl w:val="nil"/>
                  </w:tcBorders>
                  <w:vAlign w:val="center"/>
                </w:tcPr>
                <w:p>
                  <w:pPr>
                    <w:widowControl w:val="0"/>
                    <w:spacing w:after="0" w:line="240" w:lineRule="auto"/>
                    <w:jc w:val="center"/>
                    <w:rPr>
                      <w:rFonts w:hint="default" w:eastAsiaTheme="minorEastAsia"/>
                      <w:color w:val="auto"/>
                      <w:szCs w:val="21"/>
                      <w:lang w:val="en-US" w:eastAsia="zh-CN"/>
                    </w:rPr>
                  </w:pPr>
                  <w:r>
                    <w:rPr>
                      <w:rFonts w:hint="eastAsia" w:eastAsiaTheme="minorEastAsia"/>
                      <w:color w:val="auto"/>
                      <w:szCs w:val="21"/>
                      <w:lang w:val="en-US" w:eastAsia="zh-CN"/>
                    </w:rPr>
                    <w:t>2018/08/13~2018/08/19</w:t>
                  </w:r>
                </w:p>
              </w:tc>
              <w:tc>
                <w:tcPr>
                  <w:tcW w:w="1095" w:type="dxa"/>
                  <w:tcBorders>
                    <w:tl2br w:val="nil"/>
                    <w:tr2bl w:val="nil"/>
                  </w:tcBorders>
                  <w:vAlign w:val="center"/>
                </w:tcPr>
                <w:p>
                  <w:pPr>
                    <w:widowControl w:val="0"/>
                    <w:tabs>
                      <w:tab w:val="left" w:pos="-2848"/>
                    </w:tabs>
                    <w:jc w:val="center"/>
                    <w:rPr>
                      <w:rFonts w:hint="eastAsia" w:eastAsia="宋体"/>
                      <w:color w:val="auto"/>
                      <w:szCs w:val="21"/>
                      <w:lang w:eastAsia="zh-CN"/>
                    </w:rPr>
                  </w:pPr>
                  <w:r>
                    <w:rPr>
                      <w:rFonts w:hint="eastAsia"/>
                      <w:color w:val="auto"/>
                      <w:szCs w:val="21"/>
                      <w:lang w:eastAsia="zh-CN"/>
                    </w:rPr>
                    <w:t>东南</w:t>
                  </w:r>
                </w:p>
              </w:tc>
              <w:tc>
                <w:tcPr>
                  <w:tcW w:w="1065" w:type="dxa"/>
                  <w:tcBorders>
                    <w:tl2br w:val="nil"/>
                    <w:tr2bl w:val="nil"/>
                  </w:tcBorders>
                  <w:vAlign w:val="center"/>
                </w:tcPr>
                <w:p>
                  <w:pPr>
                    <w:widowControl w:val="0"/>
                    <w:spacing w:after="0" w:line="240" w:lineRule="auto"/>
                    <w:jc w:val="center"/>
                    <w:rPr>
                      <w:rFonts w:hint="default"/>
                      <w:color w:val="auto"/>
                      <w:szCs w:val="21"/>
                      <w:lang w:val="en-US"/>
                    </w:rPr>
                  </w:pPr>
                  <w:r>
                    <w:rPr>
                      <w:rFonts w:hint="eastAsia" w:cs="Times New Roman"/>
                      <w:color w:val="auto"/>
                      <w:kern w:val="2"/>
                      <w:sz w:val="21"/>
                      <w:szCs w:val="21"/>
                      <w:highlight w:val="none"/>
                      <w:lang w:val="en-US" w:eastAsia="zh-CN"/>
                    </w:rPr>
                    <w:t>1137</w:t>
                  </w:r>
                </w:p>
              </w:tc>
            </w:tr>
          </w:tbl>
          <w:p>
            <w:pPr>
              <w:pStyle w:val="139"/>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lang w:eastAsia="zh-CN"/>
              </w:rPr>
              <w:t>其他污染物</w:t>
            </w:r>
            <w:r>
              <w:rPr>
                <w:rFonts w:hint="eastAsia" w:eastAsia="宋体" w:cs="Times New Roman"/>
                <w:b/>
                <w:color w:val="auto"/>
                <w:sz w:val="21"/>
                <w:szCs w:val="21"/>
              </w:rPr>
              <w:t xml:space="preserve">环境质量现状（监测结果）表 </w:t>
            </w:r>
          </w:p>
          <w:tbl>
            <w:tblPr>
              <w:tblStyle w:val="40"/>
              <w:tblW w:w="9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7"/>
              <w:gridCol w:w="629"/>
              <w:gridCol w:w="690"/>
              <w:gridCol w:w="855"/>
              <w:gridCol w:w="644"/>
              <w:gridCol w:w="1080"/>
              <w:gridCol w:w="1335"/>
              <w:gridCol w:w="945"/>
              <w:gridCol w:w="870"/>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blHeader/>
                <w:jc w:val="center"/>
              </w:trPr>
              <w:tc>
                <w:tcPr>
                  <w:tcW w:w="1307" w:type="dxa"/>
                  <w:vMerge w:val="restart"/>
                  <w:tcBorders>
                    <w:tl2br w:val="nil"/>
                    <w:tr2bl w:val="nil"/>
                  </w:tcBorders>
                  <w:vAlign w:val="center"/>
                </w:tcPr>
                <w:p>
                  <w:pPr>
                    <w:jc w:val="center"/>
                    <w:rPr>
                      <w:b/>
                      <w:color w:val="auto"/>
                      <w:szCs w:val="21"/>
                    </w:rPr>
                  </w:pPr>
                  <w:r>
                    <w:rPr>
                      <w:rFonts w:hint="eastAsia"/>
                      <w:b/>
                      <w:color w:val="auto"/>
                      <w:szCs w:val="21"/>
                    </w:rPr>
                    <w:t>监测点位</w:t>
                  </w:r>
                </w:p>
              </w:tc>
              <w:tc>
                <w:tcPr>
                  <w:tcW w:w="1319" w:type="dxa"/>
                  <w:gridSpan w:val="2"/>
                  <w:tcBorders>
                    <w:tl2br w:val="nil"/>
                    <w:tr2bl w:val="nil"/>
                  </w:tcBorders>
                  <w:vAlign w:val="center"/>
                </w:tcPr>
                <w:p>
                  <w:pPr>
                    <w:autoSpaceDE w:val="0"/>
                    <w:autoSpaceDN w:val="0"/>
                    <w:jc w:val="center"/>
                    <w:rPr>
                      <w:b/>
                      <w:color w:val="auto"/>
                      <w:szCs w:val="21"/>
                    </w:rPr>
                  </w:pPr>
                  <w:r>
                    <w:rPr>
                      <w:rFonts w:hint="eastAsia"/>
                      <w:b/>
                      <w:color w:val="auto"/>
                      <w:szCs w:val="21"/>
                    </w:rPr>
                    <w:t>监测点坐标/m</w:t>
                  </w:r>
                </w:p>
              </w:tc>
              <w:tc>
                <w:tcPr>
                  <w:tcW w:w="855" w:type="dxa"/>
                  <w:vMerge w:val="restart"/>
                  <w:tcBorders>
                    <w:tl2br w:val="nil"/>
                    <w:tr2bl w:val="nil"/>
                  </w:tcBorders>
                  <w:vAlign w:val="center"/>
                </w:tcPr>
                <w:p>
                  <w:pPr>
                    <w:jc w:val="center"/>
                    <w:rPr>
                      <w:b/>
                      <w:color w:val="auto"/>
                      <w:szCs w:val="21"/>
                    </w:rPr>
                  </w:pPr>
                  <w:r>
                    <w:rPr>
                      <w:rFonts w:hint="eastAsia"/>
                      <w:b/>
                      <w:color w:val="auto"/>
                      <w:szCs w:val="21"/>
                    </w:rPr>
                    <w:t>污染物</w:t>
                  </w:r>
                </w:p>
              </w:tc>
              <w:tc>
                <w:tcPr>
                  <w:tcW w:w="644" w:type="dxa"/>
                  <w:vMerge w:val="restart"/>
                  <w:tcBorders>
                    <w:tl2br w:val="nil"/>
                    <w:tr2bl w:val="nil"/>
                  </w:tcBorders>
                  <w:vAlign w:val="center"/>
                </w:tcPr>
                <w:p>
                  <w:pPr>
                    <w:jc w:val="center"/>
                    <w:rPr>
                      <w:b/>
                      <w:color w:val="auto"/>
                      <w:szCs w:val="21"/>
                    </w:rPr>
                  </w:pPr>
                  <w:r>
                    <w:rPr>
                      <w:rFonts w:hint="eastAsia"/>
                      <w:b/>
                      <w:color w:val="auto"/>
                      <w:szCs w:val="21"/>
                    </w:rPr>
                    <w:t>平均时间</w:t>
                  </w:r>
                </w:p>
              </w:tc>
              <w:tc>
                <w:tcPr>
                  <w:tcW w:w="1080" w:type="dxa"/>
                  <w:vMerge w:val="restart"/>
                  <w:tcBorders>
                    <w:tl2br w:val="nil"/>
                    <w:tr2bl w:val="nil"/>
                  </w:tcBorders>
                  <w:vAlign w:val="center"/>
                </w:tcPr>
                <w:p>
                  <w:pPr>
                    <w:jc w:val="center"/>
                    <w:rPr>
                      <w:b/>
                      <w:bCs/>
                      <w:color w:val="auto"/>
                      <w:szCs w:val="21"/>
                    </w:rPr>
                  </w:pPr>
                  <w:r>
                    <w:rPr>
                      <w:rFonts w:hint="eastAsia"/>
                      <w:b/>
                      <w:bCs/>
                      <w:color w:val="auto"/>
                      <w:szCs w:val="21"/>
                    </w:rPr>
                    <w:t>评价</w:t>
                  </w:r>
                  <w:r>
                    <w:rPr>
                      <w:b/>
                      <w:bCs/>
                      <w:color w:val="auto"/>
                      <w:szCs w:val="21"/>
                    </w:rPr>
                    <w:t>标准</w:t>
                  </w:r>
                </w:p>
                <w:p>
                  <w:pPr>
                    <w:jc w:val="center"/>
                    <w:rPr>
                      <w:b/>
                      <w:color w:val="auto"/>
                      <w:szCs w:val="21"/>
                    </w:rPr>
                  </w:pPr>
                  <w:r>
                    <w:rPr>
                      <w:rFonts w:hint="eastAsia"/>
                      <w:b/>
                      <w:color w:val="auto"/>
                      <w:szCs w:val="21"/>
                    </w:rPr>
                    <w:t>/（</w:t>
                  </w:r>
                  <w:r>
                    <w:rPr>
                      <w:b/>
                      <w:color w:val="auto"/>
                      <w:szCs w:val="21"/>
                    </w:rPr>
                    <w:t>μg/m³</w:t>
                  </w:r>
                  <w:r>
                    <w:rPr>
                      <w:rFonts w:hint="eastAsia"/>
                      <w:b/>
                      <w:color w:val="auto"/>
                      <w:szCs w:val="21"/>
                    </w:rPr>
                    <w:t>）</w:t>
                  </w:r>
                </w:p>
              </w:tc>
              <w:tc>
                <w:tcPr>
                  <w:tcW w:w="1335" w:type="dxa"/>
                  <w:vMerge w:val="restart"/>
                  <w:tcBorders>
                    <w:tl2br w:val="nil"/>
                    <w:tr2bl w:val="nil"/>
                  </w:tcBorders>
                  <w:vAlign w:val="center"/>
                </w:tcPr>
                <w:p>
                  <w:pPr>
                    <w:jc w:val="center"/>
                    <w:rPr>
                      <w:b/>
                      <w:color w:val="auto"/>
                      <w:szCs w:val="21"/>
                    </w:rPr>
                  </w:pPr>
                  <w:r>
                    <w:rPr>
                      <w:rFonts w:hint="eastAsia"/>
                      <w:b/>
                      <w:color w:val="auto"/>
                      <w:szCs w:val="21"/>
                    </w:rPr>
                    <w:t>监测浓度范围/（</w:t>
                  </w:r>
                  <w:r>
                    <w:rPr>
                      <w:b/>
                      <w:color w:val="auto"/>
                      <w:szCs w:val="21"/>
                    </w:rPr>
                    <w:t>μg/m³</w:t>
                  </w:r>
                  <w:r>
                    <w:rPr>
                      <w:rFonts w:hint="eastAsia"/>
                      <w:b/>
                      <w:color w:val="auto"/>
                      <w:szCs w:val="21"/>
                    </w:rPr>
                    <w:t>）</w:t>
                  </w:r>
                </w:p>
              </w:tc>
              <w:tc>
                <w:tcPr>
                  <w:tcW w:w="945" w:type="dxa"/>
                  <w:vMerge w:val="restart"/>
                  <w:tcBorders>
                    <w:tl2br w:val="nil"/>
                    <w:tr2bl w:val="nil"/>
                  </w:tcBorders>
                  <w:vAlign w:val="center"/>
                </w:tcPr>
                <w:p>
                  <w:pPr>
                    <w:jc w:val="center"/>
                    <w:rPr>
                      <w:color w:val="auto"/>
                    </w:rPr>
                  </w:pPr>
                  <w:r>
                    <w:rPr>
                      <w:rFonts w:hint="eastAsia"/>
                      <w:b/>
                      <w:color w:val="auto"/>
                      <w:szCs w:val="21"/>
                    </w:rPr>
                    <w:t>最大浓度占标率/%</w:t>
                  </w:r>
                </w:p>
              </w:tc>
              <w:tc>
                <w:tcPr>
                  <w:tcW w:w="870" w:type="dxa"/>
                  <w:vMerge w:val="restart"/>
                  <w:tcBorders>
                    <w:tl2br w:val="nil"/>
                    <w:tr2bl w:val="nil"/>
                  </w:tcBorders>
                  <w:vAlign w:val="center"/>
                </w:tcPr>
                <w:p>
                  <w:pPr>
                    <w:jc w:val="center"/>
                    <w:rPr>
                      <w:b/>
                      <w:color w:val="auto"/>
                      <w:szCs w:val="21"/>
                    </w:rPr>
                  </w:pPr>
                  <w:r>
                    <w:rPr>
                      <w:rFonts w:hint="eastAsia"/>
                      <w:b/>
                      <w:color w:val="auto"/>
                      <w:szCs w:val="21"/>
                    </w:rPr>
                    <w:t>超标频率/%</w:t>
                  </w:r>
                </w:p>
              </w:tc>
              <w:tc>
                <w:tcPr>
                  <w:tcW w:w="787" w:type="dxa"/>
                  <w:vMerge w:val="restart"/>
                  <w:tcBorders>
                    <w:tl2br w:val="nil"/>
                    <w:tr2bl w:val="nil"/>
                  </w:tcBorders>
                  <w:vAlign w:val="center"/>
                </w:tcPr>
                <w:p>
                  <w:pPr>
                    <w:jc w:val="center"/>
                    <w:rPr>
                      <w:b/>
                      <w:color w:val="auto"/>
                      <w:szCs w:val="21"/>
                    </w:rPr>
                  </w:pPr>
                  <w:r>
                    <w:rPr>
                      <w:rFonts w:hint="eastAsia"/>
                      <w:b/>
                      <w:color w:val="auto"/>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blHeader/>
                <w:jc w:val="center"/>
              </w:trPr>
              <w:tc>
                <w:tcPr>
                  <w:tcW w:w="1307" w:type="dxa"/>
                  <w:vMerge w:val="continue"/>
                  <w:tcBorders>
                    <w:tl2br w:val="nil"/>
                    <w:tr2bl w:val="nil"/>
                  </w:tcBorders>
                  <w:vAlign w:val="center"/>
                </w:tcPr>
                <w:p>
                  <w:pPr>
                    <w:jc w:val="center"/>
                    <w:rPr>
                      <w:color w:val="auto"/>
                    </w:rPr>
                  </w:pPr>
                </w:p>
              </w:tc>
              <w:tc>
                <w:tcPr>
                  <w:tcW w:w="629" w:type="dxa"/>
                  <w:tcBorders>
                    <w:tl2br w:val="nil"/>
                    <w:tr2bl w:val="nil"/>
                  </w:tcBorders>
                  <w:vAlign w:val="center"/>
                </w:tcPr>
                <w:p>
                  <w:pPr>
                    <w:autoSpaceDE w:val="0"/>
                    <w:autoSpaceDN w:val="0"/>
                    <w:jc w:val="center"/>
                    <w:rPr>
                      <w:color w:val="auto"/>
                    </w:rPr>
                  </w:pPr>
                  <w:r>
                    <w:rPr>
                      <w:rFonts w:hint="eastAsia"/>
                      <w:color w:val="auto"/>
                    </w:rPr>
                    <w:t>X</w:t>
                  </w:r>
                </w:p>
              </w:tc>
              <w:tc>
                <w:tcPr>
                  <w:tcW w:w="690" w:type="dxa"/>
                  <w:tcBorders>
                    <w:tl2br w:val="nil"/>
                    <w:tr2bl w:val="nil"/>
                  </w:tcBorders>
                  <w:vAlign w:val="center"/>
                </w:tcPr>
                <w:p>
                  <w:pPr>
                    <w:autoSpaceDE w:val="0"/>
                    <w:autoSpaceDN w:val="0"/>
                    <w:jc w:val="center"/>
                    <w:rPr>
                      <w:color w:val="auto"/>
                    </w:rPr>
                  </w:pPr>
                  <w:r>
                    <w:rPr>
                      <w:rFonts w:hint="eastAsia"/>
                      <w:color w:val="auto"/>
                    </w:rPr>
                    <w:t>Y</w:t>
                  </w:r>
                </w:p>
              </w:tc>
              <w:tc>
                <w:tcPr>
                  <w:tcW w:w="855" w:type="dxa"/>
                  <w:vMerge w:val="continue"/>
                  <w:tcBorders>
                    <w:tl2br w:val="nil"/>
                    <w:tr2bl w:val="nil"/>
                  </w:tcBorders>
                  <w:vAlign w:val="center"/>
                </w:tcPr>
                <w:p>
                  <w:pPr>
                    <w:jc w:val="center"/>
                    <w:rPr>
                      <w:color w:val="auto"/>
                    </w:rPr>
                  </w:pPr>
                </w:p>
              </w:tc>
              <w:tc>
                <w:tcPr>
                  <w:tcW w:w="644" w:type="dxa"/>
                  <w:vMerge w:val="continue"/>
                  <w:tcBorders>
                    <w:tl2br w:val="nil"/>
                    <w:tr2bl w:val="nil"/>
                  </w:tcBorders>
                  <w:vAlign w:val="center"/>
                </w:tcPr>
                <w:p>
                  <w:pPr>
                    <w:jc w:val="center"/>
                    <w:rPr>
                      <w:color w:val="auto"/>
                    </w:rPr>
                  </w:pPr>
                </w:p>
              </w:tc>
              <w:tc>
                <w:tcPr>
                  <w:tcW w:w="1080" w:type="dxa"/>
                  <w:vMerge w:val="continue"/>
                  <w:tcBorders>
                    <w:tl2br w:val="nil"/>
                    <w:tr2bl w:val="nil"/>
                  </w:tcBorders>
                  <w:vAlign w:val="center"/>
                </w:tcPr>
                <w:p>
                  <w:pPr>
                    <w:jc w:val="center"/>
                    <w:rPr>
                      <w:color w:val="auto"/>
                    </w:rPr>
                  </w:pPr>
                </w:p>
              </w:tc>
              <w:tc>
                <w:tcPr>
                  <w:tcW w:w="1335" w:type="dxa"/>
                  <w:vMerge w:val="continue"/>
                  <w:tcBorders>
                    <w:tl2br w:val="nil"/>
                    <w:tr2bl w:val="nil"/>
                  </w:tcBorders>
                  <w:vAlign w:val="center"/>
                </w:tcPr>
                <w:p>
                  <w:pPr>
                    <w:jc w:val="center"/>
                    <w:rPr>
                      <w:color w:val="auto"/>
                    </w:rPr>
                  </w:pPr>
                </w:p>
              </w:tc>
              <w:tc>
                <w:tcPr>
                  <w:tcW w:w="945" w:type="dxa"/>
                  <w:vMerge w:val="continue"/>
                  <w:tcBorders>
                    <w:tl2br w:val="nil"/>
                    <w:tr2bl w:val="nil"/>
                  </w:tcBorders>
                  <w:vAlign w:val="center"/>
                </w:tcPr>
                <w:p>
                  <w:pPr>
                    <w:jc w:val="center"/>
                    <w:rPr>
                      <w:color w:val="auto"/>
                    </w:rPr>
                  </w:pPr>
                </w:p>
              </w:tc>
              <w:tc>
                <w:tcPr>
                  <w:tcW w:w="870" w:type="dxa"/>
                  <w:vMerge w:val="continue"/>
                  <w:tcBorders>
                    <w:tl2br w:val="nil"/>
                    <w:tr2bl w:val="nil"/>
                  </w:tcBorders>
                  <w:vAlign w:val="center"/>
                </w:tcPr>
                <w:p>
                  <w:pPr>
                    <w:jc w:val="center"/>
                    <w:rPr>
                      <w:color w:val="auto"/>
                    </w:rPr>
                  </w:pPr>
                </w:p>
              </w:tc>
              <w:tc>
                <w:tcPr>
                  <w:tcW w:w="787" w:type="dxa"/>
                  <w:vMerge w:val="continue"/>
                  <w:tcBorders>
                    <w:tl2br w:val="nil"/>
                    <w:tr2bl w:val="nil"/>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07" w:type="dxa"/>
                  <w:tcBorders>
                    <w:tl2br w:val="nil"/>
                    <w:tr2bl w:val="nil"/>
                  </w:tcBorders>
                  <w:vAlign w:val="center"/>
                </w:tcPr>
                <w:p>
                  <w:pPr>
                    <w:pStyle w:val="47"/>
                    <w:jc w:val="center"/>
                    <w:rPr>
                      <w:rFonts w:hint="eastAsia" w:ascii="Times New Roman" w:cs="Times New Roman"/>
                      <w:color w:val="auto"/>
                      <w:sz w:val="21"/>
                      <w:szCs w:val="21"/>
                    </w:rPr>
                  </w:pPr>
                  <w:r>
                    <w:rPr>
                      <w:rFonts w:hint="eastAsia" w:ascii="Times New Roman" w:cs="Times New Roman"/>
                      <w:color w:val="auto"/>
                      <w:sz w:val="21"/>
                      <w:szCs w:val="21"/>
                      <w:lang w:eastAsia="zh-CN"/>
                    </w:rPr>
                    <w:t>开平市水口镇怡泰五金厂所在地</w:t>
                  </w:r>
                </w:p>
              </w:tc>
              <w:tc>
                <w:tcPr>
                  <w:tcW w:w="629" w:type="dxa"/>
                  <w:tcBorders>
                    <w:tl2br w:val="nil"/>
                    <w:tr2bl w:val="nil"/>
                  </w:tcBorders>
                  <w:vAlign w:val="center"/>
                </w:tcPr>
                <w:p>
                  <w:pPr>
                    <w:jc w:val="center"/>
                    <w:rPr>
                      <w:color w:val="auto"/>
                      <w:szCs w:val="21"/>
                    </w:rPr>
                  </w:pPr>
                  <w:r>
                    <w:rPr>
                      <w:rFonts w:hint="eastAsia"/>
                      <w:color w:val="auto"/>
                      <w:szCs w:val="21"/>
                      <w:lang w:val="en-US" w:eastAsia="zh-CN"/>
                    </w:rPr>
                    <w:t>-900</w:t>
                  </w:r>
                </w:p>
              </w:tc>
              <w:tc>
                <w:tcPr>
                  <w:tcW w:w="690" w:type="dxa"/>
                  <w:tcBorders>
                    <w:tl2br w:val="nil"/>
                    <w:tr2bl w:val="nil"/>
                  </w:tcBorders>
                  <w:vAlign w:val="center"/>
                </w:tcPr>
                <w:p>
                  <w:pPr>
                    <w:jc w:val="center"/>
                    <w:rPr>
                      <w:rFonts w:hint="eastAsia" w:eastAsia="宋体"/>
                      <w:color w:val="auto"/>
                      <w:szCs w:val="21"/>
                      <w:lang w:val="en-US" w:eastAsia="zh-CN"/>
                    </w:rPr>
                  </w:pPr>
                  <w:r>
                    <w:rPr>
                      <w:rFonts w:hint="eastAsia"/>
                      <w:color w:val="auto"/>
                      <w:szCs w:val="21"/>
                      <w:lang w:val="en-US" w:eastAsia="zh-CN"/>
                    </w:rPr>
                    <w:t>-290</w:t>
                  </w:r>
                </w:p>
              </w:tc>
              <w:tc>
                <w:tcPr>
                  <w:tcW w:w="855" w:type="dxa"/>
                  <w:tcBorders>
                    <w:tl2br w:val="nil"/>
                    <w:tr2bl w:val="nil"/>
                  </w:tcBorders>
                  <w:vAlign w:val="center"/>
                </w:tcPr>
                <w:p>
                  <w:pPr>
                    <w:widowControl w:val="0"/>
                    <w:spacing w:after="0" w:line="240" w:lineRule="auto"/>
                    <w:jc w:val="center"/>
                    <w:rPr>
                      <w:color w:val="auto"/>
                      <w:szCs w:val="21"/>
                    </w:rPr>
                  </w:pPr>
                  <w:r>
                    <w:rPr>
                      <w:rFonts w:hint="default" w:ascii="Times New Roman" w:hAnsi="Times New Roman" w:eastAsia="宋体" w:cs="Times New Roman"/>
                      <w:color w:val="auto"/>
                      <w:kern w:val="2"/>
                      <w:sz w:val="21"/>
                      <w:szCs w:val="21"/>
                      <w:highlight w:val="none"/>
                    </w:rPr>
                    <w:t>非甲烷总烃</w:t>
                  </w:r>
                </w:p>
              </w:tc>
              <w:tc>
                <w:tcPr>
                  <w:tcW w:w="644" w:type="dxa"/>
                  <w:tcBorders>
                    <w:tl2br w:val="nil"/>
                    <w:tr2bl w:val="nil"/>
                  </w:tcBorders>
                  <w:vAlign w:val="center"/>
                </w:tcPr>
                <w:p>
                  <w:pPr>
                    <w:widowControl w:val="0"/>
                    <w:spacing w:after="0" w:line="240" w:lineRule="auto"/>
                    <w:jc w:val="center"/>
                    <w:rPr>
                      <w:color w:val="auto"/>
                      <w:szCs w:val="21"/>
                    </w:rPr>
                  </w:pPr>
                  <w:r>
                    <w:rPr>
                      <w:rFonts w:hint="default" w:ascii="Times New Roman" w:hAnsi="Times New Roman" w:eastAsia="宋体" w:cs="Times New Roman"/>
                      <w:color w:val="auto"/>
                      <w:kern w:val="2"/>
                      <w:sz w:val="21"/>
                      <w:szCs w:val="24"/>
                      <w:highlight w:val="none"/>
                    </w:rPr>
                    <w:t>1h</w:t>
                  </w:r>
                </w:p>
              </w:tc>
              <w:tc>
                <w:tcPr>
                  <w:tcW w:w="1080" w:type="dxa"/>
                  <w:tcBorders>
                    <w:tl2br w:val="nil"/>
                    <w:tr2bl w:val="nil"/>
                  </w:tcBorders>
                  <w:vAlign w:val="center"/>
                </w:tcPr>
                <w:p>
                  <w:pPr>
                    <w:widowControl w:val="0"/>
                    <w:tabs>
                      <w:tab w:val="left" w:pos="-2848"/>
                    </w:tabs>
                    <w:spacing w:line="240" w:lineRule="auto"/>
                    <w:jc w:val="center"/>
                    <w:rPr>
                      <w:rFonts w:hint="default" w:eastAsia="宋体"/>
                      <w:color w:val="auto"/>
                      <w:szCs w:val="21"/>
                      <w:lang w:val="en-US" w:eastAsia="zh-CN"/>
                    </w:rPr>
                  </w:pPr>
                  <w:r>
                    <w:rPr>
                      <w:rFonts w:hint="eastAsia" w:ascii="Times New Roman" w:hAnsi="Times New Roman" w:eastAsia="宋体" w:cs="Times New Roman"/>
                      <w:color w:val="auto"/>
                      <w:kern w:val="44"/>
                      <w:sz w:val="21"/>
                      <w:szCs w:val="21"/>
                      <w:highlight w:val="none"/>
                      <w:lang w:val="en-US" w:eastAsia="zh-CN" w:bidi="ar-SA"/>
                    </w:rPr>
                    <w:t>2000</w:t>
                  </w:r>
                </w:p>
              </w:tc>
              <w:tc>
                <w:tcPr>
                  <w:tcW w:w="1335" w:type="dxa"/>
                  <w:tcBorders>
                    <w:tl2br w:val="nil"/>
                    <w:tr2bl w:val="nil"/>
                  </w:tcBorders>
                  <w:vAlign w:val="center"/>
                </w:tcPr>
                <w:p>
                  <w:pPr>
                    <w:widowControl w:val="0"/>
                    <w:spacing w:after="0" w:line="240" w:lineRule="auto"/>
                    <w:jc w:val="center"/>
                    <w:rPr>
                      <w:rFonts w:hint="default" w:eastAsia="宋体"/>
                      <w:color w:val="auto"/>
                      <w:szCs w:val="21"/>
                      <w:lang w:val="en-US" w:eastAsia="zh-CN"/>
                    </w:rPr>
                  </w:pPr>
                  <w:r>
                    <w:rPr>
                      <w:rFonts w:hint="eastAsia" w:ascii="Times New Roman" w:hAnsi="Times New Roman" w:eastAsia="宋体" w:cs="Times New Roman"/>
                      <w:color w:val="auto"/>
                      <w:kern w:val="2"/>
                      <w:sz w:val="21"/>
                      <w:szCs w:val="21"/>
                      <w:highlight w:val="none"/>
                      <w:lang w:val="en-US" w:eastAsia="zh-CN"/>
                    </w:rPr>
                    <w:t>80</w:t>
                  </w:r>
                  <w:r>
                    <w:rPr>
                      <w:rFonts w:hint="default"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val="en-US" w:eastAsia="zh-CN"/>
                    </w:rPr>
                    <w:t>120</w:t>
                  </w:r>
                </w:p>
              </w:tc>
              <w:tc>
                <w:tcPr>
                  <w:tcW w:w="945" w:type="dxa"/>
                  <w:tcBorders>
                    <w:tl2br w:val="nil"/>
                    <w:tr2bl w:val="nil"/>
                  </w:tcBorders>
                  <w:vAlign w:val="center"/>
                </w:tcPr>
                <w:p>
                  <w:pPr>
                    <w:widowControl w:val="0"/>
                    <w:spacing w:after="0" w:line="240" w:lineRule="auto"/>
                    <w:jc w:val="center"/>
                    <w:rPr>
                      <w:rFonts w:hint="default" w:eastAsia="仿宋_GB2312"/>
                      <w:color w:val="auto"/>
                      <w:lang w:val="en-US" w:eastAsia="zh-CN"/>
                    </w:rPr>
                  </w:pPr>
                  <w:r>
                    <w:rPr>
                      <w:rFonts w:hint="default" w:ascii="Times New Roman" w:hAnsi="Times New Roman" w:eastAsia="仿宋_GB2312" w:cs="Times New Roman"/>
                      <w:color w:val="auto"/>
                      <w:kern w:val="2"/>
                      <w:sz w:val="21"/>
                      <w:szCs w:val="24"/>
                      <w:highlight w:val="none"/>
                    </w:rPr>
                    <w:t>6</w:t>
                  </w:r>
                </w:p>
              </w:tc>
              <w:tc>
                <w:tcPr>
                  <w:tcW w:w="870" w:type="dxa"/>
                  <w:tcBorders>
                    <w:tl2br w:val="nil"/>
                    <w:tr2bl w:val="nil"/>
                  </w:tcBorders>
                  <w:vAlign w:val="center"/>
                </w:tcPr>
                <w:p>
                  <w:pPr>
                    <w:widowControl w:val="0"/>
                    <w:autoSpaceDE w:val="0"/>
                    <w:autoSpaceDN w:val="0"/>
                    <w:spacing w:after="0" w:line="240" w:lineRule="auto"/>
                    <w:jc w:val="center"/>
                    <w:rPr>
                      <w:color w:val="auto"/>
                      <w:szCs w:val="21"/>
                    </w:rPr>
                  </w:pPr>
                  <w:r>
                    <w:rPr>
                      <w:rFonts w:hint="default" w:ascii="Times New Roman" w:hAnsi="Times New Roman" w:eastAsia="宋体" w:cs="Times New Roman"/>
                      <w:color w:val="auto"/>
                      <w:kern w:val="2"/>
                      <w:sz w:val="21"/>
                      <w:szCs w:val="21"/>
                      <w:highlight w:val="none"/>
                    </w:rPr>
                    <w:t>/</w:t>
                  </w:r>
                </w:p>
              </w:tc>
              <w:tc>
                <w:tcPr>
                  <w:tcW w:w="787" w:type="dxa"/>
                  <w:tcBorders>
                    <w:tl2br w:val="nil"/>
                    <w:tr2bl w:val="nil"/>
                  </w:tcBorders>
                  <w:vAlign w:val="center"/>
                </w:tcPr>
                <w:p>
                  <w:pPr>
                    <w:widowControl w:val="0"/>
                    <w:autoSpaceDE w:val="0"/>
                    <w:autoSpaceDN w:val="0"/>
                    <w:spacing w:after="0" w:line="240" w:lineRule="auto"/>
                    <w:jc w:val="center"/>
                    <w:rPr>
                      <w:color w:val="auto"/>
                      <w:szCs w:val="21"/>
                    </w:rPr>
                  </w:pPr>
                  <w:r>
                    <w:rPr>
                      <w:rFonts w:hint="default" w:ascii="Times New Roman" w:hAnsi="Times New Roman" w:eastAsia="宋体" w:cs="Times New Roman"/>
                      <w:color w:val="auto"/>
                      <w:kern w:val="2"/>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307" w:type="dxa"/>
                  <w:tcBorders>
                    <w:tl2br w:val="nil"/>
                    <w:tr2bl w:val="nil"/>
                  </w:tcBorders>
                  <w:vAlign w:val="center"/>
                </w:tcPr>
                <w:p>
                  <w:pPr>
                    <w:widowControl w:val="0"/>
                    <w:autoSpaceDE w:val="0"/>
                    <w:autoSpaceDN w:val="0"/>
                    <w:adjustRightInd w:val="0"/>
                    <w:jc w:val="center"/>
                    <w:rPr>
                      <w:rFonts w:hint="eastAsia" w:ascii="Times New Roman"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p>
              </w:tc>
              <w:tc>
                <w:tcPr>
                  <w:tcW w:w="629" w:type="dxa"/>
                  <w:tcBorders>
                    <w:tl2br w:val="nil"/>
                    <w:tr2bl w:val="nil"/>
                  </w:tcBorders>
                  <w:vAlign w:val="center"/>
                </w:tcPr>
                <w:p>
                  <w:pPr>
                    <w:widowControl w:val="0"/>
                    <w:spacing w:after="0" w:line="240" w:lineRule="auto"/>
                    <w:jc w:val="center"/>
                    <w:rPr>
                      <w:rFonts w:hint="default" w:ascii="Times New Roman" w:eastAsia="宋体"/>
                      <w:color w:val="auto"/>
                      <w:szCs w:val="21"/>
                      <w:lang w:val="en-US" w:eastAsia="zh-CN"/>
                    </w:rPr>
                  </w:pPr>
                  <w:r>
                    <w:rPr>
                      <w:rFonts w:hint="eastAsia"/>
                      <w:color w:val="auto"/>
                      <w:szCs w:val="21"/>
                      <w:lang w:val="en-US" w:eastAsia="zh-CN"/>
                    </w:rPr>
                    <w:t>931</w:t>
                  </w:r>
                </w:p>
              </w:tc>
              <w:tc>
                <w:tcPr>
                  <w:tcW w:w="690" w:type="dxa"/>
                  <w:tcBorders>
                    <w:tl2br w:val="nil"/>
                    <w:tr2bl w:val="nil"/>
                  </w:tcBorders>
                  <w:vAlign w:val="center"/>
                </w:tcPr>
                <w:p>
                  <w:pPr>
                    <w:widowControl w:val="0"/>
                    <w:spacing w:after="0" w:line="240" w:lineRule="auto"/>
                    <w:jc w:val="center"/>
                    <w:rPr>
                      <w:rFonts w:hint="default" w:ascii="Times New Roman" w:eastAsia="宋体"/>
                      <w:color w:val="auto"/>
                      <w:szCs w:val="21"/>
                      <w:lang w:val="en-US" w:eastAsia="zh-CN"/>
                    </w:rPr>
                  </w:pPr>
                  <w:r>
                    <w:rPr>
                      <w:rFonts w:hint="eastAsia"/>
                      <w:color w:val="auto"/>
                      <w:szCs w:val="21"/>
                      <w:lang w:val="en-US" w:eastAsia="zh-CN"/>
                    </w:rPr>
                    <w:t>-672</w:t>
                  </w:r>
                </w:p>
              </w:tc>
              <w:tc>
                <w:tcPr>
                  <w:tcW w:w="855" w:type="dxa"/>
                  <w:tcBorders>
                    <w:tl2br w:val="nil"/>
                    <w:tr2bl w:val="nil"/>
                  </w:tcBorders>
                  <w:vAlign w:val="center"/>
                </w:tcPr>
                <w:p>
                  <w:pPr>
                    <w:widowControl w:val="0"/>
                    <w:spacing w:after="0" w:line="240" w:lineRule="auto"/>
                    <w:jc w:val="center"/>
                    <w:rPr>
                      <w:rFonts w:hint="eastAsia"/>
                      <w:color w:val="auto"/>
                      <w:szCs w:val="21"/>
                    </w:rPr>
                  </w:pPr>
                  <w:r>
                    <w:rPr>
                      <w:rFonts w:hint="eastAsia" w:ascii="Times New Roman" w:hAnsi="Times New Roman" w:eastAsia="宋体" w:cs="Times New Roman"/>
                      <w:color w:val="auto"/>
                      <w:kern w:val="2"/>
                      <w:sz w:val="21"/>
                      <w:szCs w:val="21"/>
                      <w:highlight w:val="none"/>
                      <w:lang w:val="en-US" w:eastAsia="zh-CN"/>
                    </w:rPr>
                    <w:t>TSP</w:t>
                  </w:r>
                </w:p>
              </w:tc>
              <w:tc>
                <w:tcPr>
                  <w:tcW w:w="644" w:type="dxa"/>
                  <w:tcBorders>
                    <w:tl2br w:val="nil"/>
                    <w:tr2bl w:val="nil"/>
                  </w:tcBorders>
                  <w:vAlign w:val="center"/>
                </w:tcPr>
                <w:p>
                  <w:pPr>
                    <w:jc w:val="center"/>
                    <w:rPr>
                      <w:rFonts w:hint="eastAsia" w:eastAsia="宋体"/>
                      <w:color w:val="auto"/>
                      <w:lang w:val="en-US" w:eastAsia="zh-CN"/>
                    </w:rPr>
                  </w:pPr>
                  <w:r>
                    <w:rPr>
                      <w:rFonts w:hint="eastAsia" w:ascii="Times New Roman" w:hAnsi="Times New Roman" w:eastAsia="宋体" w:cs="Times New Roman"/>
                      <w:color w:val="auto"/>
                      <w:kern w:val="2"/>
                      <w:sz w:val="21"/>
                      <w:szCs w:val="24"/>
                      <w:highlight w:val="none"/>
                      <w:lang w:val="en-US" w:eastAsia="zh-CN"/>
                    </w:rPr>
                    <w:t>24h</w:t>
                  </w:r>
                </w:p>
              </w:tc>
              <w:tc>
                <w:tcPr>
                  <w:tcW w:w="1080" w:type="dxa"/>
                  <w:tcBorders>
                    <w:tl2br w:val="nil"/>
                    <w:tr2bl w:val="nil"/>
                  </w:tcBorders>
                  <w:vAlign w:val="center"/>
                </w:tcPr>
                <w:p>
                  <w:pPr>
                    <w:widowControl w:val="0"/>
                    <w:tabs>
                      <w:tab w:val="left" w:pos="-2848"/>
                    </w:tabs>
                    <w:spacing w:line="240" w:lineRule="auto"/>
                    <w:jc w:val="center"/>
                    <w:rPr>
                      <w:rFonts w:hint="default"/>
                      <w:color w:val="auto"/>
                      <w:szCs w:val="21"/>
                      <w:lang w:val="en-US" w:eastAsia="zh-CN"/>
                    </w:rPr>
                  </w:pPr>
                  <w:r>
                    <w:rPr>
                      <w:rFonts w:hint="eastAsia" w:ascii="Times New Roman" w:hAnsi="Times New Roman" w:eastAsia="宋体" w:cs="Times New Roman"/>
                      <w:color w:val="auto"/>
                      <w:kern w:val="44"/>
                      <w:sz w:val="21"/>
                      <w:szCs w:val="21"/>
                      <w:highlight w:val="none"/>
                      <w:lang w:val="en-US" w:eastAsia="zh-CN" w:bidi="ar-SA"/>
                    </w:rPr>
                    <w:t>300</w:t>
                  </w:r>
                </w:p>
              </w:tc>
              <w:tc>
                <w:tcPr>
                  <w:tcW w:w="1335" w:type="dxa"/>
                  <w:tcBorders>
                    <w:tl2br w:val="nil"/>
                    <w:tr2bl w:val="nil"/>
                  </w:tcBorders>
                  <w:vAlign w:val="center"/>
                </w:tcPr>
                <w:p>
                  <w:pPr>
                    <w:widowControl w:val="0"/>
                    <w:spacing w:after="0" w:line="240" w:lineRule="auto"/>
                    <w:jc w:val="center"/>
                    <w:rPr>
                      <w:rFonts w:hint="default" w:ascii="Times New Roman" w:eastAsia="宋体"/>
                      <w:color w:val="auto"/>
                      <w:szCs w:val="21"/>
                      <w:lang w:val="en-US" w:eastAsia="zh-CN"/>
                    </w:rPr>
                  </w:pPr>
                  <w:r>
                    <w:rPr>
                      <w:rFonts w:hint="eastAsia" w:ascii="Times New Roman" w:hAnsi="Times New Roman" w:eastAsia="宋体" w:cs="Times New Roman"/>
                      <w:color w:val="auto"/>
                      <w:kern w:val="2"/>
                      <w:sz w:val="21"/>
                      <w:szCs w:val="21"/>
                      <w:highlight w:val="none"/>
                      <w:lang w:val="en-US" w:eastAsia="zh-CN"/>
                    </w:rPr>
                    <w:t>110~128</w:t>
                  </w:r>
                </w:p>
              </w:tc>
              <w:tc>
                <w:tcPr>
                  <w:tcW w:w="945" w:type="dxa"/>
                  <w:tcBorders>
                    <w:tl2br w:val="nil"/>
                    <w:tr2bl w:val="nil"/>
                  </w:tcBorders>
                  <w:vAlign w:val="center"/>
                </w:tcPr>
                <w:p>
                  <w:pPr>
                    <w:widowControl w:val="0"/>
                    <w:spacing w:after="0" w:line="240" w:lineRule="auto"/>
                    <w:jc w:val="center"/>
                    <w:rPr>
                      <w:rFonts w:hint="default" w:eastAsia="仿宋_GB2312"/>
                      <w:color w:val="auto"/>
                      <w:lang w:val="en-US" w:eastAsia="zh-CN"/>
                    </w:rPr>
                  </w:pPr>
                  <w:r>
                    <w:rPr>
                      <w:rFonts w:hint="eastAsia" w:ascii="Times New Roman" w:hAnsi="Times New Roman" w:eastAsia="仿宋_GB2312" w:cs="Times New Roman"/>
                      <w:color w:val="auto"/>
                      <w:kern w:val="2"/>
                      <w:sz w:val="21"/>
                      <w:szCs w:val="24"/>
                      <w:highlight w:val="none"/>
                      <w:lang w:val="en-US" w:eastAsia="zh-CN"/>
                    </w:rPr>
                    <w:t>42.7</w:t>
                  </w:r>
                </w:p>
              </w:tc>
              <w:tc>
                <w:tcPr>
                  <w:tcW w:w="870" w:type="dxa"/>
                  <w:tcBorders>
                    <w:tl2br w:val="nil"/>
                    <w:tr2bl w:val="nil"/>
                  </w:tcBorders>
                  <w:vAlign w:val="center"/>
                </w:tcPr>
                <w:p>
                  <w:pPr>
                    <w:widowControl w:val="0"/>
                    <w:autoSpaceDE w:val="0"/>
                    <w:autoSpaceDN w:val="0"/>
                    <w:spacing w:after="0" w:line="240" w:lineRule="auto"/>
                    <w:jc w:val="center"/>
                    <w:rPr>
                      <w:rFonts w:hint="eastAsia"/>
                      <w:color w:val="auto"/>
                      <w:szCs w:val="21"/>
                    </w:rPr>
                  </w:pPr>
                  <w:r>
                    <w:rPr>
                      <w:rFonts w:hint="default" w:ascii="Times New Roman" w:hAnsi="Times New Roman" w:eastAsia="宋体" w:cs="Times New Roman"/>
                      <w:color w:val="auto"/>
                      <w:kern w:val="2"/>
                      <w:sz w:val="21"/>
                      <w:szCs w:val="21"/>
                      <w:highlight w:val="none"/>
                    </w:rPr>
                    <w:t>/</w:t>
                  </w:r>
                </w:p>
              </w:tc>
              <w:tc>
                <w:tcPr>
                  <w:tcW w:w="787" w:type="dxa"/>
                  <w:tcBorders>
                    <w:tl2br w:val="nil"/>
                    <w:tr2bl w:val="nil"/>
                  </w:tcBorders>
                  <w:vAlign w:val="center"/>
                </w:tcPr>
                <w:p>
                  <w:pPr>
                    <w:widowControl w:val="0"/>
                    <w:autoSpaceDE w:val="0"/>
                    <w:autoSpaceDN w:val="0"/>
                    <w:spacing w:after="0" w:line="240" w:lineRule="auto"/>
                    <w:jc w:val="center"/>
                    <w:rPr>
                      <w:rFonts w:hint="eastAsia"/>
                      <w:color w:val="auto"/>
                      <w:szCs w:val="21"/>
                    </w:rPr>
                  </w:pPr>
                  <w:r>
                    <w:rPr>
                      <w:rFonts w:hint="default" w:ascii="Times New Roman" w:hAnsi="Times New Roman" w:eastAsia="宋体" w:cs="Times New Roman"/>
                      <w:color w:val="auto"/>
                      <w:kern w:val="2"/>
                      <w:sz w:val="21"/>
                      <w:szCs w:val="21"/>
                      <w:highlight w:val="none"/>
                    </w:rPr>
                    <w:t>达标</w:t>
                  </w:r>
                </w:p>
              </w:tc>
            </w:tr>
          </w:tbl>
          <w:p>
            <w:pPr>
              <w:widowControl w:val="0"/>
              <w:spacing w:after="0" w:line="360" w:lineRule="auto"/>
              <w:ind w:firstLine="422" w:firstLineChars="200"/>
              <w:jc w:val="left"/>
              <w:rPr>
                <w:rFonts w:hint="eastAsia" w:ascii="Times New Roman" w:hAnsi="Times New Roman" w:eastAsia="宋体" w:cs="Times New Roman"/>
                <w:b/>
                <w:bCs/>
                <w:color w:val="auto"/>
                <w:kern w:val="2"/>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rPr>
              <w:t>说明：坐标原点为本项目所在厂区。</w:t>
            </w:r>
          </w:p>
          <w:p>
            <w:pPr>
              <w:widowControl w:val="0"/>
              <w:spacing w:after="0" w:line="360" w:lineRule="auto"/>
              <w:ind w:firstLine="480" w:firstLineChars="200"/>
              <w:jc w:val="left"/>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监测结果表明，项目所在地非甲烷总烃符合《大气污染物综合排放标准详解》中解释标准</w:t>
            </w:r>
            <w:r>
              <w:rPr>
                <w:rFonts w:hint="eastAsia"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lang w:val="en-US" w:eastAsia="zh-CN"/>
              </w:rPr>
              <w:t>TSP</w:t>
            </w:r>
            <w:r>
              <w:rPr>
                <w:rFonts w:hint="default" w:ascii="Times New Roman" w:hAnsi="Times New Roman" w:cs="Times New Roman" w:eastAsiaTheme="minorEastAsia"/>
                <w:b w:val="0"/>
                <w:bCs/>
                <w:color w:val="auto"/>
                <w:kern w:val="24"/>
                <w:sz w:val="24"/>
                <w:szCs w:val="20"/>
                <w:highlight w:val="none"/>
                <w:lang w:val="en-US" w:eastAsia="zh-CN" w:bidi="ar-SA"/>
              </w:rPr>
              <w:t>满足</w:t>
            </w:r>
            <w:r>
              <w:rPr>
                <w:rFonts w:hint="eastAsia" w:cs="Times New Roman" w:eastAsiaTheme="minorEastAsia"/>
                <w:b w:val="0"/>
                <w:bCs/>
                <w:color w:val="auto"/>
                <w:kern w:val="24"/>
                <w:sz w:val="24"/>
                <w:szCs w:val="20"/>
                <w:highlight w:val="none"/>
                <w:lang w:val="en-US" w:eastAsia="zh-CN" w:bidi="ar-SA"/>
              </w:rPr>
              <w:t>《环境空气质量标准》（GB3095-2012）及”2018修改单”二级标准要求</w:t>
            </w:r>
            <w:r>
              <w:rPr>
                <w:rFonts w:hint="default" w:ascii="Times New Roman" w:hAnsi="Times New Roman" w:eastAsia="宋体" w:cs="Times New Roman"/>
                <w:color w:val="auto"/>
                <w:kern w:val="2"/>
                <w:sz w:val="24"/>
                <w:szCs w:val="24"/>
                <w:highlight w:val="none"/>
              </w:rPr>
              <w:t>。</w:t>
            </w:r>
          </w:p>
          <w:p>
            <w:pPr>
              <w:autoSpaceDE w:val="0"/>
              <w:spacing w:line="360" w:lineRule="auto"/>
              <w:ind w:firstLine="480" w:firstLineChars="200"/>
              <w:jc w:val="left"/>
              <w:rPr>
                <w:color w:val="auto"/>
                <w:sz w:val="24"/>
              </w:rPr>
            </w:pPr>
            <w:r>
              <w:rPr>
                <w:rFonts w:hint="eastAsia"/>
                <w:color w:val="auto"/>
                <w:sz w:val="24"/>
              </w:rPr>
              <w:t>为改善环境质量，江门市已印发《江门市环境空气质量限期达标规划（2018-2020年）》，通过调整产业结构、优化工业布局；优化能源结构，提高清洁能源使用率；强化环境监管，加大工业园减排力度；调整运输结构，强化移动原污染防治；加强精细化管理，深化面源污染治理；强化能力建设，提高环境管理水平；健全法律法规体系，完善环境管理政策等大气污染防治强化措施，实行区域内2020年环境空气质量全面达标，环境空气质量指标能稳定达到</w:t>
            </w:r>
            <w:r>
              <w:rPr>
                <w:color w:val="auto"/>
                <w:sz w:val="24"/>
              </w:rPr>
              <w:t>《环境空气质量标准》（</w:t>
            </w:r>
            <w:r>
              <w:rPr>
                <w:rFonts w:eastAsia="TimesNewRomanPSMT"/>
                <w:color w:val="auto"/>
                <w:sz w:val="24"/>
              </w:rPr>
              <w:t>GB3095-2012</w:t>
            </w:r>
            <w:r>
              <w:rPr>
                <w:color w:val="auto"/>
                <w:sz w:val="24"/>
              </w:rPr>
              <w:t>）及</w:t>
            </w:r>
            <w:r>
              <w:rPr>
                <w:rFonts w:eastAsia="TimesNewRomanPSMT"/>
                <w:color w:val="auto"/>
                <w:sz w:val="24"/>
              </w:rPr>
              <w:t>”2018</w:t>
            </w:r>
            <w:r>
              <w:rPr>
                <w:color w:val="auto"/>
                <w:sz w:val="24"/>
              </w:rPr>
              <w:t>修改单</w:t>
            </w:r>
            <w:r>
              <w:rPr>
                <w:rFonts w:eastAsia="TimesNewRomanPSMT"/>
                <w:color w:val="auto"/>
                <w:sz w:val="24"/>
              </w:rPr>
              <w:t>”</w:t>
            </w:r>
            <w:r>
              <w:rPr>
                <w:color w:val="auto"/>
                <w:sz w:val="24"/>
              </w:rPr>
              <w:t>二级标准要求</w:t>
            </w:r>
            <w:r>
              <w:rPr>
                <w:rFonts w:hint="eastAsia"/>
                <w:color w:val="auto"/>
                <w:sz w:val="24"/>
              </w:rPr>
              <w:t>。</w:t>
            </w:r>
          </w:p>
          <w:p>
            <w:pPr>
              <w:pStyle w:val="3"/>
              <w:spacing w:before="0" w:after="0" w:line="360" w:lineRule="auto"/>
              <w:ind w:firstLine="472" w:firstLineChars="196"/>
              <w:rPr>
                <w:rFonts w:ascii="Times New Roman" w:hAnsi="Times New Roman" w:eastAsia="宋体"/>
                <w:color w:val="auto"/>
                <w:szCs w:val="24"/>
                <w:shd w:val="clear" w:color="auto" w:fill="auto"/>
              </w:rPr>
            </w:pPr>
            <w:r>
              <w:rPr>
                <w:rFonts w:ascii="Times New Roman" w:hAnsi="Times New Roman" w:eastAsia="宋体"/>
                <w:color w:val="auto"/>
                <w:szCs w:val="24"/>
                <w:shd w:val="clear" w:color="auto" w:fill="auto"/>
              </w:rPr>
              <w:t>二、地表水环境质量现状</w:t>
            </w:r>
          </w:p>
          <w:p>
            <w:pPr>
              <w:pStyle w:val="3"/>
              <w:spacing w:before="0" w:after="0" w:line="360" w:lineRule="auto"/>
              <w:ind w:firstLine="470" w:firstLineChars="196"/>
              <w:rPr>
                <w:rFonts w:hint="eastAsia" w:ascii="Times New Roman" w:hAnsi="Times New Roman" w:eastAsia="宋体"/>
                <w:b w:val="0"/>
                <w:bCs/>
                <w:color w:val="auto"/>
                <w:szCs w:val="24"/>
                <w:shd w:val="clear" w:color="auto" w:fill="auto"/>
              </w:rPr>
            </w:pPr>
            <w:r>
              <w:rPr>
                <w:rFonts w:hint="eastAsia" w:ascii="Times New Roman" w:hAnsi="Times New Roman" w:eastAsia="宋体"/>
                <w:b w:val="0"/>
                <w:bCs/>
                <w:color w:val="auto"/>
                <w:szCs w:val="24"/>
                <w:shd w:val="clear" w:color="auto" w:fill="auto"/>
              </w:rPr>
              <w:t>本项目所在地属开平市水口污水处理厂纳污范围，生活污水经三级化粪池预处理后排入</w:t>
            </w:r>
            <w:r>
              <w:rPr>
                <w:rFonts w:hint="eastAsia" w:ascii="Times New Roman" w:hAnsi="Times New Roman" w:eastAsia="宋体"/>
                <w:b w:val="0"/>
                <w:bCs/>
                <w:color w:val="auto"/>
                <w:szCs w:val="24"/>
                <w:shd w:val="clear" w:color="auto" w:fill="auto"/>
                <w:lang w:eastAsia="zh-CN"/>
              </w:rPr>
              <w:t>开平市</w:t>
            </w:r>
            <w:r>
              <w:rPr>
                <w:rFonts w:hint="eastAsia" w:ascii="Times New Roman" w:hAnsi="Times New Roman" w:eastAsia="宋体"/>
                <w:b w:val="0"/>
                <w:bCs/>
                <w:color w:val="auto"/>
                <w:szCs w:val="24"/>
                <w:shd w:val="clear" w:color="auto" w:fill="auto"/>
              </w:rPr>
              <w:t>水口污水处理厂集中处理，</w:t>
            </w:r>
            <w:r>
              <w:rPr>
                <w:rFonts w:hint="eastAsia" w:ascii="Times New Roman" w:hAnsi="Times New Roman" w:eastAsia="宋体"/>
                <w:b w:val="0"/>
                <w:bCs/>
                <w:color w:val="auto"/>
                <w:szCs w:val="24"/>
                <w:shd w:val="clear" w:color="auto" w:fill="auto"/>
                <w:lang w:eastAsia="zh-CN"/>
              </w:rPr>
              <w:t>根据《开平市水口污水处理厂提标改造工程项目》环境影响评价报告表与其批复</w:t>
            </w:r>
            <w:r>
              <w:rPr>
                <w:rFonts w:hint="eastAsia" w:ascii="Times New Roman" w:hAnsi="Times New Roman" w:eastAsia="宋体"/>
                <w:b w:val="0"/>
                <w:bCs/>
                <w:color w:val="auto"/>
                <w:szCs w:val="24"/>
                <w:shd w:val="clear" w:color="auto" w:fill="auto"/>
              </w:rPr>
              <w:t>（</w:t>
            </w:r>
            <w:r>
              <w:rPr>
                <w:rFonts w:hint="eastAsia" w:ascii="Times New Roman" w:hAnsi="Times New Roman" w:eastAsia="宋体"/>
                <w:b w:val="0"/>
                <w:bCs/>
                <w:color w:val="auto"/>
                <w:szCs w:val="24"/>
                <w:shd w:val="clear" w:color="auto" w:fill="auto"/>
                <w:lang w:eastAsia="zh-CN"/>
              </w:rPr>
              <w:t>开环批</w:t>
            </w:r>
            <w:r>
              <w:rPr>
                <w:rFonts w:hint="eastAsia" w:ascii="Times New Roman" w:hAnsi="Times New Roman" w:eastAsia="宋体"/>
                <w:b w:val="0"/>
                <w:bCs/>
                <w:color w:val="auto"/>
                <w:szCs w:val="24"/>
                <w:shd w:val="clear" w:color="auto" w:fill="auto"/>
              </w:rPr>
              <w:t>[201</w:t>
            </w:r>
            <w:r>
              <w:rPr>
                <w:rFonts w:hint="eastAsia" w:ascii="Times New Roman" w:hAnsi="Times New Roman" w:eastAsia="宋体"/>
                <w:b w:val="0"/>
                <w:bCs/>
                <w:color w:val="auto"/>
                <w:szCs w:val="24"/>
                <w:shd w:val="clear" w:color="auto" w:fill="auto"/>
                <w:lang w:val="en-US" w:eastAsia="zh-CN"/>
              </w:rPr>
              <w:t>8</w:t>
            </w:r>
            <w:r>
              <w:rPr>
                <w:rFonts w:hint="eastAsia" w:ascii="Times New Roman" w:hAnsi="Times New Roman" w:eastAsia="宋体"/>
                <w:b w:val="0"/>
                <w:bCs/>
                <w:color w:val="auto"/>
                <w:szCs w:val="24"/>
                <w:shd w:val="clear" w:color="auto" w:fill="auto"/>
              </w:rPr>
              <w:t>]1</w:t>
            </w:r>
            <w:r>
              <w:rPr>
                <w:rFonts w:hint="eastAsia" w:ascii="Times New Roman" w:hAnsi="Times New Roman" w:eastAsia="宋体"/>
                <w:b w:val="0"/>
                <w:bCs/>
                <w:color w:val="auto"/>
                <w:szCs w:val="24"/>
                <w:shd w:val="clear" w:color="auto" w:fill="auto"/>
                <w:lang w:val="en-US" w:eastAsia="zh-CN"/>
              </w:rPr>
              <w:t>68</w:t>
            </w:r>
            <w:r>
              <w:rPr>
                <w:rFonts w:hint="eastAsia" w:ascii="Times New Roman" w:hAnsi="Times New Roman" w:eastAsia="宋体"/>
                <w:b w:val="0"/>
                <w:bCs/>
                <w:color w:val="auto"/>
                <w:szCs w:val="24"/>
                <w:shd w:val="clear" w:color="auto" w:fill="auto"/>
              </w:rPr>
              <w:t>号）</w:t>
            </w:r>
            <w:r>
              <w:rPr>
                <w:rFonts w:hint="eastAsia" w:ascii="Times New Roman" w:hAnsi="Times New Roman" w:eastAsia="宋体"/>
                <w:b w:val="0"/>
                <w:bCs/>
                <w:color w:val="auto"/>
                <w:szCs w:val="24"/>
                <w:shd w:val="clear" w:color="auto" w:fill="auto"/>
                <w:lang w:eastAsia="zh-CN"/>
              </w:rPr>
              <w:t>，</w:t>
            </w:r>
            <w:r>
              <w:rPr>
                <w:rFonts w:hint="eastAsia" w:ascii="Times New Roman" w:hAnsi="Times New Roman" w:eastAsia="宋体"/>
                <w:b w:val="0"/>
                <w:bCs/>
                <w:color w:val="auto"/>
                <w:szCs w:val="24"/>
                <w:shd w:val="clear" w:color="auto" w:fill="auto"/>
              </w:rPr>
              <w:t>污水处理厂处理后排入潭江。</w:t>
            </w:r>
            <w:r>
              <w:rPr>
                <w:rFonts w:hint="eastAsia" w:ascii="Times New Roman" w:hAnsi="Times New Roman" w:eastAsia="宋体"/>
                <w:b w:val="0"/>
                <w:bCs/>
                <w:color w:val="auto"/>
                <w:szCs w:val="24"/>
                <w:highlight w:val="none"/>
                <w:shd w:val="clear" w:color="auto" w:fill="auto"/>
                <w:lang w:eastAsia="zh-CN"/>
              </w:rPr>
              <w:t>根据</w:t>
            </w:r>
            <w:r>
              <w:rPr>
                <w:rFonts w:hint="eastAsia" w:ascii="Times New Roman" w:hAnsi="Times New Roman" w:eastAsia="宋体"/>
                <w:b w:val="0"/>
                <w:bCs/>
                <w:color w:val="auto"/>
                <w:szCs w:val="24"/>
                <w:shd w:val="clear" w:color="auto" w:fill="auto"/>
                <w:lang w:eastAsia="zh-CN"/>
              </w:rPr>
              <w:t>《关于印发&lt;广东省地表水环境功能区划&gt;的通知》（粤环[2011]14号）</w:t>
            </w:r>
            <w:r>
              <w:rPr>
                <w:rFonts w:hint="eastAsia" w:ascii="Times New Roman" w:hAnsi="Times New Roman" w:eastAsia="宋体"/>
                <w:b w:val="0"/>
                <w:bCs/>
                <w:color w:val="auto"/>
                <w:szCs w:val="24"/>
                <w:shd w:val="clear" w:color="auto" w:fill="auto"/>
              </w:rPr>
              <w:t>，潭江执行《地表水环境质量标准》（GB3838-2002）中的</w:t>
            </w:r>
            <w:r>
              <w:rPr>
                <w:rFonts w:hint="eastAsia" w:ascii="Times New Roman" w:hAnsi="Times New Roman" w:eastAsia="宋体"/>
                <w:b w:val="0"/>
                <w:bCs/>
                <w:color w:val="auto"/>
                <w:szCs w:val="24"/>
                <w:shd w:val="clear" w:color="auto" w:fill="auto"/>
                <w:lang w:eastAsia="zh-CN"/>
              </w:rPr>
              <w:t>Ⅱ</w:t>
            </w:r>
            <w:r>
              <w:rPr>
                <w:rFonts w:hint="eastAsia" w:ascii="Times New Roman" w:hAnsi="Times New Roman" w:eastAsia="宋体"/>
                <w:b w:val="0"/>
                <w:bCs/>
                <w:color w:val="auto"/>
                <w:szCs w:val="24"/>
                <w:shd w:val="clear" w:color="auto" w:fill="auto"/>
              </w:rPr>
              <w:t>类标准。</w:t>
            </w:r>
          </w:p>
          <w:p>
            <w:pPr>
              <w:pStyle w:val="3"/>
              <w:spacing w:before="0" w:after="0" w:line="360" w:lineRule="auto"/>
              <w:ind w:firstLine="470" w:firstLineChars="196"/>
              <w:rPr>
                <w:rFonts w:ascii="Times New Roman" w:hAnsi="Times New Roman" w:eastAsia="宋体"/>
                <w:b w:val="0"/>
                <w:bCs/>
                <w:color w:val="auto"/>
                <w:szCs w:val="24"/>
                <w:shd w:val="clear" w:color="auto" w:fill="auto"/>
              </w:rPr>
            </w:pPr>
            <w:r>
              <w:rPr>
                <w:rFonts w:ascii="Times New Roman" w:hAnsi="Times New Roman" w:eastAsia="宋体"/>
                <w:b w:val="0"/>
                <w:bCs/>
                <w:color w:val="auto"/>
                <w:szCs w:val="24"/>
                <w:shd w:val="clear" w:color="auto" w:fill="auto"/>
              </w:rPr>
              <w:t>根据江门市生态环境局发布的《2018年11月江门市江河水水质月报》，潭江干流牛湾（退潮）断面地表水水质未能达到《地表水环境质量标准》（GB3838-2002）中的</w:t>
            </w:r>
            <w:r>
              <w:rPr>
                <w:rFonts w:hint="eastAsia" w:ascii="Times New Roman" w:hAnsi="Times New Roman" w:eastAsia="宋体"/>
                <w:b w:val="0"/>
                <w:bCs/>
                <w:color w:val="auto"/>
                <w:szCs w:val="24"/>
                <w:shd w:val="clear" w:color="auto" w:fill="auto"/>
                <w:lang w:eastAsia="zh-CN"/>
              </w:rPr>
              <w:t>Ⅲ</w:t>
            </w:r>
            <w:r>
              <w:rPr>
                <w:rFonts w:ascii="Times New Roman" w:hAnsi="Times New Roman" w:eastAsia="宋体"/>
                <w:b w:val="0"/>
                <w:bCs/>
                <w:color w:val="auto"/>
                <w:szCs w:val="24"/>
                <w:shd w:val="clear" w:color="auto" w:fill="auto"/>
              </w:rPr>
              <w:t>类标准，主要超标项目为溶解氧</w:t>
            </w:r>
            <w:r>
              <w:rPr>
                <w:rFonts w:hint="eastAsia" w:ascii="Times New Roman" w:hAnsi="Times New Roman" w:eastAsia="宋体"/>
                <w:b w:val="0"/>
                <w:bCs/>
                <w:color w:val="auto"/>
                <w:szCs w:val="24"/>
                <w:shd w:val="clear" w:color="auto" w:fill="auto"/>
                <w:lang w:eastAsia="zh-CN"/>
              </w:rPr>
              <w:t>（月报数据详见附件</w:t>
            </w:r>
            <w:r>
              <w:rPr>
                <w:rFonts w:hint="eastAsia" w:ascii="Times New Roman" w:hAnsi="Times New Roman" w:eastAsia="宋体"/>
                <w:b w:val="0"/>
                <w:bCs/>
                <w:color w:val="auto"/>
                <w:szCs w:val="24"/>
                <w:shd w:val="clear" w:color="auto" w:fill="auto"/>
                <w:lang w:val="en-US" w:eastAsia="zh-CN"/>
              </w:rPr>
              <w:t>12</w:t>
            </w:r>
            <w:r>
              <w:rPr>
                <w:rFonts w:hint="eastAsia" w:ascii="Times New Roman" w:hAnsi="Times New Roman" w:eastAsia="宋体"/>
                <w:b w:val="0"/>
                <w:bCs/>
                <w:color w:val="auto"/>
                <w:szCs w:val="24"/>
                <w:shd w:val="clear" w:color="auto" w:fill="auto"/>
                <w:lang w:eastAsia="zh-CN"/>
              </w:rPr>
              <w:t>）</w:t>
            </w:r>
            <w:r>
              <w:rPr>
                <w:rFonts w:ascii="Times New Roman" w:hAnsi="Times New Roman" w:eastAsia="宋体"/>
                <w:b w:val="0"/>
                <w:bCs/>
                <w:color w:val="auto"/>
                <w:szCs w:val="24"/>
                <w:shd w:val="clear" w:color="auto" w:fill="auto"/>
              </w:rPr>
              <w:t>，该断面位于污水处理厂下游约6.2km处，说明本项目附近地表水环境质量一般。</w:t>
            </w:r>
          </w:p>
          <w:p>
            <w:pPr>
              <w:pStyle w:val="3"/>
              <w:spacing w:before="0" w:after="0" w:line="360" w:lineRule="auto"/>
              <w:ind w:firstLine="470" w:firstLineChars="196"/>
              <w:rPr>
                <w:rFonts w:hint="eastAsia"/>
                <w:b/>
                <w:bCs/>
                <w:color w:val="auto"/>
              </w:rPr>
            </w:pPr>
            <w:r>
              <w:rPr>
                <w:rFonts w:hint="eastAsia" w:ascii="Times New Roman" w:hAnsi="Times New Roman" w:eastAsia="宋体"/>
                <w:b w:val="0"/>
                <w:bCs/>
                <w:color w:val="auto"/>
                <w:szCs w:val="24"/>
                <w:shd w:val="clear" w:color="auto" w:fill="auto"/>
              </w:rPr>
              <w:t>根据《江门市未达标水体达标方案》，潭江流域的污染源主要为农业畜禽养殖污染源，其次是生活污染源，而工业污染源占比并不高；因此江门市根据其污染特点提出对潭江流域的蓄禽养殖、生活污染源、工业源等进行大力整治，以此减少污染物入河量，达到削减量目标要求；预计到2020年潭江流域距离本项目最近的牛湾断面，可以达到《地表水环境质量标准》（GB3838-2002）Ⅱ类标准。</w:t>
            </w:r>
          </w:p>
          <w:p>
            <w:pPr>
              <w:pStyle w:val="3"/>
              <w:spacing w:before="0" w:after="0" w:line="360" w:lineRule="auto"/>
              <w:ind w:firstLine="472" w:firstLineChars="196"/>
              <w:rPr>
                <w:rFonts w:hint="eastAsia" w:ascii="Times New Roman" w:hAnsi="Times New Roman" w:eastAsia="宋体"/>
                <w:color w:val="auto"/>
                <w:szCs w:val="24"/>
                <w:shd w:val="clear" w:color="auto" w:fill="auto"/>
                <w:lang w:eastAsia="zh-CN"/>
              </w:rPr>
            </w:pPr>
            <w:r>
              <w:rPr>
                <w:rFonts w:ascii="Times New Roman" w:hAnsi="Times New Roman" w:eastAsia="宋体"/>
                <w:color w:val="auto"/>
                <w:szCs w:val="24"/>
                <w:shd w:val="clear" w:color="auto" w:fill="auto"/>
              </w:rPr>
              <w:t>三、声环境质量现状</w:t>
            </w:r>
            <w:r>
              <w:rPr>
                <w:rFonts w:hint="eastAsia" w:ascii="Times New Roman" w:hAnsi="Times New Roman" w:eastAsia="宋体"/>
                <w:color w:val="auto"/>
                <w:szCs w:val="24"/>
                <w:shd w:val="clear" w:color="auto" w:fill="auto"/>
                <w:lang w:val="en-US" w:eastAsia="zh-CN"/>
              </w:rPr>
              <w:t xml:space="preserve"> </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关于印发&lt;江门市声环境功能区划&gt;的通知》（江环（2019）378号）的相关规定，本项目所在区域南面、西面、北面属于2类声环境功能区，执行《声环境质量标准》（GB3096-2008）2类标准，东面相邻为273省道，属于4a类声功能区，执行4a类标准</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为了解项目</w:t>
            </w:r>
            <w:r>
              <w:rPr>
                <w:rFonts w:hint="eastAsia" w:cs="Times New Roman"/>
                <w:color w:val="auto"/>
                <w:sz w:val="24"/>
                <w:highlight w:val="none"/>
                <w:lang w:eastAsia="zh-CN"/>
              </w:rPr>
              <w:t>所在地</w:t>
            </w:r>
            <w:r>
              <w:rPr>
                <w:rFonts w:hint="default" w:ascii="Times New Roman" w:hAnsi="Times New Roman" w:eastAsia="宋体" w:cs="Times New Roman"/>
                <w:color w:val="auto"/>
                <w:sz w:val="24"/>
                <w:highlight w:val="none"/>
              </w:rPr>
              <w:t>声环境</w:t>
            </w:r>
            <w:r>
              <w:rPr>
                <w:rFonts w:hint="eastAsia" w:cs="Times New Roman"/>
                <w:color w:val="auto"/>
                <w:sz w:val="24"/>
                <w:highlight w:val="none"/>
                <w:lang w:eastAsia="zh-CN"/>
              </w:rPr>
              <w:t>质量</w:t>
            </w:r>
            <w:r>
              <w:rPr>
                <w:rFonts w:hint="default" w:ascii="Times New Roman" w:hAnsi="Times New Roman" w:eastAsia="宋体" w:cs="Times New Roman"/>
                <w:color w:val="auto"/>
                <w:sz w:val="24"/>
                <w:highlight w:val="none"/>
              </w:rPr>
              <w:t>情况，委托</w:t>
            </w:r>
            <w:r>
              <w:rPr>
                <w:rFonts w:hint="eastAsia" w:cs="Times New Roman"/>
                <w:color w:val="auto"/>
                <w:sz w:val="24"/>
                <w:highlight w:val="none"/>
                <w:lang w:eastAsia="zh-CN"/>
              </w:rPr>
              <w:t>云浮市盈安检测技术有限公司</w:t>
            </w:r>
            <w:r>
              <w:rPr>
                <w:rFonts w:hint="default" w:ascii="Times New Roman" w:hAnsi="Times New Roman" w:eastAsia="宋体" w:cs="Times New Roman"/>
                <w:color w:val="auto"/>
                <w:sz w:val="24"/>
                <w:highlight w:val="none"/>
              </w:rPr>
              <w:t>于</w:t>
            </w:r>
            <w:r>
              <w:rPr>
                <w:rFonts w:hint="eastAsia"/>
                <w:color w:val="auto"/>
                <w:sz w:val="24"/>
                <w:shd w:val="clear" w:color="auto" w:fill="auto"/>
              </w:rPr>
              <w:t>201</w:t>
            </w:r>
            <w:r>
              <w:rPr>
                <w:rFonts w:hint="eastAsia"/>
                <w:color w:val="auto"/>
                <w:sz w:val="24"/>
                <w:shd w:val="clear" w:color="auto" w:fill="auto"/>
                <w:lang w:val="en-US" w:eastAsia="zh-CN"/>
              </w:rPr>
              <w:t>8</w:t>
            </w:r>
            <w:r>
              <w:rPr>
                <w:rFonts w:hint="eastAsia"/>
                <w:color w:val="auto"/>
                <w:sz w:val="24"/>
                <w:shd w:val="clear" w:color="auto" w:fill="auto"/>
              </w:rPr>
              <w:t>年</w:t>
            </w:r>
            <w:r>
              <w:rPr>
                <w:rFonts w:hint="eastAsia"/>
                <w:color w:val="auto"/>
                <w:sz w:val="24"/>
                <w:shd w:val="clear" w:color="auto" w:fill="auto"/>
                <w:lang w:val="en-US" w:eastAsia="zh-CN"/>
              </w:rPr>
              <w:t>12</w:t>
            </w:r>
            <w:r>
              <w:rPr>
                <w:rFonts w:hint="eastAsia"/>
                <w:color w:val="auto"/>
                <w:sz w:val="24"/>
                <w:shd w:val="clear" w:color="auto" w:fill="auto"/>
              </w:rPr>
              <w:t>月</w:t>
            </w:r>
            <w:r>
              <w:rPr>
                <w:rFonts w:hint="eastAsia"/>
                <w:color w:val="auto"/>
                <w:sz w:val="24"/>
                <w:shd w:val="clear" w:color="auto" w:fill="auto"/>
                <w:lang w:val="en-US" w:eastAsia="zh-CN"/>
              </w:rPr>
              <w:t>26</w:t>
            </w:r>
            <w:r>
              <w:rPr>
                <w:rFonts w:hint="eastAsia"/>
                <w:color w:val="auto"/>
                <w:sz w:val="24"/>
                <w:shd w:val="clear" w:color="auto" w:fill="auto"/>
              </w:rPr>
              <w:t>日</w:t>
            </w:r>
            <w:r>
              <w:rPr>
                <w:rFonts w:hint="eastAsia"/>
                <w:color w:val="auto"/>
                <w:sz w:val="24"/>
                <w:shd w:val="clear" w:color="auto" w:fill="auto"/>
                <w:lang w:val="en-US" w:eastAsia="zh-CN"/>
              </w:rPr>
              <w:t>-27日</w:t>
            </w:r>
            <w:r>
              <w:rPr>
                <w:rFonts w:hint="eastAsia"/>
                <w:color w:val="auto"/>
                <w:sz w:val="24"/>
                <w:shd w:val="clear" w:color="auto" w:fill="auto"/>
              </w:rPr>
              <w:t>对项目四周进行声环境质量现状监测，</w:t>
            </w:r>
            <w:r>
              <w:rPr>
                <w:rFonts w:hint="default" w:ascii="Times New Roman" w:hAnsi="Times New Roman" w:eastAsia="宋体" w:cs="Times New Roman"/>
                <w:color w:val="auto"/>
                <w:sz w:val="24"/>
                <w:highlight w:val="none"/>
              </w:rPr>
              <w:t>监测结果</w:t>
            </w:r>
            <w:r>
              <w:rPr>
                <w:rFonts w:hint="eastAsia" w:cs="Times New Roman"/>
                <w:color w:val="auto"/>
                <w:sz w:val="24"/>
                <w:highlight w:val="none"/>
                <w:lang w:eastAsia="zh-CN"/>
              </w:rPr>
              <w:t>如</w:t>
            </w:r>
            <w:r>
              <w:rPr>
                <w:rFonts w:hint="default" w:ascii="Times New Roman" w:hAnsi="Times New Roman" w:eastAsia="宋体" w:cs="Times New Roman"/>
                <w:color w:val="auto"/>
                <w:sz w:val="24"/>
                <w:highlight w:val="none"/>
              </w:rPr>
              <w:t>下表：</w:t>
            </w:r>
          </w:p>
          <w:p>
            <w:pPr>
              <w:pStyle w:val="47"/>
              <w:rPr>
                <w:rFonts w:hint="default"/>
                <w:color w:val="auto"/>
              </w:rPr>
            </w:pPr>
          </w:p>
          <w:p>
            <w:pPr>
              <w:pStyle w:val="49"/>
              <w:rPr>
                <w:rFonts w:hint="default"/>
                <w:color w:val="auto"/>
              </w:rPr>
            </w:pPr>
          </w:p>
          <w:p>
            <w:pPr>
              <w:pStyle w:val="139"/>
              <w:numPr>
                <w:ilvl w:val="0"/>
                <w:numId w:val="5"/>
              </w:numPr>
              <w:tabs>
                <w:tab w:val="left" w:pos="420"/>
              </w:tabs>
              <w:spacing w:line="360" w:lineRule="auto"/>
              <w:ind w:left="0" w:firstLine="471"/>
              <w:rPr>
                <w:rFonts w:hint="eastAsia" w:eastAsia="宋体" w:cs="Times New Roman"/>
                <w:b/>
                <w:color w:val="auto"/>
                <w:sz w:val="21"/>
                <w:szCs w:val="21"/>
                <w:shd w:val="clear" w:color="auto" w:fill="auto"/>
              </w:rPr>
            </w:pPr>
            <w:r>
              <w:rPr>
                <w:rFonts w:hint="eastAsia" w:eastAsia="宋体" w:cs="Times New Roman"/>
                <w:b/>
                <w:color w:val="auto"/>
                <w:sz w:val="21"/>
                <w:szCs w:val="21"/>
                <w:shd w:val="clear" w:color="auto" w:fill="auto"/>
              </w:rPr>
              <w:t>项目所在地环境噪声监测结果（单位：dB(A)）</w:t>
            </w:r>
          </w:p>
          <w:tbl>
            <w:tblPr>
              <w:tblStyle w:val="40"/>
              <w:tblW w:w="8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43"/>
              <w:gridCol w:w="1897"/>
              <w:gridCol w:w="1191"/>
              <w:gridCol w:w="1549"/>
              <w:gridCol w:w="1549"/>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 w:hRule="atLeast"/>
                <w:jc w:val="center"/>
              </w:trPr>
              <w:tc>
                <w:tcPr>
                  <w:tcW w:w="743" w:type="dxa"/>
                  <w:vMerge w:val="restart"/>
                  <w:shd w:val="clear" w:color="auto" w:fill="auto"/>
                  <w:vAlign w:val="center"/>
                </w:tcPr>
                <w:p>
                  <w:pPr>
                    <w:spacing w:line="360" w:lineRule="auto"/>
                    <w:jc w:val="center"/>
                    <w:rPr>
                      <w:b/>
                      <w:bCs/>
                      <w:color w:val="auto"/>
                      <w:sz w:val="21"/>
                      <w:szCs w:val="21"/>
                    </w:rPr>
                  </w:pPr>
                  <w:bookmarkStart w:id="17" w:name="OLE_LINK14" w:colFirst="0" w:colLast="4"/>
                  <w:r>
                    <w:rPr>
                      <w:b/>
                      <w:bCs/>
                      <w:color w:val="auto"/>
                      <w:sz w:val="21"/>
                      <w:szCs w:val="21"/>
                    </w:rPr>
                    <w:t>测点编号</w:t>
                  </w:r>
                </w:p>
              </w:tc>
              <w:tc>
                <w:tcPr>
                  <w:tcW w:w="1897" w:type="dxa"/>
                  <w:vMerge w:val="restart"/>
                  <w:shd w:val="clear" w:color="auto" w:fill="auto"/>
                  <w:vAlign w:val="center"/>
                </w:tcPr>
                <w:p>
                  <w:pPr>
                    <w:spacing w:line="360" w:lineRule="auto"/>
                    <w:jc w:val="center"/>
                    <w:rPr>
                      <w:b/>
                      <w:bCs/>
                      <w:color w:val="auto"/>
                      <w:sz w:val="21"/>
                      <w:szCs w:val="21"/>
                    </w:rPr>
                  </w:pPr>
                  <w:r>
                    <w:rPr>
                      <w:b/>
                      <w:bCs/>
                      <w:color w:val="auto"/>
                      <w:sz w:val="21"/>
                      <w:szCs w:val="21"/>
                    </w:rPr>
                    <w:t>监测点位</w:t>
                  </w:r>
                </w:p>
              </w:tc>
              <w:tc>
                <w:tcPr>
                  <w:tcW w:w="5698" w:type="dxa"/>
                  <w:gridSpan w:val="4"/>
                  <w:shd w:val="clear" w:color="auto" w:fill="auto"/>
                  <w:vAlign w:val="center"/>
                </w:tcPr>
                <w:p>
                  <w:pPr>
                    <w:spacing w:line="360" w:lineRule="auto"/>
                    <w:jc w:val="center"/>
                    <w:rPr>
                      <w:b/>
                      <w:bCs/>
                      <w:color w:val="auto"/>
                      <w:sz w:val="21"/>
                      <w:szCs w:val="21"/>
                    </w:rPr>
                  </w:pPr>
                  <w:r>
                    <w:rPr>
                      <w:b/>
                      <w:bCs/>
                      <w:color w:val="auto"/>
                      <w:sz w:val="21"/>
                      <w:szCs w:val="21"/>
                    </w:rPr>
                    <w:t>监测日期及监测结果：Leq[dB(A)]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43" w:type="dxa"/>
                  <w:vMerge w:val="continue"/>
                  <w:shd w:val="clear" w:color="auto" w:fill="auto"/>
                  <w:vAlign w:val="center"/>
                </w:tcPr>
                <w:p>
                  <w:pPr>
                    <w:spacing w:line="360" w:lineRule="auto"/>
                    <w:jc w:val="center"/>
                    <w:rPr>
                      <w:b/>
                      <w:bCs/>
                      <w:color w:val="auto"/>
                      <w:sz w:val="21"/>
                      <w:szCs w:val="21"/>
                    </w:rPr>
                  </w:pPr>
                </w:p>
              </w:tc>
              <w:tc>
                <w:tcPr>
                  <w:tcW w:w="1897" w:type="dxa"/>
                  <w:vMerge w:val="continue"/>
                  <w:shd w:val="clear" w:color="auto" w:fill="auto"/>
                  <w:vAlign w:val="center"/>
                </w:tcPr>
                <w:p>
                  <w:pPr>
                    <w:spacing w:line="360" w:lineRule="auto"/>
                    <w:jc w:val="center"/>
                    <w:rPr>
                      <w:b/>
                      <w:bCs/>
                      <w:color w:val="auto"/>
                      <w:sz w:val="21"/>
                      <w:szCs w:val="21"/>
                    </w:rPr>
                  </w:pPr>
                </w:p>
              </w:tc>
              <w:tc>
                <w:tcPr>
                  <w:tcW w:w="2740" w:type="dxa"/>
                  <w:gridSpan w:val="2"/>
                  <w:shd w:val="clear" w:color="auto" w:fill="auto"/>
                  <w:vAlign w:val="center"/>
                </w:tcPr>
                <w:p>
                  <w:pPr>
                    <w:spacing w:line="360" w:lineRule="auto"/>
                    <w:jc w:val="center"/>
                    <w:rPr>
                      <w:rFonts w:hint="eastAsia" w:eastAsia="宋体"/>
                      <w:b/>
                      <w:bCs/>
                      <w:color w:val="auto"/>
                      <w:sz w:val="21"/>
                      <w:szCs w:val="21"/>
                      <w:highlight w:val="none"/>
                      <w:lang w:val="en-US" w:eastAsia="zh-CN"/>
                    </w:rPr>
                  </w:pPr>
                  <w:r>
                    <w:rPr>
                      <w:b/>
                      <w:bCs/>
                      <w:color w:val="auto"/>
                      <w:sz w:val="21"/>
                      <w:szCs w:val="21"/>
                      <w:highlight w:val="none"/>
                    </w:rPr>
                    <w:t>2018.</w:t>
                  </w:r>
                  <w:r>
                    <w:rPr>
                      <w:rFonts w:hint="eastAsia"/>
                      <w:b/>
                      <w:bCs/>
                      <w:color w:val="auto"/>
                      <w:sz w:val="21"/>
                      <w:szCs w:val="21"/>
                      <w:highlight w:val="none"/>
                      <w:lang w:val="en-US" w:eastAsia="zh-CN"/>
                    </w:rPr>
                    <w:t>12</w:t>
                  </w:r>
                  <w:r>
                    <w:rPr>
                      <w:b/>
                      <w:bCs/>
                      <w:color w:val="auto"/>
                      <w:sz w:val="21"/>
                      <w:szCs w:val="21"/>
                      <w:highlight w:val="none"/>
                    </w:rPr>
                    <w:t>.</w:t>
                  </w:r>
                  <w:r>
                    <w:rPr>
                      <w:rFonts w:hint="eastAsia"/>
                      <w:b/>
                      <w:bCs/>
                      <w:color w:val="auto"/>
                      <w:sz w:val="21"/>
                      <w:szCs w:val="21"/>
                      <w:highlight w:val="none"/>
                      <w:lang w:val="en-US" w:eastAsia="zh-CN"/>
                    </w:rPr>
                    <w:t>26</w:t>
                  </w:r>
                </w:p>
              </w:tc>
              <w:tc>
                <w:tcPr>
                  <w:tcW w:w="2958" w:type="dxa"/>
                  <w:gridSpan w:val="2"/>
                  <w:shd w:val="clear" w:color="auto" w:fill="auto"/>
                  <w:vAlign w:val="center"/>
                </w:tcPr>
                <w:p>
                  <w:pPr>
                    <w:spacing w:line="360" w:lineRule="auto"/>
                    <w:jc w:val="center"/>
                    <w:rPr>
                      <w:rFonts w:hint="eastAsia" w:eastAsia="宋体"/>
                      <w:b/>
                      <w:bCs/>
                      <w:color w:val="auto"/>
                      <w:sz w:val="21"/>
                      <w:szCs w:val="21"/>
                      <w:highlight w:val="none"/>
                      <w:lang w:val="en-US" w:eastAsia="zh-CN"/>
                    </w:rPr>
                  </w:pPr>
                  <w:r>
                    <w:rPr>
                      <w:b/>
                      <w:bCs/>
                      <w:color w:val="auto"/>
                      <w:sz w:val="21"/>
                      <w:szCs w:val="21"/>
                      <w:highlight w:val="none"/>
                    </w:rPr>
                    <w:t>2018.</w:t>
                  </w:r>
                  <w:r>
                    <w:rPr>
                      <w:rFonts w:hint="eastAsia"/>
                      <w:b/>
                      <w:bCs/>
                      <w:color w:val="auto"/>
                      <w:sz w:val="21"/>
                      <w:szCs w:val="21"/>
                      <w:highlight w:val="none"/>
                      <w:lang w:val="en-US" w:eastAsia="zh-CN"/>
                    </w:rPr>
                    <w:t>12.27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vMerge w:val="continue"/>
                  <w:shd w:val="clear" w:color="auto" w:fill="auto"/>
                  <w:vAlign w:val="center"/>
                </w:tcPr>
                <w:p>
                  <w:pPr>
                    <w:spacing w:line="360" w:lineRule="auto"/>
                    <w:jc w:val="center"/>
                    <w:rPr>
                      <w:b/>
                      <w:bCs/>
                      <w:color w:val="auto"/>
                      <w:sz w:val="21"/>
                      <w:szCs w:val="21"/>
                    </w:rPr>
                  </w:pPr>
                </w:p>
              </w:tc>
              <w:tc>
                <w:tcPr>
                  <w:tcW w:w="1897" w:type="dxa"/>
                  <w:vMerge w:val="continue"/>
                  <w:shd w:val="clear" w:color="auto" w:fill="auto"/>
                  <w:vAlign w:val="center"/>
                </w:tcPr>
                <w:p>
                  <w:pPr>
                    <w:spacing w:line="360" w:lineRule="auto"/>
                    <w:jc w:val="center"/>
                    <w:rPr>
                      <w:b/>
                      <w:bCs/>
                      <w:color w:val="auto"/>
                      <w:sz w:val="21"/>
                      <w:szCs w:val="21"/>
                    </w:rPr>
                  </w:pPr>
                </w:p>
              </w:tc>
              <w:tc>
                <w:tcPr>
                  <w:tcW w:w="1191" w:type="dxa"/>
                  <w:shd w:val="clear" w:color="auto" w:fill="auto"/>
                  <w:vAlign w:val="center"/>
                </w:tcPr>
                <w:p>
                  <w:pPr>
                    <w:spacing w:line="360" w:lineRule="auto"/>
                    <w:jc w:val="center"/>
                    <w:rPr>
                      <w:b/>
                      <w:bCs/>
                      <w:color w:val="auto"/>
                      <w:sz w:val="21"/>
                      <w:szCs w:val="21"/>
                    </w:rPr>
                  </w:pPr>
                  <w:r>
                    <w:rPr>
                      <w:b/>
                      <w:bCs/>
                      <w:color w:val="auto"/>
                      <w:sz w:val="21"/>
                      <w:szCs w:val="21"/>
                    </w:rPr>
                    <w:t>昼间</w:t>
                  </w:r>
                </w:p>
              </w:tc>
              <w:tc>
                <w:tcPr>
                  <w:tcW w:w="1549" w:type="dxa"/>
                  <w:shd w:val="clear" w:color="auto" w:fill="auto"/>
                  <w:vAlign w:val="center"/>
                </w:tcPr>
                <w:p>
                  <w:pPr>
                    <w:spacing w:line="360" w:lineRule="auto"/>
                    <w:jc w:val="center"/>
                    <w:rPr>
                      <w:b/>
                      <w:bCs/>
                      <w:color w:val="auto"/>
                      <w:sz w:val="21"/>
                      <w:szCs w:val="21"/>
                    </w:rPr>
                  </w:pPr>
                  <w:r>
                    <w:rPr>
                      <w:b/>
                      <w:bCs/>
                      <w:color w:val="auto"/>
                      <w:sz w:val="21"/>
                      <w:szCs w:val="21"/>
                    </w:rPr>
                    <w:t>夜间</w:t>
                  </w:r>
                </w:p>
              </w:tc>
              <w:tc>
                <w:tcPr>
                  <w:tcW w:w="1549" w:type="dxa"/>
                  <w:shd w:val="clear" w:color="auto" w:fill="auto"/>
                  <w:vAlign w:val="center"/>
                </w:tcPr>
                <w:p>
                  <w:pPr>
                    <w:spacing w:line="360" w:lineRule="auto"/>
                    <w:jc w:val="center"/>
                    <w:rPr>
                      <w:b/>
                      <w:bCs/>
                      <w:color w:val="auto"/>
                      <w:sz w:val="21"/>
                      <w:szCs w:val="21"/>
                    </w:rPr>
                  </w:pPr>
                  <w:r>
                    <w:rPr>
                      <w:b/>
                      <w:bCs/>
                      <w:color w:val="auto"/>
                      <w:sz w:val="21"/>
                      <w:szCs w:val="21"/>
                    </w:rPr>
                    <w:t>昼间</w:t>
                  </w:r>
                </w:p>
              </w:tc>
              <w:tc>
                <w:tcPr>
                  <w:tcW w:w="1409" w:type="dxa"/>
                  <w:shd w:val="clear" w:color="auto" w:fill="auto"/>
                  <w:vAlign w:val="center"/>
                </w:tcPr>
                <w:p>
                  <w:pPr>
                    <w:spacing w:line="360" w:lineRule="auto"/>
                    <w:jc w:val="center"/>
                    <w:rPr>
                      <w:b/>
                      <w:bCs/>
                      <w:color w:val="auto"/>
                      <w:sz w:val="21"/>
                      <w:szCs w:val="21"/>
                    </w:rPr>
                  </w:pPr>
                  <w:r>
                    <w:rPr>
                      <w:b/>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 w:val="21"/>
                      <w:szCs w:val="21"/>
                    </w:rPr>
                  </w:pPr>
                  <w:r>
                    <w:rPr>
                      <w:b/>
                      <w:bCs/>
                      <w:color w:val="auto"/>
                      <w:sz w:val="21"/>
                      <w:szCs w:val="21"/>
                    </w:rPr>
                    <w:t>N1</w:t>
                  </w:r>
                </w:p>
              </w:tc>
              <w:tc>
                <w:tcPr>
                  <w:tcW w:w="1897" w:type="dxa"/>
                  <w:shd w:val="clear" w:color="auto" w:fill="auto"/>
                  <w:vAlign w:val="center"/>
                </w:tcPr>
                <w:p>
                  <w:pPr>
                    <w:tabs>
                      <w:tab w:val="left" w:pos="1590"/>
                    </w:tabs>
                    <w:jc w:val="center"/>
                    <w:rPr>
                      <w:rFonts w:hint="default" w:ascii="Times New Roman" w:hAnsi="Times New Roman" w:cs="Times New Roman"/>
                      <w:b/>
                      <w:bCs/>
                      <w:color w:val="auto"/>
                      <w:sz w:val="21"/>
                      <w:szCs w:val="21"/>
                    </w:rPr>
                  </w:pPr>
                  <w:r>
                    <w:rPr>
                      <w:rFonts w:hint="default" w:ascii="Times New Roman" w:hAnsi="Times New Roman" w:cs="Times New Roman"/>
                      <w:color w:val="auto"/>
                    </w:rPr>
                    <w:t>项目东侧外1m处</w:t>
                  </w:r>
                </w:p>
              </w:tc>
              <w:tc>
                <w:tcPr>
                  <w:tcW w:w="1191"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58.5</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44.2</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58.5</w:t>
                  </w:r>
                </w:p>
              </w:tc>
              <w:tc>
                <w:tcPr>
                  <w:tcW w:w="140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0" w:type="dxa"/>
                  <w:gridSpan w:val="2"/>
                  <w:shd w:val="clear" w:color="auto" w:fill="auto"/>
                  <w:vAlign w:val="center"/>
                </w:tcPr>
                <w:p>
                  <w:pPr>
                    <w:tabs>
                      <w:tab w:val="left" w:pos="1590"/>
                    </w:tabs>
                    <w:jc w:val="center"/>
                    <w:rPr>
                      <w:rFonts w:hint="default" w:ascii="Times New Roman" w:hAnsi="Times New Roman" w:cs="Times New Roman"/>
                      <w:color w:val="auto"/>
                    </w:rPr>
                  </w:pPr>
                  <w:r>
                    <w:rPr>
                      <w:b/>
                      <w:bCs/>
                      <w:color w:val="auto"/>
                      <w:sz w:val="21"/>
                      <w:szCs w:val="21"/>
                    </w:rPr>
                    <w:t>《声环境质量标准》(GB3096-2008)</w:t>
                  </w:r>
                  <w:r>
                    <w:rPr>
                      <w:rFonts w:hint="eastAsia"/>
                      <w:b/>
                      <w:bCs/>
                      <w:color w:val="auto"/>
                      <w:sz w:val="21"/>
                      <w:szCs w:val="21"/>
                      <w:lang w:val="en-US" w:eastAsia="zh-CN"/>
                    </w:rPr>
                    <w:t>4a</w:t>
                  </w:r>
                  <w:r>
                    <w:rPr>
                      <w:rFonts w:hint="eastAsia"/>
                      <w:b/>
                      <w:bCs/>
                      <w:color w:val="auto"/>
                      <w:sz w:val="21"/>
                      <w:szCs w:val="21"/>
                      <w:lang w:eastAsia="zh-CN"/>
                    </w:rPr>
                    <w:t>类</w:t>
                  </w:r>
                  <w:r>
                    <w:rPr>
                      <w:rFonts w:eastAsia="宋体"/>
                      <w:b/>
                      <w:bCs/>
                      <w:color w:val="auto"/>
                      <w:sz w:val="21"/>
                      <w:szCs w:val="21"/>
                    </w:rPr>
                    <w:t>标准</w:t>
                  </w:r>
                </w:p>
              </w:tc>
              <w:tc>
                <w:tcPr>
                  <w:tcW w:w="1191" w:type="dxa"/>
                  <w:shd w:val="clear" w:color="auto" w:fill="auto"/>
                  <w:vAlign w:val="center"/>
                </w:tcPr>
                <w:p>
                  <w:pPr>
                    <w:jc w:val="center"/>
                    <w:rPr>
                      <w:rFonts w:hint="default" w:ascii="Times New Roman" w:hAnsi="Times New Roman" w:cs="Times New Roman"/>
                      <w:color w:val="auto"/>
                    </w:rPr>
                  </w:pPr>
                  <w:r>
                    <w:rPr>
                      <w:color w:val="auto"/>
                    </w:rPr>
                    <w:t>70</w:t>
                  </w:r>
                </w:p>
              </w:tc>
              <w:tc>
                <w:tcPr>
                  <w:tcW w:w="1549" w:type="dxa"/>
                  <w:shd w:val="clear" w:color="auto" w:fill="auto"/>
                  <w:vAlign w:val="center"/>
                </w:tcPr>
                <w:p>
                  <w:pPr>
                    <w:jc w:val="center"/>
                    <w:rPr>
                      <w:rFonts w:hint="default" w:ascii="Times New Roman" w:hAnsi="Times New Roman" w:cs="Times New Roman"/>
                      <w:color w:val="auto"/>
                    </w:rPr>
                  </w:pPr>
                  <w:r>
                    <w:rPr>
                      <w:color w:val="auto"/>
                    </w:rPr>
                    <w:t>55</w:t>
                  </w:r>
                </w:p>
              </w:tc>
              <w:tc>
                <w:tcPr>
                  <w:tcW w:w="1549" w:type="dxa"/>
                  <w:shd w:val="clear" w:color="auto" w:fill="auto"/>
                  <w:vAlign w:val="center"/>
                </w:tcPr>
                <w:p>
                  <w:pPr>
                    <w:jc w:val="center"/>
                    <w:rPr>
                      <w:rFonts w:hint="default" w:ascii="Times New Roman" w:hAnsi="Times New Roman" w:cs="Times New Roman"/>
                      <w:color w:val="auto"/>
                    </w:rPr>
                  </w:pPr>
                  <w:r>
                    <w:rPr>
                      <w:color w:val="auto"/>
                    </w:rPr>
                    <w:t>70</w:t>
                  </w:r>
                </w:p>
              </w:tc>
              <w:tc>
                <w:tcPr>
                  <w:tcW w:w="1409" w:type="dxa"/>
                  <w:shd w:val="clear" w:color="auto" w:fill="auto"/>
                  <w:vAlign w:val="center"/>
                </w:tcPr>
                <w:p>
                  <w:pPr>
                    <w:jc w:val="center"/>
                    <w:rPr>
                      <w:rFonts w:hint="default" w:ascii="Times New Roman" w:hAnsi="Times New Roman" w:cs="Times New Roman"/>
                      <w:color w:val="auto"/>
                    </w:rPr>
                  </w:pPr>
                  <w:r>
                    <w:rPr>
                      <w:color w:val="auto"/>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3" w:type="dxa"/>
                  <w:shd w:val="clear" w:color="auto" w:fill="auto"/>
                  <w:vAlign w:val="center"/>
                </w:tcPr>
                <w:p>
                  <w:pPr>
                    <w:spacing w:line="360" w:lineRule="auto"/>
                    <w:jc w:val="center"/>
                    <w:rPr>
                      <w:b/>
                      <w:bCs/>
                      <w:color w:val="auto"/>
                      <w:sz w:val="21"/>
                      <w:szCs w:val="21"/>
                    </w:rPr>
                  </w:pPr>
                  <w:r>
                    <w:rPr>
                      <w:b/>
                      <w:bCs/>
                      <w:color w:val="auto"/>
                      <w:sz w:val="21"/>
                      <w:szCs w:val="21"/>
                    </w:rPr>
                    <w:t>N2</w:t>
                  </w:r>
                </w:p>
              </w:tc>
              <w:tc>
                <w:tcPr>
                  <w:tcW w:w="1897" w:type="dxa"/>
                  <w:shd w:val="clear" w:color="auto" w:fill="auto"/>
                  <w:vAlign w:val="center"/>
                </w:tcPr>
                <w:p>
                  <w:pPr>
                    <w:tabs>
                      <w:tab w:val="left" w:pos="1590"/>
                    </w:tabs>
                    <w:jc w:val="both"/>
                    <w:rPr>
                      <w:rFonts w:hint="default" w:ascii="Times New Roman" w:hAnsi="Times New Roman" w:cs="Times New Roman"/>
                      <w:b/>
                      <w:bCs/>
                      <w:color w:val="auto"/>
                      <w:sz w:val="21"/>
                      <w:szCs w:val="21"/>
                    </w:rPr>
                  </w:pPr>
                  <w:r>
                    <w:rPr>
                      <w:rFonts w:hint="default" w:ascii="Times New Roman" w:hAnsi="Times New Roman" w:cs="Times New Roman"/>
                      <w:color w:val="auto"/>
                    </w:rPr>
                    <w:t>项目南侧外1m处</w:t>
                  </w:r>
                </w:p>
              </w:tc>
              <w:tc>
                <w:tcPr>
                  <w:tcW w:w="1191"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58.6</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43.8</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58.4</w:t>
                  </w:r>
                </w:p>
              </w:tc>
              <w:tc>
                <w:tcPr>
                  <w:tcW w:w="140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360" w:lineRule="auto"/>
                    <w:jc w:val="center"/>
                    <w:rPr>
                      <w:b/>
                      <w:bCs/>
                      <w:color w:val="auto"/>
                      <w:sz w:val="21"/>
                      <w:szCs w:val="21"/>
                    </w:rPr>
                  </w:pPr>
                  <w:r>
                    <w:rPr>
                      <w:b/>
                      <w:bCs/>
                      <w:color w:val="auto"/>
                      <w:sz w:val="21"/>
                      <w:szCs w:val="21"/>
                    </w:rPr>
                    <w:t>N3</w:t>
                  </w:r>
                </w:p>
              </w:tc>
              <w:tc>
                <w:tcPr>
                  <w:tcW w:w="1897" w:type="dxa"/>
                  <w:shd w:val="clear" w:color="auto" w:fill="auto"/>
                  <w:vAlign w:val="center"/>
                </w:tcPr>
                <w:p>
                  <w:pPr>
                    <w:tabs>
                      <w:tab w:val="left" w:pos="1590"/>
                    </w:tabs>
                    <w:jc w:val="center"/>
                    <w:rPr>
                      <w:rFonts w:hint="default" w:ascii="Times New Roman" w:hAnsi="Times New Roman" w:cs="Times New Roman"/>
                      <w:b/>
                      <w:bCs/>
                      <w:color w:val="auto"/>
                      <w:sz w:val="21"/>
                      <w:szCs w:val="21"/>
                    </w:rPr>
                  </w:pPr>
                  <w:r>
                    <w:rPr>
                      <w:rFonts w:hint="default" w:ascii="Times New Roman" w:hAnsi="Times New Roman" w:cs="Times New Roman"/>
                      <w:color w:val="auto"/>
                    </w:rPr>
                    <w:t>项目西侧外1m处</w:t>
                  </w:r>
                </w:p>
              </w:tc>
              <w:tc>
                <w:tcPr>
                  <w:tcW w:w="1191"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59.3</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43.9</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59.1</w:t>
                  </w:r>
                </w:p>
              </w:tc>
              <w:tc>
                <w:tcPr>
                  <w:tcW w:w="140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43" w:type="dxa"/>
                  <w:shd w:val="clear" w:color="auto" w:fill="auto"/>
                  <w:vAlign w:val="center"/>
                </w:tcPr>
                <w:p>
                  <w:pPr>
                    <w:spacing w:line="240" w:lineRule="auto"/>
                    <w:jc w:val="center"/>
                    <w:rPr>
                      <w:b/>
                      <w:bCs/>
                      <w:color w:val="auto"/>
                      <w:sz w:val="21"/>
                      <w:szCs w:val="21"/>
                    </w:rPr>
                  </w:pPr>
                  <w:r>
                    <w:rPr>
                      <w:b/>
                      <w:bCs/>
                      <w:color w:val="auto"/>
                      <w:sz w:val="21"/>
                      <w:szCs w:val="21"/>
                    </w:rPr>
                    <w:t>N4</w:t>
                  </w:r>
                </w:p>
              </w:tc>
              <w:tc>
                <w:tcPr>
                  <w:tcW w:w="1897" w:type="dxa"/>
                  <w:shd w:val="clear" w:color="auto" w:fill="auto"/>
                  <w:vAlign w:val="center"/>
                </w:tcPr>
                <w:p>
                  <w:pPr>
                    <w:tabs>
                      <w:tab w:val="left" w:pos="1590"/>
                    </w:tabs>
                    <w:spacing w:line="240" w:lineRule="auto"/>
                    <w:jc w:val="both"/>
                    <w:rPr>
                      <w:rFonts w:hint="default" w:ascii="Times New Roman" w:hAnsi="Times New Roman" w:cs="Times New Roman"/>
                      <w:b/>
                      <w:bCs/>
                      <w:color w:val="auto"/>
                      <w:sz w:val="21"/>
                      <w:szCs w:val="21"/>
                    </w:rPr>
                  </w:pPr>
                  <w:r>
                    <w:rPr>
                      <w:rFonts w:hint="default" w:ascii="Times New Roman" w:hAnsi="Times New Roman" w:cs="Times New Roman"/>
                      <w:color w:val="auto"/>
                    </w:rPr>
                    <w:t>项目北侧外1m处</w:t>
                  </w:r>
                </w:p>
              </w:tc>
              <w:tc>
                <w:tcPr>
                  <w:tcW w:w="1191"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58.6</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42.7</w:t>
                  </w:r>
                </w:p>
              </w:tc>
              <w:tc>
                <w:tcPr>
                  <w:tcW w:w="154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58.7</w:t>
                  </w:r>
                </w:p>
              </w:tc>
              <w:tc>
                <w:tcPr>
                  <w:tcW w:w="1409" w:type="dxa"/>
                  <w:shd w:val="clear" w:color="auto" w:fill="auto"/>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rPr>
                    <w:t>42.8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2640" w:type="dxa"/>
                  <w:gridSpan w:val="2"/>
                  <w:shd w:val="clear" w:color="auto" w:fill="auto"/>
                  <w:vAlign w:val="center"/>
                </w:tcPr>
                <w:p>
                  <w:pPr>
                    <w:spacing w:line="240" w:lineRule="auto"/>
                    <w:jc w:val="center"/>
                    <w:rPr>
                      <w:rFonts w:eastAsia="宋体"/>
                      <w:b/>
                      <w:bCs/>
                      <w:color w:val="auto"/>
                      <w:sz w:val="21"/>
                      <w:szCs w:val="21"/>
                    </w:rPr>
                  </w:pPr>
                  <w:r>
                    <w:rPr>
                      <w:b/>
                      <w:bCs/>
                      <w:color w:val="auto"/>
                      <w:sz w:val="21"/>
                      <w:szCs w:val="21"/>
                    </w:rPr>
                    <w:t>《声环境质量标准》(GB3096-2008)</w:t>
                  </w:r>
                  <w:r>
                    <w:rPr>
                      <w:rFonts w:hint="eastAsia"/>
                      <w:b/>
                      <w:bCs/>
                      <w:color w:val="auto"/>
                      <w:sz w:val="21"/>
                      <w:szCs w:val="21"/>
                      <w:lang w:eastAsia="zh-CN"/>
                    </w:rPr>
                    <w:t>2类</w:t>
                  </w:r>
                  <w:r>
                    <w:rPr>
                      <w:rFonts w:eastAsia="宋体"/>
                      <w:b/>
                      <w:bCs/>
                      <w:color w:val="auto"/>
                      <w:sz w:val="21"/>
                      <w:szCs w:val="21"/>
                    </w:rPr>
                    <w:t>标准</w:t>
                  </w:r>
                </w:p>
              </w:tc>
              <w:tc>
                <w:tcPr>
                  <w:tcW w:w="1191" w:type="dxa"/>
                  <w:shd w:val="clear" w:color="auto" w:fill="auto"/>
                  <w:vAlign w:val="center"/>
                </w:tcPr>
                <w:p>
                  <w:pPr>
                    <w:spacing w:line="360" w:lineRule="auto"/>
                    <w:ind w:firstLine="420" w:firstLineChars="200"/>
                    <w:rPr>
                      <w:rFonts w:hint="eastAsia" w:eastAsia="宋体"/>
                      <w:color w:val="auto"/>
                      <w:sz w:val="21"/>
                      <w:szCs w:val="21"/>
                      <w:lang w:val="en-US" w:eastAsia="zh-CN"/>
                    </w:rPr>
                  </w:pPr>
                  <w:r>
                    <w:rPr>
                      <w:rFonts w:hint="eastAsia"/>
                      <w:color w:val="auto"/>
                      <w:sz w:val="21"/>
                      <w:szCs w:val="21"/>
                      <w:lang w:val="en-US" w:eastAsia="zh-CN"/>
                    </w:rPr>
                    <w:t>60</w:t>
                  </w:r>
                </w:p>
              </w:tc>
              <w:tc>
                <w:tcPr>
                  <w:tcW w:w="1549" w:type="dxa"/>
                  <w:shd w:val="clear" w:color="auto" w:fill="auto"/>
                  <w:vAlign w:val="center"/>
                </w:tcPr>
                <w:p>
                  <w:pPr>
                    <w:spacing w:line="360" w:lineRule="auto"/>
                    <w:ind w:firstLine="420" w:firstLineChars="200"/>
                    <w:rPr>
                      <w:rFonts w:hint="eastAsia" w:eastAsia="宋体"/>
                      <w:color w:val="auto"/>
                      <w:sz w:val="21"/>
                      <w:szCs w:val="21"/>
                      <w:lang w:val="en-US" w:eastAsia="zh-CN"/>
                    </w:rPr>
                  </w:pPr>
                  <w:r>
                    <w:rPr>
                      <w:rFonts w:hint="eastAsia"/>
                      <w:color w:val="auto"/>
                      <w:sz w:val="21"/>
                      <w:szCs w:val="21"/>
                      <w:lang w:val="en-US" w:eastAsia="zh-CN"/>
                    </w:rPr>
                    <w:t>50</w:t>
                  </w:r>
                </w:p>
              </w:tc>
              <w:tc>
                <w:tcPr>
                  <w:tcW w:w="1549" w:type="dxa"/>
                  <w:shd w:val="clear" w:color="auto" w:fill="auto"/>
                  <w:vAlign w:val="center"/>
                </w:tcPr>
                <w:p>
                  <w:pPr>
                    <w:spacing w:line="360" w:lineRule="auto"/>
                    <w:ind w:firstLine="420" w:firstLineChars="200"/>
                    <w:rPr>
                      <w:rFonts w:hint="eastAsia" w:eastAsia="宋体"/>
                      <w:color w:val="auto"/>
                      <w:sz w:val="21"/>
                      <w:szCs w:val="21"/>
                      <w:lang w:val="en-US" w:eastAsia="zh-CN"/>
                    </w:rPr>
                  </w:pPr>
                  <w:r>
                    <w:rPr>
                      <w:rFonts w:hint="eastAsia"/>
                      <w:color w:val="auto"/>
                      <w:sz w:val="21"/>
                      <w:szCs w:val="21"/>
                      <w:lang w:val="en-US" w:eastAsia="zh-CN"/>
                    </w:rPr>
                    <w:t>60</w:t>
                  </w:r>
                </w:p>
              </w:tc>
              <w:tc>
                <w:tcPr>
                  <w:tcW w:w="1409" w:type="dxa"/>
                  <w:shd w:val="clear" w:color="auto" w:fill="auto"/>
                  <w:vAlign w:val="center"/>
                </w:tcPr>
                <w:p>
                  <w:pPr>
                    <w:spacing w:line="360" w:lineRule="auto"/>
                    <w:ind w:firstLine="420" w:firstLineChars="200"/>
                    <w:rPr>
                      <w:rFonts w:hint="eastAsia" w:eastAsia="宋体"/>
                      <w:color w:val="auto"/>
                      <w:kern w:val="0"/>
                      <w:sz w:val="21"/>
                      <w:szCs w:val="21"/>
                      <w:lang w:val="en-US" w:eastAsia="zh-CN" w:bidi="ar"/>
                    </w:rPr>
                  </w:pPr>
                  <w:r>
                    <w:rPr>
                      <w:rFonts w:hint="eastAsia"/>
                      <w:color w:val="auto"/>
                      <w:kern w:val="0"/>
                      <w:sz w:val="21"/>
                      <w:szCs w:val="21"/>
                      <w:lang w:val="en-US" w:eastAsia="zh-CN" w:bidi="ar"/>
                    </w:rPr>
                    <w:t>50</w:t>
                  </w:r>
                </w:p>
              </w:tc>
            </w:tr>
            <w:bookmarkEnd w:id="17"/>
          </w:tbl>
          <w:p>
            <w:pPr>
              <w:adjustRightInd w:val="0"/>
              <w:snapToGrid w:val="0"/>
              <w:spacing w:line="360" w:lineRule="auto"/>
              <w:ind w:firstLine="480" w:firstLineChars="200"/>
              <w:rPr>
                <w:color w:val="auto"/>
                <w:sz w:val="24"/>
                <w:shd w:val="clear" w:color="auto" w:fill="auto"/>
              </w:rPr>
            </w:pPr>
            <w:r>
              <w:rPr>
                <w:color w:val="auto"/>
                <w:sz w:val="24"/>
                <w:shd w:val="clear" w:color="auto" w:fill="auto"/>
              </w:rPr>
              <w:t>从监测结果可以看出，项目所在地</w:t>
            </w:r>
            <w:r>
              <w:rPr>
                <w:rFonts w:hint="eastAsia"/>
                <w:color w:val="auto"/>
                <w:sz w:val="24"/>
                <w:shd w:val="clear" w:color="auto" w:fill="auto"/>
              </w:rPr>
              <w:t>各</w:t>
            </w:r>
            <w:r>
              <w:rPr>
                <w:color w:val="auto"/>
                <w:sz w:val="24"/>
                <w:shd w:val="clear" w:color="auto" w:fill="auto"/>
              </w:rPr>
              <w:t>监测点噪声值</w:t>
            </w:r>
            <w:r>
              <w:rPr>
                <w:rFonts w:hint="eastAsia"/>
                <w:color w:val="auto"/>
                <w:sz w:val="24"/>
                <w:shd w:val="clear" w:color="auto" w:fill="auto"/>
              </w:rPr>
              <w:t>均达到</w:t>
            </w:r>
            <w:r>
              <w:rPr>
                <w:color w:val="auto"/>
                <w:sz w:val="24"/>
                <w:shd w:val="clear" w:color="auto" w:fill="auto"/>
              </w:rPr>
              <w:t>《声环境质量标准》(GB3096—2008)</w:t>
            </w:r>
            <w:r>
              <w:rPr>
                <w:rFonts w:hint="eastAsia"/>
                <w:color w:val="auto"/>
                <w:sz w:val="24"/>
                <w:shd w:val="clear" w:color="auto" w:fill="auto"/>
                <w:lang w:eastAsia="zh-CN"/>
              </w:rPr>
              <w:t>2类</w:t>
            </w:r>
            <w:r>
              <w:rPr>
                <w:color w:val="auto"/>
                <w:sz w:val="24"/>
              </w:rPr>
              <w:t>和4a类</w:t>
            </w:r>
            <w:r>
              <w:rPr>
                <w:color w:val="auto"/>
                <w:sz w:val="24"/>
                <w:shd w:val="clear" w:color="auto" w:fill="auto"/>
              </w:rPr>
              <w:t>标准。结果表明项目所在地声环境质量</w:t>
            </w:r>
            <w:r>
              <w:rPr>
                <w:rFonts w:hint="eastAsia"/>
                <w:color w:val="auto"/>
                <w:sz w:val="24"/>
                <w:shd w:val="clear" w:color="auto" w:fill="auto"/>
              </w:rPr>
              <w:t>较好</w:t>
            </w:r>
            <w:r>
              <w:rPr>
                <w:color w:val="auto"/>
                <w:sz w:val="24"/>
                <w:shd w:val="clear" w:color="auto" w:fill="auto"/>
              </w:rPr>
              <w:t>。</w:t>
            </w:r>
          </w:p>
          <w:p>
            <w:pPr>
              <w:tabs>
                <w:tab w:val="left" w:pos="3240"/>
              </w:tabs>
              <w:spacing w:line="360" w:lineRule="auto"/>
              <w:ind w:firstLine="482" w:firstLineChars="200"/>
              <w:rPr>
                <w:rFonts w:eastAsia="宋体"/>
                <w:b/>
                <w:bCs/>
                <w:color w:val="auto"/>
                <w:kern w:val="0"/>
                <w:sz w:val="24"/>
                <w:szCs w:val="22"/>
              </w:rPr>
            </w:pPr>
            <w:r>
              <w:rPr>
                <w:rFonts w:hint="eastAsia" w:eastAsia="宋体"/>
                <w:b/>
                <w:bCs/>
                <w:color w:val="auto"/>
                <w:kern w:val="0"/>
                <w:sz w:val="24"/>
                <w:szCs w:val="22"/>
                <w:lang w:eastAsia="zh-CN"/>
              </w:rPr>
              <w:t>四、</w:t>
            </w:r>
            <w:r>
              <w:rPr>
                <w:rFonts w:eastAsia="宋体"/>
                <w:b/>
                <w:bCs/>
                <w:color w:val="auto"/>
                <w:kern w:val="0"/>
                <w:sz w:val="24"/>
                <w:szCs w:val="22"/>
              </w:rPr>
              <w:t>土壤</w:t>
            </w:r>
            <w:r>
              <w:rPr>
                <w:rFonts w:eastAsia="宋体"/>
                <w:b/>
                <w:bCs/>
                <w:color w:val="auto"/>
                <w:kern w:val="0"/>
                <w:sz w:val="24"/>
              </w:rPr>
              <w:t>质量现状</w:t>
            </w:r>
          </w:p>
          <w:p>
            <w:pPr>
              <w:adjustRightInd w:val="0"/>
              <w:snapToGrid w:val="0"/>
              <w:spacing w:line="360" w:lineRule="auto"/>
              <w:ind w:firstLine="480" w:firstLineChars="200"/>
              <w:rPr>
                <w:rFonts w:hint="default" w:ascii="Times New Roman" w:hAnsi="Times New Roman" w:eastAsia="宋体" w:cs="Times New Roman"/>
                <w:color w:val="auto"/>
                <w:sz w:val="24"/>
                <w:szCs w:val="21"/>
                <w:lang w:val="en-US" w:eastAsia="zh-CN"/>
              </w:rPr>
            </w:pPr>
            <w:r>
              <w:rPr>
                <w:rFonts w:hint="eastAsia" w:ascii="Times New Roman" w:hAnsi="Times New Roman" w:eastAsia="宋体" w:cs="Times New Roman"/>
                <w:color w:val="auto"/>
                <w:sz w:val="24"/>
                <w:szCs w:val="21"/>
                <w:lang w:val="en-US" w:eastAsia="zh-CN"/>
              </w:rPr>
              <w:t>本项目评价等级为二级，</w:t>
            </w:r>
            <w:r>
              <w:rPr>
                <w:rFonts w:hint="eastAsia" w:ascii="Times New Roman" w:hAnsi="Times New Roman" w:eastAsia="宋体" w:cs="Times New Roman"/>
                <w:color w:val="auto"/>
                <w:sz w:val="24"/>
                <w:szCs w:val="21"/>
              </w:rPr>
              <w:t>根据</w:t>
            </w:r>
            <w:r>
              <w:rPr>
                <w:rFonts w:ascii="Times New Roman" w:hAnsi="Times New Roman" w:eastAsia="宋体" w:cs="Times New Roman"/>
                <w:color w:val="auto"/>
                <w:sz w:val="24"/>
                <w:szCs w:val="21"/>
              </w:rPr>
              <w:t xml:space="preserve">《环境影响评价技术导则 </w:t>
            </w:r>
            <w:r>
              <w:rPr>
                <w:rFonts w:hint="eastAsia" w:ascii="Times New Roman" w:hAnsi="Times New Roman" w:eastAsia="宋体" w:cs="Times New Roman"/>
                <w:color w:val="auto"/>
                <w:sz w:val="24"/>
                <w:szCs w:val="21"/>
              </w:rPr>
              <w:t>土壤环境（试行）</w:t>
            </w:r>
            <w:r>
              <w:rPr>
                <w:rFonts w:ascii="Times New Roman" w:hAnsi="Times New Roman" w:eastAsia="宋体" w:cs="Times New Roman"/>
                <w:color w:val="auto"/>
                <w:sz w:val="24"/>
                <w:szCs w:val="21"/>
              </w:rPr>
              <w:t>》（HJ</w:t>
            </w:r>
            <w:r>
              <w:rPr>
                <w:rFonts w:hint="eastAsia" w:ascii="Times New Roman" w:hAnsi="Times New Roman" w:eastAsia="宋体" w:cs="Times New Roman"/>
                <w:color w:val="auto"/>
                <w:sz w:val="24"/>
                <w:szCs w:val="21"/>
              </w:rPr>
              <w:t xml:space="preserve"> 964</w:t>
            </w:r>
            <w:r>
              <w:rPr>
                <w:rFonts w:ascii="Times New Roman" w:hAnsi="Times New Roman" w:eastAsia="宋体" w:cs="Times New Roman"/>
                <w:color w:val="auto"/>
                <w:sz w:val="24"/>
                <w:szCs w:val="21"/>
              </w:rPr>
              <w:t>-201</w:t>
            </w:r>
            <w:r>
              <w:rPr>
                <w:rFonts w:hint="eastAsia" w:ascii="Times New Roman" w:hAnsi="Times New Roman" w:eastAsia="宋体" w:cs="Times New Roman"/>
                <w:color w:val="auto"/>
                <w:sz w:val="24"/>
                <w:szCs w:val="21"/>
              </w:rPr>
              <w:t>8</w:t>
            </w:r>
            <w:r>
              <w:rPr>
                <w:rFonts w:ascii="Times New Roman" w:hAnsi="Times New Roman" w:eastAsia="宋体" w:cs="Times New Roman"/>
                <w:color w:val="auto"/>
                <w:sz w:val="24"/>
                <w:szCs w:val="21"/>
              </w:rPr>
              <w:t>）</w:t>
            </w:r>
            <w:r>
              <w:rPr>
                <w:rFonts w:hint="eastAsia" w:ascii="Times New Roman" w:hAnsi="Times New Roman" w:eastAsia="宋体" w:cs="Times New Roman"/>
                <w:color w:val="auto"/>
                <w:sz w:val="24"/>
                <w:szCs w:val="21"/>
              </w:rPr>
              <w:t>，</w:t>
            </w:r>
            <w:r>
              <w:rPr>
                <w:rFonts w:hint="eastAsia" w:ascii="Times New Roman" w:hAnsi="Times New Roman" w:eastAsia="宋体" w:cs="Times New Roman"/>
                <w:color w:val="auto"/>
                <w:sz w:val="24"/>
                <w:szCs w:val="21"/>
                <w:lang w:eastAsia="zh-CN"/>
              </w:rPr>
              <w:t>本项目委托</w:t>
            </w:r>
            <w:r>
              <w:rPr>
                <w:rFonts w:hint="eastAsia" w:ascii="Times New Roman" w:hAnsi="Times New Roman" w:eastAsia="宋体" w:cs="Times New Roman"/>
                <w:color w:val="auto"/>
                <w:sz w:val="24"/>
                <w:szCs w:val="21"/>
                <w:lang w:val="en-US" w:eastAsia="zh-CN"/>
              </w:rPr>
              <w:t>广东天鉴检测技术服务股份有限公司</w:t>
            </w:r>
            <w:r>
              <w:rPr>
                <w:rFonts w:hint="eastAsia" w:ascii="Times New Roman" w:hAnsi="Times New Roman" w:eastAsia="宋体" w:cs="Times New Roman"/>
                <w:color w:val="auto"/>
                <w:sz w:val="24"/>
                <w:szCs w:val="21"/>
                <w:lang w:eastAsia="zh-CN"/>
              </w:rPr>
              <w:t>于</w:t>
            </w:r>
            <w:r>
              <w:rPr>
                <w:rFonts w:hint="eastAsia" w:ascii="Times New Roman" w:hAnsi="Times New Roman" w:eastAsia="宋体" w:cs="Times New Roman"/>
                <w:color w:val="auto"/>
                <w:sz w:val="24"/>
                <w:szCs w:val="21"/>
                <w:lang w:val="en-US" w:eastAsia="zh-CN"/>
              </w:rPr>
              <w:t>2019年12月31日进行了土</w:t>
            </w:r>
            <w:r>
              <w:rPr>
                <w:rFonts w:hint="eastAsia" w:ascii="Times New Roman" w:hAnsi="Times New Roman" w:eastAsia="宋体" w:cs="Times New Roman"/>
                <w:color w:val="auto"/>
                <w:sz w:val="24"/>
                <w:szCs w:val="21"/>
              </w:rPr>
              <w:t>壤环境现状</w:t>
            </w:r>
            <w:r>
              <w:rPr>
                <w:rFonts w:hint="eastAsia" w:ascii="Times New Roman" w:hAnsi="Times New Roman" w:eastAsia="宋体" w:cs="Times New Roman"/>
                <w:color w:val="auto"/>
                <w:sz w:val="24"/>
                <w:szCs w:val="21"/>
                <w:lang w:eastAsia="zh-CN"/>
              </w:rPr>
              <w:t>监测，</w:t>
            </w:r>
            <w:r>
              <w:rPr>
                <w:rFonts w:hint="default" w:ascii="Times New Roman" w:hAnsi="Times New Roman" w:eastAsia="宋体" w:cs="Times New Roman"/>
                <w:color w:val="auto"/>
                <w:sz w:val="24"/>
                <w:szCs w:val="21"/>
                <w:lang w:val="en-US" w:eastAsia="zh-CN"/>
              </w:rPr>
              <w:t>监测结果见</w:t>
            </w:r>
            <w:r>
              <w:rPr>
                <w:rFonts w:hint="eastAsia" w:ascii="Times New Roman" w:hAnsi="Times New Roman" w:eastAsia="宋体" w:cs="Times New Roman"/>
                <w:color w:val="auto"/>
                <w:sz w:val="24"/>
                <w:szCs w:val="21"/>
                <w:lang w:val="en-US" w:eastAsia="zh-CN"/>
              </w:rPr>
              <w:t>下表</w:t>
            </w:r>
            <w:r>
              <w:rPr>
                <w:rFonts w:hint="default" w:ascii="Times New Roman" w:hAnsi="Times New Roman" w:eastAsia="宋体" w:cs="Times New Roman"/>
                <w:color w:val="auto"/>
                <w:sz w:val="24"/>
                <w:szCs w:val="21"/>
                <w:lang w:val="en-US" w:eastAsia="zh-CN"/>
              </w:rPr>
              <w:t>。</w:t>
            </w:r>
          </w:p>
          <w:p>
            <w:pPr>
              <w:pStyle w:val="139"/>
              <w:numPr>
                <w:ilvl w:val="0"/>
                <w:numId w:val="5"/>
              </w:numPr>
              <w:tabs>
                <w:tab w:val="left" w:pos="420"/>
              </w:tabs>
              <w:spacing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土壤理化特性调查表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062"/>
              <w:gridCol w:w="1206"/>
              <w:gridCol w:w="1206"/>
              <w:gridCol w:w="1207"/>
              <w:gridCol w:w="1207"/>
              <w:gridCol w:w="1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点号</w:t>
                  </w:r>
                </w:p>
              </w:tc>
              <w:tc>
                <w:tcPr>
                  <w:tcW w:w="2412"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4#监测点</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时间</w:t>
                  </w:r>
                </w:p>
              </w:tc>
              <w:tc>
                <w:tcPr>
                  <w:tcW w:w="2414"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rPr>
                    <w:t>2019-</w:t>
                  </w:r>
                  <w:r>
                    <w:rPr>
                      <w:rFonts w:hint="default" w:ascii="Times New Roman" w:hAnsi="Times New Roman" w:eastAsia="宋体" w:cs="Times New Roman"/>
                      <w:color w:val="auto"/>
                      <w:sz w:val="21"/>
                      <w:szCs w:val="21"/>
                      <w:u w:val="none" w:color="auto"/>
                      <w:lang w:val="en-US" w:eastAsia="zh-CN"/>
                    </w:rPr>
                    <w:t>1</w:t>
                  </w:r>
                  <w:r>
                    <w:rPr>
                      <w:rFonts w:hint="eastAsia" w:ascii="Times New Roman" w:hAnsi="Times New Roman" w:eastAsia="宋体" w:cs="Times New Roman"/>
                      <w:color w:val="auto"/>
                      <w:sz w:val="21"/>
                      <w:szCs w:val="21"/>
                      <w:u w:val="none" w:color="auto"/>
                      <w:lang w:val="en-US" w:eastAsia="zh-CN"/>
                    </w:rPr>
                    <w:t>2</w:t>
                  </w: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经度</w:t>
                  </w:r>
                </w:p>
              </w:tc>
              <w:tc>
                <w:tcPr>
                  <w:tcW w:w="2412"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E112°78′05.64′′</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纬度</w:t>
                  </w:r>
                </w:p>
              </w:tc>
              <w:tc>
                <w:tcPr>
                  <w:tcW w:w="2414"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N22°45′83.39′′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89" w:type="dxa"/>
                  <w:gridSpan w:val="2"/>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层次</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0.1</w:t>
                  </w:r>
                  <w:r>
                    <w:rPr>
                      <w:rFonts w:hint="default" w:ascii="Times New Roman" w:hAnsi="Times New Roman" w:eastAsia="宋体" w:cs="Times New Roman"/>
                      <w:color w:val="auto"/>
                      <w:sz w:val="21"/>
                      <w:szCs w:val="21"/>
                      <w:u w:val="none" w:color="auto"/>
                      <w:lang w:val="en-US" w:eastAsia="zh-CN"/>
                    </w:rPr>
                    <w:t>~</w:t>
                  </w:r>
                  <w:r>
                    <w:rPr>
                      <w:rFonts w:hint="eastAsia" w:ascii="Times New Roman" w:hAnsi="Times New Roman" w:eastAsia="宋体" w:cs="Times New Roman"/>
                      <w:color w:val="auto"/>
                      <w:sz w:val="21"/>
                      <w:szCs w:val="21"/>
                      <w:u w:val="none" w:color="auto"/>
                      <w:lang w:val="en-US" w:eastAsia="zh-CN"/>
                    </w:rPr>
                    <w:t>0.2m</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restart"/>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现场记录</w:t>
                  </w: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颜色</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eastAsia="zh-CN"/>
                    </w:rPr>
                  </w:pPr>
                  <w:r>
                    <w:rPr>
                      <w:rFonts w:hint="default" w:ascii="Times New Roman" w:hAnsi="Times New Roman" w:eastAsia="宋体" w:cs="Times New Roman"/>
                      <w:color w:val="auto"/>
                      <w:sz w:val="21"/>
                      <w:szCs w:val="21"/>
                      <w:u w:val="none" w:color="auto"/>
                      <w:lang w:eastAsia="zh-CN"/>
                    </w:rPr>
                    <w:t>棕红色</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结构</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color w:val="auto"/>
                      <w:sz w:val="21"/>
                      <w:szCs w:val="21"/>
                    </w:rPr>
                    <w:t>团粒状</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质地</w:t>
                  </w:r>
                </w:p>
              </w:tc>
              <w:tc>
                <w:tcPr>
                  <w:tcW w:w="1206" w:type="dxa"/>
                  <w:tcBorders>
                    <w:tl2br w:val="nil"/>
                    <w:tr2bl w:val="nil"/>
                  </w:tcBorders>
                  <w:noWrap w:val="0"/>
                  <w:vAlign w:val="center"/>
                </w:tcPr>
                <w:p>
                  <w:pPr>
                    <w:autoSpaceDE w:val="0"/>
                    <w:autoSpaceDN w:val="0"/>
                    <w:adjustRightInd w:val="0"/>
                    <w:snapToGrid w:val="0"/>
                    <w:jc w:val="center"/>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eastAsia="zh-CN"/>
                    </w:rPr>
                    <w:t>轻壤土</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砂砾含量</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15%</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其他异物</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无</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restart"/>
                  <w:tcBorders>
                    <w:tl2br w:val="nil"/>
                    <w:tr2bl w:val="nil"/>
                  </w:tcBorders>
                  <w:noWrap w:val="0"/>
                  <w:vAlign w:val="center"/>
                </w:tcPr>
                <w:p>
                  <w:pPr>
                    <w:autoSpaceDE w:val="0"/>
                    <w:autoSpaceDN w:val="0"/>
                    <w:adjustRightInd w:val="0"/>
                    <w:snapToGrid w:val="0"/>
                    <w:jc w:val="center"/>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eastAsia="zh-CN"/>
                    </w:rPr>
                    <w:t>检测结果</w:t>
                  </w: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pH（无量纲）</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8.0</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阳离子交换量（cmol/kg）</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13.9</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氧化还原电位（mV）</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500</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饱和导水率（mm/min）</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2.00</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土壤容重（kg/m</w:t>
                  </w:r>
                  <w:r>
                    <w:rPr>
                      <w:rFonts w:hint="default" w:ascii="Times New Roman" w:hAnsi="Times New Roman" w:eastAsia="宋体" w:cs="Times New Roman"/>
                      <w:color w:val="auto"/>
                      <w:sz w:val="21"/>
                      <w:szCs w:val="21"/>
                      <w:u w:val="none" w:color="auto"/>
                      <w:vertAlign w:val="superscript"/>
                    </w:rPr>
                    <w:t>3</w:t>
                  </w:r>
                  <w:r>
                    <w:rPr>
                      <w:rFonts w:hint="default" w:ascii="Times New Roman" w:hAnsi="Times New Roman" w:eastAsia="宋体" w:cs="Times New Roman"/>
                      <w:color w:val="auto"/>
                      <w:sz w:val="21"/>
                      <w:szCs w:val="21"/>
                      <w:u w:val="none" w:color="auto"/>
                    </w:rPr>
                    <w:t>）</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1260</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7" w:type="dxa"/>
                  <w:vMerge w:val="continue"/>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p>
              </w:tc>
              <w:tc>
                <w:tcPr>
                  <w:tcW w:w="2062"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孔隙度（%）</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66.1</w:t>
                  </w:r>
                </w:p>
              </w:tc>
              <w:tc>
                <w:tcPr>
                  <w:tcW w:w="1206"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c>
                <w:tcPr>
                  <w:tcW w:w="1207" w:type="dxa"/>
                  <w:tcBorders>
                    <w:tl2br w:val="nil"/>
                    <w:tr2bl w:val="nil"/>
                  </w:tcBorders>
                  <w:noWrap w:val="0"/>
                  <w:vAlign w:val="center"/>
                </w:tcPr>
                <w:p>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w:t>
                  </w:r>
                </w:p>
              </w:tc>
            </w:tr>
          </w:tbl>
          <w:p>
            <w:pPr>
              <w:pStyle w:val="139"/>
              <w:numPr>
                <w:ilvl w:val="0"/>
                <w:numId w:val="5"/>
              </w:numPr>
              <w:tabs>
                <w:tab w:val="left" w:pos="420"/>
              </w:tabs>
              <w:spacing w:line="360" w:lineRule="auto"/>
              <w:ind w:left="0" w:firstLine="471"/>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color w:val="auto"/>
                <w:kern w:val="0"/>
                <w:sz w:val="21"/>
                <w:szCs w:val="21"/>
                <w:shd w:val="clear" w:color="auto" w:fill="auto"/>
                <w:lang w:val="en-US" w:eastAsia="zh-CN" w:bidi="ar-SA"/>
              </w:rPr>
              <w:t>土壤结果汇总表</w:t>
            </w:r>
            <w:r>
              <w:rPr>
                <w:rFonts w:hint="eastAsia" w:ascii="Times New Roman" w:hAnsi="Times New Roman" w:eastAsia="宋体" w:cs="Times New Roman"/>
                <w:b/>
                <w:color w:val="auto"/>
                <w:kern w:val="0"/>
                <w:sz w:val="21"/>
                <w:szCs w:val="21"/>
                <w:shd w:val="clear" w:color="auto" w:fill="auto"/>
                <w:lang w:val="en-US" w:eastAsia="zh-CN" w:bidi="ar-SA"/>
              </w:rPr>
              <w:t>-</w:t>
            </w:r>
            <w:r>
              <w:rPr>
                <w:rFonts w:hint="default" w:ascii="Times New Roman" w:hAnsi="Times New Roman" w:eastAsia="宋体" w:cs="Times New Roman"/>
                <w:b/>
                <w:color w:val="auto"/>
                <w:kern w:val="0"/>
                <w:sz w:val="21"/>
                <w:szCs w:val="21"/>
                <w:shd w:val="clear" w:color="auto" w:fill="auto"/>
                <w:lang w:val="en-US" w:eastAsia="zh-CN" w:bidi="ar-SA"/>
              </w:rPr>
              <w:t>1   单位：mg/kg（</w:t>
            </w:r>
            <w:r>
              <w:rPr>
                <w:rFonts w:hint="eastAsia" w:eastAsia="宋体" w:cs="Times New Roman"/>
                <w:b/>
                <w:color w:val="auto"/>
                <w:kern w:val="0"/>
                <w:sz w:val="21"/>
                <w:szCs w:val="21"/>
                <w:shd w:val="clear" w:color="auto" w:fill="auto"/>
                <w:lang w:val="en-US" w:eastAsia="zh-CN" w:bidi="ar-SA"/>
              </w:rPr>
              <w:t>注明</w:t>
            </w:r>
            <w:r>
              <w:rPr>
                <w:rFonts w:hint="default" w:ascii="Times New Roman" w:hAnsi="Times New Roman" w:eastAsia="宋体" w:cs="Times New Roman"/>
                <w:b/>
                <w:color w:val="auto"/>
                <w:kern w:val="0"/>
                <w:sz w:val="21"/>
                <w:szCs w:val="21"/>
                <w:shd w:val="clear" w:color="auto" w:fill="auto"/>
                <w:lang w:val="en-US" w:eastAsia="zh-CN" w:bidi="ar-SA"/>
              </w:rPr>
              <w:t>除外）</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888"/>
              <w:gridCol w:w="792"/>
              <w:gridCol w:w="774"/>
              <w:gridCol w:w="845"/>
              <w:gridCol w:w="836"/>
              <w:gridCol w:w="772"/>
              <w:gridCol w:w="773"/>
              <w:gridCol w:w="828"/>
              <w:gridCol w:w="795"/>
              <w:gridCol w:w="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vMerge w:val="restart"/>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检测项目</w:t>
                  </w:r>
                </w:p>
              </w:tc>
              <w:tc>
                <w:tcPr>
                  <w:tcW w:w="888" w:type="dxa"/>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lang w:eastAsia="zh-CN"/>
                    </w:rPr>
                    <w:t>执行标准</w:t>
                  </w:r>
                </w:p>
              </w:tc>
              <w:tc>
                <w:tcPr>
                  <w:tcW w:w="7210" w:type="dxa"/>
                  <w:gridSpan w:val="9"/>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采样点位、采样深度及检测结果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vMerge w:val="continue"/>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p>
              </w:tc>
              <w:tc>
                <w:tcPr>
                  <w:tcW w:w="888"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color w:val="auto"/>
                      <w:kern w:val="0"/>
                      <w:sz w:val="21"/>
                      <w:szCs w:val="21"/>
                      <w:highlight w:val="none"/>
                      <w:lang w:val="zh-CN" w:eastAsia="zh-CN" w:bidi="zh-CN"/>
                    </w:rPr>
                    <w:t>筛选值</w:t>
                  </w:r>
                </w:p>
              </w:tc>
              <w:tc>
                <w:tcPr>
                  <w:tcW w:w="2411" w:type="dxa"/>
                  <w:gridSpan w:val="3"/>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1#监测点（</w:t>
                  </w:r>
                  <w:r>
                    <w:rPr>
                      <w:rFonts w:hint="default" w:ascii="Times New Roman" w:hAnsi="Times New Roman" w:cs="Times New Roman"/>
                      <w:b/>
                      <w:bCs/>
                      <w:color w:val="auto"/>
                      <w:sz w:val="21"/>
                      <w:szCs w:val="21"/>
                    </w:rPr>
                    <w:t>N112°77′99.38′′</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 xml:space="preserve">  E22°45′84.12′′</w:t>
                  </w:r>
                  <w:r>
                    <w:rPr>
                      <w:rFonts w:hint="default" w:ascii="Times New Roman" w:hAnsi="Times New Roman" w:eastAsia="宋体" w:cs="Times New Roman"/>
                      <w:b/>
                      <w:bCs/>
                      <w:color w:val="auto"/>
                      <w:sz w:val="21"/>
                      <w:szCs w:val="21"/>
                      <w:u w:val="none" w:color="auto"/>
                      <w:lang w:val="en-US" w:eastAsia="zh-CN"/>
                    </w:rPr>
                    <w:t>）</w:t>
                  </w:r>
                </w:p>
              </w:tc>
              <w:tc>
                <w:tcPr>
                  <w:tcW w:w="2381" w:type="dxa"/>
                  <w:gridSpan w:val="3"/>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#监测点</w:t>
                  </w:r>
                  <w:r>
                    <w:rPr>
                      <w:rFonts w:hint="default" w:ascii="Times New Roman" w:hAnsi="Times New Roman" w:eastAsia="宋体" w:cs="Times New Roman"/>
                      <w:b/>
                      <w:bCs/>
                      <w:color w:val="auto"/>
                      <w:sz w:val="21"/>
                      <w:szCs w:val="21"/>
                      <w:u w:val="none" w:color="auto"/>
                      <w:lang w:val="en-US" w:eastAsia="zh-CN"/>
                    </w:rPr>
                    <w:t>（</w:t>
                  </w:r>
                  <w:r>
                    <w:rPr>
                      <w:rFonts w:hint="default" w:ascii="Times New Roman" w:hAnsi="Times New Roman" w:cs="Times New Roman"/>
                      <w:b/>
                      <w:bCs/>
                      <w:color w:val="auto"/>
                      <w:sz w:val="21"/>
                      <w:szCs w:val="21"/>
                    </w:rPr>
                    <w:t xml:space="preserve">E112°78′00.27′′ </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 xml:space="preserve"> N22°45′80.21′′</w:t>
                  </w:r>
                  <w:r>
                    <w:rPr>
                      <w:rFonts w:hint="default" w:ascii="Times New Roman" w:hAnsi="Times New Roman" w:eastAsia="宋体" w:cs="Times New Roman"/>
                      <w:b/>
                      <w:bCs/>
                      <w:color w:val="auto"/>
                      <w:sz w:val="21"/>
                      <w:szCs w:val="21"/>
                      <w:u w:val="none" w:color="auto"/>
                      <w:lang w:val="en-US" w:eastAsia="zh-CN"/>
                    </w:rPr>
                    <w:t>）</w:t>
                  </w:r>
                </w:p>
              </w:tc>
              <w:tc>
                <w:tcPr>
                  <w:tcW w:w="2418" w:type="dxa"/>
                  <w:gridSpan w:val="3"/>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3#监测点（</w:t>
                  </w:r>
                  <w:r>
                    <w:rPr>
                      <w:rFonts w:hint="default" w:ascii="Times New Roman" w:hAnsi="Times New Roman" w:cs="Times New Roman"/>
                      <w:b/>
                      <w:bCs/>
                      <w:color w:val="auto"/>
                      <w:sz w:val="21"/>
                      <w:szCs w:val="21"/>
                    </w:rPr>
                    <w:t>E112°78′03.90′′</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 xml:space="preserve"> N22°45′82.00′′</w:t>
                  </w:r>
                  <w:r>
                    <w:rPr>
                      <w:rFonts w:hint="default" w:ascii="Times New Roman" w:hAnsi="Times New Roman" w:eastAsia="宋体" w:cs="Times New Roman"/>
                      <w:b/>
                      <w:bCs/>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990" w:type="dxa"/>
                  <w:vMerge w:val="continue"/>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p>
              </w:tc>
              <w:tc>
                <w:tcPr>
                  <w:tcW w:w="888"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color w:val="auto"/>
                      <w:kern w:val="0"/>
                      <w:sz w:val="21"/>
                      <w:szCs w:val="21"/>
                      <w:highlight w:val="none"/>
                      <w:lang w:val="zh-CN" w:eastAsia="zh-CN" w:bidi="zh-CN"/>
                    </w:rPr>
                    <w:t>第二类用地</w:t>
                  </w:r>
                </w:p>
              </w:tc>
              <w:tc>
                <w:tcPr>
                  <w:tcW w:w="792"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0.2</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~0.4</w:t>
                  </w:r>
                  <w:r>
                    <w:rPr>
                      <w:rFonts w:hint="default" w:ascii="Times New Roman" w:hAnsi="Times New Roman" w:eastAsia="宋体" w:cs="Times New Roman"/>
                      <w:b/>
                      <w:bCs/>
                      <w:color w:val="auto"/>
                      <w:sz w:val="21"/>
                      <w:szCs w:val="21"/>
                      <w:u w:val="none" w:color="auto"/>
                      <w:lang w:val="en-US" w:eastAsia="zh-CN"/>
                    </w:rPr>
                    <w:t>m</w:t>
                  </w:r>
                </w:p>
              </w:tc>
              <w:tc>
                <w:tcPr>
                  <w:tcW w:w="774"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1.1</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~1.3</w:t>
                  </w:r>
                  <w:r>
                    <w:rPr>
                      <w:rFonts w:hint="default" w:ascii="Times New Roman" w:hAnsi="Times New Roman" w:eastAsia="宋体" w:cs="Times New Roman"/>
                      <w:b/>
                      <w:bCs/>
                      <w:color w:val="auto"/>
                      <w:sz w:val="21"/>
                      <w:szCs w:val="21"/>
                      <w:u w:val="none" w:color="auto"/>
                      <w:lang w:val="en-US" w:eastAsia="zh-CN"/>
                    </w:rPr>
                    <w:t>m</w:t>
                  </w:r>
                </w:p>
              </w:tc>
              <w:tc>
                <w:tcPr>
                  <w:tcW w:w="845"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2.5</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~2.7</w:t>
                  </w:r>
                  <w:r>
                    <w:rPr>
                      <w:rFonts w:hint="default" w:ascii="Times New Roman" w:hAnsi="Times New Roman" w:eastAsia="宋体" w:cs="Times New Roman"/>
                      <w:b/>
                      <w:bCs/>
                      <w:color w:val="auto"/>
                      <w:sz w:val="21"/>
                      <w:szCs w:val="21"/>
                      <w:u w:val="none" w:color="auto"/>
                      <w:lang w:val="en-US" w:eastAsia="zh-CN"/>
                    </w:rPr>
                    <w:t>m</w:t>
                  </w:r>
                </w:p>
              </w:tc>
              <w:tc>
                <w:tcPr>
                  <w:tcW w:w="836"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rPr>
                    <w:t>0.2</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~0.4</w:t>
                  </w:r>
                  <w:r>
                    <w:rPr>
                      <w:rFonts w:hint="default" w:ascii="Times New Roman" w:hAnsi="Times New Roman" w:eastAsia="宋体" w:cs="Times New Roman"/>
                      <w:b/>
                      <w:bCs/>
                      <w:color w:val="auto"/>
                      <w:sz w:val="21"/>
                      <w:szCs w:val="21"/>
                      <w:u w:val="none" w:color="auto"/>
                      <w:lang w:val="en-US" w:eastAsia="zh-CN"/>
                    </w:rPr>
                    <w:t>m</w:t>
                  </w:r>
                </w:p>
              </w:tc>
              <w:tc>
                <w:tcPr>
                  <w:tcW w:w="772"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rPr>
                    <w:t>1.1</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~1.3</w:t>
                  </w:r>
                  <w:r>
                    <w:rPr>
                      <w:rFonts w:hint="default" w:ascii="Times New Roman" w:hAnsi="Times New Roman" w:eastAsia="宋体" w:cs="Times New Roman"/>
                      <w:b/>
                      <w:bCs/>
                      <w:color w:val="auto"/>
                      <w:sz w:val="21"/>
                      <w:szCs w:val="21"/>
                      <w:u w:val="none" w:color="auto"/>
                      <w:lang w:val="en-US" w:eastAsia="zh-CN"/>
                    </w:rPr>
                    <w:t>m</w:t>
                  </w:r>
                </w:p>
              </w:tc>
              <w:tc>
                <w:tcPr>
                  <w:tcW w:w="773"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rPr>
                    <w:t>2.3</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~2.5</w:t>
                  </w:r>
                  <w:r>
                    <w:rPr>
                      <w:rFonts w:hint="default" w:ascii="Times New Roman" w:hAnsi="Times New Roman" w:eastAsia="宋体" w:cs="Times New Roman"/>
                      <w:b/>
                      <w:bCs/>
                      <w:color w:val="auto"/>
                      <w:sz w:val="21"/>
                      <w:szCs w:val="21"/>
                      <w:u w:val="none" w:color="auto"/>
                      <w:lang w:val="en-US" w:eastAsia="zh-CN"/>
                    </w:rPr>
                    <w:t>m</w:t>
                  </w:r>
                </w:p>
              </w:tc>
              <w:tc>
                <w:tcPr>
                  <w:tcW w:w="828"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rPr>
                    <w:t>0.2</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~0.4</w:t>
                  </w:r>
                  <w:r>
                    <w:rPr>
                      <w:rFonts w:hint="default" w:ascii="Times New Roman" w:hAnsi="Times New Roman" w:eastAsia="宋体" w:cs="Times New Roman"/>
                      <w:b/>
                      <w:bCs/>
                      <w:color w:val="auto"/>
                      <w:sz w:val="21"/>
                      <w:szCs w:val="21"/>
                      <w:u w:val="none" w:color="auto"/>
                      <w:lang w:val="en-US" w:eastAsia="zh-CN"/>
                    </w:rPr>
                    <w:t>m</w:t>
                  </w:r>
                </w:p>
              </w:tc>
              <w:tc>
                <w:tcPr>
                  <w:tcW w:w="795"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rPr>
                    <w:t>1.1</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~1.4</w:t>
                  </w:r>
                  <w:r>
                    <w:rPr>
                      <w:rFonts w:hint="default" w:ascii="Times New Roman" w:hAnsi="Times New Roman" w:eastAsia="宋体" w:cs="Times New Roman"/>
                      <w:b/>
                      <w:bCs/>
                      <w:color w:val="auto"/>
                      <w:sz w:val="21"/>
                      <w:szCs w:val="21"/>
                      <w:u w:val="none" w:color="auto"/>
                      <w:lang w:val="en-US" w:eastAsia="zh-CN"/>
                    </w:rPr>
                    <w:t>m</w:t>
                  </w:r>
                </w:p>
              </w:tc>
              <w:tc>
                <w:tcPr>
                  <w:tcW w:w="795"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rPr>
                    <w:t>1.6</w:t>
                  </w:r>
                  <w:r>
                    <w:rPr>
                      <w:rFonts w:hint="default" w:ascii="Times New Roman" w:hAnsi="Times New Roman" w:eastAsia="宋体" w:cs="Times New Roman"/>
                      <w:b/>
                      <w:bCs/>
                      <w:color w:val="auto"/>
                      <w:sz w:val="21"/>
                      <w:szCs w:val="21"/>
                      <w:u w:val="none" w:color="auto"/>
                      <w:lang w:val="en-US" w:eastAsia="zh-CN"/>
                    </w:rPr>
                    <w:t>m</w:t>
                  </w:r>
                  <w:r>
                    <w:rPr>
                      <w:rFonts w:hint="default" w:ascii="Times New Roman" w:hAnsi="Times New Roman" w:eastAsia="宋体" w:cs="Times New Roman"/>
                      <w:b/>
                      <w:bCs/>
                      <w:color w:val="auto"/>
                      <w:sz w:val="21"/>
                      <w:szCs w:val="21"/>
                      <w:u w:val="none" w:color="auto"/>
                    </w:rPr>
                    <w:t>~1.9</w:t>
                  </w:r>
                  <w:r>
                    <w:rPr>
                      <w:rFonts w:hint="default" w:ascii="Times New Roman" w:hAnsi="Times New Roman" w:eastAsia="宋体" w:cs="Times New Roman"/>
                      <w:b/>
                      <w:bCs/>
                      <w:color w:val="auto"/>
                      <w:sz w:val="21"/>
                      <w:szCs w:val="21"/>
                      <w:u w:val="none" w:color="auto"/>
                      <w:lang w:val="en-US"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铜</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18000</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16</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163</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34</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201</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255</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47</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36</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镍</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900</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8</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11</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砷</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60</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2.76</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6.62</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5.82</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4.40</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4.74</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4.83</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9.10</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3.45</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both"/>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铬（六价）</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5.7</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774"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＜2</w:t>
                  </w:r>
                </w:p>
              </w:tc>
              <w:tc>
                <w:tcPr>
                  <w:tcW w:w="84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＜2</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772"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＜2</w:t>
                  </w:r>
                </w:p>
              </w:tc>
              <w:tc>
                <w:tcPr>
                  <w:tcW w:w="773"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＜2</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79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＜2</w:t>
                  </w:r>
                </w:p>
              </w:tc>
              <w:tc>
                <w:tcPr>
                  <w:tcW w:w="79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镉</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65</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0.04</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0.02</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＜0.01</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0.14</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0.15</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0.12</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0.11</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0.03</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铅</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800</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25</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汞</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38</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0.046</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0.115</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0.114</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0.152</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0.140</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0.146</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0.104</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0.257</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99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石油烃（C</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40</w:t>
                  </w:r>
                  <w:r>
                    <w:rPr>
                      <w:rFonts w:hint="default" w:ascii="Times New Roman" w:hAnsi="Times New Roman" w:eastAsia="宋体" w:cs="Times New Roman"/>
                      <w:color w:val="auto"/>
                      <w:sz w:val="21"/>
                      <w:szCs w:val="21"/>
                    </w:rPr>
                    <w:t>）</w:t>
                  </w:r>
                </w:p>
              </w:tc>
              <w:tc>
                <w:tcPr>
                  <w:tcW w:w="88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4500</w:t>
                  </w:r>
                </w:p>
              </w:tc>
              <w:tc>
                <w:tcPr>
                  <w:tcW w:w="79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w:t>
                  </w:r>
                </w:p>
              </w:tc>
              <w:tc>
                <w:tcPr>
                  <w:tcW w:w="774"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＜6</w:t>
                  </w:r>
                </w:p>
              </w:tc>
              <w:tc>
                <w:tcPr>
                  <w:tcW w:w="84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836"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15</w:t>
                  </w:r>
                </w:p>
              </w:tc>
              <w:tc>
                <w:tcPr>
                  <w:tcW w:w="772"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17</w:t>
                  </w:r>
                </w:p>
              </w:tc>
              <w:tc>
                <w:tcPr>
                  <w:tcW w:w="773"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9</w:t>
                  </w:r>
                </w:p>
              </w:tc>
              <w:tc>
                <w:tcPr>
                  <w:tcW w:w="828"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8</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7</w:t>
                  </w:r>
                </w:p>
              </w:tc>
              <w:tc>
                <w:tcPr>
                  <w:tcW w:w="79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6</w:t>
                  </w:r>
                </w:p>
              </w:tc>
            </w:tr>
          </w:tbl>
          <w:p>
            <w:pPr>
              <w:pStyle w:val="139"/>
              <w:numPr>
                <w:ilvl w:val="0"/>
                <w:numId w:val="5"/>
              </w:numPr>
              <w:tabs>
                <w:tab w:val="left" w:pos="420"/>
              </w:tabs>
              <w:spacing w:line="360" w:lineRule="auto"/>
              <w:ind w:left="0" w:firstLine="471"/>
              <w:rPr>
                <w:rFonts w:hint="default" w:ascii="Times New Roman" w:hAnsi="Times New Roman" w:eastAsia="宋体" w:cs="Times New Roman"/>
                <w:b/>
                <w:color w:val="auto"/>
                <w:sz w:val="21"/>
                <w:szCs w:val="21"/>
                <w:shd w:val="clear" w:color="auto" w:fill="auto"/>
              </w:rPr>
            </w:pPr>
            <w:r>
              <w:rPr>
                <w:rFonts w:hint="default" w:ascii="Times New Roman" w:hAnsi="Times New Roman" w:eastAsia="宋体" w:cs="Times New Roman"/>
                <w:b/>
                <w:color w:val="auto"/>
                <w:sz w:val="21"/>
                <w:szCs w:val="21"/>
                <w:shd w:val="clear" w:color="auto" w:fill="auto"/>
              </w:rPr>
              <w:t>土壤结果汇总表</w:t>
            </w:r>
            <w:r>
              <w:rPr>
                <w:rFonts w:hint="eastAsia" w:ascii="Times New Roman" w:hAnsi="Times New Roman" w:eastAsia="宋体" w:cs="Times New Roman"/>
                <w:b/>
                <w:color w:val="auto"/>
                <w:sz w:val="21"/>
                <w:szCs w:val="21"/>
                <w:shd w:val="clear" w:color="auto" w:fill="auto"/>
                <w:lang w:val="en-US" w:eastAsia="zh-CN"/>
              </w:rPr>
              <w:t>-</w:t>
            </w:r>
            <w:r>
              <w:rPr>
                <w:rFonts w:hint="default" w:ascii="Times New Roman" w:hAnsi="Times New Roman" w:eastAsia="宋体" w:cs="Times New Roman"/>
                <w:b/>
                <w:color w:val="auto"/>
                <w:sz w:val="21"/>
                <w:szCs w:val="21"/>
                <w:shd w:val="clear" w:color="auto" w:fill="auto"/>
              </w:rPr>
              <w:t>2   单位：mg/kg（注明除外）</w:t>
            </w:r>
          </w:p>
          <w:tbl>
            <w:tblPr>
              <w:tblStyle w:val="40"/>
              <w:tblW w:w="89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1"/>
              <w:gridCol w:w="1355"/>
              <w:gridCol w:w="1870"/>
              <w:gridCol w:w="1925"/>
              <w:gridCol w:w="1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vMerge w:val="restart"/>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检测项目</w:t>
                  </w:r>
                </w:p>
              </w:tc>
              <w:tc>
                <w:tcPr>
                  <w:tcW w:w="1355" w:type="dxa"/>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z w:val="21"/>
                      <w:szCs w:val="21"/>
                      <w:u w:val="none" w:color="auto"/>
                      <w:lang w:eastAsia="zh-CN"/>
                    </w:rPr>
                    <w:t>执行标准</w:t>
                  </w:r>
                </w:p>
              </w:tc>
              <w:tc>
                <w:tcPr>
                  <w:tcW w:w="5755" w:type="dxa"/>
                  <w:gridSpan w:val="3"/>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z w:val="21"/>
                      <w:szCs w:val="21"/>
                      <w:u w:val="none" w:color="auto"/>
                    </w:rPr>
                    <w:t>采样点位、采样深度及检测结果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vMerge w:val="continue"/>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color w:val="auto"/>
                      <w:kern w:val="0"/>
                      <w:sz w:val="21"/>
                      <w:szCs w:val="21"/>
                      <w:highlight w:val="none"/>
                      <w:lang w:val="zh-CN" w:eastAsia="zh-CN" w:bidi="zh-CN"/>
                    </w:rPr>
                    <w:t>筛选值</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4#监测点</w:t>
                  </w:r>
                </w:p>
                <w:p>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（E112°78′05.64′′</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N22°45′83.39′′）</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5#监测点</w:t>
                  </w:r>
                </w:p>
                <w:p>
                  <w:pPr>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cs="Times New Roman"/>
                      <w:b/>
                      <w:bCs/>
                      <w:color w:val="auto"/>
                      <w:sz w:val="21"/>
                      <w:szCs w:val="21"/>
                    </w:rPr>
                    <w:t xml:space="preserve">（E112°77′97.42′′ </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N22°45′87.97′′）</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6#监测点</w:t>
                  </w:r>
                </w:p>
                <w:p>
                  <w:pPr>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cs="Times New Roman"/>
                      <w:b/>
                      <w:bCs/>
                      <w:color w:val="auto"/>
                      <w:sz w:val="21"/>
                      <w:szCs w:val="21"/>
                    </w:rPr>
                    <w:t>（</w:t>
                  </w:r>
                  <w:r>
                    <w:rPr>
                      <w:rFonts w:hint="default" w:ascii="Times New Roman" w:hAnsi="Times New Roman" w:cs="Times New Roman"/>
                      <w:b/>
                      <w:bCs/>
                      <w:color w:val="auto"/>
                      <w:sz w:val="21"/>
                      <w:szCs w:val="21"/>
                      <w:lang w:val="en-US" w:eastAsia="zh-CN"/>
                    </w:rPr>
                    <w:t>E</w:t>
                  </w:r>
                  <w:r>
                    <w:rPr>
                      <w:rFonts w:hint="default" w:ascii="Times New Roman" w:hAnsi="Times New Roman" w:cs="Times New Roman"/>
                      <w:b/>
                      <w:bCs/>
                      <w:color w:val="auto"/>
                      <w:sz w:val="21"/>
                      <w:szCs w:val="21"/>
                    </w:rPr>
                    <w:t xml:space="preserve">112°77′97.95′′ </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N22°45′75.63′′）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vMerge w:val="continue"/>
                  <w:tcBorders>
                    <w:tl2br w:val="nil"/>
                    <w:tr2bl w:val="nil"/>
                  </w:tcBorders>
                  <w:noWrap w:val="0"/>
                  <w:vAlign w:val="center"/>
                </w:tcPr>
                <w:p>
                  <w:pPr>
                    <w:jc w:val="center"/>
                    <w:rPr>
                      <w:rFonts w:hint="default" w:ascii="Times New Roman" w:hAnsi="Times New Roman" w:eastAsia="宋体" w:cs="Times New Roman"/>
                      <w:b/>
                      <w:bCs/>
                      <w:color w:val="auto"/>
                      <w:sz w:val="21"/>
                      <w:szCs w:val="21"/>
                      <w:u w:val="none" w:color="auto"/>
                    </w:rPr>
                  </w:pP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color w:val="auto"/>
                      <w:kern w:val="0"/>
                      <w:sz w:val="21"/>
                      <w:szCs w:val="21"/>
                      <w:highlight w:val="none"/>
                      <w:lang w:val="zh-CN" w:eastAsia="zh-CN" w:bidi="zh-CN"/>
                    </w:rPr>
                    <w:t>第二类用地</w:t>
                  </w:r>
                </w:p>
              </w:tc>
              <w:tc>
                <w:tcPr>
                  <w:tcW w:w="1870"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0.1</w:t>
                  </w:r>
                  <w:r>
                    <w:rPr>
                      <w:rFonts w:hint="default" w:ascii="Times New Roman" w:hAnsi="Times New Roman" w:eastAsia="宋体" w:cs="Times New Roman"/>
                      <w:b/>
                      <w:bCs/>
                      <w:color w:val="auto"/>
                      <w:sz w:val="21"/>
                      <w:szCs w:val="21"/>
                      <w:u w:val="none" w:color="auto"/>
                    </w:rPr>
                    <w:t>m~</w:t>
                  </w:r>
                  <w:r>
                    <w:rPr>
                      <w:rFonts w:hint="default" w:ascii="Times New Roman" w:hAnsi="Times New Roman" w:eastAsia="宋体" w:cs="Times New Roman"/>
                      <w:b/>
                      <w:bCs/>
                      <w:color w:val="auto"/>
                      <w:sz w:val="21"/>
                      <w:szCs w:val="21"/>
                      <w:u w:val="none" w:color="auto"/>
                      <w:lang w:val="en-US" w:eastAsia="zh-CN"/>
                    </w:rPr>
                    <w:t>0.2</w:t>
                  </w:r>
                  <w:r>
                    <w:rPr>
                      <w:rFonts w:hint="default" w:ascii="Times New Roman" w:hAnsi="Times New Roman" w:eastAsia="宋体" w:cs="Times New Roman"/>
                      <w:b/>
                      <w:bCs/>
                      <w:color w:val="auto"/>
                      <w:sz w:val="21"/>
                      <w:szCs w:val="21"/>
                      <w:u w:val="none" w:color="auto"/>
                    </w:rPr>
                    <w:t>m</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0.1</w:t>
                  </w:r>
                  <w:r>
                    <w:rPr>
                      <w:rFonts w:hint="default" w:ascii="Times New Roman" w:hAnsi="Times New Roman" w:eastAsia="宋体" w:cs="Times New Roman"/>
                      <w:b/>
                      <w:bCs/>
                      <w:color w:val="auto"/>
                      <w:sz w:val="21"/>
                      <w:szCs w:val="21"/>
                      <w:u w:val="none" w:color="auto"/>
                    </w:rPr>
                    <w:t>m~</w:t>
                  </w:r>
                  <w:r>
                    <w:rPr>
                      <w:rFonts w:hint="default" w:ascii="Times New Roman" w:hAnsi="Times New Roman" w:eastAsia="宋体" w:cs="Times New Roman"/>
                      <w:b/>
                      <w:bCs/>
                      <w:color w:val="auto"/>
                      <w:sz w:val="21"/>
                      <w:szCs w:val="21"/>
                      <w:u w:val="none" w:color="auto"/>
                      <w:lang w:val="en-US" w:eastAsia="zh-CN"/>
                    </w:rPr>
                    <w:t>0.2</w:t>
                  </w:r>
                  <w:r>
                    <w:rPr>
                      <w:rFonts w:hint="default" w:ascii="Times New Roman" w:hAnsi="Times New Roman" w:eastAsia="宋体" w:cs="Times New Roman"/>
                      <w:b/>
                      <w:bCs/>
                      <w:color w:val="auto"/>
                      <w:sz w:val="21"/>
                      <w:szCs w:val="21"/>
                      <w:u w:val="none" w:color="auto"/>
                    </w:rPr>
                    <w:t>m</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b/>
                      <w:bCs/>
                      <w:color w:val="auto"/>
                      <w:sz w:val="21"/>
                      <w:szCs w:val="21"/>
                      <w:u w:val="none" w:color="auto"/>
                      <w:lang w:val="en-US" w:eastAsia="zh-CN"/>
                    </w:rPr>
                  </w:pPr>
                  <w:r>
                    <w:rPr>
                      <w:rFonts w:hint="default" w:ascii="Times New Roman" w:hAnsi="Times New Roman" w:eastAsia="宋体" w:cs="Times New Roman"/>
                      <w:b/>
                      <w:bCs/>
                      <w:color w:val="auto"/>
                      <w:sz w:val="21"/>
                      <w:szCs w:val="21"/>
                      <w:u w:val="none" w:color="auto"/>
                      <w:lang w:val="en-US" w:eastAsia="zh-CN"/>
                    </w:rPr>
                    <w:t>0.1</w:t>
                  </w:r>
                  <w:r>
                    <w:rPr>
                      <w:rFonts w:hint="default" w:ascii="Times New Roman" w:hAnsi="Times New Roman" w:eastAsia="宋体" w:cs="Times New Roman"/>
                      <w:b/>
                      <w:bCs/>
                      <w:color w:val="auto"/>
                      <w:sz w:val="21"/>
                      <w:szCs w:val="21"/>
                      <w:u w:val="none" w:color="auto"/>
                    </w:rPr>
                    <w:t>m~</w:t>
                  </w:r>
                  <w:r>
                    <w:rPr>
                      <w:rFonts w:hint="default" w:ascii="Times New Roman" w:hAnsi="Times New Roman" w:eastAsia="宋体" w:cs="Times New Roman"/>
                      <w:b/>
                      <w:bCs/>
                      <w:color w:val="auto"/>
                      <w:sz w:val="21"/>
                      <w:szCs w:val="21"/>
                      <w:u w:val="none" w:color="auto"/>
                      <w:lang w:val="en-US" w:eastAsia="zh-CN"/>
                    </w:rPr>
                    <w:t>0.2</w:t>
                  </w:r>
                  <w:r>
                    <w:rPr>
                      <w:rFonts w:hint="default" w:ascii="Times New Roman" w:hAnsi="Times New Roman" w:eastAsia="宋体" w:cs="Times New Roman"/>
                      <w:b/>
                      <w:bCs/>
                      <w:color w:val="auto"/>
                      <w:sz w:val="21"/>
                      <w:szCs w:val="21"/>
                      <w:u w:val="none" w:color="auto"/>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铜</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18000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24</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107</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镍</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900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砷</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4.93</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15.5</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铬（六价）</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5.7</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镉</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0.06</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0.15</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铅</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800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16</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44</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汞</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38</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0.180</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0.194</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石油烃（C</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-C</w:t>
                  </w:r>
                  <w:r>
                    <w:rPr>
                      <w:rFonts w:hint="default" w:ascii="Times New Roman" w:hAnsi="Times New Roman" w:eastAsia="宋体" w:cs="Times New Roman"/>
                      <w:color w:val="auto"/>
                      <w:sz w:val="21"/>
                      <w:szCs w:val="21"/>
                      <w:vertAlign w:val="subscript"/>
                    </w:rPr>
                    <w:t>40</w:t>
                  </w:r>
                  <w:r>
                    <w:rPr>
                      <w:rFonts w:hint="default" w:ascii="Times New Roman" w:hAnsi="Times New Roman" w:eastAsia="宋体" w:cs="Times New Roman"/>
                      <w:color w:val="auto"/>
                      <w:sz w:val="21"/>
                      <w:szCs w:val="21"/>
                    </w:rPr>
                    <w:t>）</w:t>
                  </w:r>
                </w:p>
              </w:tc>
              <w:tc>
                <w:tcPr>
                  <w:tcW w:w="135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4500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＜6</w:t>
                  </w:r>
                </w:p>
              </w:tc>
              <w:tc>
                <w:tcPr>
                  <w:tcW w:w="1925"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w:t>
                  </w:r>
                </w:p>
              </w:tc>
              <w:tc>
                <w:tcPr>
                  <w:tcW w:w="196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四氯化碳</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2.8</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＜1.3×10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氯仿</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0.9</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＜1.1×10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氯甲烷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37</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1,1-二氯乙烷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9</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1,2-二氯乙烷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＜1.3×10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1,1-二氯乙烯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66</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顺-1,2-二氯乙烯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596</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＜1.3×10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反-1,2-二氯乙烯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54</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＜1.4×10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90"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二氯甲烷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616</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＜1.5×10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1,2-二氯丙烷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＜1.1×10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1,1,1,2-四氯乙烷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1,1,2,2-四氯乙烷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6.8</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四氯乙烯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53</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＜1.4×10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1,1,1-三氯乙烷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840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＜1.3×10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1,1,2-三氯乙烷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2.8</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三氯乙烯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2.8</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1,2,3-三氯丙烷</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0.5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0.43</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4</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＜1.9×10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氯苯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270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1,2-二氯苯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560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＜1.5×10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1,4-二氯苯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＜1.5×10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乙苯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28</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苯乙烯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1290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＜1.1×10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甲苯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1200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＜1.3×10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rPr>
                    <w:t>间/对二甲苯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570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邻二甲苯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640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＜1.2×10</w:t>
                  </w:r>
                  <w:r>
                    <w:rPr>
                      <w:rFonts w:hint="default" w:ascii="Times New Roman" w:hAnsi="Times New Roman" w:cs="Times New Roman"/>
                      <w:color w:val="auto"/>
                      <w:sz w:val="21"/>
                      <w:szCs w:val="21"/>
                      <w:vertAlign w:val="superscript"/>
                    </w:rPr>
                    <w:t>-3</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硝基苯</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76</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＜0.09</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苯胺</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260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＜0.5</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2-氯酚</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2256</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＜0.06</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苯并[a]蒽</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苯并[a]芘</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苯并[b]荧蒽</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＜0.2</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苯并[k]荧蒽</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151</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䓛</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1293</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二苯并[a,h]蒽</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茚并[1,2,3-cd]芘</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15</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＜0.1</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831"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萘</w:t>
                  </w:r>
                </w:p>
              </w:tc>
              <w:tc>
                <w:tcPr>
                  <w:tcW w:w="1355" w:type="dxa"/>
                  <w:tcBorders>
                    <w:tl2br w:val="nil"/>
                    <w:tr2bl w:val="nil"/>
                  </w:tcBorders>
                  <w:noWrap w:val="0"/>
                  <w:vAlign w:val="center"/>
                </w:tcPr>
                <w:p>
                  <w:pPr>
                    <w:widowControl w:val="0"/>
                    <w:autoSpaceDE w:val="0"/>
                    <w:autoSpaceDN w:val="0"/>
                    <w:jc w:val="center"/>
                    <w:rPr>
                      <w:rFonts w:hint="default" w:ascii="Times New Roman" w:hAnsi="Times New Roman" w:eastAsia="宋体" w:cs="Times New Roman"/>
                      <w:color w:val="auto"/>
                      <w:kern w:val="0"/>
                      <w:sz w:val="21"/>
                      <w:szCs w:val="21"/>
                      <w:highlight w:val="none"/>
                      <w:lang w:val="en-US" w:eastAsia="zh-CN" w:bidi="zh-CN"/>
                    </w:rPr>
                  </w:pPr>
                  <w:r>
                    <w:rPr>
                      <w:rFonts w:hint="default" w:ascii="Times New Roman" w:hAnsi="Times New Roman" w:eastAsia="宋体" w:cs="Times New Roman"/>
                      <w:color w:val="auto"/>
                      <w:kern w:val="0"/>
                      <w:sz w:val="21"/>
                      <w:szCs w:val="21"/>
                      <w:highlight w:val="none"/>
                      <w:lang w:val="zh-CN" w:eastAsia="zh-CN" w:bidi="zh-CN"/>
                    </w:rPr>
                    <w:t>70</w:t>
                  </w:r>
                </w:p>
              </w:tc>
              <w:tc>
                <w:tcPr>
                  <w:tcW w:w="1870" w:type="dxa"/>
                  <w:tcBorders>
                    <w:tl2br w:val="nil"/>
                    <w:tr2bl w:val="nil"/>
                  </w:tcBorders>
                  <w:noWrap w:val="0"/>
                  <w:vAlign w:val="center"/>
                </w:tcPr>
                <w:p>
                  <w:pPr>
                    <w:ind w:left="-105" w:leftChars="-50" w:right="-105" w:rightChars="-5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＜0.09</w:t>
                  </w:r>
                </w:p>
              </w:tc>
              <w:tc>
                <w:tcPr>
                  <w:tcW w:w="1925"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c>
                <w:tcPr>
                  <w:tcW w:w="1960" w:type="dxa"/>
                  <w:tcBorders>
                    <w:tl2br w:val="nil"/>
                    <w:tr2bl w:val="nil"/>
                  </w:tcBorders>
                  <w:noWrap w:val="0"/>
                  <w:vAlign w:val="center"/>
                </w:tcPr>
                <w:p>
                  <w:pPr>
                    <w:widowControl/>
                    <w:jc w:val="center"/>
                    <w:textAlignment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w:t>
                  </w:r>
                </w:p>
              </w:tc>
            </w:tr>
          </w:tbl>
          <w:p>
            <w:pPr>
              <w:pStyle w:val="47"/>
              <w:spacing w:line="360" w:lineRule="auto"/>
              <w:ind w:firstLine="480" w:firstLineChars="200"/>
              <w:rPr>
                <w:color w:val="auto"/>
              </w:rPr>
            </w:pPr>
            <w:r>
              <w:rPr>
                <w:rFonts w:ascii="Times New Roman" w:hAnsi="宋体" w:eastAsia="宋体" w:cs="Times New Roman"/>
                <w:bCs/>
                <w:color w:val="auto"/>
                <w:kern w:val="0"/>
                <w:sz w:val="24"/>
                <w:szCs w:val="24"/>
                <w:highlight w:val="none"/>
                <w:lang w:val="en-US" w:eastAsia="zh-CN" w:bidi="ar-SA"/>
              </w:rPr>
              <w:t>由土壤环境现状监测结果可知，本项目土壤环境现状均满足《土壤环境质量</w:t>
            </w:r>
            <w:r>
              <w:rPr>
                <w:rFonts w:ascii="Times New Roman" w:hAnsi="Times New Roman" w:eastAsia="宋体" w:cs="Times New Roman"/>
                <w:bCs/>
                <w:color w:val="auto"/>
                <w:kern w:val="0"/>
                <w:sz w:val="24"/>
                <w:szCs w:val="24"/>
                <w:highlight w:val="none"/>
                <w:lang w:val="en-US" w:eastAsia="zh-CN" w:bidi="ar-SA"/>
              </w:rPr>
              <w:t xml:space="preserve"> </w:t>
            </w:r>
            <w:r>
              <w:rPr>
                <w:rFonts w:ascii="Times New Roman" w:hAnsi="宋体" w:eastAsia="宋体" w:cs="Times New Roman"/>
                <w:bCs/>
                <w:color w:val="auto"/>
                <w:kern w:val="0"/>
                <w:sz w:val="24"/>
                <w:szCs w:val="24"/>
                <w:highlight w:val="none"/>
                <w:lang w:val="en-US" w:eastAsia="zh-CN" w:bidi="ar-SA"/>
              </w:rPr>
              <w:t>建设用地土壤污染风险管控标准（试行）》（</w:t>
            </w:r>
            <w:r>
              <w:rPr>
                <w:rFonts w:ascii="Times New Roman" w:hAnsi="Times New Roman" w:eastAsia="宋体" w:cs="Times New Roman"/>
                <w:bCs/>
                <w:color w:val="auto"/>
                <w:kern w:val="0"/>
                <w:sz w:val="24"/>
                <w:szCs w:val="24"/>
                <w:highlight w:val="none"/>
                <w:lang w:val="en-US" w:eastAsia="zh-CN" w:bidi="ar-SA"/>
              </w:rPr>
              <w:t>GB 36600-2018</w:t>
            </w:r>
            <w:r>
              <w:rPr>
                <w:rFonts w:ascii="Times New Roman" w:hAnsi="宋体" w:eastAsia="宋体" w:cs="Times New Roman"/>
                <w:bCs/>
                <w:color w:val="auto"/>
                <w:kern w:val="0"/>
                <w:sz w:val="24"/>
                <w:szCs w:val="24"/>
                <w:highlight w:val="none"/>
                <w:lang w:val="en-US" w:eastAsia="zh-CN" w:bidi="ar-SA"/>
              </w:rPr>
              <w:t>）</w:t>
            </w:r>
            <w:r>
              <w:rPr>
                <w:rFonts w:hint="eastAsia" w:ascii="Times New Roman" w:hAnsi="Times New Roman" w:eastAsia="宋体" w:cs="Times New Roman"/>
                <w:bCs/>
                <w:color w:val="auto"/>
                <w:sz w:val="24"/>
                <w:highlight w:val="none"/>
              </w:rPr>
              <w:t>筛选值的第二类用地标准要求</w:t>
            </w:r>
            <w:r>
              <w:rPr>
                <w:rFonts w:ascii="Times New Roman" w:hAnsi="宋体" w:eastAsia="宋体" w:cs="Times New Roman"/>
                <w:bCs/>
                <w:color w:val="auto"/>
                <w:kern w:val="0"/>
                <w:sz w:val="24"/>
                <w:szCs w:val="24"/>
                <w:highlight w:val="none"/>
                <w:lang w:val="en-US" w:eastAsia="zh-CN" w:bidi="ar-SA"/>
              </w:rPr>
              <w:t>，说明项目所在区域土壤环境质量现状较好。</w:t>
            </w:r>
          </w:p>
          <w:p>
            <w:pPr>
              <w:keepNext w:val="0"/>
              <w:keepLines w:val="0"/>
              <w:pageBreakBefore w:val="0"/>
              <w:widowControl w:val="0"/>
              <w:kinsoku/>
              <w:wordWrap/>
              <w:overflowPunct/>
              <w:topLinePunct w:val="0"/>
              <w:bidi w:val="0"/>
              <w:spacing w:before="120" w:line="336" w:lineRule="auto"/>
              <w:rPr>
                <w:b/>
                <w:bCs/>
                <w:color w:val="auto"/>
                <w:sz w:val="28"/>
                <w:szCs w:val="28"/>
                <w:shd w:val="clear" w:color="auto" w:fill="auto"/>
              </w:rPr>
            </w:pPr>
            <w:r>
              <w:rPr>
                <w:color w:val="auto"/>
                <w:sz w:val="28"/>
              </w:rPr>
              <w:pict>
                <v:shape id="_x0000_s2166" o:spid="_x0000_s2166" style="position:absolute;left:0pt;margin-left:-5.65pt;margin-top:0.2pt;height:0.05pt;width:478.5pt;z-index:-866159616;mso-width-relative:page;mso-height-relative:page;" filled="f" stroked="t" coordsize="9570,1" path="m0,0hal9570,0hae">
                  <v:path arrowok="t"/>
                  <v:fill on="f" focussize="0,0"/>
                  <v:stroke weight="0.5pt" color="#000000"/>
                  <v:imagedata o:title=""/>
                  <o:lock v:ext="edit" aspectratio="f"/>
                </v:shape>
              </w:pict>
            </w:r>
            <w:r>
              <w:rPr>
                <w:b/>
                <w:bCs/>
                <w:color w:val="auto"/>
                <w:sz w:val="28"/>
                <w:szCs w:val="28"/>
                <w:shd w:val="clear" w:color="auto" w:fill="auto"/>
              </w:rPr>
              <w:t>主要环境保护目标(列出名单及保护级别):</w:t>
            </w:r>
          </w:p>
          <w:p>
            <w:pPr>
              <w:tabs>
                <w:tab w:val="left" w:pos="1770"/>
              </w:tabs>
              <w:adjustRightInd w:val="0"/>
              <w:snapToGrid w:val="0"/>
              <w:spacing w:line="360" w:lineRule="auto"/>
              <w:ind w:firstLine="480" w:firstLineChars="200"/>
              <w:rPr>
                <w:color w:val="auto"/>
                <w:sz w:val="24"/>
                <w:shd w:val="clear" w:color="auto" w:fill="auto"/>
              </w:rPr>
            </w:pPr>
            <w:r>
              <w:rPr>
                <w:color w:val="auto"/>
                <w:sz w:val="24"/>
                <w:shd w:val="clear" w:color="auto" w:fill="auto"/>
              </w:rPr>
              <w:t>项目的主要环境保护目标</w:t>
            </w:r>
            <w:r>
              <w:rPr>
                <w:rFonts w:hint="eastAsia"/>
                <w:color w:val="auto"/>
                <w:sz w:val="24"/>
                <w:shd w:val="clear" w:color="auto" w:fill="auto"/>
              </w:rPr>
              <w:t>为项目周围范围内</w:t>
            </w:r>
            <w:r>
              <w:rPr>
                <w:color w:val="auto"/>
                <w:sz w:val="24"/>
                <w:shd w:val="clear" w:color="auto" w:fill="auto"/>
              </w:rPr>
              <w:t>的环境空气质量、水环境质量和声环境质量。</w:t>
            </w:r>
          </w:p>
          <w:p>
            <w:pPr>
              <w:tabs>
                <w:tab w:val="left" w:pos="360"/>
              </w:tabs>
              <w:snapToGrid w:val="0"/>
              <w:spacing w:line="360" w:lineRule="auto"/>
              <w:ind w:left="269" w:leftChars="128" w:firstLine="241" w:firstLineChars="100"/>
              <w:rPr>
                <w:color w:val="auto"/>
                <w:sz w:val="24"/>
                <w:shd w:val="clear" w:color="auto" w:fill="auto"/>
              </w:rPr>
            </w:pPr>
            <w:r>
              <w:rPr>
                <w:b/>
                <w:color w:val="auto"/>
                <w:sz w:val="24"/>
                <w:shd w:val="clear" w:color="auto" w:fill="auto"/>
              </w:rPr>
              <w:t>1、水环境保护目标</w:t>
            </w:r>
          </w:p>
          <w:p>
            <w:pPr>
              <w:tabs>
                <w:tab w:val="left" w:pos="360"/>
              </w:tabs>
              <w:snapToGrid w:val="0"/>
              <w:spacing w:line="360" w:lineRule="auto"/>
              <w:ind w:left="4" w:firstLine="480" w:firstLineChars="200"/>
              <w:rPr>
                <w:color w:val="auto"/>
                <w:sz w:val="24"/>
                <w:shd w:val="clear" w:color="auto" w:fill="auto"/>
              </w:rPr>
            </w:pPr>
            <w:r>
              <w:rPr>
                <w:color w:val="auto"/>
                <w:sz w:val="24"/>
                <w:shd w:val="clear" w:color="auto" w:fill="auto"/>
              </w:rPr>
              <w:t>水环境保护目标是在该建设项目</w:t>
            </w:r>
            <w:r>
              <w:rPr>
                <w:rFonts w:hint="eastAsia"/>
                <w:color w:val="auto"/>
                <w:sz w:val="24"/>
                <w:shd w:val="clear" w:color="auto" w:fill="auto"/>
              </w:rPr>
              <w:t>营业期间</w:t>
            </w:r>
            <w:r>
              <w:rPr>
                <w:color w:val="auto"/>
                <w:sz w:val="24"/>
                <w:shd w:val="clear" w:color="auto" w:fill="auto"/>
              </w:rPr>
              <w:t>周围的河流水质不受明显的影响</w:t>
            </w:r>
            <w:r>
              <w:rPr>
                <w:rFonts w:hint="eastAsia"/>
                <w:color w:val="auto"/>
                <w:sz w:val="24"/>
                <w:shd w:val="clear" w:color="auto" w:fill="auto"/>
              </w:rPr>
              <w:t>，</w:t>
            </w:r>
            <w:r>
              <w:rPr>
                <w:color w:val="auto"/>
                <w:sz w:val="24"/>
                <w:shd w:val="clear" w:color="auto" w:fill="auto"/>
              </w:rPr>
              <w:t>控制</w:t>
            </w:r>
            <w:r>
              <w:rPr>
                <w:rFonts w:hint="eastAsia"/>
                <w:color w:val="auto"/>
                <w:sz w:val="24"/>
                <w:shd w:val="clear" w:color="auto" w:fill="auto"/>
              </w:rPr>
              <w:t>废水</w:t>
            </w:r>
            <w:r>
              <w:rPr>
                <w:color w:val="auto"/>
                <w:sz w:val="24"/>
                <w:shd w:val="clear" w:color="auto" w:fill="auto"/>
              </w:rPr>
              <w:t>排放对</w:t>
            </w:r>
            <w:r>
              <w:rPr>
                <w:rFonts w:hint="eastAsia"/>
                <w:color w:val="auto"/>
                <w:sz w:val="24"/>
                <w:shd w:val="clear" w:color="auto" w:fill="auto"/>
                <w:lang w:eastAsia="zh-CN"/>
              </w:rPr>
              <w:t>潭江</w:t>
            </w:r>
            <w:r>
              <w:rPr>
                <w:color w:val="auto"/>
                <w:sz w:val="24"/>
                <w:shd w:val="clear" w:color="auto" w:fill="auto"/>
              </w:rPr>
              <w:t>水环境</w:t>
            </w:r>
            <w:r>
              <w:rPr>
                <w:rFonts w:hint="eastAsia"/>
                <w:color w:val="auto"/>
                <w:sz w:val="24"/>
                <w:shd w:val="clear" w:color="auto" w:fill="auto"/>
              </w:rPr>
              <w:t>的</w:t>
            </w:r>
            <w:r>
              <w:rPr>
                <w:color w:val="auto"/>
                <w:sz w:val="24"/>
                <w:shd w:val="clear" w:color="auto" w:fill="auto"/>
              </w:rPr>
              <w:t>影响</w:t>
            </w:r>
            <w:r>
              <w:rPr>
                <w:rFonts w:hint="eastAsia"/>
                <w:color w:val="auto"/>
                <w:sz w:val="24"/>
                <w:shd w:val="clear" w:color="auto" w:fill="auto"/>
              </w:rPr>
              <w:t>，使得</w:t>
            </w:r>
            <w:r>
              <w:rPr>
                <w:rFonts w:hint="eastAsia"/>
                <w:color w:val="auto"/>
                <w:sz w:val="24"/>
                <w:shd w:val="clear" w:color="auto" w:fill="auto"/>
                <w:lang w:eastAsia="zh-CN"/>
              </w:rPr>
              <w:t>潭江</w:t>
            </w:r>
            <w:r>
              <w:rPr>
                <w:rFonts w:hint="eastAsia"/>
                <w:color w:val="auto"/>
                <w:sz w:val="24"/>
                <w:shd w:val="clear" w:color="auto" w:fill="auto"/>
              </w:rPr>
              <w:t>水环境质量</w:t>
            </w:r>
            <w:r>
              <w:rPr>
                <w:rFonts w:hint="eastAsia" w:hAnsi="宋体"/>
                <w:color w:val="auto"/>
                <w:sz w:val="24"/>
                <w:shd w:val="clear" w:color="auto" w:fill="auto"/>
              </w:rPr>
              <w:t>达到</w:t>
            </w:r>
            <w:r>
              <w:rPr>
                <w:rFonts w:hint="eastAsia"/>
                <w:color w:val="auto"/>
                <w:kern w:val="24"/>
                <w:sz w:val="24"/>
                <w:szCs w:val="20"/>
                <w:shd w:val="clear" w:color="auto" w:fill="auto"/>
              </w:rPr>
              <w:t>《地表水环境质量标准》</w:t>
            </w:r>
            <w:r>
              <w:rPr>
                <w:color w:val="auto"/>
                <w:sz w:val="24"/>
                <w:shd w:val="clear" w:color="auto" w:fill="auto"/>
              </w:rPr>
              <w:t>(GB3838-2002)</w:t>
            </w:r>
            <w:r>
              <w:rPr>
                <w:rFonts w:hint="eastAsia"/>
                <w:color w:val="auto"/>
                <w:sz w:val="24"/>
                <w:shd w:val="clear" w:color="auto" w:fill="auto"/>
                <w:lang w:eastAsia="zh-CN"/>
              </w:rPr>
              <w:t>Ⅱ类</w:t>
            </w:r>
            <w:r>
              <w:rPr>
                <w:rFonts w:hint="eastAsia"/>
                <w:color w:val="auto"/>
                <w:kern w:val="24"/>
                <w:sz w:val="24"/>
                <w:szCs w:val="20"/>
                <w:shd w:val="clear" w:color="auto" w:fill="auto"/>
              </w:rPr>
              <w:t>水质标准的保护要求</w:t>
            </w:r>
            <w:r>
              <w:rPr>
                <w:color w:val="auto"/>
                <w:sz w:val="24"/>
                <w:shd w:val="clear" w:color="auto" w:fill="auto"/>
              </w:rPr>
              <w:t>。</w:t>
            </w:r>
          </w:p>
          <w:p>
            <w:pPr>
              <w:tabs>
                <w:tab w:val="left" w:pos="360"/>
              </w:tabs>
              <w:snapToGrid w:val="0"/>
              <w:spacing w:line="360" w:lineRule="auto"/>
              <w:ind w:left="4" w:firstLine="482" w:firstLineChars="200"/>
              <w:rPr>
                <w:b/>
                <w:color w:val="auto"/>
                <w:sz w:val="24"/>
                <w:shd w:val="clear" w:color="auto" w:fill="auto"/>
              </w:rPr>
            </w:pPr>
            <w:r>
              <w:rPr>
                <w:b/>
                <w:color w:val="auto"/>
                <w:sz w:val="24"/>
                <w:shd w:val="clear" w:color="auto" w:fill="auto"/>
              </w:rPr>
              <w:t>2、环境空气保护目标</w:t>
            </w:r>
          </w:p>
          <w:p>
            <w:pPr>
              <w:snapToGrid w:val="0"/>
              <w:spacing w:line="360" w:lineRule="auto"/>
              <w:ind w:firstLine="480" w:firstLineChars="200"/>
              <w:rPr>
                <w:color w:val="auto"/>
                <w:sz w:val="24"/>
                <w:highlight w:val="none"/>
              </w:rPr>
            </w:pPr>
            <w:r>
              <w:rPr>
                <w:rFonts w:hint="eastAsia"/>
                <w:color w:val="auto"/>
                <w:sz w:val="24"/>
                <w:highlight w:val="none"/>
              </w:rPr>
              <w:t>环境空气质量符合</w:t>
            </w:r>
            <w:r>
              <w:rPr>
                <w:rFonts w:hint="eastAsia"/>
                <w:bCs/>
                <w:color w:val="auto"/>
                <w:sz w:val="24"/>
                <w:highlight w:val="none"/>
              </w:rPr>
              <w:t>《环境空气质量标准》（GB3095-2012）及”2018修改单”二级标准</w:t>
            </w:r>
            <w:r>
              <w:rPr>
                <w:rFonts w:hint="eastAsia"/>
                <w:color w:val="auto"/>
                <w:sz w:val="24"/>
                <w:highlight w:val="none"/>
              </w:rPr>
              <w:t>要求。控制废气排放对附近周围环境的影响。</w:t>
            </w:r>
          </w:p>
          <w:p>
            <w:pPr>
              <w:tabs>
                <w:tab w:val="left" w:pos="360"/>
              </w:tabs>
              <w:snapToGrid w:val="0"/>
              <w:spacing w:line="360" w:lineRule="auto"/>
              <w:ind w:left="4" w:firstLine="482" w:firstLineChars="200"/>
              <w:rPr>
                <w:b/>
                <w:color w:val="auto"/>
                <w:sz w:val="24"/>
                <w:shd w:val="clear" w:color="auto" w:fill="auto"/>
              </w:rPr>
            </w:pPr>
            <w:r>
              <w:rPr>
                <w:b/>
                <w:color w:val="auto"/>
                <w:sz w:val="24"/>
                <w:shd w:val="clear" w:color="auto" w:fill="auto"/>
              </w:rPr>
              <w:t>3、声环境保护目标</w:t>
            </w:r>
          </w:p>
          <w:p>
            <w:pPr>
              <w:spacing w:line="360" w:lineRule="auto"/>
              <w:ind w:left="4" w:firstLine="480" w:firstLineChars="200"/>
              <w:rPr>
                <w:color w:val="auto"/>
                <w:shd w:val="clear" w:color="auto" w:fill="auto"/>
              </w:rPr>
            </w:pPr>
            <w:r>
              <w:rPr>
                <w:rFonts w:hint="eastAsia"/>
                <w:color w:val="auto"/>
                <w:sz w:val="24"/>
                <w:shd w:val="clear" w:color="auto" w:fill="auto"/>
              </w:rPr>
              <w:t>声环境质量符合《声环境质量标准》（</w:t>
            </w:r>
            <w:r>
              <w:rPr>
                <w:color w:val="auto"/>
                <w:sz w:val="24"/>
                <w:shd w:val="clear" w:color="auto" w:fill="auto"/>
              </w:rPr>
              <w:t>GB3096-2008</w:t>
            </w:r>
            <w:r>
              <w:rPr>
                <w:rFonts w:hint="eastAsia"/>
                <w:color w:val="auto"/>
                <w:sz w:val="24"/>
                <w:shd w:val="clear" w:color="auto" w:fill="auto"/>
              </w:rPr>
              <w:t>）</w:t>
            </w:r>
            <w:r>
              <w:rPr>
                <w:rFonts w:hint="eastAsia"/>
                <w:color w:val="auto"/>
                <w:sz w:val="24"/>
                <w:shd w:val="clear" w:color="auto" w:fill="auto"/>
                <w:lang w:eastAsia="zh-CN"/>
              </w:rPr>
              <w:t>2类</w:t>
            </w:r>
            <w:r>
              <w:rPr>
                <w:color w:val="auto"/>
                <w:sz w:val="24"/>
              </w:rPr>
              <w:t>和4a类</w:t>
            </w:r>
            <w:r>
              <w:rPr>
                <w:rFonts w:hint="eastAsia"/>
                <w:color w:val="auto"/>
                <w:sz w:val="24"/>
                <w:shd w:val="clear" w:color="auto" w:fill="auto"/>
              </w:rPr>
              <w:t>标准。控制各种噪声声源，要求项目边界噪声达到《工业企业厂界环境噪声排放标准》（</w:t>
            </w:r>
            <w:r>
              <w:rPr>
                <w:color w:val="auto"/>
                <w:sz w:val="24"/>
                <w:shd w:val="clear" w:color="auto" w:fill="auto"/>
              </w:rPr>
              <w:t>GB12348-2008</w:t>
            </w:r>
            <w:r>
              <w:rPr>
                <w:rFonts w:hint="eastAsia"/>
                <w:color w:val="auto"/>
                <w:sz w:val="24"/>
                <w:shd w:val="clear" w:color="auto" w:fill="auto"/>
              </w:rPr>
              <w:t>）</w:t>
            </w:r>
            <w:r>
              <w:rPr>
                <w:rFonts w:hint="eastAsia"/>
                <w:color w:val="auto"/>
                <w:sz w:val="24"/>
                <w:shd w:val="clear" w:color="auto" w:fill="auto"/>
                <w:lang w:eastAsia="zh-CN"/>
              </w:rPr>
              <w:t>2类</w:t>
            </w:r>
            <w:r>
              <w:rPr>
                <w:color w:val="auto"/>
                <w:sz w:val="24"/>
              </w:rPr>
              <w:t>和4a类</w:t>
            </w:r>
            <w:r>
              <w:rPr>
                <w:color w:val="auto"/>
                <w:sz w:val="24"/>
                <w:shd w:val="clear" w:color="auto" w:fill="auto"/>
              </w:rPr>
              <w:t>标准。</w:t>
            </w:r>
          </w:p>
          <w:p>
            <w:pPr>
              <w:tabs>
                <w:tab w:val="left" w:pos="1770"/>
              </w:tabs>
              <w:adjustRightInd w:val="0"/>
              <w:snapToGrid w:val="0"/>
              <w:spacing w:line="360" w:lineRule="auto"/>
              <w:ind w:firstLine="482" w:firstLineChars="200"/>
              <w:rPr>
                <w:b/>
                <w:color w:val="auto"/>
                <w:sz w:val="24"/>
                <w:shd w:val="clear" w:color="auto" w:fill="auto"/>
              </w:rPr>
            </w:pPr>
            <w:r>
              <w:rPr>
                <w:b/>
                <w:color w:val="auto"/>
                <w:sz w:val="24"/>
                <w:shd w:val="clear" w:color="auto" w:fill="auto"/>
              </w:rPr>
              <w:t>4、环境敏感点及环境保护目标</w:t>
            </w:r>
          </w:p>
          <w:p>
            <w:pPr>
              <w:pStyle w:val="112"/>
              <w:spacing w:line="360" w:lineRule="auto"/>
              <w:rPr>
                <w:rFonts w:hint="eastAsia" w:ascii="宋体" w:hAnsi="宋体"/>
                <w:color w:val="auto"/>
                <w:shd w:val="clear" w:color="auto" w:fill="auto"/>
              </w:rPr>
            </w:pPr>
            <w:r>
              <w:rPr>
                <w:rFonts w:hint="eastAsia" w:ascii="宋体" w:hAnsi="宋体"/>
                <w:color w:val="auto"/>
                <w:shd w:val="clear" w:color="auto" w:fill="auto"/>
              </w:rPr>
              <w:t>根据对本项目所在地的实地踏勘，在周边内没有名胜古迹等重要环境敏感点。建设项目附近主要环境保护目标见下表。</w:t>
            </w:r>
          </w:p>
          <w:p>
            <w:pPr>
              <w:pStyle w:val="112"/>
              <w:spacing w:line="360" w:lineRule="auto"/>
              <w:rPr>
                <w:rFonts w:hint="eastAsia" w:ascii="宋体" w:hAnsi="宋体"/>
                <w:color w:val="auto"/>
                <w:shd w:val="clear" w:color="auto" w:fill="auto"/>
              </w:rPr>
            </w:pPr>
          </w:p>
          <w:p>
            <w:pPr>
              <w:pStyle w:val="112"/>
              <w:spacing w:line="360" w:lineRule="auto"/>
              <w:rPr>
                <w:rFonts w:hint="eastAsia" w:ascii="宋体" w:hAnsi="宋体"/>
                <w:color w:val="auto"/>
                <w:shd w:val="clear" w:color="auto" w:fill="auto"/>
              </w:rPr>
            </w:pPr>
          </w:p>
          <w:p>
            <w:pPr>
              <w:pStyle w:val="112"/>
              <w:spacing w:line="360" w:lineRule="auto"/>
              <w:rPr>
                <w:rFonts w:hint="eastAsia" w:ascii="宋体" w:hAnsi="宋体"/>
                <w:color w:val="auto"/>
                <w:shd w:val="clear" w:color="auto" w:fill="auto"/>
              </w:rPr>
            </w:pPr>
          </w:p>
          <w:p>
            <w:pPr>
              <w:pStyle w:val="112"/>
              <w:spacing w:line="360" w:lineRule="auto"/>
              <w:rPr>
                <w:rFonts w:hint="eastAsia" w:ascii="宋体" w:hAnsi="宋体"/>
                <w:color w:val="auto"/>
                <w:shd w:val="clear" w:color="auto" w:fill="auto"/>
              </w:rPr>
            </w:pPr>
          </w:p>
          <w:p>
            <w:pPr>
              <w:pStyle w:val="139"/>
              <w:numPr>
                <w:ilvl w:val="0"/>
                <w:numId w:val="5"/>
              </w:numPr>
              <w:tabs>
                <w:tab w:val="left" w:pos="420"/>
              </w:tabs>
              <w:spacing w:line="360" w:lineRule="auto"/>
              <w:ind w:left="0" w:firstLine="471"/>
              <w:rPr>
                <w:rFonts w:hint="eastAsia" w:eastAsia="宋体" w:cs="Times New Roman"/>
                <w:b/>
                <w:color w:val="auto"/>
                <w:sz w:val="21"/>
                <w:szCs w:val="21"/>
                <w:shd w:val="clear" w:color="auto" w:fill="auto"/>
              </w:rPr>
            </w:pPr>
            <w:r>
              <w:rPr>
                <w:rFonts w:hint="eastAsia" w:eastAsia="宋体" w:cs="Times New Roman"/>
                <w:b/>
                <w:color w:val="auto"/>
                <w:sz w:val="21"/>
                <w:szCs w:val="21"/>
                <w:shd w:val="clear" w:color="auto" w:fill="auto"/>
              </w:rPr>
              <w:t>建设项目场址附近主要环境保护目标</w:t>
            </w:r>
          </w:p>
          <w:tbl>
            <w:tblPr>
              <w:tblStyle w:val="40"/>
              <w:tblW w:w="9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
              <w:gridCol w:w="1745"/>
              <w:gridCol w:w="855"/>
              <w:gridCol w:w="826"/>
              <w:gridCol w:w="942"/>
              <w:gridCol w:w="1149"/>
              <w:gridCol w:w="1290"/>
              <w:gridCol w:w="990"/>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586" w:type="dxa"/>
                  <w:vMerge w:val="restart"/>
                  <w:vAlign w:val="center"/>
                </w:tcPr>
                <w:p>
                  <w:pPr>
                    <w:jc w:val="center"/>
                    <w:rPr>
                      <w:b/>
                      <w:bCs/>
                      <w:color w:val="auto"/>
                      <w:szCs w:val="21"/>
                      <w:highlight w:val="none"/>
                    </w:rPr>
                  </w:pPr>
                  <w:r>
                    <w:rPr>
                      <w:b/>
                      <w:bCs/>
                      <w:color w:val="auto"/>
                      <w:szCs w:val="21"/>
                      <w:highlight w:val="none"/>
                    </w:rPr>
                    <w:t>序号</w:t>
                  </w:r>
                </w:p>
              </w:tc>
              <w:tc>
                <w:tcPr>
                  <w:tcW w:w="1745" w:type="dxa"/>
                  <w:vMerge w:val="restart"/>
                  <w:vAlign w:val="center"/>
                </w:tcPr>
                <w:p>
                  <w:pPr>
                    <w:jc w:val="center"/>
                    <w:rPr>
                      <w:b/>
                      <w:bCs/>
                      <w:color w:val="auto"/>
                      <w:szCs w:val="21"/>
                      <w:highlight w:val="none"/>
                    </w:rPr>
                  </w:pPr>
                  <w:r>
                    <w:rPr>
                      <w:b/>
                      <w:bCs/>
                      <w:color w:val="auto"/>
                      <w:szCs w:val="21"/>
                      <w:highlight w:val="none"/>
                    </w:rPr>
                    <w:t>保护目标名称</w:t>
                  </w:r>
                </w:p>
              </w:tc>
              <w:tc>
                <w:tcPr>
                  <w:tcW w:w="1681" w:type="dxa"/>
                  <w:gridSpan w:val="2"/>
                  <w:vAlign w:val="center"/>
                </w:tcPr>
                <w:p>
                  <w:pPr>
                    <w:jc w:val="center"/>
                    <w:rPr>
                      <w:b/>
                      <w:bCs/>
                      <w:color w:val="auto"/>
                      <w:szCs w:val="21"/>
                      <w:highlight w:val="none"/>
                    </w:rPr>
                  </w:pPr>
                  <w:r>
                    <w:rPr>
                      <w:b/>
                      <w:bCs/>
                      <w:color w:val="auto"/>
                      <w:szCs w:val="21"/>
                      <w:highlight w:val="none"/>
                    </w:rPr>
                    <w:t>坐标/m</w:t>
                  </w:r>
                </w:p>
              </w:tc>
              <w:tc>
                <w:tcPr>
                  <w:tcW w:w="942" w:type="dxa"/>
                  <w:vMerge w:val="restart"/>
                  <w:vAlign w:val="center"/>
                </w:tcPr>
                <w:p>
                  <w:pPr>
                    <w:jc w:val="center"/>
                    <w:rPr>
                      <w:b/>
                      <w:bCs/>
                      <w:color w:val="auto"/>
                      <w:szCs w:val="21"/>
                      <w:highlight w:val="none"/>
                    </w:rPr>
                  </w:pPr>
                  <w:r>
                    <w:rPr>
                      <w:b/>
                      <w:bCs/>
                      <w:color w:val="auto"/>
                      <w:szCs w:val="21"/>
                      <w:highlight w:val="none"/>
                    </w:rPr>
                    <w:t>保护对象</w:t>
                  </w:r>
                </w:p>
              </w:tc>
              <w:tc>
                <w:tcPr>
                  <w:tcW w:w="1149" w:type="dxa"/>
                  <w:vMerge w:val="restart"/>
                  <w:vAlign w:val="center"/>
                </w:tcPr>
                <w:p>
                  <w:pPr>
                    <w:jc w:val="center"/>
                    <w:rPr>
                      <w:color w:val="auto"/>
                      <w:highlight w:val="none"/>
                    </w:rPr>
                  </w:pPr>
                  <w:r>
                    <w:rPr>
                      <w:b/>
                      <w:bCs/>
                      <w:color w:val="auto"/>
                      <w:szCs w:val="21"/>
                      <w:highlight w:val="none"/>
                    </w:rPr>
                    <w:t>保护内容</w:t>
                  </w:r>
                </w:p>
              </w:tc>
              <w:tc>
                <w:tcPr>
                  <w:tcW w:w="1290" w:type="dxa"/>
                  <w:vMerge w:val="restart"/>
                  <w:vAlign w:val="center"/>
                </w:tcPr>
                <w:p>
                  <w:pPr>
                    <w:jc w:val="center"/>
                    <w:rPr>
                      <w:b/>
                      <w:bCs/>
                      <w:color w:val="auto"/>
                      <w:szCs w:val="21"/>
                      <w:highlight w:val="none"/>
                    </w:rPr>
                  </w:pPr>
                  <w:r>
                    <w:rPr>
                      <w:b/>
                      <w:bCs/>
                      <w:color w:val="auto"/>
                      <w:szCs w:val="21"/>
                      <w:highlight w:val="none"/>
                    </w:rPr>
                    <w:t>环境功能区</w:t>
                  </w:r>
                </w:p>
              </w:tc>
              <w:tc>
                <w:tcPr>
                  <w:tcW w:w="990" w:type="dxa"/>
                  <w:vMerge w:val="restart"/>
                  <w:vAlign w:val="center"/>
                </w:tcPr>
                <w:p>
                  <w:pPr>
                    <w:jc w:val="center"/>
                    <w:rPr>
                      <w:color w:val="auto"/>
                      <w:highlight w:val="none"/>
                    </w:rPr>
                  </w:pPr>
                  <w:r>
                    <w:rPr>
                      <w:b/>
                      <w:bCs/>
                      <w:color w:val="auto"/>
                      <w:szCs w:val="21"/>
                      <w:highlight w:val="none"/>
                    </w:rPr>
                    <w:t>相对厂址方位</w:t>
                  </w:r>
                </w:p>
              </w:tc>
              <w:tc>
                <w:tcPr>
                  <w:tcW w:w="997" w:type="dxa"/>
                  <w:vMerge w:val="restart"/>
                  <w:vAlign w:val="center"/>
                </w:tcPr>
                <w:p>
                  <w:pPr>
                    <w:jc w:val="center"/>
                    <w:rPr>
                      <w:color w:val="auto"/>
                      <w:highlight w:val="none"/>
                    </w:rPr>
                  </w:pPr>
                  <w:r>
                    <w:rPr>
                      <w:b/>
                      <w:bCs/>
                      <w:color w:val="auto"/>
                      <w:szCs w:val="21"/>
                      <w:highlight w:val="none"/>
                    </w:rPr>
                    <w:t>相对厂界距离距离/m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586" w:type="dxa"/>
                  <w:vMerge w:val="continue"/>
                  <w:vAlign w:val="center"/>
                </w:tcPr>
                <w:p>
                  <w:pPr>
                    <w:spacing w:line="360" w:lineRule="auto"/>
                    <w:jc w:val="center"/>
                    <w:rPr>
                      <w:b/>
                      <w:bCs/>
                      <w:color w:val="auto"/>
                      <w:szCs w:val="21"/>
                      <w:highlight w:val="none"/>
                    </w:rPr>
                  </w:pPr>
                </w:p>
              </w:tc>
              <w:tc>
                <w:tcPr>
                  <w:tcW w:w="1745" w:type="dxa"/>
                  <w:vMerge w:val="continue"/>
                  <w:vAlign w:val="center"/>
                </w:tcPr>
                <w:p>
                  <w:pPr>
                    <w:spacing w:line="360" w:lineRule="auto"/>
                    <w:jc w:val="center"/>
                    <w:rPr>
                      <w:b/>
                      <w:bCs/>
                      <w:color w:val="auto"/>
                      <w:szCs w:val="21"/>
                      <w:highlight w:val="none"/>
                    </w:rPr>
                  </w:pPr>
                </w:p>
              </w:tc>
              <w:tc>
                <w:tcPr>
                  <w:tcW w:w="855" w:type="dxa"/>
                  <w:vAlign w:val="center"/>
                </w:tcPr>
                <w:p>
                  <w:pPr>
                    <w:spacing w:line="360" w:lineRule="auto"/>
                    <w:jc w:val="center"/>
                    <w:rPr>
                      <w:b/>
                      <w:bCs/>
                      <w:color w:val="auto"/>
                      <w:szCs w:val="21"/>
                      <w:highlight w:val="none"/>
                    </w:rPr>
                  </w:pPr>
                  <w:r>
                    <w:rPr>
                      <w:b/>
                      <w:bCs/>
                      <w:color w:val="auto"/>
                      <w:szCs w:val="21"/>
                      <w:highlight w:val="none"/>
                    </w:rPr>
                    <w:t>X</w:t>
                  </w:r>
                </w:p>
              </w:tc>
              <w:tc>
                <w:tcPr>
                  <w:tcW w:w="826" w:type="dxa"/>
                  <w:vAlign w:val="center"/>
                </w:tcPr>
                <w:p>
                  <w:pPr>
                    <w:spacing w:line="360" w:lineRule="auto"/>
                    <w:jc w:val="center"/>
                    <w:rPr>
                      <w:b/>
                      <w:bCs/>
                      <w:color w:val="auto"/>
                      <w:szCs w:val="21"/>
                      <w:highlight w:val="none"/>
                    </w:rPr>
                  </w:pPr>
                  <w:r>
                    <w:rPr>
                      <w:b/>
                      <w:bCs/>
                      <w:color w:val="auto"/>
                      <w:szCs w:val="21"/>
                      <w:highlight w:val="none"/>
                    </w:rPr>
                    <w:t>Y</w:t>
                  </w:r>
                </w:p>
              </w:tc>
              <w:tc>
                <w:tcPr>
                  <w:tcW w:w="942" w:type="dxa"/>
                  <w:vMerge w:val="continue"/>
                  <w:vAlign w:val="center"/>
                </w:tcPr>
                <w:p>
                  <w:pPr>
                    <w:spacing w:line="360" w:lineRule="auto"/>
                    <w:jc w:val="center"/>
                    <w:rPr>
                      <w:b/>
                      <w:bCs/>
                      <w:color w:val="auto"/>
                      <w:szCs w:val="21"/>
                      <w:highlight w:val="none"/>
                    </w:rPr>
                  </w:pPr>
                </w:p>
              </w:tc>
              <w:tc>
                <w:tcPr>
                  <w:tcW w:w="1149" w:type="dxa"/>
                  <w:vMerge w:val="continue"/>
                  <w:vAlign w:val="center"/>
                </w:tcPr>
                <w:p>
                  <w:pPr>
                    <w:spacing w:line="360" w:lineRule="auto"/>
                    <w:jc w:val="center"/>
                    <w:rPr>
                      <w:color w:val="auto"/>
                      <w:highlight w:val="none"/>
                    </w:rPr>
                  </w:pPr>
                </w:p>
              </w:tc>
              <w:tc>
                <w:tcPr>
                  <w:tcW w:w="1290" w:type="dxa"/>
                  <w:vMerge w:val="continue"/>
                  <w:vAlign w:val="center"/>
                </w:tcPr>
                <w:p>
                  <w:pPr>
                    <w:spacing w:line="360" w:lineRule="auto"/>
                    <w:jc w:val="center"/>
                    <w:rPr>
                      <w:b/>
                      <w:bCs/>
                      <w:color w:val="auto"/>
                      <w:szCs w:val="21"/>
                      <w:highlight w:val="none"/>
                    </w:rPr>
                  </w:pPr>
                </w:p>
              </w:tc>
              <w:tc>
                <w:tcPr>
                  <w:tcW w:w="990" w:type="dxa"/>
                  <w:vMerge w:val="continue"/>
                  <w:vAlign w:val="center"/>
                </w:tcPr>
                <w:p>
                  <w:pPr>
                    <w:spacing w:line="360" w:lineRule="auto"/>
                    <w:jc w:val="center"/>
                    <w:rPr>
                      <w:color w:val="auto"/>
                      <w:highlight w:val="none"/>
                    </w:rPr>
                  </w:pPr>
                </w:p>
              </w:tc>
              <w:tc>
                <w:tcPr>
                  <w:tcW w:w="997" w:type="dxa"/>
                  <w:vMerge w:val="continue"/>
                  <w:vAlign w:val="center"/>
                </w:tcPr>
                <w:p>
                  <w:pPr>
                    <w:spacing w:line="360" w:lineRule="auto"/>
                    <w:jc w:val="center"/>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spacing w:line="360" w:lineRule="auto"/>
                    <w:jc w:val="center"/>
                    <w:rPr>
                      <w:color w:val="auto"/>
                      <w:szCs w:val="21"/>
                      <w:highlight w:val="none"/>
                    </w:rPr>
                  </w:pPr>
                  <w:r>
                    <w:rPr>
                      <w:color w:val="auto"/>
                      <w:szCs w:val="21"/>
                      <w:highlight w:val="none"/>
                    </w:rPr>
                    <w:t>1</w:t>
                  </w:r>
                </w:p>
              </w:tc>
              <w:tc>
                <w:tcPr>
                  <w:tcW w:w="1745" w:type="dxa"/>
                  <w:vAlign w:val="center"/>
                </w:tcPr>
                <w:p>
                  <w:pPr>
                    <w:spacing w:line="360" w:lineRule="auto"/>
                    <w:jc w:val="center"/>
                    <w:rPr>
                      <w:color w:val="auto"/>
                      <w:szCs w:val="21"/>
                      <w:highlight w:val="none"/>
                    </w:rPr>
                  </w:pPr>
                  <w:r>
                    <w:rPr>
                      <w:rFonts w:hint="eastAsia"/>
                      <w:color w:val="auto"/>
                      <w:szCs w:val="21"/>
                      <w:highlight w:val="none"/>
                    </w:rPr>
                    <w:t>东园</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936</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8</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400人</w:t>
                  </w:r>
                </w:p>
              </w:tc>
              <w:tc>
                <w:tcPr>
                  <w:tcW w:w="1290" w:type="dxa"/>
                  <w:vMerge w:val="restart"/>
                  <w:vAlign w:val="center"/>
                </w:tcPr>
                <w:p>
                  <w:pPr>
                    <w:jc w:val="center"/>
                    <w:rPr>
                      <w:color w:val="auto"/>
                      <w:szCs w:val="21"/>
                      <w:highlight w:val="none"/>
                    </w:rPr>
                  </w:pPr>
                  <w:r>
                    <w:rPr>
                      <w:color w:val="auto"/>
                      <w:szCs w:val="21"/>
                      <w:highlight w:val="none"/>
                    </w:rPr>
                    <w:t>《环境空气质量标准》环境空气功能二类区、《声环境质量标准》环境噪声功能2类区（200m内）</w:t>
                  </w:r>
                </w:p>
              </w:tc>
              <w:tc>
                <w:tcPr>
                  <w:tcW w:w="990" w:type="dxa"/>
                  <w:vAlign w:val="center"/>
                </w:tcPr>
                <w:p>
                  <w:pPr>
                    <w:spacing w:line="360" w:lineRule="auto"/>
                    <w:jc w:val="center"/>
                    <w:rPr>
                      <w:color w:val="auto"/>
                      <w:highlight w:val="none"/>
                    </w:rPr>
                  </w:pPr>
                  <w:r>
                    <w:rPr>
                      <w:rFonts w:hint="eastAsia"/>
                      <w:color w:val="auto"/>
                      <w:highlight w:val="none"/>
                    </w:rPr>
                    <w:t>东面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2</w:t>
                  </w:r>
                </w:p>
              </w:tc>
              <w:tc>
                <w:tcPr>
                  <w:tcW w:w="1745"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金龙里</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1440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-360</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szCs w:val="21"/>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300人</w:t>
                  </w:r>
                </w:p>
              </w:tc>
              <w:tc>
                <w:tcPr>
                  <w:tcW w:w="1290" w:type="dxa"/>
                  <w:vMerge w:val="continue"/>
                  <w:vAlign w:val="center"/>
                </w:tcPr>
                <w:p>
                  <w:pPr>
                    <w:jc w:val="center"/>
                    <w:rPr>
                      <w:color w:val="auto"/>
                      <w:szCs w:val="21"/>
                      <w:highlight w:val="none"/>
                    </w:rPr>
                  </w:pPr>
                </w:p>
              </w:tc>
              <w:tc>
                <w:tcPr>
                  <w:tcW w:w="990" w:type="dxa"/>
                  <w:vAlign w:val="center"/>
                </w:tcPr>
                <w:p>
                  <w:pPr>
                    <w:spacing w:line="360" w:lineRule="auto"/>
                    <w:jc w:val="center"/>
                    <w:rPr>
                      <w:rFonts w:hint="eastAsia"/>
                      <w:color w:val="auto"/>
                      <w:highlight w:val="none"/>
                    </w:rPr>
                  </w:pPr>
                  <w:r>
                    <w:rPr>
                      <w:rFonts w:hint="eastAsia"/>
                      <w:color w:val="auto"/>
                      <w:highlight w:val="none"/>
                    </w:rPr>
                    <w:t>东面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3</w:t>
                  </w:r>
                </w:p>
              </w:tc>
              <w:tc>
                <w:tcPr>
                  <w:tcW w:w="1745" w:type="dxa"/>
                  <w:vAlign w:val="center"/>
                </w:tcPr>
                <w:p>
                  <w:pPr>
                    <w:spacing w:line="360" w:lineRule="auto"/>
                    <w:jc w:val="center"/>
                    <w:rPr>
                      <w:color w:val="auto"/>
                      <w:szCs w:val="21"/>
                      <w:highlight w:val="none"/>
                    </w:rPr>
                  </w:pPr>
                  <w:r>
                    <w:rPr>
                      <w:rFonts w:hint="eastAsia"/>
                      <w:color w:val="auto"/>
                      <w:szCs w:val="21"/>
                      <w:highlight w:val="none"/>
                    </w:rPr>
                    <w:t>泮村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1704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-976</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1400人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东南面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4</w:t>
                  </w:r>
                </w:p>
              </w:tc>
              <w:tc>
                <w:tcPr>
                  <w:tcW w:w="1745" w:type="dxa"/>
                  <w:vAlign w:val="center"/>
                </w:tcPr>
                <w:p>
                  <w:pPr>
                    <w:spacing w:line="360" w:lineRule="auto"/>
                    <w:jc w:val="center"/>
                    <w:rPr>
                      <w:color w:val="auto"/>
                      <w:szCs w:val="21"/>
                      <w:highlight w:val="none"/>
                    </w:rPr>
                  </w:pPr>
                  <w:r>
                    <w:rPr>
                      <w:rFonts w:hint="eastAsia"/>
                      <w:color w:val="auto"/>
                      <w:szCs w:val="21"/>
                      <w:highlight w:val="none"/>
                    </w:rPr>
                    <w:t>永安村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-1536</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-1344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1"/>
                      <w:highlight w:val="none"/>
                      <w:lang w:eastAsia="zh-CN"/>
                    </w:rPr>
                    <w:t>约</w:t>
                  </w:r>
                  <w:r>
                    <w:rPr>
                      <w:rFonts w:hint="eastAsia" w:cs="Times New Roman"/>
                      <w:color w:val="auto"/>
                      <w:kern w:val="2"/>
                      <w:sz w:val="21"/>
                      <w:szCs w:val="21"/>
                      <w:highlight w:val="none"/>
                      <w:lang w:val="en-US" w:eastAsia="zh-CN"/>
                    </w:rPr>
                    <w:t>500人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东南面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5</w:t>
                  </w:r>
                </w:p>
              </w:tc>
              <w:tc>
                <w:tcPr>
                  <w:tcW w:w="1745" w:type="dxa"/>
                  <w:vAlign w:val="center"/>
                </w:tcPr>
                <w:p>
                  <w:pPr>
                    <w:spacing w:line="360" w:lineRule="auto"/>
                    <w:jc w:val="center"/>
                    <w:rPr>
                      <w:color w:val="auto"/>
                      <w:szCs w:val="21"/>
                      <w:highlight w:val="none"/>
                    </w:rPr>
                  </w:pPr>
                  <w:r>
                    <w:rPr>
                      <w:rFonts w:hint="eastAsia"/>
                      <w:color w:val="auto"/>
                      <w:szCs w:val="21"/>
                      <w:highlight w:val="none"/>
                    </w:rPr>
                    <w:t>泮南村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1192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-1736</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东南面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2078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6</w:t>
                  </w:r>
                </w:p>
              </w:tc>
              <w:tc>
                <w:tcPr>
                  <w:tcW w:w="1745" w:type="dxa"/>
                  <w:vAlign w:val="center"/>
                </w:tcPr>
                <w:p>
                  <w:pPr>
                    <w:spacing w:line="360" w:lineRule="auto"/>
                    <w:jc w:val="center"/>
                    <w:rPr>
                      <w:color w:val="auto"/>
                      <w:szCs w:val="21"/>
                      <w:highlight w:val="none"/>
                    </w:rPr>
                  </w:pPr>
                  <w:r>
                    <w:rPr>
                      <w:rFonts w:hint="eastAsia"/>
                      <w:color w:val="auto"/>
                      <w:szCs w:val="21"/>
                      <w:highlight w:val="none"/>
                    </w:rPr>
                    <w:t>东方红社区</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-712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-936</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2000人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7</w:t>
                  </w:r>
                </w:p>
              </w:tc>
              <w:tc>
                <w:tcPr>
                  <w:tcW w:w="1745" w:type="dxa"/>
                  <w:vAlign w:val="center"/>
                </w:tcPr>
                <w:p>
                  <w:pPr>
                    <w:spacing w:line="360" w:lineRule="auto"/>
                    <w:jc w:val="center"/>
                    <w:rPr>
                      <w:color w:val="auto"/>
                      <w:szCs w:val="21"/>
                      <w:highlight w:val="none"/>
                    </w:rPr>
                  </w:pPr>
                  <w:r>
                    <w:rPr>
                      <w:rFonts w:hint="eastAsia"/>
                      <w:color w:val="auto"/>
                      <w:szCs w:val="21"/>
                      <w:highlight w:val="none"/>
                    </w:rPr>
                    <w:t>新市社区</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-504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-1448</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3000人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8</w:t>
                  </w:r>
                </w:p>
              </w:tc>
              <w:tc>
                <w:tcPr>
                  <w:tcW w:w="1745" w:type="dxa"/>
                  <w:vAlign w:val="center"/>
                </w:tcPr>
                <w:p>
                  <w:pPr>
                    <w:spacing w:line="360" w:lineRule="auto"/>
                    <w:jc w:val="center"/>
                    <w:rPr>
                      <w:color w:val="auto"/>
                      <w:szCs w:val="21"/>
                      <w:highlight w:val="none"/>
                    </w:rPr>
                  </w:pPr>
                  <w:r>
                    <w:rPr>
                      <w:rFonts w:hint="eastAsia"/>
                      <w:color w:val="auto"/>
                      <w:szCs w:val="21"/>
                      <w:highlight w:val="none"/>
                    </w:rPr>
                    <w:t>公益</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-856</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-2200</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1200人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2265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9</w:t>
                  </w:r>
                </w:p>
              </w:tc>
              <w:tc>
                <w:tcPr>
                  <w:tcW w:w="1745" w:type="dxa"/>
                  <w:vAlign w:val="center"/>
                </w:tcPr>
                <w:p>
                  <w:pPr>
                    <w:spacing w:line="360" w:lineRule="auto"/>
                    <w:jc w:val="center"/>
                    <w:rPr>
                      <w:color w:val="auto"/>
                      <w:szCs w:val="21"/>
                      <w:highlight w:val="none"/>
                    </w:rPr>
                  </w:pPr>
                  <w:r>
                    <w:rPr>
                      <w:rFonts w:hint="eastAsia"/>
                      <w:color w:val="auto"/>
                      <w:szCs w:val="21"/>
                      <w:highlight w:val="none"/>
                    </w:rPr>
                    <w:t>人民社区</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-1464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-840</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2000人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highlight w:val="none"/>
                    </w:rPr>
                  </w:pPr>
                  <w:r>
                    <w:rPr>
                      <w:rFonts w:hint="eastAsia"/>
                      <w:color w:val="auto"/>
                      <w:highlight w:val="none"/>
                      <w:lang w:eastAsia="zh-CN"/>
                    </w:rPr>
                    <w:t>西</w:t>
                  </w:r>
                  <w:r>
                    <w:rPr>
                      <w:rFonts w:hint="eastAsia"/>
                      <w:color w:val="auto"/>
                      <w:highlight w:val="none"/>
                    </w:rPr>
                    <w:t>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10</w:t>
                  </w:r>
                </w:p>
              </w:tc>
              <w:tc>
                <w:tcPr>
                  <w:tcW w:w="1745" w:type="dxa"/>
                  <w:vAlign w:val="center"/>
                </w:tcPr>
                <w:p>
                  <w:pPr>
                    <w:spacing w:line="360" w:lineRule="auto"/>
                    <w:jc w:val="center"/>
                    <w:rPr>
                      <w:color w:val="auto"/>
                      <w:szCs w:val="21"/>
                      <w:highlight w:val="none"/>
                    </w:rPr>
                  </w:pPr>
                  <w:r>
                    <w:rPr>
                      <w:rFonts w:hint="eastAsia"/>
                      <w:color w:val="auto"/>
                      <w:szCs w:val="21"/>
                      <w:highlight w:val="none"/>
                    </w:rPr>
                    <w:t>红花村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-2112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-128</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color w:val="auto"/>
                      <w:highlight w:val="none"/>
                    </w:rPr>
                  </w:pPr>
                  <w:r>
                    <w:rPr>
                      <w:rFonts w:hint="eastAsia" w:cs="Times New Roman"/>
                      <w:color w:val="auto"/>
                      <w:kern w:val="2"/>
                      <w:sz w:val="21"/>
                      <w:szCs w:val="24"/>
                      <w:highlight w:val="none"/>
                      <w:lang w:eastAsia="zh-CN"/>
                    </w:rPr>
                    <w:t>约</w:t>
                  </w:r>
                  <w:r>
                    <w:rPr>
                      <w:rFonts w:hint="eastAsia" w:cs="Times New Roman"/>
                      <w:color w:val="auto"/>
                      <w:kern w:val="2"/>
                      <w:sz w:val="21"/>
                      <w:szCs w:val="24"/>
                      <w:highlight w:val="none"/>
                      <w:lang w:val="en-US" w:eastAsia="zh-CN"/>
                    </w:rPr>
                    <w:t>2000人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highlight w:val="none"/>
                      <w:lang w:eastAsia="zh-CN"/>
                    </w:rPr>
                  </w:pPr>
                  <w:r>
                    <w:rPr>
                      <w:rFonts w:hint="eastAsia"/>
                      <w:color w:val="auto"/>
                      <w:highlight w:val="none"/>
                      <w:lang w:eastAsia="zh-CN"/>
                    </w:rPr>
                    <w:t>西南面</w:t>
                  </w:r>
                </w:p>
              </w:tc>
              <w:tc>
                <w:tcPr>
                  <w:tcW w:w="997" w:type="dxa"/>
                  <w:vAlign w:val="center"/>
                </w:tcPr>
                <w:p>
                  <w:pPr>
                    <w:spacing w:line="360" w:lineRule="auto"/>
                    <w:jc w:val="center"/>
                    <w:rPr>
                      <w:rFonts w:hint="default" w:eastAsia="宋体"/>
                      <w:color w:val="auto"/>
                      <w:highlight w:val="none"/>
                      <w:lang w:val="en-US" w:eastAsia="zh-CN"/>
                    </w:rPr>
                  </w:pPr>
                  <w:r>
                    <w:rPr>
                      <w:rFonts w:hint="eastAsia"/>
                      <w:color w:val="auto"/>
                      <w:highlight w:val="none"/>
                      <w:lang w:val="en-US" w:eastAsia="zh-CN"/>
                    </w:rPr>
                    <w:t>1687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11</w:t>
                  </w:r>
                </w:p>
              </w:tc>
              <w:tc>
                <w:tcPr>
                  <w:tcW w:w="1745" w:type="dxa"/>
                  <w:vAlign w:val="center"/>
                </w:tcPr>
                <w:p>
                  <w:pPr>
                    <w:spacing w:line="360" w:lineRule="auto"/>
                    <w:jc w:val="center"/>
                    <w:rPr>
                      <w:color w:val="auto"/>
                      <w:szCs w:val="21"/>
                      <w:highlight w:val="none"/>
                    </w:rPr>
                  </w:pPr>
                  <w:r>
                    <w:rPr>
                      <w:rFonts w:hint="eastAsia"/>
                      <w:color w:val="auto"/>
                      <w:szCs w:val="21"/>
                      <w:highlight w:val="none"/>
                    </w:rPr>
                    <w:t>贝龙里</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-1464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632</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800人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西北面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12</w:t>
                  </w:r>
                </w:p>
              </w:tc>
              <w:tc>
                <w:tcPr>
                  <w:tcW w:w="1745" w:type="dxa"/>
                  <w:vAlign w:val="center"/>
                </w:tcPr>
                <w:p>
                  <w:pPr>
                    <w:spacing w:line="360" w:lineRule="auto"/>
                    <w:jc w:val="center"/>
                    <w:rPr>
                      <w:color w:val="auto"/>
                      <w:szCs w:val="21"/>
                      <w:highlight w:val="none"/>
                    </w:rPr>
                  </w:pPr>
                  <w:r>
                    <w:rPr>
                      <w:rFonts w:hint="eastAsia"/>
                      <w:color w:val="auto"/>
                      <w:szCs w:val="21"/>
                      <w:highlight w:val="none"/>
                    </w:rPr>
                    <w:t>龙腾里</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-2360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1176</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西北面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13</w:t>
                  </w:r>
                </w:p>
              </w:tc>
              <w:tc>
                <w:tcPr>
                  <w:tcW w:w="1745" w:type="dxa"/>
                  <w:vAlign w:val="center"/>
                </w:tcPr>
                <w:p>
                  <w:pPr>
                    <w:spacing w:line="360" w:lineRule="auto"/>
                    <w:jc w:val="center"/>
                    <w:rPr>
                      <w:color w:val="auto"/>
                      <w:szCs w:val="21"/>
                      <w:highlight w:val="none"/>
                    </w:rPr>
                  </w:pPr>
                  <w:r>
                    <w:rPr>
                      <w:rFonts w:hint="eastAsia"/>
                      <w:color w:val="auto"/>
                      <w:szCs w:val="21"/>
                      <w:highlight w:val="none"/>
                    </w:rPr>
                    <w:t>昆阳村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-2272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1975</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1200人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西北面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14</w:t>
                  </w:r>
                </w:p>
              </w:tc>
              <w:tc>
                <w:tcPr>
                  <w:tcW w:w="1745" w:type="dxa"/>
                  <w:vAlign w:val="center"/>
                </w:tcPr>
                <w:p>
                  <w:pPr>
                    <w:spacing w:line="360" w:lineRule="auto"/>
                    <w:jc w:val="center"/>
                    <w:rPr>
                      <w:color w:val="auto"/>
                      <w:szCs w:val="21"/>
                      <w:highlight w:val="none"/>
                    </w:rPr>
                  </w:pPr>
                  <w:r>
                    <w:rPr>
                      <w:rFonts w:hint="eastAsia"/>
                      <w:color w:val="auto"/>
                      <w:szCs w:val="21"/>
                      <w:highlight w:val="none"/>
                    </w:rPr>
                    <w:t>东溪村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-1144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1712</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600人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lang w:eastAsia="zh-CN"/>
                    </w:rPr>
                    <w:t>西</w:t>
                  </w:r>
                  <w:r>
                    <w:rPr>
                      <w:rFonts w:hint="eastAsia"/>
                      <w:color w:val="auto"/>
                      <w:szCs w:val="21"/>
                      <w:highlight w:val="none"/>
                    </w:rPr>
                    <w:t>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1949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15</w:t>
                  </w:r>
                </w:p>
              </w:tc>
              <w:tc>
                <w:tcPr>
                  <w:tcW w:w="1745" w:type="dxa"/>
                  <w:vAlign w:val="center"/>
                </w:tcPr>
                <w:p>
                  <w:pPr>
                    <w:spacing w:line="360" w:lineRule="auto"/>
                    <w:jc w:val="center"/>
                    <w:rPr>
                      <w:color w:val="auto"/>
                      <w:szCs w:val="21"/>
                      <w:highlight w:val="none"/>
                    </w:rPr>
                  </w:pPr>
                  <w:r>
                    <w:rPr>
                      <w:rFonts w:hint="eastAsia"/>
                      <w:color w:val="auto"/>
                      <w:szCs w:val="21"/>
                      <w:highlight w:val="none"/>
                    </w:rPr>
                    <w:t>庆宁</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112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664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500人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16</w:t>
                  </w:r>
                </w:p>
              </w:tc>
              <w:tc>
                <w:tcPr>
                  <w:tcW w:w="1745"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良兴</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1200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1064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800人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color w:val="auto"/>
                      <w:szCs w:val="21"/>
                      <w:highlight w:val="none"/>
                    </w:rPr>
                  </w:pPr>
                  <w:r>
                    <w:rPr>
                      <w:rFonts w:hint="eastAsia"/>
                      <w:color w:val="auto"/>
                      <w:szCs w:val="21"/>
                      <w:highlight w:val="none"/>
                    </w:rPr>
                    <w:t>东北面</w:t>
                  </w:r>
                </w:p>
              </w:tc>
              <w:tc>
                <w:tcPr>
                  <w:tcW w:w="997"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17</w:t>
                  </w:r>
                </w:p>
              </w:tc>
              <w:tc>
                <w:tcPr>
                  <w:tcW w:w="1745" w:type="dxa"/>
                  <w:vAlign w:val="center"/>
                </w:tcPr>
                <w:p>
                  <w:pPr>
                    <w:spacing w:line="240" w:lineRule="auto"/>
                    <w:jc w:val="center"/>
                    <w:rPr>
                      <w:rFonts w:hint="eastAsia"/>
                      <w:color w:val="auto"/>
                      <w:szCs w:val="21"/>
                      <w:highlight w:val="none"/>
                      <w:lang w:eastAsia="zh-CN"/>
                    </w:rPr>
                  </w:pPr>
                  <w:r>
                    <w:rPr>
                      <w:rFonts w:hint="eastAsia"/>
                      <w:color w:val="auto"/>
                      <w:szCs w:val="21"/>
                      <w:highlight w:val="none"/>
                      <w:lang w:eastAsia="zh-CN"/>
                    </w:rPr>
                    <w:t>平冈村（平冈卫生站）</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-168</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-104</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500人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西面</w:t>
                  </w:r>
                </w:p>
              </w:tc>
              <w:tc>
                <w:tcPr>
                  <w:tcW w:w="997"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eastAsia"/>
                      <w:color w:val="auto"/>
                      <w:szCs w:val="21"/>
                      <w:highlight w:val="none"/>
                      <w:lang w:val="en-US" w:eastAsia="zh-CN"/>
                    </w:rPr>
                  </w:pPr>
                  <w:r>
                    <w:rPr>
                      <w:rFonts w:hint="eastAsia"/>
                      <w:color w:val="auto"/>
                      <w:szCs w:val="21"/>
                      <w:highlight w:val="none"/>
                      <w:lang w:val="en-US" w:eastAsia="zh-CN"/>
                    </w:rPr>
                    <w:t>18</w:t>
                  </w:r>
                </w:p>
              </w:tc>
              <w:tc>
                <w:tcPr>
                  <w:tcW w:w="1745" w:type="dxa"/>
                  <w:vAlign w:val="center"/>
                </w:tcPr>
                <w:p>
                  <w:pPr>
                    <w:spacing w:line="360" w:lineRule="auto"/>
                    <w:jc w:val="center"/>
                    <w:rPr>
                      <w:rFonts w:hint="eastAsia"/>
                      <w:color w:val="auto"/>
                      <w:szCs w:val="21"/>
                      <w:highlight w:val="none"/>
                      <w:lang w:eastAsia="zh-CN"/>
                    </w:rPr>
                  </w:pPr>
                  <w:r>
                    <w:rPr>
                      <w:rFonts w:hint="eastAsia"/>
                      <w:color w:val="auto"/>
                      <w:szCs w:val="21"/>
                      <w:highlight w:val="none"/>
                      <w:lang w:eastAsia="zh-CN"/>
                    </w:rPr>
                    <w:t>罗岗村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-240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192</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400人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西北面</w:t>
                  </w:r>
                </w:p>
              </w:tc>
              <w:tc>
                <w:tcPr>
                  <w:tcW w:w="997"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19</w:t>
                  </w:r>
                </w:p>
              </w:tc>
              <w:tc>
                <w:tcPr>
                  <w:tcW w:w="1745" w:type="dxa"/>
                  <w:vAlign w:val="center"/>
                </w:tcPr>
                <w:p>
                  <w:pPr>
                    <w:spacing w:line="360" w:lineRule="auto"/>
                    <w:jc w:val="center"/>
                    <w:rPr>
                      <w:rFonts w:hint="eastAsia"/>
                      <w:color w:val="auto"/>
                      <w:szCs w:val="21"/>
                      <w:highlight w:val="none"/>
                      <w:lang w:eastAsia="zh-CN"/>
                    </w:rPr>
                  </w:pPr>
                  <w:r>
                    <w:rPr>
                      <w:rFonts w:hint="eastAsia"/>
                      <w:color w:val="auto"/>
                      <w:szCs w:val="21"/>
                      <w:highlight w:val="none"/>
                      <w:lang w:eastAsia="zh-CN"/>
                    </w:rPr>
                    <w:t>木房</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160</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2087</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200人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北面</w:t>
                  </w:r>
                </w:p>
              </w:tc>
              <w:tc>
                <w:tcPr>
                  <w:tcW w:w="997"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20</w:t>
                  </w:r>
                </w:p>
              </w:tc>
              <w:tc>
                <w:tcPr>
                  <w:tcW w:w="1745" w:type="dxa"/>
                  <w:vAlign w:val="center"/>
                </w:tcPr>
                <w:p>
                  <w:pPr>
                    <w:spacing w:line="360" w:lineRule="auto"/>
                    <w:jc w:val="center"/>
                    <w:rPr>
                      <w:rFonts w:hint="eastAsia"/>
                      <w:color w:val="auto"/>
                      <w:szCs w:val="21"/>
                      <w:highlight w:val="none"/>
                      <w:lang w:eastAsia="zh-CN"/>
                    </w:rPr>
                  </w:pPr>
                  <w:r>
                    <w:rPr>
                      <w:rFonts w:hint="eastAsia"/>
                      <w:color w:val="auto"/>
                      <w:szCs w:val="21"/>
                      <w:highlight w:val="none"/>
                      <w:lang w:eastAsia="zh-CN"/>
                    </w:rPr>
                    <w:t>雁田</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1824</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848</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350人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东北面</w:t>
                  </w:r>
                </w:p>
              </w:tc>
              <w:tc>
                <w:tcPr>
                  <w:tcW w:w="997"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21</w:t>
                  </w:r>
                </w:p>
              </w:tc>
              <w:tc>
                <w:tcPr>
                  <w:tcW w:w="1745" w:type="dxa"/>
                  <w:vAlign w:val="center"/>
                </w:tcPr>
                <w:p>
                  <w:pPr>
                    <w:spacing w:line="360" w:lineRule="auto"/>
                    <w:jc w:val="center"/>
                    <w:rPr>
                      <w:rFonts w:hint="eastAsia"/>
                      <w:color w:val="auto"/>
                      <w:szCs w:val="21"/>
                      <w:highlight w:val="none"/>
                      <w:lang w:eastAsia="zh-CN"/>
                    </w:rPr>
                  </w:pPr>
                  <w:r>
                    <w:rPr>
                      <w:rFonts w:hint="eastAsia"/>
                      <w:color w:val="auto"/>
                      <w:szCs w:val="21"/>
                      <w:highlight w:val="none"/>
                      <w:lang w:eastAsia="zh-CN"/>
                    </w:rPr>
                    <w:t>凌村</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1672</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2199</w:t>
                  </w:r>
                </w:p>
              </w:tc>
              <w:tc>
                <w:tcPr>
                  <w:tcW w:w="942" w:type="dxa"/>
                  <w:vAlign w:val="center"/>
                </w:tcPr>
                <w:p>
                  <w:pPr>
                    <w:spacing w:line="360" w:lineRule="auto"/>
                    <w:jc w:val="center"/>
                    <w:rPr>
                      <w:color w:val="auto"/>
                      <w:szCs w:val="21"/>
                      <w:highlight w:val="none"/>
                    </w:rPr>
                  </w:pPr>
                  <w:r>
                    <w:rPr>
                      <w:color w:val="auto"/>
                      <w:szCs w:val="21"/>
                      <w:highlight w:val="none"/>
                    </w:rPr>
                    <w:t>居民区</w:t>
                  </w:r>
                </w:p>
              </w:tc>
              <w:tc>
                <w:tcPr>
                  <w:tcW w:w="1149"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eastAsia="zh-CN"/>
                    </w:rPr>
                    <w:t>约</w:t>
                  </w:r>
                  <w:r>
                    <w:rPr>
                      <w:rFonts w:hint="eastAsia"/>
                      <w:color w:val="auto"/>
                      <w:szCs w:val="21"/>
                      <w:highlight w:val="none"/>
                      <w:lang w:val="en-US" w:eastAsia="zh-CN"/>
                    </w:rPr>
                    <w:t>500人</w:t>
                  </w:r>
                </w:p>
              </w:tc>
              <w:tc>
                <w:tcPr>
                  <w:tcW w:w="1290" w:type="dxa"/>
                  <w:vMerge w:val="continue"/>
                  <w:vAlign w:val="center"/>
                </w:tcPr>
                <w:p>
                  <w:pPr>
                    <w:spacing w:line="360" w:lineRule="auto"/>
                    <w:jc w:val="center"/>
                    <w:rPr>
                      <w:color w:val="auto"/>
                      <w:szCs w:val="21"/>
                      <w:highlight w:val="none"/>
                    </w:rPr>
                  </w:pPr>
                </w:p>
              </w:tc>
              <w:tc>
                <w:tcPr>
                  <w:tcW w:w="990"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东北面</w:t>
                  </w:r>
                </w:p>
              </w:tc>
              <w:tc>
                <w:tcPr>
                  <w:tcW w:w="997"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2769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86" w:type="dxa"/>
                  <w:vAlign w:val="center"/>
                </w:tcPr>
                <w:p>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22</w:t>
                  </w:r>
                </w:p>
              </w:tc>
              <w:tc>
                <w:tcPr>
                  <w:tcW w:w="1745" w:type="dxa"/>
                  <w:vAlign w:val="center"/>
                </w:tcPr>
                <w:p>
                  <w:pPr>
                    <w:spacing w:line="360" w:lineRule="auto"/>
                    <w:jc w:val="center"/>
                    <w:rPr>
                      <w:rFonts w:hint="eastAsia" w:eastAsia="宋体"/>
                      <w:color w:val="auto"/>
                      <w:szCs w:val="21"/>
                      <w:highlight w:val="none"/>
                      <w:lang w:eastAsia="zh-CN"/>
                    </w:rPr>
                  </w:pPr>
                  <w:r>
                    <w:rPr>
                      <w:rFonts w:hint="eastAsia"/>
                      <w:color w:val="auto"/>
                      <w:szCs w:val="21"/>
                      <w:highlight w:val="none"/>
                      <w:lang w:eastAsia="zh-CN"/>
                    </w:rPr>
                    <w:t>潭江</w:t>
                  </w:r>
                </w:p>
              </w:tc>
              <w:tc>
                <w:tcPr>
                  <w:tcW w:w="855"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-328</w:t>
                  </w:r>
                </w:p>
              </w:tc>
              <w:tc>
                <w:tcPr>
                  <w:tcW w:w="826" w:type="dxa"/>
                  <w:vAlign w:val="center"/>
                </w:tcPr>
                <w:p>
                  <w:pPr>
                    <w:spacing w:line="360" w:lineRule="auto"/>
                    <w:jc w:val="center"/>
                    <w:rPr>
                      <w:rFonts w:hint="default" w:eastAsia="宋体"/>
                      <w:color w:val="auto"/>
                      <w:szCs w:val="21"/>
                      <w:highlight w:val="none"/>
                      <w:lang w:val="en-US" w:eastAsia="zh-CN"/>
                    </w:rPr>
                  </w:pPr>
                  <w:r>
                    <w:rPr>
                      <w:rFonts w:hint="eastAsia"/>
                      <w:color w:val="auto"/>
                      <w:szCs w:val="21"/>
                      <w:highlight w:val="none"/>
                      <w:lang w:val="en-US" w:eastAsia="zh-CN"/>
                    </w:rPr>
                    <w:t>-1928</w:t>
                  </w:r>
                </w:p>
              </w:tc>
              <w:tc>
                <w:tcPr>
                  <w:tcW w:w="942" w:type="dxa"/>
                  <w:vAlign w:val="center"/>
                </w:tcPr>
                <w:p>
                  <w:pPr>
                    <w:widowControl w:val="0"/>
                    <w:spacing w:after="0" w:line="360" w:lineRule="auto"/>
                    <w:jc w:val="center"/>
                    <w:rPr>
                      <w:color w:val="auto"/>
                      <w:szCs w:val="21"/>
                      <w:highlight w:val="none"/>
                    </w:rPr>
                  </w:pPr>
                  <w:r>
                    <w:rPr>
                      <w:rFonts w:hint="eastAsia" w:ascii="Times New Roman" w:hAnsi="Times New Roman" w:eastAsia="宋体" w:cs="Times New Roman"/>
                      <w:color w:val="auto"/>
                      <w:kern w:val="2"/>
                      <w:sz w:val="21"/>
                      <w:szCs w:val="21"/>
                      <w:highlight w:val="none"/>
                      <w:lang w:eastAsia="zh-CN"/>
                    </w:rPr>
                    <w:t>河流</w:t>
                  </w:r>
                </w:p>
              </w:tc>
              <w:tc>
                <w:tcPr>
                  <w:tcW w:w="1149" w:type="dxa"/>
                  <w:vAlign w:val="center"/>
                </w:tcPr>
                <w:p>
                  <w:pPr>
                    <w:widowControl w:val="0"/>
                    <w:spacing w:after="0" w:line="360" w:lineRule="auto"/>
                    <w:jc w:val="center"/>
                    <w:rPr>
                      <w:rFonts w:hint="eastAsia"/>
                      <w:color w:val="auto"/>
                      <w:szCs w:val="21"/>
                      <w:highlight w:val="none"/>
                      <w:lang w:eastAsia="zh-CN"/>
                    </w:rPr>
                  </w:pPr>
                  <w:r>
                    <w:rPr>
                      <w:rFonts w:hint="eastAsia" w:cs="Times New Roman"/>
                      <w:color w:val="auto"/>
                      <w:kern w:val="2"/>
                      <w:sz w:val="21"/>
                      <w:szCs w:val="21"/>
                      <w:highlight w:val="none"/>
                      <w:lang w:eastAsia="zh-CN"/>
                    </w:rPr>
                    <w:t>——</w:t>
                  </w:r>
                </w:p>
              </w:tc>
              <w:tc>
                <w:tcPr>
                  <w:tcW w:w="1290" w:type="dxa"/>
                  <w:vAlign w:val="center"/>
                </w:tcPr>
                <w:p>
                  <w:pPr>
                    <w:widowControl w:val="0"/>
                    <w:spacing w:after="0" w:line="240" w:lineRule="auto"/>
                    <w:jc w:val="center"/>
                    <w:rPr>
                      <w:color w:val="auto"/>
                      <w:szCs w:val="21"/>
                      <w:highlight w:val="none"/>
                    </w:rPr>
                  </w:pPr>
                  <w:r>
                    <w:rPr>
                      <w:rFonts w:hint="eastAsia" w:ascii="Times New Roman" w:hAnsi="Times New Roman" w:eastAsia="宋体" w:cs="Times New Roman"/>
                      <w:color w:val="auto"/>
                      <w:kern w:val="2"/>
                      <w:sz w:val="21"/>
                      <w:szCs w:val="21"/>
                      <w:highlight w:val="none"/>
                    </w:rPr>
                    <w:t>《地表水环境质量标准》</w:t>
                  </w:r>
                  <w:r>
                    <w:rPr>
                      <w:rFonts w:hint="eastAsia" w:ascii="Times New Roman" w:hAnsi="Times New Roman" w:eastAsia="宋体" w:cs="Times New Roman"/>
                      <w:color w:val="auto"/>
                      <w:kern w:val="2"/>
                      <w:sz w:val="21"/>
                      <w:szCs w:val="21"/>
                      <w:highlight w:val="none"/>
                      <w:lang w:eastAsia="zh-CN"/>
                    </w:rPr>
                    <w:t>地表水功能</w:t>
                  </w:r>
                  <w:r>
                    <w:rPr>
                      <w:rFonts w:hint="default" w:ascii="Times New Roman" w:hAnsi="Times New Roman" w:cs="Times New Roman"/>
                      <w:color w:val="auto"/>
                      <w:sz w:val="21"/>
                      <w:szCs w:val="21"/>
                      <w:shd w:val="clear" w:color="auto" w:fill="auto"/>
                    </w:rPr>
                    <w:t>Ⅱ类</w:t>
                  </w:r>
                  <w:r>
                    <w:rPr>
                      <w:rFonts w:hint="eastAsia" w:ascii="Times New Roman" w:hAnsi="Times New Roman" w:cs="Times New Roman"/>
                      <w:color w:val="auto"/>
                      <w:sz w:val="21"/>
                      <w:szCs w:val="21"/>
                      <w:shd w:val="clear" w:color="auto" w:fill="auto"/>
                      <w:lang w:eastAsia="zh-CN"/>
                    </w:rPr>
                    <w:t>区</w:t>
                  </w:r>
                </w:p>
              </w:tc>
              <w:tc>
                <w:tcPr>
                  <w:tcW w:w="990" w:type="dxa"/>
                  <w:vAlign w:val="center"/>
                </w:tcPr>
                <w:p>
                  <w:pPr>
                    <w:widowControl w:val="0"/>
                    <w:spacing w:after="0" w:line="360" w:lineRule="auto"/>
                    <w:jc w:val="center"/>
                    <w:rPr>
                      <w:rFonts w:hint="eastAsia"/>
                      <w:color w:val="auto"/>
                      <w:szCs w:val="21"/>
                      <w:highlight w:val="none"/>
                    </w:rPr>
                  </w:pPr>
                  <w:r>
                    <w:rPr>
                      <w:rFonts w:hint="eastAsia" w:cs="Times New Roman"/>
                      <w:color w:val="auto"/>
                      <w:kern w:val="2"/>
                      <w:sz w:val="21"/>
                      <w:szCs w:val="21"/>
                      <w:highlight w:val="none"/>
                      <w:lang w:eastAsia="zh-CN"/>
                    </w:rPr>
                    <w:t>南面</w:t>
                  </w:r>
                </w:p>
              </w:tc>
              <w:tc>
                <w:tcPr>
                  <w:tcW w:w="997" w:type="dxa"/>
                  <w:vAlign w:val="center"/>
                </w:tcPr>
                <w:p>
                  <w:pPr>
                    <w:widowControl w:val="0"/>
                    <w:spacing w:after="0" w:line="360" w:lineRule="auto"/>
                    <w:jc w:val="center"/>
                    <w:rPr>
                      <w:rFonts w:hint="default"/>
                      <w:color w:val="auto"/>
                      <w:szCs w:val="21"/>
                      <w:highlight w:val="none"/>
                      <w:lang w:val="en-US" w:eastAsia="zh-CN"/>
                    </w:rPr>
                  </w:pPr>
                  <w:r>
                    <w:rPr>
                      <w:rFonts w:hint="eastAsia"/>
                      <w:color w:val="auto"/>
                      <w:szCs w:val="21"/>
                      <w:highlight w:val="none"/>
                      <w:lang w:val="en-US" w:eastAsia="zh-CN"/>
                    </w:rPr>
                    <w:t>1983</w:t>
                  </w:r>
                </w:p>
              </w:tc>
            </w:tr>
          </w:tbl>
          <w:p>
            <w:pPr>
              <w:adjustRightInd w:val="0"/>
              <w:snapToGrid w:val="0"/>
              <w:ind w:firstLine="480" w:firstLineChars="200"/>
              <w:rPr>
                <w:color w:val="auto"/>
                <w:sz w:val="24"/>
                <w:shd w:val="clear" w:color="auto" w:fill="auto"/>
              </w:rPr>
            </w:pPr>
          </w:p>
        </w:tc>
      </w:tr>
    </w:tbl>
    <w:p>
      <w:pPr>
        <w:pStyle w:val="38"/>
        <w:jc w:val="left"/>
        <w:rPr>
          <w:rFonts w:ascii="Times New Roman" w:hAnsi="Times New Roman"/>
          <w:color w:val="auto"/>
          <w:shd w:val="clear" w:color="auto" w:fill="auto"/>
        </w:rPr>
      </w:pPr>
      <w:r>
        <w:rPr>
          <w:rFonts w:hint="eastAsia" w:ascii="Times New Roman" w:hAnsi="Times New Roman"/>
          <w:color w:val="auto"/>
          <w:shd w:val="clear" w:color="auto" w:fill="auto"/>
        </w:rPr>
        <w:t>评价适用标准</w:t>
      </w:r>
    </w:p>
    <w:tbl>
      <w:tblPr>
        <w:tblStyle w:val="40"/>
        <w:tblW w:w="952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813"/>
        <w:gridCol w:w="871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224" w:hRule="atLeast"/>
        </w:trPr>
        <w:tc>
          <w:tcPr>
            <w:tcW w:w="813" w:type="dxa"/>
            <w:textDirection w:val="tbRlV"/>
            <w:vAlign w:val="center"/>
          </w:tcPr>
          <w:p>
            <w:pPr>
              <w:pStyle w:val="55"/>
              <w:topLinePunct w:val="0"/>
              <w:autoSpaceDE/>
              <w:autoSpaceDN/>
              <w:adjustRightInd/>
              <w:spacing w:before="120" w:line="360" w:lineRule="auto"/>
              <w:ind w:left="113" w:leftChars="0" w:right="113" w:rightChars="0"/>
              <w:textAlignment w:val="auto"/>
              <w:rPr>
                <w:rFonts w:hint="eastAsia" w:ascii="Times New Roman" w:hAnsi="Times New Roman"/>
                <w:color w:val="auto"/>
                <w:kern w:val="2"/>
                <w:szCs w:val="24"/>
                <w:shd w:val="clear" w:color="auto" w:fill="auto"/>
              </w:rPr>
            </w:pPr>
            <w:r>
              <w:rPr>
                <w:rFonts w:hint="eastAsia" w:ascii="Times New Roman" w:hAnsi="Times New Roman"/>
                <w:color w:val="auto"/>
                <w:kern w:val="2"/>
                <w:shd w:val="clear" w:color="auto" w:fill="auto"/>
              </w:rPr>
              <w:t>环境质量标准</w:t>
            </w:r>
          </w:p>
        </w:tc>
        <w:tc>
          <w:tcPr>
            <w:tcW w:w="8715" w:type="dxa"/>
            <w:vAlign w:val="center"/>
          </w:tcPr>
          <w:p>
            <w:pPr>
              <w:pStyle w:val="29"/>
              <w:numPr>
                <w:ilvl w:val="0"/>
                <w:numId w:val="7"/>
              </w:numPr>
              <w:spacing w:line="360" w:lineRule="auto"/>
              <w:ind w:firstLine="0"/>
              <w:rPr>
                <w:rFonts w:hint="eastAsia"/>
                <w:color w:val="auto"/>
                <w:szCs w:val="24"/>
                <w:shd w:val="clear" w:color="auto" w:fill="auto"/>
              </w:rPr>
            </w:pPr>
            <w:r>
              <w:rPr>
                <w:rFonts w:hint="eastAsia"/>
                <w:color w:val="auto"/>
                <w:szCs w:val="24"/>
                <w:shd w:val="clear" w:color="auto" w:fill="auto"/>
              </w:rPr>
              <w:t>《地表水环境质量标准》</w:t>
            </w:r>
            <w:r>
              <w:rPr>
                <w:color w:val="auto"/>
                <w:szCs w:val="24"/>
                <w:shd w:val="clear" w:color="auto" w:fill="auto"/>
              </w:rPr>
              <w:t>(</w:t>
            </w:r>
            <w:r>
              <w:rPr>
                <w:rFonts w:hint="eastAsia"/>
                <w:color w:val="auto"/>
                <w:szCs w:val="24"/>
                <w:shd w:val="clear" w:color="auto" w:fill="auto"/>
              </w:rPr>
              <w:t>GB3838-2002</w:t>
            </w:r>
            <w:r>
              <w:rPr>
                <w:color w:val="auto"/>
                <w:szCs w:val="24"/>
                <w:shd w:val="clear" w:color="auto" w:fill="auto"/>
              </w:rPr>
              <w:t>)</w:t>
            </w:r>
            <w:r>
              <w:rPr>
                <w:color w:val="auto"/>
                <w:shd w:val="clear" w:color="auto" w:fill="auto"/>
              </w:rPr>
              <w:t xml:space="preserve"> </w:t>
            </w:r>
            <w:r>
              <w:rPr>
                <w:rFonts w:hint="eastAsia"/>
                <w:color w:val="auto"/>
                <w:shd w:val="clear" w:color="auto" w:fill="auto"/>
                <w:lang w:eastAsia="zh-CN"/>
              </w:rPr>
              <w:t>Ⅱ类</w:t>
            </w:r>
            <w:r>
              <w:rPr>
                <w:rFonts w:hint="eastAsia"/>
                <w:color w:val="auto"/>
                <w:szCs w:val="24"/>
                <w:shd w:val="clear" w:color="auto" w:fill="auto"/>
              </w:rPr>
              <w:t>水质标准</w:t>
            </w:r>
            <w:r>
              <w:rPr>
                <w:rFonts w:hint="eastAsia"/>
                <w:color w:val="auto"/>
                <w:szCs w:val="24"/>
                <w:shd w:val="clear" w:color="auto" w:fill="auto"/>
                <w:lang w:eastAsia="zh-CN"/>
              </w:rPr>
              <w:t>。</w:t>
            </w:r>
          </w:p>
          <w:p>
            <w:pPr>
              <w:pStyle w:val="139"/>
              <w:numPr>
                <w:ilvl w:val="0"/>
                <w:numId w:val="5"/>
              </w:numPr>
              <w:tabs>
                <w:tab w:val="left" w:pos="420"/>
              </w:tabs>
              <w:spacing w:line="360" w:lineRule="auto"/>
              <w:ind w:left="0" w:firstLine="471"/>
              <w:rPr>
                <w:rFonts w:hint="eastAsia" w:ascii="Times New Roman" w:hAnsi="Times New Roman" w:eastAsia="宋体" w:cs="Times New Roman"/>
                <w:b/>
                <w:color w:val="auto"/>
                <w:sz w:val="21"/>
                <w:szCs w:val="21"/>
                <w:shd w:val="clear" w:color="auto" w:fill="auto"/>
              </w:rPr>
            </w:pPr>
            <w:r>
              <w:rPr>
                <w:rFonts w:hint="eastAsia" w:ascii="Times New Roman" w:hAnsi="Times New Roman" w:eastAsia="宋体" w:cs="Times New Roman"/>
                <w:b/>
                <w:color w:val="auto"/>
                <w:sz w:val="21"/>
                <w:szCs w:val="21"/>
                <w:shd w:val="clear" w:color="auto" w:fill="auto"/>
              </w:rPr>
              <w:t>地表水环境质量标准（摘录）     单位：mg/L</w:t>
            </w:r>
          </w:p>
          <w:tbl>
            <w:tblPr>
              <w:tblStyle w:val="40"/>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838"/>
              <w:gridCol w:w="849"/>
              <w:gridCol w:w="1017"/>
              <w:gridCol w:w="941"/>
              <w:gridCol w:w="983"/>
              <w:gridCol w:w="834"/>
              <w:gridCol w:w="861"/>
              <w:gridCol w:w="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类别</w:t>
                  </w:r>
                </w:p>
              </w:tc>
              <w:tc>
                <w:tcPr>
                  <w:tcW w:w="838"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pH</w:t>
                  </w:r>
                </w:p>
              </w:tc>
              <w:tc>
                <w:tcPr>
                  <w:tcW w:w="849"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COD</w:t>
                  </w:r>
                  <w:r>
                    <w:rPr>
                      <w:rFonts w:hint="default" w:ascii="Times New Roman" w:hAnsi="Times New Roman" w:cs="Times New Roman"/>
                      <w:b/>
                      <w:color w:val="auto"/>
                      <w:sz w:val="21"/>
                      <w:szCs w:val="21"/>
                      <w:vertAlign w:val="subscript"/>
                    </w:rPr>
                    <w:t>Cr</w:t>
                  </w:r>
                </w:p>
              </w:tc>
              <w:tc>
                <w:tcPr>
                  <w:tcW w:w="1017"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BOD</w:t>
                  </w:r>
                  <w:r>
                    <w:rPr>
                      <w:rFonts w:hint="default" w:ascii="Times New Roman" w:hAnsi="Times New Roman" w:cs="Times New Roman"/>
                      <w:b/>
                      <w:color w:val="auto"/>
                      <w:sz w:val="21"/>
                      <w:szCs w:val="21"/>
                      <w:vertAlign w:val="subscript"/>
                    </w:rPr>
                    <w:t>5</w:t>
                  </w:r>
                </w:p>
              </w:tc>
              <w:tc>
                <w:tcPr>
                  <w:tcW w:w="941"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DO</w:t>
                  </w:r>
                </w:p>
              </w:tc>
              <w:tc>
                <w:tcPr>
                  <w:tcW w:w="983"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NH</w:t>
                  </w:r>
                  <w:r>
                    <w:rPr>
                      <w:rFonts w:hint="default" w:ascii="Times New Roman" w:hAnsi="Times New Roman" w:cs="Times New Roman"/>
                      <w:b/>
                      <w:color w:val="auto"/>
                      <w:sz w:val="21"/>
                      <w:szCs w:val="21"/>
                      <w:vertAlign w:val="subscript"/>
                    </w:rPr>
                    <w:t>3</w:t>
                  </w:r>
                  <w:r>
                    <w:rPr>
                      <w:rFonts w:hint="default" w:ascii="Times New Roman" w:hAnsi="Times New Roman" w:cs="Times New Roman"/>
                      <w:b/>
                      <w:color w:val="auto"/>
                      <w:sz w:val="21"/>
                      <w:szCs w:val="21"/>
                    </w:rPr>
                    <w:t>-N</w:t>
                  </w:r>
                </w:p>
              </w:tc>
              <w:tc>
                <w:tcPr>
                  <w:tcW w:w="834"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总磷</w:t>
                  </w:r>
                </w:p>
              </w:tc>
              <w:tc>
                <w:tcPr>
                  <w:tcW w:w="861" w:type="dxa"/>
                  <w:vAlign w:val="center"/>
                </w:tcPr>
                <w:p>
                  <w:pPr>
                    <w:spacing w:line="36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LAS</w:t>
                  </w:r>
                </w:p>
              </w:tc>
              <w:tc>
                <w:tcPr>
                  <w:tcW w:w="856" w:type="dxa"/>
                  <w:vAlign w:val="center"/>
                </w:tcPr>
                <w:p>
                  <w:pPr>
                    <w:spacing w:line="360" w:lineRule="auto"/>
                    <w:jc w:val="center"/>
                    <w:rPr>
                      <w:rFonts w:hint="default"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lang w:eastAsia="zh-CN"/>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1" w:type="dxa"/>
                  <w:vAlign w:val="center"/>
                </w:tcPr>
                <w:p>
                  <w:pPr>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Ⅱ类标准</w:t>
                  </w:r>
                </w:p>
              </w:tc>
              <w:tc>
                <w:tcPr>
                  <w:tcW w:w="838" w:type="dxa"/>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w:t>
                  </w:r>
                </w:p>
              </w:tc>
              <w:tc>
                <w:tcPr>
                  <w:tcW w:w="849"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15</w:t>
                  </w:r>
                </w:p>
              </w:tc>
              <w:tc>
                <w:tcPr>
                  <w:tcW w:w="1017"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3</w:t>
                  </w:r>
                </w:p>
              </w:tc>
              <w:tc>
                <w:tcPr>
                  <w:tcW w:w="941"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6</w:t>
                  </w:r>
                </w:p>
              </w:tc>
              <w:tc>
                <w:tcPr>
                  <w:tcW w:w="983"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0.5</w:t>
                  </w:r>
                </w:p>
              </w:tc>
              <w:tc>
                <w:tcPr>
                  <w:tcW w:w="834"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0.1</w:t>
                  </w:r>
                </w:p>
              </w:tc>
              <w:tc>
                <w:tcPr>
                  <w:tcW w:w="861"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0.2</w:t>
                  </w:r>
                </w:p>
              </w:tc>
              <w:tc>
                <w:tcPr>
                  <w:tcW w:w="856" w:type="dxa"/>
                  <w:vAlign w:val="center"/>
                </w:tcPr>
                <w:p>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0.05</w:t>
                  </w:r>
                </w:p>
              </w:tc>
            </w:tr>
          </w:tbl>
          <w:p>
            <w:pPr>
              <w:pStyle w:val="29"/>
              <w:numPr>
                <w:ilvl w:val="0"/>
                <w:numId w:val="7"/>
              </w:numPr>
              <w:spacing w:line="360" w:lineRule="auto"/>
              <w:ind w:left="0" w:leftChars="0" w:firstLine="0" w:firstLineChars="0"/>
              <w:rPr>
                <w:rFonts w:hint="eastAsia"/>
                <w:color w:val="auto"/>
                <w:szCs w:val="24"/>
                <w:shd w:val="clear" w:color="auto" w:fill="auto"/>
              </w:rPr>
            </w:pPr>
            <w:r>
              <w:rPr>
                <w:rFonts w:hint="eastAsia"/>
                <w:color w:val="auto"/>
                <w:szCs w:val="24"/>
                <w:shd w:val="clear" w:color="auto" w:fill="auto"/>
              </w:rPr>
              <w:t>《环境空气质量标准》（GB3095-2012）及”2018修改单”二级标准</w:t>
            </w:r>
            <w:r>
              <w:rPr>
                <w:rFonts w:hint="eastAsia"/>
                <w:color w:val="auto"/>
                <w:szCs w:val="24"/>
                <w:shd w:val="clear" w:color="auto" w:fill="auto"/>
                <w:lang w:eastAsia="zh-CN"/>
              </w:rPr>
              <w:t>。</w:t>
            </w:r>
          </w:p>
          <w:p>
            <w:pPr>
              <w:pStyle w:val="139"/>
              <w:keepNext w:val="0"/>
              <w:keepLines w:val="0"/>
              <w:pageBreakBefore w:val="0"/>
              <w:numPr>
                <w:ilvl w:val="0"/>
                <w:numId w:val="5"/>
              </w:numPr>
              <w:tabs>
                <w:tab w:val="left" w:pos="420"/>
              </w:tabs>
              <w:wordWrap/>
              <w:topLinePunct w:val="0"/>
              <w:bidi w:val="0"/>
              <w:spacing w:line="360" w:lineRule="auto"/>
              <w:ind w:left="0" w:firstLine="471"/>
              <w:rPr>
                <w:rFonts w:hint="default" w:ascii="Times New Roman" w:hAnsi="Times New Roman" w:eastAsia="宋体" w:cs="Times New Roman"/>
                <w:b/>
                <w:color w:val="auto"/>
                <w:sz w:val="21"/>
                <w:szCs w:val="21"/>
                <w:highlight w:val="none"/>
                <w:shd w:val="clear" w:color="auto" w:fill="auto"/>
              </w:rPr>
            </w:pPr>
            <w:r>
              <w:rPr>
                <w:rFonts w:hint="default" w:ascii="Times New Roman" w:hAnsi="Times New Roman" w:eastAsia="宋体" w:cs="Times New Roman"/>
                <w:b/>
                <w:color w:val="auto"/>
                <w:sz w:val="21"/>
                <w:szCs w:val="21"/>
                <w:highlight w:val="none"/>
                <w:shd w:val="clear" w:color="auto" w:fill="auto"/>
              </w:rPr>
              <w:t xml:space="preserve">环境空气质量标准 （摘录）   </w:t>
            </w:r>
          </w:p>
          <w:tbl>
            <w:tblPr>
              <w:tblStyle w:val="40"/>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2115"/>
              <w:gridCol w:w="2130"/>
              <w:gridCol w:w="1500"/>
              <w:gridCol w:w="1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b/>
                      <w:bCs/>
                      <w:color w:val="auto"/>
                      <w:sz w:val="21"/>
                      <w:szCs w:val="21"/>
                      <w:highlight w:val="none"/>
                    </w:rPr>
                    <w:t>序号</w:t>
                  </w:r>
                </w:p>
              </w:tc>
              <w:tc>
                <w:tcPr>
                  <w:tcW w:w="21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b/>
                      <w:bCs/>
                      <w:color w:val="auto"/>
                      <w:sz w:val="21"/>
                      <w:szCs w:val="21"/>
                      <w:highlight w:val="none"/>
                    </w:rPr>
                    <w:t>污染物名称</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b/>
                      <w:bCs/>
                      <w:color w:val="auto"/>
                      <w:sz w:val="21"/>
                      <w:szCs w:val="21"/>
                      <w:highlight w:val="none"/>
                    </w:rPr>
                    <w:t>取值时间</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b/>
                      <w:bCs/>
                      <w:color w:val="auto"/>
                      <w:sz w:val="21"/>
                      <w:szCs w:val="21"/>
                      <w:highlight w:val="none"/>
                    </w:rPr>
                    <w:t>二级标准</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highlight w:val="none"/>
                      <w:lang w:eastAsia="zh-CN"/>
                    </w:rPr>
                  </w:pPr>
                  <w:r>
                    <w:rPr>
                      <w:rFonts w:hint="eastAsia" w:eastAsia="宋体" w:cs="Times New Roman"/>
                      <w:b/>
                      <w:bCs/>
                      <w:color w:val="auto"/>
                      <w:sz w:val="21"/>
                      <w:szCs w:val="21"/>
                      <w:highlight w:val="none"/>
                      <w:lang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w:t>
                  </w:r>
                </w:p>
              </w:tc>
              <w:tc>
                <w:tcPr>
                  <w:tcW w:w="21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二氧化硫（SO</w:t>
                  </w:r>
                  <w:r>
                    <w:rPr>
                      <w:rFonts w:hint="default" w:ascii="Times New Roman" w:hAnsi="Times New Roman" w:eastAsia="Times New Roman" w:cs="Times New Roman"/>
                      <w:color w:val="auto"/>
                      <w:sz w:val="21"/>
                      <w:szCs w:val="21"/>
                      <w:highlight w:val="none"/>
                      <w:vertAlign w:val="subscript"/>
                    </w:rPr>
                    <w:t>2</w:t>
                  </w:r>
                  <w:r>
                    <w:rPr>
                      <w:rFonts w:hint="default" w:ascii="Times New Roman" w:hAnsi="Times New Roman" w:eastAsia="Times New Roman" w:cs="Times New Roman"/>
                      <w:color w:val="auto"/>
                      <w:sz w:val="21"/>
                      <w:szCs w:val="21"/>
                      <w:highlight w:val="none"/>
                    </w:rPr>
                    <w:t>）</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年平均值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60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日平均值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150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1小时平均值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500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2</w:t>
                  </w:r>
                </w:p>
              </w:tc>
              <w:tc>
                <w:tcPr>
                  <w:tcW w:w="21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二氧化氮（NO</w:t>
                  </w:r>
                  <w:r>
                    <w:rPr>
                      <w:rFonts w:hint="default" w:ascii="Times New Roman" w:hAnsi="Times New Roman" w:eastAsia="Times New Roman" w:cs="Times New Roman"/>
                      <w:color w:val="auto"/>
                      <w:sz w:val="21"/>
                      <w:szCs w:val="21"/>
                      <w:highlight w:val="none"/>
                      <w:vertAlign w:val="subscript"/>
                    </w:rPr>
                    <w:t>2</w:t>
                  </w:r>
                  <w:r>
                    <w:rPr>
                      <w:rFonts w:hint="default" w:ascii="Times New Roman" w:hAnsi="Times New Roman" w:eastAsia="Times New Roman" w:cs="Times New Roman"/>
                      <w:color w:val="auto"/>
                      <w:sz w:val="21"/>
                      <w:szCs w:val="21"/>
                      <w:highlight w:val="none"/>
                    </w:rPr>
                    <w:t>）</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年平均值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40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日平均值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80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1小时平均值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200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1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一氧化碳（CO）</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日平均值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rPr>
                  </w:pPr>
                  <w:r>
                    <w:rPr>
                      <w:rFonts w:hint="eastAsia" w:cs="Times New Roman"/>
                      <w:b w:val="0"/>
                      <w:bCs/>
                      <w:color w:val="auto"/>
                      <w:sz w:val="21"/>
                      <w:szCs w:val="21"/>
                      <w:highlight w:val="none"/>
                      <w:lang w:val="en-US" w:eastAsia="zh-CN"/>
                    </w:rPr>
                    <w:t>m</w:t>
                  </w:r>
                  <w:r>
                    <w:rPr>
                      <w:rFonts w:hint="default" w:eastAsia="宋体" w:cs="Times New Roman"/>
                      <w:b w:val="0"/>
                      <w:bCs/>
                      <w:color w:val="auto"/>
                      <w:sz w:val="21"/>
                      <w:szCs w:val="21"/>
                      <w:highlight w:val="none"/>
                    </w:rPr>
                    <w:t>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1小时平均值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rPr>
                  </w:pPr>
                  <w:r>
                    <w:rPr>
                      <w:rFonts w:hint="eastAsia" w:cs="Times New Roman"/>
                      <w:b w:val="0"/>
                      <w:bCs/>
                      <w:color w:val="auto"/>
                      <w:sz w:val="21"/>
                      <w:szCs w:val="21"/>
                      <w:highlight w:val="none"/>
                      <w:lang w:val="en-US" w:eastAsia="zh-CN"/>
                    </w:rPr>
                    <w:t>m</w:t>
                  </w:r>
                  <w:r>
                    <w:rPr>
                      <w:rFonts w:hint="default" w:eastAsia="宋体" w:cs="Times New Roman"/>
                      <w:b w:val="0"/>
                      <w:bCs/>
                      <w:color w:val="auto"/>
                      <w:sz w:val="21"/>
                      <w:szCs w:val="21"/>
                      <w:highlight w:val="none"/>
                    </w:rPr>
                    <w:t>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1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臭氧（O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日最大8小时平均值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日平均值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21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颗粒物（PM</w:t>
                  </w:r>
                  <w:r>
                    <w:rPr>
                      <w:rFonts w:hint="default" w:ascii="Times New Roman" w:hAnsi="Times New Roman" w:cs="Times New Roman"/>
                      <w:color w:val="auto"/>
                      <w:sz w:val="21"/>
                      <w:szCs w:val="21"/>
                      <w:highlight w:val="none"/>
                      <w:vertAlign w:val="subscript"/>
                    </w:rPr>
                    <w:t>10</w:t>
                  </w:r>
                  <w:r>
                    <w:rPr>
                      <w:rFonts w:hint="default" w:ascii="Times New Roman" w:hAnsi="Times New Roman" w:cs="Times New Roman"/>
                      <w:color w:val="auto"/>
                      <w:sz w:val="21"/>
                      <w:szCs w:val="21"/>
                      <w:highlight w:val="none"/>
                    </w:rPr>
                    <w:t>）</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年平均值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日平均值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w:t>
                  </w:r>
                </w:p>
              </w:tc>
              <w:tc>
                <w:tcPr>
                  <w:tcW w:w="2115" w:type="dxa"/>
                  <w:vMerge w:val="restart"/>
                  <w:tcBorders>
                    <w:tl2br w:val="nil"/>
                    <w:tr2bl w:val="nil"/>
                  </w:tcBorders>
                  <w:noWrap w:val="0"/>
                  <w:vAlign w:val="center"/>
                </w:tcPr>
                <w:p>
                  <w:pPr>
                    <w:keepNext w:val="0"/>
                    <w:keepLines w:val="0"/>
                    <w:pageBreakBefore w:val="0"/>
                    <w:widowControl w:val="0"/>
                    <w:wordWrap/>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颗粒物（PM</w:t>
                  </w:r>
                  <w:r>
                    <w:rPr>
                      <w:rFonts w:hint="eastAsia"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rPr>
                    <w:t>）</w:t>
                  </w: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35</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sz w:val="21"/>
                      <w:szCs w:val="21"/>
                      <w:highlight w:val="none"/>
                      <w:lang w:val="en-US" w:eastAsia="zh-CN"/>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keepNext w:val="0"/>
                    <w:keepLines w:val="0"/>
                    <w:pageBreakBefore w:val="0"/>
                    <w:widowControl w:val="0"/>
                    <w:wordWrap/>
                    <w:topLinePunct w:val="0"/>
                    <w:bidi w:val="0"/>
                    <w:spacing w:line="240" w:lineRule="auto"/>
                    <w:jc w:val="center"/>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日平均值</w:t>
                  </w:r>
                </w:p>
              </w:tc>
              <w:tc>
                <w:tcPr>
                  <w:tcW w:w="15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75</w:t>
                  </w:r>
                </w:p>
              </w:tc>
              <w:tc>
                <w:tcPr>
                  <w:tcW w:w="164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sz w:val="21"/>
                      <w:szCs w:val="21"/>
                      <w:highlight w:val="none"/>
                      <w:lang w:val="en-US" w:eastAsia="zh-CN"/>
                    </w:rPr>
                  </w:pPr>
                  <w:r>
                    <w:rPr>
                      <w:rFonts w:hint="default" w:eastAsia="宋体" w:cs="Times New Roman"/>
                      <w:b w:val="0"/>
                      <w:bCs/>
                      <w:color w:val="auto"/>
                      <w:sz w:val="21"/>
                      <w:szCs w:val="21"/>
                      <w:highlight w:val="none"/>
                    </w:rPr>
                    <w:t>μg/m</w:t>
                  </w:r>
                  <w:r>
                    <w:rPr>
                      <w:rFonts w:eastAsia="宋体" w:cs="Times New Roman"/>
                      <w:b w:val="0"/>
                      <w:bCs/>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2115" w:type="dxa"/>
                  <w:vMerge w:val="restart"/>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lang w:val="en-US"/>
                    </w:rPr>
                  </w:pPr>
                  <w:r>
                    <w:rPr>
                      <w:rFonts w:hint="eastAsia"/>
                      <w:color w:val="auto"/>
                      <w:sz w:val="21"/>
                      <w:szCs w:val="21"/>
                      <w:lang w:val="en-US" w:eastAsia="zh-CN"/>
                    </w:rPr>
                    <w:t>TSP（总悬浮颗粒物）</w:t>
                  </w:r>
                </w:p>
              </w:tc>
              <w:tc>
                <w:tcPr>
                  <w:tcW w:w="2130"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rPr>
                  </w:pPr>
                  <w:r>
                    <w:rPr>
                      <w:color w:val="auto"/>
                      <w:sz w:val="21"/>
                      <w:szCs w:val="21"/>
                    </w:rPr>
                    <w:t>年平均值</w:t>
                  </w:r>
                </w:p>
              </w:tc>
              <w:tc>
                <w:tcPr>
                  <w:tcW w:w="1500" w:type="dxa"/>
                  <w:tcBorders>
                    <w:tl2br w:val="nil"/>
                    <w:tr2bl w:val="nil"/>
                  </w:tcBorders>
                  <w:noWrap w:val="0"/>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color w:val="auto"/>
                      <w:sz w:val="21"/>
                      <w:szCs w:val="21"/>
                      <w:lang w:val="en-US" w:eastAsia="zh-CN"/>
                    </w:rPr>
                    <w:t>200</w:t>
                  </w:r>
                </w:p>
              </w:tc>
              <w:tc>
                <w:tcPr>
                  <w:tcW w:w="1640" w:type="dxa"/>
                  <w:tcBorders>
                    <w:tl2br w:val="nil"/>
                    <w:tr2bl w:val="nil"/>
                  </w:tcBorders>
                  <w:noWrap w:val="0"/>
                  <w:vAlign w:val="center"/>
                </w:tcPr>
                <w:p>
                  <w:pPr>
                    <w:spacing w:line="240" w:lineRule="auto"/>
                    <w:jc w:val="center"/>
                    <w:rPr>
                      <w:rFonts w:hint="default" w:eastAsia="宋体" w:cs="Times New Roman"/>
                      <w:b w:val="0"/>
                      <w:bCs/>
                      <w:color w:val="auto"/>
                      <w:sz w:val="21"/>
                      <w:szCs w:val="21"/>
                      <w:highlight w:val="none"/>
                    </w:rPr>
                  </w:pPr>
                  <w:r>
                    <w:rPr>
                      <w:bCs/>
                      <w:color w:val="auto"/>
                      <w:sz w:val="21"/>
                      <w:szCs w:val="21"/>
                    </w:rPr>
                    <w:t>μg/m</w:t>
                  </w:r>
                  <w:r>
                    <w:rPr>
                      <w:bCs/>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2115" w:type="dxa"/>
                  <w:vMerge w:val="continue"/>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rPr>
                  </w:pPr>
                </w:p>
              </w:tc>
              <w:tc>
                <w:tcPr>
                  <w:tcW w:w="2130" w:type="dxa"/>
                  <w:tcBorders>
                    <w:tl2br w:val="nil"/>
                    <w:tr2bl w:val="nil"/>
                  </w:tcBorders>
                  <w:noWrap w:val="0"/>
                  <w:vAlign w:val="center"/>
                </w:tcPr>
                <w:p>
                  <w:pPr>
                    <w:spacing w:line="240" w:lineRule="auto"/>
                    <w:jc w:val="center"/>
                    <w:rPr>
                      <w:rFonts w:hint="default" w:ascii="Times New Roman" w:hAnsi="Times New Roman" w:cs="Times New Roman"/>
                      <w:color w:val="auto"/>
                      <w:sz w:val="21"/>
                      <w:szCs w:val="21"/>
                      <w:highlight w:val="none"/>
                    </w:rPr>
                  </w:pPr>
                  <w:r>
                    <w:rPr>
                      <w:color w:val="auto"/>
                      <w:sz w:val="21"/>
                      <w:szCs w:val="21"/>
                    </w:rPr>
                    <w:t>日平均值</w:t>
                  </w:r>
                </w:p>
              </w:tc>
              <w:tc>
                <w:tcPr>
                  <w:tcW w:w="1500" w:type="dxa"/>
                  <w:tcBorders>
                    <w:tl2br w:val="nil"/>
                    <w:tr2bl w:val="nil"/>
                  </w:tcBorders>
                  <w:noWrap w:val="0"/>
                  <w:vAlign w:val="center"/>
                </w:tcPr>
                <w:p>
                  <w:pPr>
                    <w:spacing w:line="240" w:lineRule="auto"/>
                    <w:jc w:val="center"/>
                    <w:rPr>
                      <w:rFonts w:hint="eastAsia" w:ascii="Times New Roman" w:hAnsi="Times New Roman" w:cs="Times New Roman"/>
                      <w:color w:val="auto"/>
                      <w:sz w:val="21"/>
                      <w:szCs w:val="21"/>
                      <w:highlight w:val="none"/>
                      <w:lang w:val="en-US" w:eastAsia="zh-CN"/>
                    </w:rPr>
                  </w:pPr>
                  <w:r>
                    <w:rPr>
                      <w:rFonts w:hint="eastAsia"/>
                      <w:color w:val="auto"/>
                      <w:sz w:val="21"/>
                      <w:szCs w:val="21"/>
                      <w:lang w:val="en-US" w:eastAsia="zh-CN"/>
                    </w:rPr>
                    <w:t>300</w:t>
                  </w:r>
                </w:p>
              </w:tc>
              <w:tc>
                <w:tcPr>
                  <w:tcW w:w="1640" w:type="dxa"/>
                  <w:tcBorders>
                    <w:tl2br w:val="nil"/>
                    <w:tr2bl w:val="nil"/>
                  </w:tcBorders>
                  <w:noWrap w:val="0"/>
                  <w:vAlign w:val="center"/>
                </w:tcPr>
                <w:p>
                  <w:pPr>
                    <w:spacing w:line="240" w:lineRule="auto"/>
                    <w:jc w:val="center"/>
                    <w:rPr>
                      <w:rFonts w:hint="default" w:eastAsia="宋体" w:cs="Times New Roman"/>
                      <w:b w:val="0"/>
                      <w:bCs/>
                      <w:color w:val="auto"/>
                      <w:sz w:val="21"/>
                      <w:szCs w:val="21"/>
                      <w:highlight w:val="none"/>
                    </w:rPr>
                  </w:pPr>
                  <w:r>
                    <w:rPr>
                      <w:bCs/>
                      <w:color w:val="auto"/>
                      <w:sz w:val="21"/>
                      <w:szCs w:val="21"/>
                    </w:rPr>
                    <w:t>μg/m</w:t>
                  </w:r>
                  <w:r>
                    <w:rPr>
                      <w:bCs/>
                      <w:color w:val="auto"/>
                      <w:sz w:val="21"/>
                      <w:szCs w:val="21"/>
                      <w:vertAlign w:val="superscript"/>
                    </w:rPr>
                    <w:t>3</w:t>
                  </w:r>
                </w:p>
              </w:tc>
            </w:tr>
          </w:tbl>
          <w:p>
            <w:pPr>
              <w:widowControl/>
              <w:numPr>
                <w:ilvl w:val="0"/>
                <w:numId w:val="7"/>
              </w:numPr>
              <w:spacing w:line="240" w:lineRule="auto"/>
              <w:ind w:left="0" w:leftChars="0" w:firstLine="0" w:firstLineChars="0"/>
              <w:jc w:val="left"/>
              <w:rPr>
                <w:rFonts w:ascii="Times New Roman" w:hAnsi="Times New Roman" w:eastAsia="宋体" w:cs="Times New Roman"/>
                <w:color w:val="auto"/>
                <w:kern w:val="0"/>
                <w:sz w:val="24"/>
                <w:szCs w:val="24"/>
                <w:highlight w:val="none"/>
                <w:lang w:val="en-US" w:eastAsia="zh-CN" w:bidi="ar-SA"/>
              </w:rPr>
            </w:pPr>
            <w:r>
              <w:rPr>
                <w:rFonts w:ascii="Times New Roman" w:hAnsi="Times New Roman" w:eastAsia="宋体" w:cs="Times New Roman"/>
                <w:color w:val="auto"/>
                <w:kern w:val="0"/>
                <w:sz w:val="24"/>
                <w:szCs w:val="20"/>
                <w:highlight w:val="none"/>
                <w:lang w:val="en-US" w:eastAsia="zh-CN" w:bidi="ar-SA"/>
              </w:rPr>
              <w:t>非甲烷总烃</w:t>
            </w:r>
            <w:r>
              <w:rPr>
                <w:rFonts w:ascii="Times New Roman" w:hAnsi="Times New Roman" w:eastAsia="宋体" w:cs="Times New Roman"/>
                <w:color w:val="auto"/>
                <w:kern w:val="0"/>
                <w:sz w:val="24"/>
                <w:szCs w:val="24"/>
                <w:highlight w:val="none"/>
                <w:lang w:val="en-US" w:eastAsia="zh-CN" w:bidi="ar-SA"/>
              </w:rPr>
              <w:t>执行《大气污染物综合排放标准详解》中解释标准；</w:t>
            </w:r>
          </w:p>
          <w:p>
            <w:pPr>
              <w:widowControl/>
              <w:numPr>
                <w:ilvl w:val="0"/>
                <w:numId w:val="5"/>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 xml:space="preserve">《大气污染物综合排放标准详解》摘录    </w:t>
            </w:r>
          </w:p>
          <w:tbl>
            <w:tblPr>
              <w:tblStyle w:val="40"/>
              <w:tblW w:w="8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3"/>
              <w:gridCol w:w="2813"/>
              <w:gridCol w:w="2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2813" w:type="dxa"/>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类别</w:t>
                  </w:r>
                </w:p>
              </w:tc>
              <w:tc>
                <w:tcPr>
                  <w:tcW w:w="2813" w:type="dxa"/>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浓度标准（mg/m³）</w:t>
                  </w:r>
                </w:p>
              </w:tc>
              <w:tc>
                <w:tcPr>
                  <w:tcW w:w="2814" w:type="dxa"/>
                  <w:vAlign w:val="center"/>
                </w:tcPr>
                <w:p>
                  <w:pPr>
                    <w:widowControl w:val="0"/>
                    <w:spacing w:after="0" w:line="240" w:lineRule="auto"/>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2813"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非甲烷总烃</w:t>
                  </w:r>
                </w:p>
              </w:tc>
              <w:tc>
                <w:tcPr>
                  <w:tcW w:w="2813"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2.0</w:t>
                  </w:r>
                </w:p>
              </w:tc>
              <w:tc>
                <w:tcPr>
                  <w:tcW w:w="2814" w:type="dxa"/>
                  <w:vAlign w:val="center"/>
                </w:tcPr>
                <w:p>
                  <w:pPr>
                    <w:widowControl w:val="0"/>
                    <w:spacing w:after="0"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r>
          </w:tbl>
          <w:p>
            <w:pPr>
              <w:pStyle w:val="29"/>
              <w:numPr>
                <w:ilvl w:val="0"/>
                <w:numId w:val="7"/>
              </w:numPr>
              <w:spacing w:line="360" w:lineRule="auto"/>
              <w:ind w:left="0" w:leftChars="0" w:firstLine="0" w:firstLineChars="0"/>
              <w:rPr>
                <w:rFonts w:hint="eastAsia"/>
                <w:color w:val="auto"/>
                <w:szCs w:val="24"/>
                <w:shd w:val="clear" w:color="auto" w:fill="auto"/>
              </w:rPr>
            </w:pPr>
            <w:r>
              <w:rPr>
                <w:color w:val="auto"/>
                <w:shd w:val="clear" w:color="auto" w:fill="auto"/>
              </w:rPr>
              <w:t>《</w:t>
            </w:r>
            <w:r>
              <w:rPr>
                <w:rFonts w:hint="eastAsia"/>
                <w:color w:val="auto"/>
                <w:shd w:val="clear" w:color="auto" w:fill="auto"/>
              </w:rPr>
              <w:t>声环境质量标准</w:t>
            </w:r>
            <w:r>
              <w:rPr>
                <w:color w:val="auto"/>
                <w:shd w:val="clear" w:color="auto" w:fill="auto"/>
              </w:rPr>
              <w:t>》(GB309</w:t>
            </w:r>
            <w:r>
              <w:rPr>
                <w:rFonts w:hint="eastAsia"/>
                <w:color w:val="auto"/>
                <w:shd w:val="clear" w:color="auto" w:fill="auto"/>
              </w:rPr>
              <w:t>6</w:t>
            </w:r>
            <w:r>
              <w:rPr>
                <w:color w:val="auto"/>
                <w:shd w:val="clear" w:color="auto" w:fill="auto"/>
              </w:rPr>
              <w:t>—</w:t>
            </w:r>
            <w:r>
              <w:rPr>
                <w:rFonts w:hint="eastAsia"/>
                <w:color w:val="auto"/>
                <w:shd w:val="clear" w:color="auto" w:fill="auto"/>
              </w:rPr>
              <w:t>2008</w:t>
            </w:r>
            <w:r>
              <w:rPr>
                <w:color w:val="auto"/>
                <w:shd w:val="clear" w:color="auto" w:fill="auto"/>
              </w:rPr>
              <w:t>)</w:t>
            </w:r>
            <w:r>
              <w:rPr>
                <w:rFonts w:hint="eastAsia"/>
                <w:color w:val="auto"/>
                <w:shd w:val="clear" w:color="auto" w:fill="auto"/>
              </w:rPr>
              <w:t xml:space="preserve"> </w:t>
            </w:r>
            <w:r>
              <w:rPr>
                <w:rFonts w:hint="eastAsia"/>
                <w:color w:val="auto"/>
                <w:shd w:val="clear" w:color="auto" w:fill="auto"/>
                <w:lang w:eastAsia="zh-CN"/>
              </w:rPr>
              <w:t>2类</w:t>
            </w:r>
            <w:r>
              <w:rPr>
                <w:color w:val="auto"/>
                <w:sz w:val="24"/>
              </w:rPr>
              <w:t>和4a类</w:t>
            </w:r>
            <w:r>
              <w:rPr>
                <w:color w:val="auto"/>
                <w:shd w:val="clear" w:color="auto" w:fill="auto"/>
              </w:rPr>
              <w:t>标准</w:t>
            </w:r>
            <w:r>
              <w:rPr>
                <w:rFonts w:hint="eastAsia"/>
                <w:color w:val="auto"/>
                <w:szCs w:val="24"/>
                <w:shd w:val="clear" w:color="auto" w:fill="auto"/>
                <w:lang w:eastAsia="zh-CN"/>
              </w:rPr>
              <w:t>。</w:t>
            </w:r>
          </w:p>
          <w:p>
            <w:pPr>
              <w:pStyle w:val="139"/>
              <w:numPr>
                <w:ilvl w:val="0"/>
                <w:numId w:val="5"/>
              </w:numPr>
              <w:tabs>
                <w:tab w:val="left" w:pos="420"/>
              </w:tabs>
              <w:spacing w:line="360" w:lineRule="auto"/>
              <w:ind w:left="0" w:firstLine="471"/>
              <w:rPr>
                <w:rFonts w:hint="eastAsia" w:ascii="Times New Roman" w:hAnsi="Times New Roman" w:eastAsia="宋体" w:cs="Times New Roman"/>
                <w:b/>
                <w:color w:val="auto"/>
                <w:sz w:val="21"/>
                <w:szCs w:val="21"/>
                <w:shd w:val="clear" w:color="auto" w:fill="auto"/>
              </w:rPr>
            </w:pPr>
            <w:r>
              <w:rPr>
                <w:rFonts w:hint="eastAsia" w:ascii="Times New Roman" w:hAnsi="Times New Roman" w:eastAsia="宋体" w:cs="Times New Roman"/>
                <w:b/>
                <w:color w:val="auto"/>
                <w:sz w:val="21"/>
                <w:szCs w:val="21"/>
                <w:shd w:val="clear" w:color="auto" w:fill="auto"/>
              </w:rPr>
              <w:t>项目所在区域环境噪声标准限值    单位：dB（A）</w:t>
            </w:r>
          </w:p>
          <w:tbl>
            <w:tblPr>
              <w:tblStyle w:val="40"/>
              <w:tblW w:w="8584"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43"/>
              <w:gridCol w:w="1939"/>
              <w:gridCol w:w="200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83" w:hRule="atLeast"/>
                <w:jc w:val="center"/>
              </w:trPr>
              <w:tc>
                <w:tcPr>
                  <w:tcW w:w="4643" w:type="dxa"/>
                  <w:vAlign w:val="center"/>
                </w:tcPr>
                <w:p>
                  <w:pPr>
                    <w:adjustRightInd w:val="0"/>
                    <w:snapToGrid w:val="0"/>
                    <w:spacing w:line="240" w:lineRule="auto"/>
                    <w:jc w:val="center"/>
                    <w:rPr>
                      <w:b/>
                      <w:color w:val="auto"/>
                      <w:szCs w:val="21"/>
                    </w:rPr>
                  </w:pPr>
                  <w:r>
                    <w:rPr>
                      <w:rFonts w:hAnsi="宋体"/>
                      <w:b/>
                      <w:color w:val="auto"/>
                      <w:szCs w:val="21"/>
                    </w:rPr>
                    <w:t>类</w:t>
                  </w:r>
                  <w:r>
                    <w:rPr>
                      <w:b/>
                      <w:color w:val="auto"/>
                      <w:szCs w:val="21"/>
                    </w:rPr>
                    <w:t xml:space="preserve">  </w:t>
                  </w:r>
                  <w:r>
                    <w:rPr>
                      <w:rFonts w:hAnsi="宋体"/>
                      <w:b/>
                      <w:color w:val="auto"/>
                      <w:szCs w:val="21"/>
                    </w:rPr>
                    <w:t>别</w:t>
                  </w:r>
                </w:p>
              </w:tc>
              <w:tc>
                <w:tcPr>
                  <w:tcW w:w="1939" w:type="dxa"/>
                  <w:vAlign w:val="center"/>
                </w:tcPr>
                <w:p>
                  <w:pPr>
                    <w:adjustRightInd w:val="0"/>
                    <w:snapToGrid w:val="0"/>
                    <w:spacing w:line="240" w:lineRule="auto"/>
                    <w:jc w:val="center"/>
                    <w:rPr>
                      <w:b/>
                      <w:color w:val="auto"/>
                      <w:szCs w:val="21"/>
                    </w:rPr>
                  </w:pPr>
                  <w:r>
                    <w:rPr>
                      <w:rFonts w:hAnsi="宋体"/>
                      <w:b/>
                      <w:color w:val="auto"/>
                      <w:szCs w:val="21"/>
                    </w:rPr>
                    <w:t>昼</w:t>
                  </w:r>
                  <w:r>
                    <w:rPr>
                      <w:b/>
                      <w:color w:val="auto"/>
                      <w:szCs w:val="21"/>
                    </w:rPr>
                    <w:t xml:space="preserve">  </w:t>
                  </w:r>
                  <w:r>
                    <w:rPr>
                      <w:rFonts w:hAnsi="宋体"/>
                      <w:b/>
                      <w:color w:val="auto"/>
                      <w:szCs w:val="21"/>
                    </w:rPr>
                    <w:t>间</w:t>
                  </w:r>
                </w:p>
              </w:tc>
              <w:tc>
                <w:tcPr>
                  <w:tcW w:w="2002" w:type="dxa"/>
                  <w:vAlign w:val="center"/>
                </w:tcPr>
                <w:p>
                  <w:pPr>
                    <w:adjustRightInd w:val="0"/>
                    <w:snapToGrid w:val="0"/>
                    <w:spacing w:line="240" w:lineRule="auto"/>
                    <w:jc w:val="center"/>
                    <w:rPr>
                      <w:b/>
                      <w:color w:val="auto"/>
                      <w:szCs w:val="21"/>
                    </w:rPr>
                  </w:pPr>
                  <w:r>
                    <w:rPr>
                      <w:rFonts w:hAnsi="宋体"/>
                      <w:b/>
                      <w:color w:val="auto"/>
                      <w:szCs w:val="21"/>
                    </w:rPr>
                    <w:t>夜</w:t>
                  </w:r>
                  <w:r>
                    <w:rPr>
                      <w:b/>
                      <w:color w:val="auto"/>
                      <w:szCs w:val="21"/>
                    </w:rPr>
                    <w:t xml:space="preserve">  </w:t>
                  </w:r>
                  <w:r>
                    <w:rPr>
                      <w:rFonts w:hAnsi="宋体"/>
                      <w:b/>
                      <w:color w:val="auto"/>
                      <w:szCs w:val="21"/>
                    </w:rPr>
                    <w:t>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98" w:hRule="atLeast"/>
                <w:jc w:val="center"/>
              </w:trPr>
              <w:tc>
                <w:tcPr>
                  <w:tcW w:w="4643" w:type="dxa"/>
                  <w:vAlign w:val="center"/>
                </w:tcPr>
                <w:p>
                  <w:pPr>
                    <w:adjustRightInd w:val="0"/>
                    <w:snapToGrid w:val="0"/>
                    <w:spacing w:line="240" w:lineRule="auto"/>
                    <w:jc w:val="center"/>
                    <w:rPr>
                      <w:b/>
                      <w:color w:val="auto"/>
                      <w:szCs w:val="21"/>
                    </w:rPr>
                  </w:pPr>
                  <w:r>
                    <w:rPr>
                      <w:rFonts w:hAnsi="宋体"/>
                      <w:b/>
                      <w:color w:val="auto"/>
                      <w:szCs w:val="21"/>
                    </w:rPr>
                    <w:t>《声环境质量标准》</w:t>
                  </w:r>
                  <w:r>
                    <w:rPr>
                      <w:rFonts w:hint="eastAsia"/>
                      <w:b/>
                      <w:color w:val="auto"/>
                      <w:szCs w:val="21"/>
                      <w:lang w:val="en-US" w:eastAsia="zh-CN"/>
                    </w:rPr>
                    <w:t>2类</w:t>
                  </w:r>
                </w:p>
              </w:tc>
              <w:tc>
                <w:tcPr>
                  <w:tcW w:w="1939" w:type="dxa"/>
                  <w:vAlign w:val="center"/>
                </w:tcPr>
                <w:p>
                  <w:pPr>
                    <w:adjustRightInd w:val="0"/>
                    <w:snapToGrid w:val="0"/>
                    <w:spacing w:line="240" w:lineRule="auto"/>
                    <w:jc w:val="center"/>
                    <w:rPr>
                      <w:rFonts w:hint="eastAsia" w:eastAsia="宋体"/>
                      <w:color w:val="auto"/>
                      <w:szCs w:val="21"/>
                      <w:lang w:eastAsia="zh-CN"/>
                    </w:rPr>
                  </w:pPr>
                  <w:r>
                    <w:rPr>
                      <w:color w:val="auto"/>
                      <w:szCs w:val="21"/>
                    </w:rPr>
                    <w:t>6</w:t>
                  </w:r>
                  <w:r>
                    <w:rPr>
                      <w:rFonts w:hint="eastAsia"/>
                      <w:color w:val="auto"/>
                      <w:szCs w:val="21"/>
                      <w:lang w:val="en-US" w:eastAsia="zh-CN"/>
                    </w:rPr>
                    <w:t>0</w:t>
                  </w:r>
                </w:p>
              </w:tc>
              <w:tc>
                <w:tcPr>
                  <w:tcW w:w="2002" w:type="dxa"/>
                  <w:vAlign w:val="center"/>
                </w:tcPr>
                <w:p>
                  <w:pPr>
                    <w:adjustRightInd w:val="0"/>
                    <w:snapToGrid w:val="0"/>
                    <w:spacing w:line="240" w:lineRule="auto"/>
                    <w:jc w:val="center"/>
                    <w:rPr>
                      <w:rFonts w:hint="eastAsia" w:eastAsia="宋体"/>
                      <w:color w:val="auto"/>
                      <w:szCs w:val="21"/>
                      <w:lang w:eastAsia="zh-CN"/>
                    </w:rPr>
                  </w:pPr>
                  <w:r>
                    <w:rPr>
                      <w:color w:val="auto"/>
                      <w:szCs w:val="21"/>
                    </w:rPr>
                    <w:t>5</w:t>
                  </w:r>
                  <w:r>
                    <w:rPr>
                      <w:rFonts w:hint="eastAsia"/>
                      <w:color w:val="auto"/>
                      <w:szCs w:val="21"/>
                      <w:lang w:val="en-US" w:eastAsia="zh-CN"/>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4643" w:type="dxa"/>
                  <w:vAlign w:val="center"/>
                </w:tcPr>
                <w:p>
                  <w:pPr>
                    <w:adjustRightInd w:val="0"/>
                    <w:snapToGrid w:val="0"/>
                    <w:spacing w:line="240" w:lineRule="auto"/>
                    <w:jc w:val="center"/>
                    <w:rPr>
                      <w:rFonts w:hAnsi="宋体"/>
                      <w:b/>
                      <w:color w:val="auto"/>
                      <w:szCs w:val="21"/>
                    </w:rPr>
                  </w:pPr>
                  <w:r>
                    <w:rPr>
                      <w:b/>
                      <w:color w:val="auto"/>
                      <w:szCs w:val="21"/>
                    </w:rPr>
                    <w:t>《声环境质量标准》</w:t>
                  </w:r>
                  <w:r>
                    <w:rPr>
                      <w:rFonts w:hint="eastAsia"/>
                      <w:b/>
                      <w:color w:val="auto"/>
                      <w:szCs w:val="21"/>
                    </w:rPr>
                    <w:t>4a</w:t>
                  </w:r>
                  <w:r>
                    <w:rPr>
                      <w:b/>
                      <w:color w:val="auto"/>
                      <w:szCs w:val="21"/>
                    </w:rPr>
                    <w:t>类</w:t>
                  </w:r>
                </w:p>
              </w:tc>
              <w:tc>
                <w:tcPr>
                  <w:tcW w:w="1939" w:type="dxa"/>
                  <w:vAlign w:val="center"/>
                </w:tcPr>
                <w:p>
                  <w:pPr>
                    <w:adjustRightInd w:val="0"/>
                    <w:snapToGrid w:val="0"/>
                    <w:spacing w:line="240" w:lineRule="auto"/>
                    <w:jc w:val="center"/>
                    <w:rPr>
                      <w:color w:val="auto"/>
                      <w:szCs w:val="21"/>
                    </w:rPr>
                  </w:pPr>
                  <w:r>
                    <w:rPr>
                      <w:rFonts w:hint="eastAsia"/>
                      <w:color w:val="auto"/>
                      <w:szCs w:val="21"/>
                    </w:rPr>
                    <w:t>70</w:t>
                  </w:r>
                </w:p>
              </w:tc>
              <w:tc>
                <w:tcPr>
                  <w:tcW w:w="2002" w:type="dxa"/>
                  <w:vAlign w:val="center"/>
                </w:tcPr>
                <w:p>
                  <w:pPr>
                    <w:adjustRightInd w:val="0"/>
                    <w:snapToGrid w:val="0"/>
                    <w:spacing w:line="240" w:lineRule="auto"/>
                    <w:jc w:val="center"/>
                    <w:rPr>
                      <w:color w:val="auto"/>
                      <w:szCs w:val="21"/>
                    </w:rPr>
                  </w:pPr>
                  <w:r>
                    <w:rPr>
                      <w:rFonts w:hint="eastAsia"/>
                      <w:color w:val="auto"/>
                      <w:szCs w:val="21"/>
                    </w:rPr>
                    <w:t>55</w:t>
                  </w:r>
                </w:p>
              </w:tc>
            </w:tr>
          </w:tbl>
          <w:p>
            <w:pPr>
              <w:numPr>
                <w:ilvl w:val="0"/>
                <w:numId w:val="7"/>
              </w:numPr>
              <w:autoSpaceDE w:val="0"/>
              <w:autoSpaceDN w:val="0"/>
              <w:adjustRightInd w:val="0"/>
              <w:snapToGrid w:val="0"/>
              <w:spacing w:line="360" w:lineRule="auto"/>
              <w:ind w:left="0" w:leftChars="0" w:firstLine="0" w:firstLineChars="0"/>
              <w:jc w:val="left"/>
              <w:rPr>
                <w:rFonts w:ascii="Times New Roman" w:hAnsi="Times New Roman" w:eastAsia="宋体" w:cs="Times New Roman"/>
                <w:color w:val="auto"/>
                <w:kern w:val="0"/>
                <w:sz w:val="24"/>
                <w:szCs w:val="24"/>
                <w:highlight w:val="none"/>
              </w:rPr>
            </w:pPr>
            <w:r>
              <w:rPr>
                <w:rFonts w:ascii="Times New Roman" w:hAnsi="宋体" w:eastAsia="宋体" w:cs="Times New Roman"/>
                <w:color w:val="auto"/>
                <w:kern w:val="0"/>
                <w:sz w:val="24"/>
                <w:szCs w:val="24"/>
                <w:highlight w:val="none"/>
              </w:rPr>
              <w:t>《土壤环境质量</w:t>
            </w:r>
            <w:r>
              <w:rPr>
                <w:rFonts w:ascii="Times New Roman" w:hAnsi="Times New Roman" w:eastAsia="宋体" w:cs="Times New Roman"/>
                <w:color w:val="auto"/>
                <w:kern w:val="0"/>
                <w:sz w:val="24"/>
                <w:szCs w:val="24"/>
                <w:highlight w:val="none"/>
              </w:rPr>
              <w:t xml:space="preserve"> </w:t>
            </w:r>
            <w:r>
              <w:rPr>
                <w:rFonts w:ascii="Times New Roman" w:hAnsi="宋体" w:eastAsia="宋体" w:cs="Times New Roman"/>
                <w:color w:val="auto"/>
                <w:kern w:val="0"/>
                <w:sz w:val="24"/>
                <w:szCs w:val="24"/>
                <w:highlight w:val="none"/>
              </w:rPr>
              <w:t>建设用地土壤污染风险管控标准》（试行）（</w:t>
            </w:r>
            <w:r>
              <w:rPr>
                <w:rFonts w:ascii="Times New Roman" w:hAnsi="Times New Roman" w:eastAsia="宋体" w:cs="Times New Roman"/>
                <w:color w:val="auto"/>
                <w:kern w:val="0"/>
                <w:sz w:val="24"/>
                <w:szCs w:val="24"/>
                <w:highlight w:val="none"/>
              </w:rPr>
              <w:t>GB 36600-2018</w:t>
            </w:r>
            <w:r>
              <w:rPr>
                <w:rFonts w:ascii="Times New Roman" w:hAnsi="宋体" w:eastAsia="宋体" w:cs="Times New Roman"/>
                <w:color w:val="auto"/>
                <w:kern w:val="0"/>
                <w:sz w:val="24"/>
                <w:szCs w:val="24"/>
                <w:highlight w:val="none"/>
              </w:rPr>
              <w:t>）表</w:t>
            </w:r>
            <w:r>
              <w:rPr>
                <w:rFonts w:ascii="Times New Roman" w:hAnsi="Times New Roman" w:eastAsia="宋体" w:cs="Times New Roman"/>
                <w:color w:val="auto"/>
                <w:kern w:val="0"/>
                <w:sz w:val="24"/>
                <w:szCs w:val="24"/>
                <w:highlight w:val="none"/>
              </w:rPr>
              <w:t>1</w:t>
            </w:r>
            <w:r>
              <w:rPr>
                <w:rFonts w:ascii="Times New Roman" w:hAnsi="宋体" w:eastAsia="宋体" w:cs="Times New Roman"/>
                <w:color w:val="auto"/>
                <w:kern w:val="0"/>
                <w:sz w:val="24"/>
                <w:szCs w:val="24"/>
                <w:highlight w:val="none"/>
              </w:rPr>
              <w:t>基本项目筛选值第二类用地限值</w:t>
            </w:r>
            <w:r>
              <w:rPr>
                <w:rFonts w:hint="eastAsia" w:hAnsi="宋体" w:eastAsia="宋体" w:cs="Times New Roman"/>
                <w:color w:val="auto"/>
                <w:kern w:val="0"/>
                <w:sz w:val="24"/>
                <w:szCs w:val="24"/>
                <w:highlight w:val="none"/>
                <w:lang w:eastAsia="zh-CN"/>
              </w:rPr>
              <w:t>。</w:t>
            </w:r>
          </w:p>
          <w:p>
            <w:pPr>
              <w:pStyle w:val="139"/>
              <w:numPr>
                <w:ilvl w:val="0"/>
                <w:numId w:val="5"/>
              </w:numPr>
              <w:tabs>
                <w:tab w:val="left" w:pos="420"/>
              </w:tabs>
              <w:spacing w:line="360" w:lineRule="auto"/>
              <w:ind w:left="0" w:firstLine="471"/>
              <w:rPr>
                <w:rFonts w:hint="default" w:ascii="Times New Roman" w:hAnsi="Times New Roman" w:eastAsia="宋体" w:cs="Times New Roman"/>
                <w:b/>
                <w:color w:val="auto"/>
                <w:sz w:val="21"/>
                <w:szCs w:val="21"/>
                <w:highlight w:val="none"/>
                <w:shd w:val="clear" w:color="auto" w:fill="auto"/>
                <w:lang w:val="en-GB" w:eastAsia="zh-CN"/>
              </w:rPr>
            </w:pPr>
            <w:r>
              <w:rPr>
                <w:rFonts w:hint="default" w:ascii="Times New Roman" w:hAnsi="Times New Roman" w:eastAsia="宋体" w:cs="Times New Roman"/>
                <w:b/>
                <w:color w:val="auto"/>
                <w:sz w:val="21"/>
                <w:szCs w:val="21"/>
                <w:highlight w:val="none"/>
                <w:shd w:val="clear" w:color="auto" w:fill="auto"/>
                <w:lang w:val="en-GB" w:eastAsia="zh-CN"/>
              </w:rPr>
              <w:t>土壤环境质量标准</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7"/>
              <w:gridCol w:w="4336"/>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2" w:hRule="atLeast"/>
                <w:tblHeader/>
                <w:jc w:val="center"/>
              </w:trPr>
              <w:tc>
                <w:tcPr>
                  <w:tcW w:w="1587" w:type="dxa"/>
                  <w:tcBorders>
                    <w:tl2br w:val="nil"/>
                    <w:tr2bl w:val="nil"/>
                  </w:tcBorders>
                  <w:noWrap w:val="0"/>
                  <w:vAlign w:val="center"/>
                </w:tcPr>
                <w:p>
                  <w:pPr>
                    <w:autoSpaceDE w:val="0"/>
                    <w:autoSpaceDN w:val="0"/>
                    <w:spacing w:line="360" w:lineRule="auto"/>
                    <w:ind w:left="-126" w:leftChars="-60" w:right="-126" w:rightChars="-60"/>
                    <w:jc w:val="center"/>
                    <w:rPr>
                      <w:rFonts w:ascii="Times New Roman" w:hAnsi="Times New Roman" w:eastAsia="宋体" w:cs="Times New Roman"/>
                      <w:b/>
                      <w:bCs/>
                      <w:color w:val="auto"/>
                      <w:kern w:val="0"/>
                      <w:sz w:val="21"/>
                      <w:szCs w:val="21"/>
                      <w:highlight w:val="none"/>
                    </w:rPr>
                  </w:pPr>
                  <w:r>
                    <w:rPr>
                      <w:rFonts w:ascii="Times New Roman" w:hAnsi="宋体" w:eastAsia="宋体" w:cs="Times New Roman"/>
                      <w:b/>
                      <w:bCs/>
                      <w:color w:val="auto"/>
                      <w:kern w:val="0"/>
                      <w:sz w:val="21"/>
                      <w:szCs w:val="21"/>
                      <w:highlight w:val="none"/>
                    </w:rPr>
                    <w:t>序号</w:t>
                  </w:r>
                </w:p>
              </w:tc>
              <w:tc>
                <w:tcPr>
                  <w:tcW w:w="4336" w:type="dxa"/>
                  <w:tcBorders>
                    <w:tl2br w:val="nil"/>
                    <w:tr2bl w:val="nil"/>
                  </w:tcBorders>
                  <w:noWrap w:val="0"/>
                  <w:vAlign w:val="center"/>
                </w:tcPr>
                <w:p>
                  <w:pPr>
                    <w:autoSpaceDE w:val="0"/>
                    <w:autoSpaceDN w:val="0"/>
                    <w:spacing w:line="360" w:lineRule="auto"/>
                    <w:ind w:left="-126" w:leftChars="-60" w:right="-126" w:rightChars="-60"/>
                    <w:jc w:val="center"/>
                    <w:rPr>
                      <w:rFonts w:ascii="Times New Roman" w:hAnsi="Times New Roman" w:eastAsia="宋体" w:cs="Times New Roman"/>
                      <w:b/>
                      <w:bCs/>
                      <w:color w:val="auto"/>
                      <w:kern w:val="0"/>
                      <w:sz w:val="21"/>
                      <w:szCs w:val="21"/>
                      <w:highlight w:val="none"/>
                    </w:rPr>
                  </w:pPr>
                  <w:r>
                    <w:rPr>
                      <w:rFonts w:ascii="Times New Roman" w:hAnsi="宋体" w:eastAsia="宋体" w:cs="Times New Roman"/>
                      <w:b/>
                      <w:bCs/>
                      <w:color w:val="auto"/>
                      <w:kern w:val="0"/>
                      <w:sz w:val="21"/>
                      <w:szCs w:val="21"/>
                      <w:highlight w:val="none"/>
                    </w:rPr>
                    <w:t>检测项目</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b/>
                      <w:bCs/>
                      <w:color w:val="auto"/>
                      <w:kern w:val="0"/>
                      <w:sz w:val="21"/>
                      <w:szCs w:val="21"/>
                      <w:highlight w:val="none"/>
                    </w:rPr>
                  </w:pPr>
                  <w:r>
                    <w:rPr>
                      <w:rFonts w:ascii="Times New Roman" w:hAnsi="宋体" w:eastAsia="宋体" w:cs="Times New Roman"/>
                      <w:b/>
                      <w:bCs/>
                      <w:color w:val="auto"/>
                      <w:kern w:val="0"/>
                      <w:sz w:val="21"/>
                      <w:szCs w:val="21"/>
                      <w:highlight w:val="none"/>
                    </w:rPr>
                    <w:t>标准值</w:t>
                  </w:r>
                </w:p>
                <w:p>
                  <w:pPr>
                    <w:autoSpaceDE w:val="0"/>
                    <w:autoSpaceDN w:val="0"/>
                    <w:ind w:left="-126" w:leftChars="-60" w:right="-126" w:rightChars="-60"/>
                    <w:jc w:val="center"/>
                    <w:rPr>
                      <w:rFonts w:ascii="Times New Roman" w:hAnsi="Times New Roman" w:eastAsia="宋体" w:cs="Times New Roman"/>
                      <w:b/>
                      <w:bCs/>
                      <w:color w:val="auto"/>
                      <w:kern w:val="0"/>
                      <w:sz w:val="21"/>
                      <w:szCs w:val="21"/>
                      <w:highlight w:val="none"/>
                    </w:rPr>
                  </w:pPr>
                  <w:r>
                    <w:rPr>
                      <w:rFonts w:ascii="Times New Roman" w:hAnsi="宋体" w:eastAsia="宋体" w:cs="Times New Roman"/>
                      <w:b/>
                      <w:bCs/>
                      <w:color w:val="auto"/>
                      <w:kern w:val="0"/>
                      <w:sz w:val="21"/>
                      <w:szCs w:val="21"/>
                      <w:highlight w:val="none"/>
                    </w:rPr>
                    <w:t>（</w:t>
                  </w:r>
                  <w:r>
                    <w:rPr>
                      <w:rFonts w:ascii="Times New Roman" w:hAnsi="Times New Roman" w:eastAsia="宋体" w:cs="Times New Roman"/>
                      <w:b/>
                      <w:bCs/>
                      <w:color w:val="auto"/>
                      <w:kern w:val="0"/>
                      <w:sz w:val="21"/>
                      <w:szCs w:val="21"/>
                      <w:highlight w:val="none"/>
                    </w:rPr>
                    <w:t>mg/kg</w:t>
                  </w:r>
                  <w:r>
                    <w:rPr>
                      <w:rFonts w:ascii="Times New Roman" w:hAnsi="宋体" w:eastAsia="宋体" w:cs="Times New Roman"/>
                      <w:b/>
                      <w:bCs/>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镉</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六价铬</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铜</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铅</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汞</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7</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镍</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8</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四氯化碳</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9</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氯仿</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10</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w:t>
                  </w:r>
                  <w:r>
                    <w:rPr>
                      <w:rFonts w:ascii="Times New Roman" w:hAnsi="宋体" w:eastAsia="宋体" w:cs="Times New Roman"/>
                      <w:color w:val="auto"/>
                      <w:kern w:val="0"/>
                      <w:sz w:val="21"/>
                      <w:szCs w:val="21"/>
                      <w:highlight w:val="none"/>
                    </w:rPr>
                    <w:t>二氯乙烷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w:t>
                  </w:r>
                  <w:r>
                    <w:rPr>
                      <w:rFonts w:ascii="Times New Roman" w:hAnsi="宋体" w:eastAsia="宋体" w:cs="Times New Roman"/>
                      <w:color w:val="auto"/>
                      <w:kern w:val="0"/>
                      <w:sz w:val="21"/>
                      <w:szCs w:val="21"/>
                      <w:highlight w:val="none"/>
                    </w:rPr>
                    <w:t>二氯乙烷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w:t>
                  </w:r>
                  <w:r>
                    <w:rPr>
                      <w:rFonts w:ascii="Times New Roman" w:hAnsi="宋体" w:eastAsia="宋体" w:cs="Times New Roman"/>
                      <w:color w:val="auto"/>
                      <w:kern w:val="0"/>
                      <w:sz w:val="21"/>
                      <w:szCs w:val="21"/>
                      <w:highlight w:val="none"/>
                    </w:rPr>
                    <w:t>二氯乙烯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13</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顺</w:t>
                  </w:r>
                  <w:r>
                    <w:rPr>
                      <w:rFonts w:ascii="Times New Roman" w:hAnsi="Times New Roman" w:eastAsia="宋体" w:cs="Times New Roman"/>
                      <w:color w:val="auto"/>
                      <w:kern w:val="0"/>
                      <w:sz w:val="21"/>
                      <w:szCs w:val="21"/>
                      <w:highlight w:val="none"/>
                    </w:rPr>
                    <w:t>-1,2-</w:t>
                  </w:r>
                  <w:r>
                    <w:rPr>
                      <w:rFonts w:ascii="Times New Roman" w:hAnsi="宋体" w:eastAsia="宋体" w:cs="Times New Roman"/>
                      <w:color w:val="auto"/>
                      <w:kern w:val="0"/>
                      <w:sz w:val="21"/>
                      <w:szCs w:val="21"/>
                      <w:highlight w:val="none"/>
                    </w:rPr>
                    <w:t>二氯乙烯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14</w:t>
                  </w:r>
                </w:p>
              </w:tc>
              <w:tc>
                <w:tcPr>
                  <w:tcW w:w="4336"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反</w:t>
                  </w:r>
                  <w:r>
                    <w:rPr>
                      <w:rFonts w:ascii="Times New Roman" w:hAnsi="Times New Roman" w:eastAsia="宋体" w:cs="Times New Roman"/>
                      <w:color w:val="auto"/>
                      <w:kern w:val="0"/>
                      <w:sz w:val="21"/>
                      <w:szCs w:val="21"/>
                      <w:highlight w:val="none"/>
                    </w:rPr>
                    <w:t>-1,2-</w:t>
                  </w:r>
                  <w:r>
                    <w:rPr>
                      <w:rFonts w:ascii="Times New Roman" w:hAnsi="宋体" w:eastAsia="宋体" w:cs="Times New Roman"/>
                      <w:color w:val="auto"/>
                      <w:kern w:val="0"/>
                      <w:sz w:val="21"/>
                      <w:szCs w:val="21"/>
                      <w:highlight w:val="none"/>
                    </w:rPr>
                    <w:t>二氯乙烯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二氯甲烷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16</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w:t>
                  </w:r>
                  <w:r>
                    <w:rPr>
                      <w:rFonts w:ascii="Times New Roman" w:hAnsi="宋体" w:eastAsia="宋体" w:cs="Times New Roman"/>
                      <w:color w:val="auto"/>
                      <w:kern w:val="0"/>
                      <w:sz w:val="21"/>
                      <w:szCs w:val="21"/>
                      <w:highlight w:val="none"/>
                    </w:rPr>
                    <w:t>二氯丙烷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17</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1,1,1,2-</w:t>
                  </w:r>
                  <w:r>
                    <w:rPr>
                      <w:rFonts w:ascii="Times New Roman" w:hAnsi="宋体" w:eastAsia="宋体" w:cs="Times New Roman"/>
                      <w:color w:val="auto"/>
                      <w:kern w:val="0"/>
                      <w:sz w:val="21"/>
                      <w:szCs w:val="21"/>
                      <w:highlight w:val="none"/>
                    </w:rPr>
                    <w:t>四氯乙烷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18</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1,1,2,2-</w:t>
                  </w:r>
                  <w:r>
                    <w:rPr>
                      <w:rFonts w:ascii="Times New Roman" w:hAnsi="宋体" w:eastAsia="宋体" w:cs="Times New Roman"/>
                      <w:color w:val="auto"/>
                      <w:kern w:val="0"/>
                      <w:sz w:val="21"/>
                      <w:szCs w:val="21"/>
                      <w:highlight w:val="none"/>
                    </w:rPr>
                    <w:t>四氯乙烷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19</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四氯乙烯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20</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1,1,1-</w:t>
                  </w:r>
                  <w:r>
                    <w:rPr>
                      <w:rFonts w:ascii="Times New Roman" w:hAnsi="宋体" w:eastAsia="宋体" w:cs="Times New Roman"/>
                      <w:color w:val="auto"/>
                      <w:kern w:val="0"/>
                      <w:sz w:val="21"/>
                      <w:szCs w:val="21"/>
                      <w:highlight w:val="none"/>
                    </w:rPr>
                    <w:t>三氯乙烷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21</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1,1,2-</w:t>
                  </w:r>
                  <w:r>
                    <w:rPr>
                      <w:rFonts w:ascii="Times New Roman" w:hAnsi="宋体" w:eastAsia="宋体" w:cs="Times New Roman"/>
                      <w:color w:val="auto"/>
                      <w:kern w:val="0"/>
                      <w:sz w:val="21"/>
                      <w:szCs w:val="21"/>
                      <w:highlight w:val="none"/>
                    </w:rPr>
                    <w:t>三氯乙烷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22</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三氯乙烯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23</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1,2,3-</w:t>
                  </w:r>
                  <w:r>
                    <w:rPr>
                      <w:rFonts w:ascii="Times New Roman" w:hAnsi="宋体" w:eastAsia="宋体" w:cs="Times New Roman"/>
                      <w:color w:val="auto"/>
                      <w:kern w:val="0"/>
                      <w:sz w:val="21"/>
                      <w:szCs w:val="21"/>
                      <w:highlight w:val="none"/>
                    </w:rPr>
                    <w:t>三氯丙烷</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24</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25</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26</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氯苯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27</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w:t>
                  </w:r>
                  <w:r>
                    <w:rPr>
                      <w:rFonts w:ascii="Times New Roman" w:hAnsi="宋体" w:eastAsia="宋体" w:cs="Times New Roman"/>
                      <w:color w:val="auto"/>
                      <w:kern w:val="0"/>
                      <w:sz w:val="21"/>
                      <w:szCs w:val="21"/>
                      <w:highlight w:val="none"/>
                    </w:rPr>
                    <w:t>二氯苯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28</w:t>
                  </w:r>
                </w:p>
              </w:tc>
              <w:tc>
                <w:tcPr>
                  <w:tcW w:w="4336"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1,4-</w:t>
                  </w:r>
                  <w:r>
                    <w:rPr>
                      <w:rFonts w:ascii="Times New Roman" w:hAnsi="宋体" w:eastAsia="宋体" w:cs="Times New Roman"/>
                      <w:color w:val="auto"/>
                      <w:kern w:val="0"/>
                      <w:sz w:val="21"/>
                      <w:szCs w:val="21"/>
                      <w:highlight w:val="none"/>
                    </w:rPr>
                    <w:t>二氯苯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29</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乙苯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30</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苯乙烯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31</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甲苯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32</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间二甲苯</w:t>
                  </w:r>
                  <w:r>
                    <w:rPr>
                      <w:rFonts w:ascii="Times New Roman" w:hAnsi="Times New Roman" w:eastAsia="宋体" w:cs="Times New Roman"/>
                      <w:color w:val="auto"/>
                      <w:kern w:val="0"/>
                      <w:sz w:val="21"/>
                      <w:szCs w:val="21"/>
                      <w:highlight w:val="none"/>
                    </w:rPr>
                    <w:t>+</w:t>
                  </w:r>
                  <w:r>
                    <w:rPr>
                      <w:rFonts w:ascii="Times New Roman" w:hAnsi="宋体" w:eastAsia="宋体" w:cs="Times New Roman"/>
                      <w:color w:val="auto"/>
                      <w:kern w:val="0"/>
                      <w:sz w:val="21"/>
                      <w:szCs w:val="21"/>
                      <w:highlight w:val="none"/>
                    </w:rPr>
                    <w:t>对二甲苯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33</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邻二甲苯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34</w:t>
                  </w:r>
                </w:p>
              </w:tc>
              <w:tc>
                <w:tcPr>
                  <w:tcW w:w="4336" w:type="dxa"/>
                  <w:tcBorders>
                    <w:tl2br w:val="nil"/>
                    <w:tr2bl w:val="nil"/>
                  </w:tcBorders>
                  <w:noWrap w:val="0"/>
                  <w:vAlign w:val="center"/>
                </w:tcPr>
                <w:p>
                  <w:pPr>
                    <w:autoSpaceDE w:val="0"/>
                    <w:autoSpaceDN w:val="0"/>
                    <w:ind w:left="-84" w:leftChars="-60" w:right="-126" w:rightChars="-60"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硝基苯</w:t>
                  </w:r>
                </w:p>
              </w:tc>
              <w:tc>
                <w:tcPr>
                  <w:tcW w:w="1671" w:type="dxa"/>
                  <w:tcBorders>
                    <w:tl2br w:val="nil"/>
                    <w:tr2bl w:val="nil"/>
                  </w:tcBorders>
                  <w:noWrap w:val="0"/>
                  <w:vAlign w:val="center"/>
                </w:tcPr>
                <w:p>
                  <w:pPr>
                    <w:autoSpaceDE w:val="0"/>
                    <w:autoSpaceDN w:val="0"/>
                    <w:ind w:left="-126" w:leftChars="-60" w:right="-126" w:rightChars="-6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35</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w:t>
                  </w:r>
                  <w:r>
                    <w:rPr>
                      <w:rFonts w:ascii="Times New Roman" w:hAnsi="宋体" w:eastAsia="宋体" w:cs="Times New Roman"/>
                      <w:color w:val="auto"/>
                      <w:kern w:val="0"/>
                      <w:sz w:val="21"/>
                      <w:szCs w:val="21"/>
                      <w:highlight w:val="none"/>
                    </w:rPr>
                    <w:t>氯酚</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36</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苯并</w:t>
                  </w:r>
                  <w:r>
                    <w:rPr>
                      <w:rFonts w:ascii="Times New Roman" w:hAnsi="Times New Roman" w:eastAsia="宋体" w:cs="Times New Roman"/>
                      <w:color w:val="auto"/>
                      <w:kern w:val="0"/>
                      <w:sz w:val="21"/>
                      <w:szCs w:val="21"/>
                      <w:highlight w:val="none"/>
                    </w:rPr>
                    <w:t>[a]</w:t>
                  </w:r>
                  <w:r>
                    <w:rPr>
                      <w:rFonts w:ascii="Times New Roman" w:hAnsi="宋体" w:eastAsia="宋体" w:cs="Times New Roman"/>
                      <w:color w:val="auto"/>
                      <w:kern w:val="0"/>
                      <w:sz w:val="21"/>
                      <w:szCs w:val="21"/>
                      <w:highlight w:val="none"/>
                    </w:rPr>
                    <w:t>蒽</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37</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苯并</w:t>
                  </w:r>
                  <w:r>
                    <w:rPr>
                      <w:rFonts w:ascii="Times New Roman" w:hAnsi="Times New Roman" w:eastAsia="宋体" w:cs="Times New Roman"/>
                      <w:color w:val="auto"/>
                      <w:kern w:val="0"/>
                      <w:sz w:val="21"/>
                      <w:szCs w:val="21"/>
                      <w:highlight w:val="none"/>
                    </w:rPr>
                    <w:t>[a]</w:t>
                  </w:r>
                  <w:r>
                    <w:rPr>
                      <w:rFonts w:ascii="Times New Roman" w:hAnsi="宋体" w:eastAsia="宋体" w:cs="Times New Roman"/>
                      <w:color w:val="auto"/>
                      <w:kern w:val="0"/>
                      <w:sz w:val="21"/>
                      <w:szCs w:val="21"/>
                      <w:highlight w:val="none"/>
                    </w:rPr>
                    <w:t>芘</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38</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苯并</w:t>
                  </w:r>
                  <w:r>
                    <w:rPr>
                      <w:rFonts w:ascii="Times New Roman" w:hAnsi="Times New Roman" w:eastAsia="宋体" w:cs="Times New Roman"/>
                      <w:color w:val="auto"/>
                      <w:kern w:val="0"/>
                      <w:sz w:val="21"/>
                      <w:szCs w:val="21"/>
                      <w:highlight w:val="none"/>
                    </w:rPr>
                    <w:t>[b]</w:t>
                  </w:r>
                  <w:r>
                    <w:rPr>
                      <w:rFonts w:ascii="Times New Roman" w:hAnsi="宋体" w:eastAsia="宋体" w:cs="Times New Roman"/>
                      <w:color w:val="auto"/>
                      <w:kern w:val="0"/>
                      <w:sz w:val="21"/>
                      <w:szCs w:val="21"/>
                      <w:highlight w:val="none"/>
                    </w:rPr>
                    <w:t>荧蒽</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39</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苯并</w:t>
                  </w:r>
                  <w:r>
                    <w:rPr>
                      <w:rFonts w:ascii="Times New Roman" w:hAnsi="Times New Roman" w:eastAsia="宋体" w:cs="Times New Roman"/>
                      <w:color w:val="auto"/>
                      <w:kern w:val="0"/>
                      <w:sz w:val="21"/>
                      <w:szCs w:val="21"/>
                      <w:highlight w:val="none"/>
                    </w:rPr>
                    <w:t>[k]</w:t>
                  </w:r>
                  <w:r>
                    <w:rPr>
                      <w:rFonts w:ascii="Times New Roman" w:hAnsi="宋体" w:eastAsia="宋体" w:cs="Times New Roman"/>
                      <w:color w:val="auto"/>
                      <w:kern w:val="0"/>
                      <w:sz w:val="21"/>
                      <w:szCs w:val="21"/>
                      <w:highlight w:val="none"/>
                    </w:rPr>
                    <w:t>荧蒽</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40</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方正超大字符集" w:eastAsia="宋体-方正超大字符集" w:cs="Times New Roman"/>
                      <w:color w:val="auto"/>
                      <w:kern w:val="0"/>
                      <w:sz w:val="21"/>
                      <w:szCs w:val="21"/>
                      <w:highlight w:val="none"/>
                    </w:rPr>
                    <w:t>䓛</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41</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二苯并</w:t>
                  </w:r>
                  <w:r>
                    <w:rPr>
                      <w:rFonts w:ascii="Times New Roman" w:hAnsi="Times New Roman" w:eastAsia="宋体" w:cs="Times New Roman"/>
                      <w:color w:val="auto"/>
                      <w:kern w:val="0"/>
                      <w:sz w:val="21"/>
                      <w:szCs w:val="21"/>
                      <w:highlight w:val="none"/>
                    </w:rPr>
                    <w:t>[a</w:t>
                  </w:r>
                  <w:r>
                    <w:rPr>
                      <w:rFonts w:ascii="Times New Roman" w:hAnsi="宋体" w:eastAsia="宋体" w:cs="Times New Roman"/>
                      <w:color w:val="auto"/>
                      <w:kern w:val="0"/>
                      <w:sz w:val="21"/>
                      <w:szCs w:val="21"/>
                      <w:highlight w:val="none"/>
                    </w:rPr>
                    <w:t>，</w:t>
                  </w:r>
                  <w:r>
                    <w:rPr>
                      <w:rFonts w:ascii="Times New Roman" w:hAnsi="Times New Roman" w:eastAsia="宋体" w:cs="Times New Roman"/>
                      <w:color w:val="auto"/>
                      <w:kern w:val="0"/>
                      <w:sz w:val="21"/>
                      <w:szCs w:val="21"/>
                      <w:highlight w:val="none"/>
                    </w:rPr>
                    <w:t>h]</w:t>
                  </w:r>
                  <w:r>
                    <w:rPr>
                      <w:rFonts w:ascii="Times New Roman" w:hAnsi="宋体" w:eastAsia="宋体" w:cs="Times New Roman"/>
                      <w:color w:val="auto"/>
                      <w:kern w:val="0"/>
                      <w:sz w:val="21"/>
                      <w:szCs w:val="21"/>
                      <w:highlight w:val="none"/>
                    </w:rPr>
                    <w:t>蒽</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42</w:t>
                  </w:r>
                </w:p>
              </w:tc>
              <w:tc>
                <w:tcPr>
                  <w:tcW w:w="4336" w:type="dxa"/>
                  <w:tcBorders>
                    <w:tl2br w:val="nil"/>
                    <w:tr2bl w:val="nil"/>
                  </w:tcBorders>
                  <w:noWrap w:val="0"/>
                  <w:vAlign w:val="center"/>
                </w:tcPr>
                <w:p>
                  <w:pPr>
                    <w:autoSpaceDE w:val="0"/>
                    <w:autoSpaceDN w:val="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茚并</w:t>
                  </w:r>
                  <w:r>
                    <w:rPr>
                      <w:rFonts w:ascii="Times New Roman" w:hAnsi="Times New Roman" w:eastAsia="宋体" w:cs="Times New Roman"/>
                      <w:color w:val="auto"/>
                      <w:kern w:val="0"/>
                      <w:sz w:val="21"/>
                      <w:szCs w:val="21"/>
                      <w:highlight w:val="none"/>
                    </w:rPr>
                    <w:t>[1,2,3-cd]</w:t>
                  </w:r>
                  <w:r>
                    <w:rPr>
                      <w:rFonts w:ascii="Times New Roman" w:hAnsi="宋体" w:eastAsia="宋体" w:cs="Times New Roman"/>
                      <w:color w:val="auto"/>
                      <w:kern w:val="0"/>
                      <w:sz w:val="21"/>
                      <w:szCs w:val="21"/>
                      <w:highlight w:val="none"/>
                    </w:rPr>
                    <w:t>芘</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43</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萘</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44</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氯甲烷</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45</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宋体" w:eastAsia="宋体" w:cs="Times New Roman"/>
                      <w:color w:val="auto"/>
                      <w:kern w:val="0"/>
                      <w:sz w:val="21"/>
                      <w:szCs w:val="21"/>
                      <w:highlight w:val="none"/>
                    </w:rPr>
                    <w:t>苯胺</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587"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46</w:t>
                  </w:r>
                </w:p>
              </w:tc>
              <w:tc>
                <w:tcPr>
                  <w:tcW w:w="4336" w:type="dxa"/>
                  <w:tcBorders>
                    <w:tl2br w:val="nil"/>
                    <w:tr2bl w:val="nil"/>
                  </w:tcBorders>
                  <w:noWrap w:val="0"/>
                  <w:vAlign w:val="center"/>
                </w:tcPr>
                <w:p>
                  <w:pPr>
                    <w:autoSpaceDE w:val="0"/>
                    <w:autoSpaceDN w:val="0"/>
                    <w:ind w:left="0" w:leftChars="-20" w:right="-59" w:rightChars="-28" w:hanging="42" w:hangingChars="20"/>
                    <w:jc w:val="center"/>
                    <w:rPr>
                      <w:rFonts w:ascii="Times New Roman" w:hAnsi="Times New Roman" w:eastAsia="宋体" w:cs="Times New Roman"/>
                      <w:color w:val="auto"/>
                      <w:kern w:val="0"/>
                      <w:sz w:val="21"/>
                      <w:szCs w:val="21"/>
                      <w:highlight w:val="none"/>
                    </w:rPr>
                  </w:pPr>
                  <w:r>
                    <w:rPr>
                      <w:rFonts w:hint="eastAsia" w:ascii="Times New Roman" w:hAnsi="宋体" w:eastAsia="宋体" w:cs="Times New Roman"/>
                      <w:color w:val="auto"/>
                      <w:kern w:val="0"/>
                      <w:sz w:val="21"/>
                      <w:szCs w:val="21"/>
                      <w:highlight w:val="none"/>
                    </w:rPr>
                    <w:t>石油烃</w:t>
                  </w:r>
                </w:p>
              </w:tc>
              <w:tc>
                <w:tcPr>
                  <w:tcW w:w="1671" w:type="dxa"/>
                  <w:tcBorders>
                    <w:tl2br w:val="nil"/>
                    <w:tr2bl w:val="nil"/>
                  </w:tcBorders>
                  <w:noWrap w:val="0"/>
                  <w:vAlign w:val="center"/>
                </w:tcPr>
                <w:p>
                  <w:pPr>
                    <w:autoSpaceDE w:val="0"/>
                    <w:autoSpaceDN w:val="0"/>
                    <w:ind w:left="-105" w:leftChars="-50" w:right="-105" w:rightChars="-50"/>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4500</w:t>
                  </w:r>
                </w:p>
              </w:tc>
            </w:tr>
          </w:tbl>
          <w:p>
            <w:pPr>
              <w:pStyle w:val="29"/>
              <w:spacing w:line="360" w:lineRule="auto"/>
              <w:ind w:firstLine="0" w:firstLineChars="0"/>
              <w:rPr>
                <w:rFonts w:hint="eastAsia"/>
                <w:color w:val="auto"/>
                <w:sz w:val="24"/>
                <w:shd w:val="clear" w:color="auto" w:fill="auto"/>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794" w:hRule="atLeast"/>
        </w:trPr>
        <w:tc>
          <w:tcPr>
            <w:tcW w:w="813" w:type="dxa"/>
            <w:vAlign w:val="center"/>
          </w:tcPr>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污</w:t>
            </w:r>
          </w:p>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染</w:t>
            </w:r>
          </w:p>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物</w:t>
            </w:r>
          </w:p>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排</w:t>
            </w:r>
          </w:p>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放</w:t>
            </w:r>
          </w:p>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标</w:t>
            </w:r>
          </w:p>
          <w:p>
            <w:pPr>
              <w:pStyle w:val="55"/>
              <w:topLinePunct w:val="0"/>
              <w:autoSpaceDE/>
              <w:autoSpaceDN/>
              <w:adjustRightInd/>
              <w:spacing w:before="120" w:line="300" w:lineRule="auto"/>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准</w:t>
            </w:r>
          </w:p>
        </w:tc>
        <w:tc>
          <w:tcPr>
            <w:tcW w:w="8715" w:type="dxa"/>
            <w:vAlign w:val="center"/>
          </w:tcPr>
          <w:p>
            <w:pPr>
              <w:numPr>
                <w:ilvl w:val="0"/>
                <w:numId w:val="8"/>
              </w:numPr>
              <w:spacing w:line="360" w:lineRule="auto"/>
              <w:rPr>
                <w:color w:val="auto"/>
                <w:sz w:val="24"/>
                <w:shd w:val="clear" w:color="auto" w:fill="auto"/>
              </w:rPr>
            </w:pPr>
            <w:r>
              <w:rPr>
                <w:rFonts w:hint="eastAsia"/>
                <w:color w:val="auto"/>
                <w:sz w:val="24"/>
                <w:shd w:val="clear" w:color="auto" w:fill="auto"/>
              </w:rPr>
              <w:t>生活污水</w:t>
            </w:r>
            <w:r>
              <w:rPr>
                <w:color w:val="auto"/>
                <w:sz w:val="24"/>
                <w:shd w:val="clear" w:color="auto" w:fill="auto"/>
              </w:rPr>
              <w:t>排入市政污水管网执行</w:t>
            </w:r>
            <w:r>
              <w:rPr>
                <w:rFonts w:hint="eastAsia"/>
                <w:color w:val="auto"/>
                <w:sz w:val="24"/>
                <w:shd w:val="clear" w:color="auto" w:fill="auto"/>
                <w:lang w:eastAsia="zh-CN"/>
              </w:rPr>
              <w:t>广东省地方标准《水污染物排放限值》</w:t>
            </w:r>
            <w:r>
              <w:rPr>
                <w:color w:val="auto"/>
                <w:sz w:val="24"/>
                <w:shd w:val="clear" w:color="auto" w:fill="auto"/>
              </w:rPr>
              <w:t>（DB44/26-2001）第二时段三级标准</w:t>
            </w:r>
            <w:r>
              <w:rPr>
                <w:rFonts w:hint="eastAsia"/>
                <w:color w:val="auto"/>
                <w:sz w:val="24"/>
                <w:shd w:val="clear" w:color="auto" w:fill="auto"/>
              </w:rPr>
              <w:t>和</w:t>
            </w:r>
            <w:r>
              <w:rPr>
                <w:rFonts w:hint="eastAsia"/>
                <w:color w:val="auto"/>
                <w:sz w:val="24"/>
                <w:shd w:val="clear" w:color="auto" w:fill="auto"/>
                <w:lang w:eastAsia="zh-CN"/>
              </w:rPr>
              <w:t>《污水排入城镇下水道水质标准》(GB/T31962-2015 )B级标准</w:t>
            </w:r>
            <w:r>
              <w:rPr>
                <w:rFonts w:hint="eastAsia"/>
                <w:color w:val="auto"/>
                <w:sz w:val="24"/>
                <w:shd w:val="clear" w:color="auto" w:fill="auto"/>
              </w:rPr>
              <w:t>较严者</w:t>
            </w:r>
            <w:r>
              <w:rPr>
                <w:color w:val="auto"/>
                <w:sz w:val="24"/>
                <w:shd w:val="clear" w:color="auto" w:fill="auto"/>
              </w:rPr>
              <w:t>，进污水处理厂处理后达到</w:t>
            </w:r>
            <w:r>
              <w:rPr>
                <w:rFonts w:hint="eastAsia"/>
                <w:color w:val="auto"/>
                <w:sz w:val="24"/>
                <w:shd w:val="clear" w:color="auto" w:fill="auto"/>
                <w:lang w:eastAsia="zh-CN"/>
              </w:rPr>
              <w:t>《城镇污水处理厂污染物排放标准》（GB18918-2002）中一级A 标准及广东省地方标准《水污染物排放限值》（DB44/26-2001）第二时段一级标准的较严值</w:t>
            </w:r>
            <w:r>
              <w:rPr>
                <w:rFonts w:hint="eastAsia"/>
                <w:color w:val="auto"/>
                <w:sz w:val="24"/>
                <w:shd w:val="clear" w:color="auto" w:fill="auto"/>
              </w:rPr>
              <w:t>后排放</w:t>
            </w:r>
            <w:r>
              <w:rPr>
                <w:rFonts w:hint="eastAsia"/>
                <w:color w:val="auto"/>
                <w:sz w:val="24"/>
                <w:shd w:val="clear" w:color="auto" w:fill="auto"/>
                <w:lang w:eastAsia="zh-CN"/>
              </w:rPr>
              <w:t>。</w:t>
            </w:r>
          </w:p>
          <w:p>
            <w:pPr>
              <w:pStyle w:val="139"/>
              <w:numPr>
                <w:ilvl w:val="0"/>
                <w:numId w:val="5"/>
              </w:numPr>
              <w:tabs>
                <w:tab w:val="left" w:pos="420"/>
              </w:tabs>
              <w:spacing w:line="360" w:lineRule="auto"/>
              <w:ind w:left="0" w:firstLine="471"/>
              <w:rPr>
                <w:rFonts w:hint="eastAsia" w:ascii="Times New Roman" w:hAnsi="Times New Roman" w:eastAsia="宋体" w:cs="Times New Roman"/>
                <w:b/>
                <w:color w:val="auto"/>
                <w:sz w:val="21"/>
                <w:szCs w:val="21"/>
                <w:shd w:val="clear" w:color="auto" w:fill="auto"/>
              </w:rPr>
            </w:pPr>
            <w:r>
              <w:rPr>
                <w:rFonts w:hint="eastAsia" w:eastAsia="宋体" w:cs="Times New Roman"/>
                <w:b/>
                <w:color w:val="auto"/>
                <w:sz w:val="21"/>
                <w:szCs w:val="21"/>
                <w:shd w:val="clear" w:color="auto" w:fill="auto"/>
                <w:lang w:val="en-US" w:eastAsia="zh-CN"/>
              </w:rPr>
              <w:t>生活污水排放限值</w:t>
            </w:r>
            <w:r>
              <w:rPr>
                <w:rFonts w:hint="eastAsia" w:ascii="Times New Roman" w:hAnsi="Times New Roman" w:eastAsia="宋体" w:cs="Times New Roman"/>
                <w:b/>
                <w:color w:val="auto"/>
                <w:sz w:val="21"/>
                <w:szCs w:val="21"/>
                <w:shd w:val="clear" w:color="auto" w:fill="auto"/>
                <w:lang w:val="en-US" w:eastAsia="zh-CN"/>
              </w:rPr>
              <w:t xml:space="preserve"> （mg/L，pH除外）</w:t>
            </w:r>
          </w:p>
          <w:tbl>
            <w:tblPr>
              <w:tblStyle w:val="40"/>
              <w:tblW w:w="824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3938"/>
              <w:gridCol w:w="930"/>
              <w:gridCol w:w="825"/>
              <w:gridCol w:w="936"/>
              <w:gridCol w:w="780"/>
              <w:gridCol w:w="83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3938" w:type="dxa"/>
                  <w:tcMar>
                    <w:top w:w="13" w:type="dxa"/>
                    <w:left w:w="13" w:type="dxa"/>
                    <w:bottom w:w="0" w:type="dxa"/>
                    <w:right w:w="13" w:type="dxa"/>
                  </w:tcMar>
                  <w:vAlign w:val="center"/>
                </w:tcPr>
                <w:p>
                  <w:pPr>
                    <w:pStyle w:val="150"/>
                    <w:tabs>
                      <w:tab w:val="left" w:pos="945"/>
                      <w:tab w:val="right" w:leader="dot" w:pos="1155"/>
                      <w:tab w:val="left" w:pos="8715"/>
                    </w:tabs>
                    <w:adjustRightInd/>
                    <w:spacing w:line="360" w:lineRule="auto"/>
                    <w:rPr>
                      <w:rFonts w:hint="eastAsia" w:eastAsia="宋体"/>
                      <w:b/>
                      <w:color w:val="auto"/>
                      <w:sz w:val="21"/>
                      <w:szCs w:val="21"/>
                      <w:lang w:eastAsia="zh-CN"/>
                    </w:rPr>
                  </w:pPr>
                  <w:r>
                    <w:rPr>
                      <w:rFonts w:hint="eastAsia"/>
                      <w:b/>
                      <w:color w:val="auto"/>
                      <w:sz w:val="21"/>
                      <w:szCs w:val="21"/>
                      <w:lang w:eastAsia="zh-CN"/>
                    </w:rPr>
                    <w:t>标准</w:t>
                  </w:r>
                </w:p>
              </w:tc>
              <w:tc>
                <w:tcPr>
                  <w:tcW w:w="930" w:type="dxa"/>
                  <w:tcMar>
                    <w:top w:w="13" w:type="dxa"/>
                    <w:left w:w="13" w:type="dxa"/>
                    <w:bottom w:w="0" w:type="dxa"/>
                    <w:right w:w="13" w:type="dxa"/>
                  </w:tcMar>
                  <w:vAlign w:val="center"/>
                </w:tcPr>
                <w:p>
                  <w:pPr>
                    <w:pStyle w:val="150"/>
                    <w:tabs>
                      <w:tab w:val="left" w:pos="945"/>
                      <w:tab w:val="right" w:leader="dot" w:pos="1155"/>
                      <w:tab w:val="left" w:pos="8715"/>
                    </w:tabs>
                    <w:adjustRightInd/>
                    <w:spacing w:line="360" w:lineRule="auto"/>
                    <w:rPr>
                      <w:rFonts w:hint="eastAsia" w:eastAsia="宋体"/>
                      <w:b/>
                      <w:color w:val="auto"/>
                      <w:sz w:val="21"/>
                      <w:szCs w:val="21"/>
                      <w:lang w:val="en-US" w:eastAsia="zh-CN"/>
                    </w:rPr>
                  </w:pPr>
                  <w:r>
                    <w:rPr>
                      <w:rFonts w:hint="eastAsia"/>
                      <w:b/>
                      <w:color w:val="auto"/>
                      <w:sz w:val="21"/>
                      <w:szCs w:val="21"/>
                      <w:lang w:val="en-US" w:eastAsia="zh-CN"/>
                    </w:rPr>
                    <w:t>PH</w:t>
                  </w:r>
                </w:p>
              </w:tc>
              <w:tc>
                <w:tcPr>
                  <w:tcW w:w="825" w:type="dxa"/>
                  <w:vAlign w:val="center"/>
                </w:tcPr>
                <w:p>
                  <w:pPr>
                    <w:pStyle w:val="150"/>
                    <w:tabs>
                      <w:tab w:val="left" w:pos="945"/>
                      <w:tab w:val="right" w:leader="dot" w:pos="1155"/>
                      <w:tab w:val="left" w:pos="8715"/>
                    </w:tabs>
                    <w:adjustRightInd/>
                    <w:spacing w:line="360" w:lineRule="auto"/>
                    <w:rPr>
                      <w:b/>
                      <w:color w:val="auto"/>
                      <w:sz w:val="21"/>
                      <w:szCs w:val="21"/>
                    </w:rPr>
                  </w:pPr>
                  <w:r>
                    <w:rPr>
                      <w:b/>
                      <w:color w:val="auto"/>
                      <w:sz w:val="21"/>
                      <w:szCs w:val="21"/>
                    </w:rPr>
                    <w:t>COD</w:t>
                  </w:r>
                  <w:r>
                    <w:rPr>
                      <w:b/>
                      <w:color w:val="auto"/>
                      <w:sz w:val="21"/>
                      <w:szCs w:val="21"/>
                      <w:vertAlign w:val="subscript"/>
                    </w:rPr>
                    <w:t>cr</w:t>
                  </w:r>
                </w:p>
              </w:tc>
              <w:tc>
                <w:tcPr>
                  <w:tcW w:w="936" w:type="dxa"/>
                  <w:vAlign w:val="center"/>
                </w:tcPr>
                <w:p>
                  <w:pPr>
                    <w:pStyle w:val="150"/>
                    <w:tabs>
                      <w:tab w:val="left" w:pos="945"/>
                      <w:tab w:val="right" w:leader="dot" w:pos="1155"/>
                      <w:tab w:val="left" w:pos="8715"/>
                    </w:tabs>
                    <w:adjustRightInd/>
                    <w:spacing w:line="360" w:lineRule="auto"/>
                    <w:rPr>
                      <w:b/>
                      <w:color w:val="auto"/>
                      <w:sz w:val="21"/>
                      <w:szCs w:val="21"/>
                    </w:rPr>
                  </w:pPr>
                  <w:r>
                    <w:rPr>
                      <w:b/>
                      <w:color w:val="auto"/>
                      <w:sz w:val="21"/>
                      <w:szCs w:val="21"/>
                    </w:rPr>
                    <w:t>BOD</w:t>
                  </w:r>
                  <w:r>
                    <w:rPr>
                      <w:b/>
                      <w:color w:val="auto"/>
                      <w:sz w:val="21"/>
                      <w:szCs w:val="21"/>
                      <w:vertAlign w:val="subscript"/>
                    </w:rPr>
                    <w:t>5</w:t>
                  </w:r>
                </w:p>
              </w:tc>
              <w:tc>
                <w:tcPr>
                  <w:tcW w:w="780" w:type="dxa"/>
                  <w:vAlign w:val="center"/>
                </w:tcPr>
                <w:p>
                  <w:pPr>
                    <w:pStyle w:val="150"/>
                    <w:tabs>
                      <w:tab w:val="left" w:pos="945"/>
                      <w:tab w:val="right" w:leader="dot" w:pos="1155"/>
                      <w:tab w:val="left" w:pos="8715"/>
                    </w:tabs>
                    <w:adjustRightInd/>
                    <w:spacing w:line="360" w:lineRule="auto"/>
                    <w:rPr>
                      <w:b/>
                      <w:color w:val="auto"/>
                      <w:sz w:val="21"/>
                      <w:szCs w:val="21"/>
                    </w:rPr>
                  </w:pPr>
                  <w:r>
                    <w:rPr>
                      <w:b/>
                      <w:color w:val="auto"/>
                      <w:sz w:val="21"/>
                      <w:szCs w:val="21"/>
                    </w:rPr>
                    <w:t>SS</w:t>
                  </w:r>
                </w:p>
              </w:tc>
              <w:tc>
                <w:tcPr>
                  <w:tcW w:w="833" w:type="dxa"/>
                  <w:vAlign w:val="center"/>
                </w:tcPr>
                <w:p>
                  <w:pPr>
                    <w:pStyle w:val="150"/>
                    <w:tabs>
                      <w:tab w:val="left" w:pos="945"/>
                      <w:tab w:val="right" w:leader="dot" w:pos="1155"/>
                      <w:tab w:val="left" w:pos="8715"/>
                    </w:tabs>
                    <w:adjustRightInd/>
                    <w:spacing w:line="360" w:lineRule="auto"/>
                    <w:rPr>
                      <w:b/>
                      <w:color w:val="auto"/>
                      <w:sz w:val="21"/>
                      <w:szCs w:val="21"/>
                    </w:rPr>
                  </w:pPr>
                  <w:r>
                    <w:rPr>
                      <w:b/>
                      <w:bCs/>
                      <w:color w:val="auto"/>
                      <w:sz w:val="21"/>
                      <w:szCs w:val="21"/>
                    </w:rPr>
                    <w:t>氨氮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1044" w:hRule="atLeast"/>
                <w:jc w:val="center"/>
              </w:trPr>
              <w:tc>
                <w:tcPr>
                  <w:tcW w:w="3938" w:type="dxa"/>
                  <w:tcMar>
                    <w:top w:w="13" w:type="dxa"/>
                    <w:left w:w="13" w:type="dxa"/>
                    <w:bottom w:w="0" w:type="dxa"/>
                    <w:right w:w="13" w:type="dxa"/>
                  </w:tcMar>
                  <w:vAlign w:val="center"/>
                </w:tcPr>
                <w:p>
                  <w:pPr>
                    <w:pStyle w:val="150"/>
                    <w:tabs>
                      <w:tab w:val="left" w:pos="945"/>
                      <w:tab w:val="right" w:leader="dot" w:pos="1155"/>
                      <w:tab w:val="left" w:pos="8715"/>
                    </w:tabs>
                    <w:adjustRightInd/>
                    <w:spacing w:line="240" w:lineRule="auto"/>
                    <w:rPr>
                      <w:rStyle w:val="46"/>
                      <w:color w:val="auto"/>
                    </w:rPr>
                  </w:pPr>
                  <w:r>
                    <w:rPr>
                      <w:rStyle w:val="46"/>
                      <w:rFonts w:hint="eastAsia"/>
                      <w:color w:val="auto"/>
                    </w:rPr>
                    <w:t>广东省地方标准《水污染物排放限值》（DB44/26-2001）第二时段三级标准和</w:t>
                  </w:r>
                  <w:r>
                    <w:rPr>
                      <w:rStyle w:val="46"/>
                      <w:rFonts w:hint="eastAsia"/>
                      <w:color w:val="auto"/>
                      <w:lang w:eastAsia="zh-CN"/>
                    </w:rPr>
                    <w:t>《污水排入城镇下水道水质标准》(GB/T31962-2015 )B级标准</w:t>
                  </w:r>
                  <w:r>
                    <w:rPr>
                      <w:rStyle w:val="46"/>
                      <w:rFonts w:hint="eastAsia"/>
                      <w:color w:val="auto"/>
                    </w:rPr>
                    <w:t>较严者</w:t>
                  </w:r>
                </w:p>
              </w:tc>
              <w:tc>
                <w:tcPr>
                  <w:tcW w:w="930" w:type="dxa"/>
                  <w:tcMar>
                    <w:top w:w="13" w:type="dxa"/>
                    <w:left w:w="13" w:type="dxa"/>
                    <w:bottom w:w="0" w:type="dxa"/>
                    <w:right w:w="13" w:type="dxa"/>
                  </w:tcMar>
                  <w:vAlign w:val="center"/>
                </w:tcPr>
                <w:p>
                  <w:pPr>
                    <w:pStyle w:val="150"/>
                    <w:tabs>
                      <w:tab w:val="left" w:pos="945"/>
                      <w:tab w:val="right" w:leader="dot" w:pos="1155"/>
                      <w:tab w:val="left" w:pos="8715"/>
                    </w:tabs>
                    <w:adjustRightInd/>
                    <w:spacing w:line="240" w:lineRule="auto"/>
                    <w:rPr>
                      <w:rFonts w:hint="eastAsia" w:eastAsia="宋体"/>
                      <w:color w:val="auto"/>
                      <w:sz w:val="21"/>
                      <w:szCs w:val="21"/>
                      <w:lang w:val="en-US" w:eastAsia="zh-CN"/>
                    </w:rPr>
                  </w:pPr>
                  <w:r>
                    <w:rPr>
                      <w:rFonts w:hint="eastAsia"/>
                      <w:color w:val="auto"/>
                      <w:sz w:val="21"/>
                      <w:szCs w:val="21"/>
                      <w:lang w:val="en-US" w:eastAsia="zh-CN"/>
                    </w:rPr>
                    <w:t>6-9</w:t>
                  </w:r>
                </w:p>
              </w:tc>
              <w:tc>
                <w:tcPr>
                  <w:tcW w:w="825" w:type="dxa"/>
                  <w:vAlign w:val="center"/>
                </w:tcPr>
                <w:p>
                  <w:pPr>
                    <w:pStyle w:val="150"/>
                    <w:tabs>
                      <w:tab w:val="left" w:pos="945"/>
                      <w:tab w:val="right" w:leader="dot" w:pos="1155"/>
                      <w:tab w:val="left" w:pos="8715"/>
                    </w:tabs>
                    <w:adjustRightInd/>
                    <w:spacing w:line="240" w:lineRule="auto"/>
                    <w:rPr>
                      <w:color w:val="auto"/>
                      <w:sz w:val="21"/>
                      <w:szCs w:val="21"/>
                    </w:rPr>
                  </w:pPr>
                  <w:r>
                    <w:rPr>
                      <w:color w:val="auto"/>
                      <w:sz w:val="21"/>
                      <w:szCs w:val="21"/>
                    </w:rPr>
                    <w:t>500</w:t>
                  </w:r>
                </w:p>
              </w:tc>
              <w:tc>
                <w:tcPr>
                  <w:tcW w:w="936" w:type="dxa"/>
                  <w:vAlign w:val="center"/>
                </w:tcPr>
                <w:p>
                  <w:pPr>
                    <w:pStyle w:val="150"/>
                    <w:tabs>
                      <w:tab w:val="left" w:pos="945"/>
                      <w:tab w:val="right" w:leader="dot" w:pos="1155"/>
                      <w:tab w:val="left" w:pos="8715"/>
                    </w:tabs>
                    <w:adjustRightInd/>
                    <w:spacing w:line="240" w:lineRule="auto"/>
                    <w:rPr>
                      <w:color w:val="auto"/>
                      <w:sz w:val="21"/>
                      <w:szCs w:val="21"/>
                    </w:rPr>
                  </w:pPr>
                  <w:r>
                    <w:rPr>
                      <w:color w:val="auto"/>
                      <w:sz w:val="21"/>
                      <w:szCs w:val="21"/>
                    </w:rPr>
                    <w:t>300</w:t>
                  </w:r>
                </w:p>
              </w:tc>
              <w:tc>
                <w:tcPr>
                  <w:tcW w:w="780" w:type="dxa"/>
                  <w:vAlign w:val="center"/>
                </w:tcPr>
                <w:p>
                  <w:pPr>
                    <w:pStyle w:val="150"/>
                    <w:tabs>
                      <w:tab w:val="left" w:pos="945"/>
                      <w:tab w:val="right" w:leader="dot" w:pos="1155"/>
                      <w:tab w:val="left" w:pos="8715"/>
                    </w:tabs>
                    <w:adjustRightInd/>
                    <w:spacing w:line="240" w:lineRule="auto"/>
                    <w:rPr>
                      <w:color w:val="auto"/>
                      <w:sz w:val="21"/>
                      <w:szCs w:val="21"/>
                    </w:rPr>
                  </w:pPr>
                  <w:r>
                    <w:rPr>
                      <w:color w:val="auto"/>
                      <w:sz w:val="21"/>
                      <w:szCs w:val="21"/>
                    </w:rPr>
                    <w:t>400</w:t>
                  </w:r>
                </w:p>
              </w:tc>
              <w:tc>
                <w:tcPr>
                  <w:tcW w:w="833" w:type="dxa"/>
                  <w:vAlign w:val="center"/>
                </w:tcPr>
                <w:p>
                  <w:pPr>
                    <w:pStyle w:val="150"/>
                    <w:tabs>
                      <w:tab w:val="left" w:pos="945"/>
                      <w:tab w:val="right" w:leader="dot" w:pos="1155"/>
                      <w:tab w:val="left" w:pos="8715"/>
                    </w:tabs>
                    <w:adjustRightInd/>
                    <w:spacing w:line="240" w:lineRule="auto"/>
                    <w:rPr>
                      <w:rFonts w:hint="eastAsia" w:eastAsia="宋体"/>
                      <w:color w:val="auto"/>
                      <w:sz w:val="21"/>
                      <w:szCs w:val="21"/>
                      <w:lang w:val="en-US" w:eastAsia="zh-CN"/>
                    </w:rPr>
                  </w:pPr>
                  <w:r>
                    <w:rPr>
                      <w:rFonts w:hint="eastAsia"/>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850" w:hRule="atLeast"/>
                <w:jc w:val="center"/>
              </w:trPr>
              <w:tc>
                <w:tcPr>
                  <w:tcW w:w="3938" w:type="dxa"/>
                  <w:tcMar>
                    <w:top w:w="13" w:type="dxa"/>
                    <w:left w:w="13" w:type="dxa"/>
                    <w:bottom w:w="0" w:type="dxa"/>
                    <w:right w:w="13" w:type="dxa"/>
                  </w:tcMar>
                  <w:vAlign w:val="center"/>
                </w:tcPr>
                <w:p>
                  <w:pPr>
                    <w:pStyle w:val="150"/>
                    <w:tabs>
                      <w:tab w:val="left" w:pos="945"/>
                      <w:tab w:val="right" w:leader="dot" w:pos="1155"/>
                      <w:tab w:val="left" w:pos="8715"/>
                    </w:tabs>
                    <w:adjustRightInd/>
                    <w:spacing w:line="240" w:lineRule="auto"/>
                    <w:rPr>
                      <w:rFonts w:hint="eastAsia" w:eastAsia="宋体"/>
                      <w:color w:val="auto"/>
                      <w:sz w:val="21"/>
                      <w:szCs w:val="21"/>
                      <w:lang w:eastAsia="zh-CN"/>
                    </w:rPr>
                  </w:pPr>
                  <w:r>
                    <w:rPr>
                      <w:rFonts w:hint="eastAsia"/>
                      <w:color w:val="auto"/>
                      <w:sz w:val="21"/>
                      <w:szCs w:val="21"/>
                      <w:lang w:eastAsia="zh-CN"/>
                    </w:rPr>
                    <w:t>《城镇污水处理厂污染物排放标准》（GB18918-2002）中一级A 标准及广东省地方标准《水污染物排放限值》（DB44/26-2001）第二时段一级标准的较严值</w:t>
                  </w:r>
                </w:p>
              </w:tc>
              <w:tc>
                <w:tcPr>
                  <w:tcW w:w="930" w:type="dxa"/>
                  <w:tcMar>
                    <w:top w:w="13" w:type="dxa"/>
                    <w:left w:w="13" w:type="dxa"/>
                    <w:bottom w:w="0" w:type="dxa"/>
                    <w:right w:w="13" w:type="dxa"/>
                  </w:tcMar>
                  <w:vAlign w:val="center"/>
                </w:tcPr>
                <w:p>
                  <w:pPr>
                    <w:pStyle w:val="150"/>
                    <w:tabs>
                      <w:tab w:val="left" w:pos="945"/>
                      <w:tab w:val="right" w:leader="dot" w:pos="1155"/>
                      <w:tab w:val="left" w:pos="8715"/>
                    </w:tabs>
                    <w:adjustRightInd/>
                    <w:spacing w:line="240" w:lineRule="auto"/>
                    <w:rPr>
                      <w:color w:val="auto"/>
                      <w:sz w:val="21"/>
                      <w:szCs w:val="21"/>
                    </w:rPr>
                  </w:pPr>
                  <w:r>
                    <w:rPr>
                      <w:rFonts w:hint="eastAsia"/>
                      <w:color w:val="auto"/>
                      <w:sz w:val="21"/>
                      <w:szCs w:val="21"/>
                      <w:lang w:val="en-US" w:eastAsia="zh-CN"/>
                    </w:rPr>
                    <w:t>6-9</w:t>
                  </w:r>
                </w:p>
              </w:tc>
              <w:tc>
                <w:tcPr>
                  <w:tcW w:w="825" w:type="dxa"/>
                  <w:vAlign w:val="center"/>
                </w:tcPr>
                <w:p>
                  <w:pPr>
                    <w:pStyle w:val="150"/>
                    <w:tabs>
                      <w:tab w:val="left" w:pos="945"/>
                      <w:tab w:val="right" w:leader="dot" w:pos="1155"/>
                      <w:tab w:val="left" w:pos="8715"/>
                    </w:tabs>
                    <w:adjustRightInd/>
                    <w:spacing w:line="240" w:lineRule="auto"/>
                    <w:rPr>
                      <w:rFonts w:hint="eastAsia" w:eastAsia="宋体"/>
                      <w:color w:val="auto"/>
                      <w:sz w:val="21"/>
                      <w:szCs w:val="21"/>
                      <w:lang w:val="en-US" w:eastAsia="zh-CN"/>
                    </w:rPr>
                  </w:pPr>
                  <w:r>
                    <w:rPr>
                      <w:rFonts w:hint="eastAsia"/>
                      <w:color w:val="auto"/>
                      <w:sz w:val="21"/>
                      <w:szCs w:val="21"/>
                      <w:lang w:val="en-US" w:eastAsia="zh-CN"/>
                    </w:rPr>
                    <w:t>40</w:t>
                  </w:r>
                </w:p>
              </w:tc>
              <w:tc>
                <w:tcPr>
                  <w:tcW w:w="936" w:type="dxa"/>
                  <w:vAlign w:val="center"/>
                </w:tcPr>
                <w:p>
                  <w:pPr>
                    <w:pStyle w:val="150"/>
                    <w:keepNext w:val="0"/>
                    <w:keepLines w:val="0"/>
                    <w:pageBreakBefore w:val="0"/>
                    <w:tabs>
                      <w:tab w:val="left" w:pos="945"/>
                      <w:tab w:val="right" w:leader="dot" w:pos="1155"/>
                      <w:tab w:val="left" w:pos="8715"/>
                    </w:tabs>
                    <w:kinsoku/>
                    <w:wordWrap/>
                    <w:overflowPunct/>
                    <w:topLinePunct w:val="0"/>
                    <w:autoSpaceDE/>
                    <w:autoSpaceDN/>
                    <w:bidi w:val="0"/>
                    <w:adjustRightInd/>
                    <w:snapToGrid/>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10</w:t>
                  </w:r>
                </w:p>
              </w:tc>
              <w:tc>
                <w:tcPr>
                  <w:tcW w:w="780" w:type="dxa"/>
                  <w:vAlign w:val="center"/>
                </w:tcPr>
                <w:p>
                  <w:pPr>
                    <w:pStyle w:val="150"/>
                    <w:keepNext w:val="0"/>
                    <w:keepLines w:val="0"/>
                    <w:pageBreakBefore w:val="0"/>
                    <w:tabs>
                      <w:tab w:val="left" w:pos="945"/>
                      <w:tab w:val="right" w:leader="dot" w:pos="1155"/>
                      <w:tab w:val="left" w:pos="8715"/>
                    </w:tabs>
                    <w:kinsoku/>
                    <w:wordWrap/>
                    <w:overflowPunct/>
                    <w:topLinePunct w:val="0"/>
                    <w:autoSpaceDE/>
                    <w:autoSpaceDN/>
                    <w:bidi w:val="0"/>
                    <w:adjustRightInd/>
                    <w:snapToGrid/>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10</w:t>
                  </w:r>
                </w:p>
              </w:tc>
              <w:tc>
                <w:tcPr>
                  <w:tcW w:w="833" w:type="dxa"/>
                  <w:vAlign w:val="center"/>
                </w:tcPr>
                <w:p>
                  <w:pPr>
                    <w:pStyle w:val="150"/>
                    <w:keepNext w:val="0"/>
                    <w:keepLines w:val="0"/>
                    <w:pageBreakBefore w:val="0"/>
                    <w:tabs>
                      <w:tab w:val="left" w:pos="945"/>
                      <w:tab w:val="right" w:leader="dot" w:pos="1155"/>
                      <w:tab w:val="left" w:pos="8715"/>
                    </w:tabs>
                    <w:kinsoku/>
                    <w:wordWrap/>
                    <w:overflowPunct/>
                    <w:topLinePunct w:val="0"/>
                    <w:autoSpaceDE/>
                    <w:autoSpaceDN/>
                    <w:bidi w:val="0"/>
                    <w:adjustRightInd/>
                    <w:snapToGrid/>
                    <w:spacing w:line="240" w:lineRule="auto"/>
                    <w:textAlignment w:val="auto"/>
                    <w:rPr>
                      <w:rFonts w:hint="eastAsia" w:eastAsia="宋体"/>
                      <w:color w:val="auto"/>
                      <w:sz w:val="21"/>
                      <w:szCs w:val="21"/>
                      <w:lang w:val="en-US" w:eastAsia="zh-CN"/>
                    </w:rPr>
                  </w:pPr>
                  <w:r>
                    <w:rPr>
                      <w:rFonts w:hint="eastAsia"/>
                      <w:color w:val="auto"/>
                      <w:sz w:val="21"/>
                      <w:szCs w:val="21"/>
                      <w:lang w:val="en-US" w:eastAsia="zh-CN"/>
                    </w:rPr>
                    <w:t>5</w:t>
                  </w:r>
                </w:p>
              </w:tc>
            </w:tr>
          </w:tbl>
          <w:p>
            <w:pPr>
              <w:numPr>
                <w:ilvl w:val="0"/>
                <w:numId w:val="8"/>
              </w:numPr>
              <w:spacing w:line="336" w:lineRule="auto"/>
              <w:rPr>
                <w:color w:val="auto"/>
              </w:rPr>
            </w:pPr>
            <w:r>
              <w:rPr>
                <w:rFonts w:hint="eastAsia" w:ascii="宋体" w:hAnsi="Impact"/>
                <w:bCs/>
                <w:color w:val="auto"/>
                <w:kern w:val="24"/>
                <w:sz w:val="24"/>
                <w:szCs w:val="20"/>
                <w:lang w:val="en-US" w:eastAsia="zh-CN"/>
              </w:rPr>
              <w:t>熔化、</w:t>
            </w:r>
            <w:r>
              <w:rPr>
                <w:rFonts w:hint="eastAsia" w:ascii="Times New Roman" w:hAnsi="Times New Roman" w:cs="Times New Roman"/>
                <w:color w:val="auto"/>
                <w:kern w:val="2"/>
                <w:sz w:val="24"/>
                <w:lang w:val="en-US" w:eastAsia="zh-CN"/>
              </w:rPr>
              <w:t>铸造</w:t>
            </w:r>
            <w:r>
              <w:rPr>
                <w:rFonts w:hint="eastAsia" w:cs="Times New Roman"/>
                <w:color w:val="auto"/>
                <w:kern w:val="2"/>
                <w:sz w:val="24"/>
                <w:lang w:val="en-US" w:eastAsia="zh-CN"/>
              </w:rPr>
              <w:t>工序产生</w:t>
            </w:r>
            <w:r>
              <w:rPr>
                <w:rFonts w:hint="eastAsia" w:hAnsi="宋体"/>
                <w:color w:val="auto"/>
                <w:sz w:val="24"/>
                <w:lang w:val="en-US" w:eastAsia="zh-CN"/>
              </w:rPr>
              <w:t>的</w:t>
            </w:r>
            <w:r>
              <w:rPr>
                <w:rFonts w:hint="eastAsia" w:hAnsi="宋体"/>
                <w:color w:val="auto"/>
                <w:sz w:val="24"/>
                <w:shd w:val="clear" w:color="auto" w:fill="auto"/>
                <w:lang w:val="en-US" w:eastAsia="zh-CN"/>
              </w:rPr>
              <w:t>烟尘排放执</w:t>
            </w:r>
            <w:r>
              <w:rPr>
                <w:rFonts w:hint="eastAsia" w:hAnsi="宋体"/>
                <w:color w:val="auto"/>
                <w:sz w:val="24"/>
                <w:lang w:val="en-US" w:eastAsia="zh-CN"/>
              </w:rPr>
              <w:t>行</w:t>
            </w:r>
            <w:r>
              <w:rPr>
                <w:rFonts w:hint="eastAsia" w:hAnsi="宋体"/>
                <w:color w:val="auto"/>
                <w:sz w:val="24"/>
              </w:rPr>
              <w:t>《工业炉窑大气污染物排放标准》（GB9078-1996）表2“金属熔化炉”二级标准</w:t>
            </w:r>
            <w:r>
              <w:rPr>
                <w:rFonts w:hint="eastAsia" w:hAnsi="宋体"/>
                <w:color w:val="auto"/>
                <w:sz w:val="24"/>
                <w:lang w:eastAsia="zh-CN"/>
              </w:rPr>
              <w:t>和广东省地方标准《大气污染物排放限值》（DB44/27－2001）无组织排放监控浓度限值</w:t>
            </w:r>
            <w:r>
              <w:rPr>
                <w:rFonts w:hint="eastAsia" w:ascii="宋体" w:hAnsi="宋体" w:cs="宋体"/>
                <w:color w:val="auto"/>
                <w:sz w:val="24"/>
                <w:szCs w:val="24"/>
                <w:lang w:eastAsia="zh-CN"/>
              </w:rPr>
              <w:t>；</w:t>
            </w:r>
          </w:p>
          <w:p>
            <w:pPr>
              <w:pStyle w:val="139"/>
              <w:numPr>
                <w:ilvl w:val="0"/>
                <w:numId w:val="5"/>
              </w:numPr>
              <w:tabs>
                <w:tab w:val="left" w:pos="420"/>
              </w:tabs>
              <w:spacing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hint="default" w:ascii="Times New Roman" w:hAnsi="Times New Roman" w:eastAsia="宋体" w:cs="Times New Roman"/>
                <w:b/>
                <w:color w:val="auto"/>
                <w:sz w:val="21"/>
                <w:szCs w:val="21"/>
                <w:shd w:val="clear" w:color="auto" w:fill="auto"/>
                <w:lang w:val="en-US" w:eastAsia="zh-CN"/>
              </w:rPr>
              <w:t>熔化、铸造工序烟尘排放</w:t>
            </w:r>
            <w:r>
              <w:rPr>
                <w:rFonts w:hint="eastAsia" w:eastAsia="宋体" w:cs="Times New Roman"/>
                <w:b/>
                <w:color w:val="auto"/>
                <w:sz w:val="21"/>
                <w:szCs w:val="21"/>
                <w:shd w:val="clear" w:color="auto" w:fill="auto"/>
                <w:lang w:val="en-US" w:eastAsia="zh-CN"/>
              </w:rPr>
              <w:t>限值</w:t>
            </w:r>
          </w:p>
          <w:tbl>
            <w:tblPr>
              <w:tblStyle w:val="40"/>
              <w:tblW w:w="8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8"/>
              <w:gridCol w:w="1260"/>
              <w:gridCol w:w="2659"/>
              <w:gridCol w:w="2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1708" w:type="dxa"/>
                  <w:noWrap w:val="0"/>
                  <w:vAlign w:val="center"/>
                </w:tcPr>
                <w:p>
                  <w:pPr>
                    <w:widowControl w:val="0"/>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bidi="ar-SA"/>
                    </w:rPr>
                  </w:pPr>
                  <w:r>
                    <w:rPr>
                      <w:rFonts w:hint="eastAsia" w:cs="Times New Roman"/>
                      <w:b/>
                      <w:bCs/>
                      <w:color w:val="auto"/>
                      <w:sz w:val="21"/>
                      <w:szCs w:val="21"/>
                      <w:lang w:val="en-US" w:eastAsia="zh-CN" w:bidi="ar-SA"/>
                    </w:rPr>
                    <w:t>标准</w:t>
                  </w:r>
                </w:p>
              </w:tc>
              <w:tc>
                <w:tcPr>
                  <w:tcW w:w="1260" w:type="dxa"/>
                  <w:noWrap w:val="0"/>
                  <w:vAlign w:val="center"/>
                </w:tcPr>
                <w:p>
                  <w:pPr>
                    <w:widowControl w:val="0"/>
                    <w:autoSpaceDE w:val="0"/>
                    <w:autoSpaceDN w:val="0"/>
                    <w:adjustRightInd w:val="0"/>
                    <w:spacing w:line="240" w:lineRule="auto"/>
                    <w:jc w:val="center"/>
                    <w:rPr>
                      <w:rFonts w:hint="eastAsia" w:ascii="Times New Roman" w:hAnsi="Times New Roman" w:cs="Times New Roman"/>
                      <w:b/>
                      <w:bCs/>
                      <w:color w:val="auto"/>
                      <w:sz w:val="21"/>
                      <w:szCs w:val="21"/>
                      <w:lang w:val="en-US" w:eastAsia="zh-CN" w:bidi="ar-SA"/>
                    </w:rPr>
                  </w:pPr>
                  <w:r>
                    <w:rPr>
                      <w:rFonts w:hint="eastAsia" w:ascii="Times New Roman" w:hAnsi="Times New Roman" w:cs="Times New Roman"/>
                      <w:b/>
                      <w:bCs/>
                      <w:color w:val="auto"/>
                      <w:sz w:val="21"/>
                      <w:szCs w:val="21"/>
                      <w:lang w:val="en-US" w:eastAsia="zh-CN" w:bidi="ar-SA"/>
                    </w:rPr>
                    <w:t>污染物</w:t>
                  </w:r>
                </w:p>
              </w:tc>
              <w:tc>
                <w:tcPr>
                  <w:tcW w:w="2659" w:type="dxa"/>
                  <w:noWrap w:val="0"/>
                  <w:vAlign w:val="center"/>
                </w:tcPr>
                <w:p>
                  <w:pPr>
                    <w:widowControl w:val="0"/>
                    <w:autoSpaceDE w:val="0"/>
                    <w:autoSpaceDN w:val="0"/>
                    <w:adjustRightInd w:val="0"/>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排放方式</w:t>
                  </w:r>
                </w:p>
              </w:tc>
              <w:tc>
                <w:tcPr>
                  <w:tcW w:w="2813" w:type="dxa"/>
                  <w:noWrap w:val="0"/>
                  <w:vAlign w:val="center"/>
                </w:tcPr>
                <w:p>
                  <w:pPr>
                    <w:widowControl w:val="0"/>
                    <w:autoSpaceDE w:val="0"/>
                    <w:autoSpaceDN w:val="0"/>
                    <w:adjustRightInd w:val="0"/>
                    <w:spacing w:line="240" w:lineRule="auto"/>
                    <w:jc w:val="center"/>
                    <w:rPr>
                      <w:rFonts w:hint="default" w:ascii="Times New Roman" w:hAnsi="Times New Roman" w:eastAsia="宋体" w:cs="Times New Roman"/>
                      <w:b/>
                      <w:bCs/>
                      <w:color w:val="auto"/>
                      <w:sz w:val="21"/>
                      <w:szCs w:val="21"/>
                      <w:lang w:val="en-US" w:eastAsia="zh-CN" w:bidi="ar-SA"/>
                    </w:rPr>
                  </w:pPr>
                  <w:r>
                    <w:rPr>
                      <w:rFonts w:hint="eastAsia" w:ascii="Times New Roman" w:hAnsi="Times New Roman" w:cs="Times New Roman"/>
                      <w:b/>
                      <w:bCs/>
                      <w:color w:val="auto"/>
                      <w:sz w:val="21"/>
                      <w:szCs w:val="21"/>
                      <w:lang w:val="en-US" w:eastAsia="zh-CN" w:bidi="ar-SA"/>
                    </w:rPr>
                    <w:t>排放</w:t>
                  </w:r>
                  <w:r>
                    <w:rPr>
                      <w:rFonts w:hint="default" w:ascii="Times New Roman" w:hAnsi="Times New Roman" w:eastAsia="宋体" w:cs="Times New Roman"/>
                      <w:b/>
                      <w:bCs/>
                      <w:color w:val="auto"/>
                      <w:sz w:val="21"/>
                      <w:szCs w:val="21"/>
                      <w:lang w:val="en-US" w:eastAsia="zh-CN" w:bidi="ar-SA"/>
                    </w:rPr>
                    <w:t>浓度</w:t>
                  </w:r>
                  <w:r>
                    <w:rPr>
                      <w:rFonts w:hint="eastAsia" w:ascii="Times New Roman" w:hAnsi="Times New Roman" w:cs="Times New Roman"/>
                      <w:b/>
                      <w:bCs/>
                      <w:color w:val="auto"/>
                      <w:sz w:val="21"/>
                      <w:szCs w:val="21"/>
                      <w:lang w:val="en-US" w:eastAsia="zh-CN" w:bidi="ar-SA"/>
                    </w:rPr>
                    <w:t>限值</w:t>
                  </w:r>
                  <w:r>
                    <w:rPr>
                      <w:rFonts w:hint="default" w:ascii="Times New Roman" w:hAnsi="Times New Roman" w:eastAsia="宋体" w:cs="Times New Roman"/>
                      <w:b/>
                      <w:bCs/>
                      <w:color w:val="auto"/>
                      <w:sz w:val="21"/>
                      <w:szCs w:val="21"/>
                      <w:lang w:val="en-US" w:eastAsia="zh-CN" w:bidi="ar-SA"/>
                    </w:rPr>
                    <w:t>（mg/m³）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708" w:type="dxa"/>
                  <w:noWrap w:val="0"/>
                  <w:vAlign w:val="center"/>
                </w:tcPr>
                <w:p>
                  <w:pPr>
                    <w:widowControl w:val="0"/>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GB9078-1996</w:t>
                  </w:r>
                </w:p>
              </w:tc>
              <w:tc>
                <w:tcPr>
                  <w:tcW w:w="1260" w:type="dxa"/>
                  <w:noWrap w:val="0"/>
                  <w:vAlign w:val="center"/>
                </w:tcPr>
                <w:p>
                  <w:pPr>
                    <w:widowControl w:val="0"/>
                    <w:autoSpaceDE w:val="0"/>
                    <w:autoSpaceDN w:val="0"/>
                    <w:adjustRightInd w:val="0"/>
                    <w:spacing w:line="240" w:lineRule="auto"/>
                    <w:jc w:val="center"/>
                    <w:rPr>
                      <w:rFonts w:hint="eastAsia" w:ascii="Times New Roman" w:hAnsi="Times New Roman"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烟尘</w:t>
                  </w:r>
                </w:p>
              </w:tc>
              <w:tc>
                <w:tcPr>
                  <w:tcW w:w="2659" w:type="dxa"/>
                  <w:noWrap w:val="0"/>
                  <w:vAlign w:val="center"/>
                </w:tcPr>
                <w:p>
                  <w:pPr>
                    <w:widowControl w:val="0"/>
                    <w:autoSpaceDE w:val="0"/>
                    <w:autoSpaceDN w:val="0"/>
                    <w:adjustRightIn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有组织</w:t>
                  </w:r>
                </w:p>
              </w:tc>
              <w:tc>
                <w:tcPr>
                  <w:tcW w:w="2813" w:type="dxa"/>
                  <w:noWrap w:val="0"/>
                  <w:vAlign w:val="center"/>
                </w:tcPr>
                <w:p>
                  <w:pPr>
                    <w:widowControl w:val="0"/>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bidi="ar-SA"/>
                    </w:rPr>
                  </w:pPr>
                  <w:r>
                    <w:rPr>
                      <w:rFonts w:hint="eastAsia" w:cs="Times New Roman"/>
                      <w:color w:val="auto"/>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708" w:type="dxa"/>
                  <w:noWrap w:val="0"/>
                  <w:vAlign w:val="center"/>
                </w:tcPr>
                <w:p>
                  <w:pPr>
                    <w:widowControl w:val="0"/>
                    <w:autoSpaceDE w:val="0"/>
                    <w:autoSpaceDN w:val="0"/>
                    <w:adjustRightInd w:val="0"/>
                    <w:spacing w:line="240" w:lineRule="auto"/>
                    <w:jc w:val="center"/>
                    <w:rPr>
                      <w:rFonts w:hint="eastAsia" w:ascii="Times New Roman" w:hAnsi="Times New Roman"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DB44/27－2001</w:t>
                  </w:r>
                </w:p>
              </w:tc>
              <w:tc>
                <w:tcPr>
                  <w:tcW w:w="1260" w:type="dxa"/>
                  <w:noWrap w:val="0"/>
                  <w:vAlign w:val="center"/>
                </w:tcPr>
                <w:p>
                  <w:pPr>
                    <w:widowControl w:val="0"/>
                    <w:autoSpaceDE w:val="0"/>
                    <w:autoSpaceDN w:val="0"/>
                    <w:adjustRightInd w:val="0"/>
                    <w:spacing w:line="240" w:lineRule="auto"/>
                    <w:jc w:val="center"/>
                    <w:rPr>
                      <w:rFonts w:hint="eastAsia" w:cs="Times New Roman"/>
                      <w:color w:val="auto"/>
                      <w:sz w:val="21"/>
                      <w:szCs w:val="21"/>
                      <w:lang w:val="en-US" w:eastAsia="zh-CN" w:bidi="ar-SA"/>
                    </w:rPr>
                  </w:pPr>
                  <w:r>
                    <w:rPr>
                      <w:rFonts w:hint="eastAsia" w:cs="Times New Roman"/>
                      <w:color w:val="auto"/>
                      <w:sz w:val="21"/>
                      <w:szCs w:val="21"/>
                      <w:lang w:val="en-US" w:eastAsia="zh-CN" w:bidi="ar-SA"/>
                    </w:rPr>
                    <w:t>颗粒物</w:t>
                  </w:r>
                </w:p>
              </w:tc>
              <w:tc>
                <w:tcPr>
                  <w:tcW w:w="2659" w:type="dxa"/>
                  <w:noWrap w:val="0"/>
                  <w:vAlign w:val="center"/>
                </w:tcPr>
                <w:p>
                  <w:pPr>
                    <w:widowControl w:val="0"/>
                    <w:autoSpaceDE w:val="0"/>
                    <w:autoSpaceDN w:val="0"/>
                    <w:adjustRightInd w:val="0"/>
                    <w:spacing w:line="240" w:lineRule="auto"/>
                    <w:jc w:val="center"/>
                    <w:rPr>
                      <w:rFonts w:hint="eastAsia" w:cs="Times New Roman"/>
                      <w:color w:val="auto"/>
                      <w:sz w:val="21"/>
                      <w:szCs w:val="21"/>
                      <w:lang w:val="en-US" w:eastAsia="zh-CN" w:bidi="ar-SA"/>
                    </w:rPr>
                  </w:pPr>
                  <w:r>
                    <w:rPr>
                      <w:rFonts w:hint="eastAsia" w:cs="Times New Roman"/>
                      <w:color w:val="auto"/>
                      <w:sz w:val="21"/>
                      <w:szCs w:val="21"/>
                      <w:lang w:val="en-US" w:eastAsia="zh-CN" w:bidi="ar-SA"/>
                    </w:rPr>
                    <w:t>无组织</w:t>
                  </w:r>
                </w:p>
              </w:tc>
              <w:tc>
                <w:tcPr>
                  <w:tcW w:w="2813" w:type="dxa"/>
                  <w:noWrap w:val="0"/>
                  <w:vAlign w:val="center"/>
                </w:tcPr>
                <w:p>
                  <w:pPr>
                    <w:widowControl w:val="0"/>
                    <w:autoSpaceDE w:val="0"/>
                    <w:autoSpaceDN w:val="0"/>
                    <w:adjustRightInd w:val="0"/>
                    <w:spacing w:line="240" w:lineRule="auto"/>
                    <w:jc w:val="center"/>
                    <w:rPr>
                      <w:rFonts w:hint="default" w:ascii="Times New Roman" w:hAnsi="Times New Roman" w:cs="Times New Roman"/>
                      <w:color w:val="auto"/>
                      <w:sz w:val="21"/>
                      <w:szCs w:val="21"/>
                      <w:lang w:val="en-US" w:eastAsia="zh-CN" w:bidi="ar-SA"/>
                    </w:rPr>
                  </w:pPr>
                  <w:r>
                    <w:rPr>
                      <w:rFonts w:hint="eastAsia" w:cs="Times New Roman"/>
                      <w:color w:val="auto"/>
                      <w:sz w:val="21"/>
                      <w:szCs w:val="21"/>
                      <w:lang w:val="en-US" w:eastAsia="zh-CN" w:bidi="ar-SA"/>
                    </w:rPr>
                    <w:t>1</w:t>
                  </w:r>
                </w:p>
              </w:tc>
            </w:tr>
          </w:tbl>
          <w:p>
            <w:pPr>
              <w:pStyle w:val="47"/>
              <w:spacing w:line="360" w:lineRule="auto"/>
              <w:ind w:firstLine="422" w:firstLineChars="200"/>
              <w:jc w:val="both"/>
              <w:rPr>
                <w:color w:val="auto"/>
              </w:rPr>
            </w:pPr>
            <w:r>
              <w:rPr>
                <w:rFonts w:ascii="Times New Roman" w:cs="Times New Roman"/>
                <w:b/>
                <w:bCs/>
                <w:color w:val="auto"/>
                <w:sz w:val="21"/>
                <w:szCs w:val="21"/>
              </w:rPr>
              <w:t>注：</w:t>
            </w:r>
            <w:r>
              <w:rPr>
                <w:rFonts w:hint="eastAsia" w:ascii="Times New Roman" w:cs="Times New Roman"/>
                <w:b w:val="0"/>
                <w:bCs w:val="0"/>
                <w:color w:val="auto"/>
                <w:sz w:val="21"/>
                <w:szCs w:val="21"/>
                <w:lang w:eastAsia="zh-CN"/>
              </w:rPr>
              <w:t>①为统一熔化、铸造与滚砂、机加工、抛光等工序的颗粒物无组织排放标准，并且</w:t>
            </w:r>
            <w:r>
              <w:rPr>
                <w:rFonts w:hint="eastAsia" w:ascii="Times New Roman" w:hAnsi="Times New Roman" w:cs="Times New Roman"/>
                <w:b w:val="0"/>
                <w:bCs w:val="0"/>
                <w:color w:val="auto"/>
                <w:sz w:val="21"/>
                <w:szCs w:val="21"/>
                <w:lang w:val="en-US" w:eastAsia="zh-CN" w:bidi="ar-SA"/>
              </w:rPr>
              <w:t>DB44/27－2001</w:t>
            </w:r>
            <w:r>
              <w:rPr>
                <w:rFonts w:hint="eastAsia" w:ascii="Times New Roman" w:cs="Times New Roman"/>
                <w:b w:val="0"/>
                <w:bCs w:val="0"/>
                <w:color w:val="auto"/>
                <w:sz w:val="21"/>
                <w:szCs w:val="21"/>
                <w:lang w:val="en-US" w:eastAsia="zh-CN" w:bidi="ar-SA"/>
              </w:rPr>
              <w:t>严于</w:t>
            </w:r>
            <w:r>
              <w:rPr>
                <w:rFonts w:hint="eastAsia" w:ascii="Times New Roman" w:cs="Times New Roman"/>
                <w:b w:val="0"/>
                <w:bCs w:val="0"/>
                <w:color w:val="auto"/>
                <w:sz w:val="21"/>
                <w:szCs w:val="21"/>
                <w:lang w:eastAsia="zh-CN"/>
              </w:rPr>
              <w:t>GB9078-1996，因此熔化铸造工序的颗粒物也执行</w:t>
            </w:r>
            <w:r>
              <w:rPr>
                <w:rFonts w:hint="eastAsia" w:ascii="Times New Roman" w:hAnsi="Times New Roman" w:cs="Times New Roman"/>
                <w:b w:val="0"/>
                <w:bCs w:val="0"/>
                <w:color w:val="auto"/>
                <w:sz w:val="21"/>
                <w:szCs w:val="21"/>
                <w:lang w:val="en-US" w:eastAsia="zh-CN" w:bidi="ar-SA"/>
              </w:rPr>
              <w:t>DB44/27－2001</w:t>
            </w:r>
            <w:r>
              <w:rPr>
                <w:rFonts w:hint="eastAsia" w:ascii="Times New Roman" w:cs="Times New Roman"/>
                <w:b w:val="0"/>
                <w:bCs w:val="0"/>
                <w:color w:val="auto"/>
                <w:sz w:val="21"/>
                <w:szCs w:val="21"/>
                <w:lang w:val="en-US" w:eastAsia="zh-CN" w:bidi="ar-SA"/>
              </w:rPr>
              <w:t>；②</w:t>
            </w:r>
            <w:r>
              <w:rPr>
                <w:rFonts w:hint="eastAsia" w:ascii="Times New Roman" w:cs="Times New Roman"/>
                <w:b w:val="0"/>
                <w:bCs w:val="0"/>
                <w:color w:val="auto"/>
                <w:sz w:val="21"/>
                <w:szCs w:val="21"/>
                <w:lang w:eastAsia="zh-CN"/>
              </w:rPr>
              <w:t>根据GB9078-1996，</w:t>
            </w:r>
            <w:r>
              <w:rPr>
                <w:rFonts w:ascii="Times New Roman" w:cs="Times New Roman"/>
                <w:color w:val="auto"/>
                <w:sz w:val="21"/>
                <w:szCs w:val="21"/>
              </w:rPr>
              <w:t>排气筒高度应高出周围200m半径范围的建筑</w:t>
            </w:r>
            <w:r>
              <w:rPr>
                <w:rFonts w:hint="eastAsia" w:ascii="Times New Roman" w:cs="Times New Roman"/>
                <w:color w:val="auto"/>
                <w:sz w:val="21"/>
                <w:szCs w:val="21"/>
                <w:lang w:val="en-US" w:eastAsia="zh-CN"/>
              </w:rPr>
              <w:t>3</w:t>
            </w:r>
            <w:r>
              <w:rPr>
                <w:rFonts w:ascii="Times New Roman" w:cs="Times New Roman"/>
                <w:color w:val="auto"/>
                <w:sz w:val="21"/>
                <w:szCs w:val="21"/>
              </w:rPr>
              <w:t>m以上，不能达到该要求的排气筒，</w:t>
            </w:r>
            <w:r>
              <w:rPr>
                <w:rFonts w:hint="eastAsia" w:ascii="Times New Roman" w:cs="Times New Roman"/>
                <w:color w:val="auto"/>
                <w:sz w:val="21"/>
                <w:szCs w:val="21"/>
                <w:lang w:eastAsia="zh-CN"/>
              </w:rPr>
              <w:t>烟尘最高允许排放浓度按照排放标准限值</w:t>
            </w:r>
            <w:r>
              <w:rPr>
                <w:rFonts w:ascii="Times New Roman" w:cs="Times New Roman"/>
                <w:color w:val="auto"/>
                <w:sz w:val="21"/>
                <w:szCs w:val="21"/>
              </w:rPr>
              <w:t>的50%执行。由于项目周围200m半径范围的最高建筑约为</w:t>
            </w:r>
            <w:r>
              <w:rPr>
                <w:rFonts w:hint="eastAsia" w:ascii="Times New Roman" w:cs="Times New Roman"/>
                <w:color w:val="auto"/>
                <w:sz w:val="21"/>
                <w:szCs w:val="21"/>
                <w:lang w:val="en-US" w:eastAsia="zh-CN"/>
              </w:rPr>
              <w:t>18</w:t>
            </w:r>
            <w:r>
              <w:rPr>
                <w:rFonts w:ascii="Times New Roman" w:cs="Times New Roman"/>
                <w:color w:val="auto"/>
                <w:sz w:val="21"/>
                <w:szCs w:val="21"/>
              </w:rPr>
              <w:t>m，本项目排气筒高度设为15米，因此本项目废气排放</w:t>
            </w:r>
            <w:r>
              <w:rPr>
                <w:rFonts w:hint="eastAsia" w:ascii="Times New Roman" w:cs="Times New Roman"/>
                <w:color w:val="auto"/>
                <w:sz w:val="21"/>
                <w:szCs w:val="21"/>
              </w:rPr>
              <w:t>筒</w:t>
            </w:r>
            <w:r>
              <w:rPr>
                <w:rFonts w:ascii="Times New Roman" w:cs="Times New Roman"/>
                <w:color w:val="auto"/>
                <w:sz w:val="21"/>
                <w:szCs w:val="21"/>
              </w:rPr>
              <w:t>无法达到高出周围200m半径范围的建筑</w:t>
            </w:r>
            <w:r>
              <w:rPr>
                <w:rFonts w:hint="eastAsia" w:ascii="Times New Roman" w:cs="Times New Roman"/>
                <w:color w:val="auto"/>
                <w:sz w:val="21"/>
                <w:szCs w:val="21"/>
                <w:lang w:val="en-US" w:eastAsia="zh-CN"/>
              </w:rPr>
              <w:t>3</w:t>
            </w:r>
            <w:r>
              <w:rPr>
                <w:rFonts w:ascii="Times New Roman" w:cs="Times New Roman"/>
                <w:color w:val="auto"/>
                <w:sz w:val="21"/>
                <w:szCs w:val="21"/>
              </w:rPr>
              <w:t>m以上要求，故项目</w:t>
            </w:r>
            <w:r>
              <w:rPr>
                <w:rFonts w:hint="eastAsia" w:ascii="Times New Roman" w:cs="Times New Roman"/>
                <w:color w:val="auto"/>
                <w:sz w:val="21"/>
                <w:szCs w:val="21"/>
                <w:lang w:eastAsia="zh-CN"/>
              </w:rPr>
              <w:t>烟尘最高允许排放浓度按照排放标准限值</w:t>
            </w:r>
            <w:r>
              <w:rPr>
                <w:rFonts w:ascii="Times New Roman" w:cs="Times New Roman"/>
                <w:color w:val="auto"/>
                <w:sz w:val="21"/>
                <w:szCs w:val="21"/>
              </w:rPr>
              <w:t>的50%执行。</w:t>
            </w:r>
          </w:p>
          <w:p>
            <w:pPr>
              <w:numPr>
                <w:ilvl w:val="0"/>
                <w:numId w:val="8"/>
              </w:numPr>
              <w:spacing w:line="360" w:lineRule="auto"/>
              <w:rPr>
                <w:color w:val="auto"/>
              </w:rPr>
            </w:pPr>
            <w:r>
              <w:rPr>
                <w:rFonts w:hint="eastAsia" w:ascii="宋体" w:hAnsi="宋体" w:cs="宋体"/>
                <w:color w:val="auto"/>
                <w:sz w:val="24"/>
                <w:szCs w:val="24"/>
                <w:lang w:eastAsia="zh-CN"/>
              </w:rPr>
              <w:t>制芯、铸造工序产生的</w:t>
            </w:r>
            <w:r>
              <w:rPr>
                <w:rFonts w:hint="eastAsia" w:cs="Times New Roman"/>
                <w:color w:val="auto"/>
                <w:sz w:val="24"/>
                <w:szCs w:val="24"/>
                <w:lang w:val="en-US" w:eastAsia="zh-CN"/>
              </w:rPr>
              <w:t>非甲烷总烃</w:t>
            </w:r>
            <w:r>
              <w:rPr>
                <w:rFonts w:hint="eastAsia" w:ascii="宋体" w:hAnsi="宋体" w:cs="宋体"/>
                <w:color w:val="auto"/>
                <w:sz w:val="24"/>
                <w:szCs w:val="24"/>
                <w:lang w:val="en-US" w:eastAsia="zh-CN"/>
              </w:rPr>
              <w:t>排放执行</w:t>
            </w:r>
            <w:r>
              <w:rPr>
                <w:color w:val="auto"/>
                <w:sz w:val="24"/>
                <w:highlight w:val="none"/>
              </w:rPr>
              <w:t>广东省地方标准《大气污染物排放限值》（DB44/27-2001）中第二时段二级标准和第二时段无组织排放监控浓度限值；</w:t>
            </w:r>
            <w:r>
              <w:rPr>
                <w:rFonts w:hint="eastAsia"/>
                <w:color w:val="auto"/>
                <w:kern w:val="0"/>
                <w:sz w:val="24"/>
                <w:lang w:eastAsia="zh-CN"/>
              </w:rPr>
              <w:t>臭气执行《恶臭污染物排放标准》（GB 14554-1993）表1恶臭污染物厂界标准值二级新扩改建臭气浓度和表</w:t>
            </w:r>
            <w:r>
              <w:rPr>
                <w:rFonts w:hint="eastAsia"/>
                <w:color w:val="auto"/>
                <w:kern w:val="0"/>
                <w:sz w:val="24"/>
                <w:lang w:val="en-US" w:eastAsia="zh-CN"/>
              </w:rPr>
              <w:t>2恶臭污染物排放标准值</w:t>
            </w:r>
            <w:r>
              <w:rPr>
                <w:rFonts w:hint="eastAsia"/>
                <w:color w:val="auto"/>
                <w:kern w:val="0"/>
                <w:sz w:val="24"/>
                <w:lang w:eastAsia="zh-CN"/>
              </w:rPr>
              <w:t>。</w:t>
            </w:r>
          </w:p>
          <w:p>
            <w:pPr>
              <w:pStyle w:val="139"/>
              <w:numPr>
                <w:ilvl w:val="0"/>
                <w:numId w:val="5"/>
              </w:numPr>
              <w:tabs>
                <w:tab w:val="left" w:pos="420"/>
              </w:tabs>
              <w:spacing w:line="360" w:lineRule="auto"/>
              <w:ind w:left="0" w:firstLine="471"/>
              <w:rPr>
                <w:rFonts w:hint="default" w:ascii="Times New Roman" w:hAnsi="Times New Roman" w:eastAsia="宋体" w:cs="Times New Roman"/>
                <w:b/>
                <w:color w:val="auto"/>
                <w:sz w:val="21"/>
                <w:szCs w:val="21"/>
                <w:shd w:val="clear" w:color="auto" w:fill="auto"/>
                <w:lang w:val="en-US" w:eastAsia="zh-CN"/>
              </w:rPr>
            </w:pPr>
            <w:r>
              <w:rPr>
                <w:rFonts w:eastAsia="宋体" w:cs="Times New Roman"/>
                <w:b/>
                <w:color w:val="auto"/>
                <w:sz w:val="21"/>
                <w:szCs w:val="21"/>
                <w:highlight w:val="none"/>
              </w:rPr>
              <w:t>《大气污染物排放限值》摘录</w:t>
            </w:r>
          </w:p>
          <w:tbl>
            <w:tblPr>
              <w:tblStyle w:val="40"/>
              <w:tblW w:w="8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1483"/>
              <w:gridCol w:w="1304"/>
              <w:gridCol w:w="1313"/>
              <w:gridCol w:w="1344"/>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1" w:type="dxa"/>
                  <w:vMerge w:val="restart"/>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项目</w:t>
                  </w:r>
                </w:p>
              </w:tc>
              <w:tc>
                <w:tcPr>
                  <w:tcW w:w="1483" w:type="dxa"/>
                  <w:vMerge w:val="restart"/>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最高允许排放限值（mg/m</w:t>
                  </w:r>
                  <w:r>
                    <w:rPr>
                      <w:b/>
                      <w:color w:val="auto"/>
                      <w:sz w:val="21"/>
                      <w:szCs w:val="21"/>
                      <w:highlight w:val="none"/>
                      <w:vertAlign w:val="superscript"/>
                    </w:rPr>
                    <w:t>3</w:t>
                  </w:r>
                  <w:r>
                    <w:rPr>
                      <w:b/>
                      <w:color w:val="auto"/>
                      <w:sz w:val="21"/>
                      <w:szCs w:val="21"/>
                      <w:highlight w:val="none"/>
                    </w:rPr>
                    <w:t>）</w:t>
                  </w:r>
                </w:p>
              </w:tc>
              <w:tc>
                <w:tcPr>
                  <w:tcW w:w="1304" w:type="dxa"/>
                  <w:vMerge w:val="restart"/>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排气筒高度</w:t>
                  </w:r>
                </w:p>
                <w:p>
                  <w:pPr>
                    <w:pStyle w:val="29"/>
                    <w:ind w:firstLine="0"/>
                    <w:jc w:val="center"/>
                    <w:rPr>
                      <w:b/>
                      <w:color w:val="auto"/>
                      <w:sz w:val="21"/>
                      <w:szCs w:val="21"/>
                      <w:highlight w:val="none"/>
                    </w:rPr>
                  </w:pPr>
                  <w:r>
                    <w:rPr>
                      <w:b/>
                      <w:color w:val="auto"/>
                      <w:sz w:val="21"/>
                      <w:szCs w:val="21"/>
                      <w:highlight w:val="none"/>
                    </w:rPr>
                    <w:t>（m）</w:t>
                  </w:r>
                </w:p>
              </w:tc>
              <w:tc>
                <w:tcPr>
                  <w:tcW w:w="1313" w:type="dxa"/>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排放速率</w:t>
                  </w:r>
                </w:p>
              </w:tc>
              <w:tc>
                <w:tcPr>
                  <w:tcW w:w="2739" w:type="dxa"/>
                  <w:gridSpan w:val="2"/>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1" w:type="dxa"/>
                  <w:vMerge w:val="continue"/>
                  <w:tcBorders>
                    <w:tl2br w:val="nil"/>
                    <w:tr2bl w:val="nil"/>
                  </w:tcBorders>
                  <w:vAlign w:val="center"/>
                </w:tcPr>
                <w:p>
                  <w:pPr>
                    <w:pStyle w:val="29"/>
                    <w:ind w:firstLine="0"/>
                    <w:jc w:val="center"/>
                    <w:rPr>
                      <w:b/>
                      <w:color w:val="auto"/>
                      <w:sz w:val="21"/>
                      <w:szCs w:val="21"/>
                      <w:highlight w:val="none"/>
                    </w:rPr>
                  </w:pPr>
                </w:p>
              </w:tc>
              <w:tc>
                <w:tcPr>
                  <w:tcW w:w="1483" w:type="dxa"/>
                  <w:vMerge w:val="continue"/>
                  <w:tcBorders>
                    <w:tl2br w:val="nil"/>
                    <w:tr2bl w:val="nil"/>
                  </w:tcBorders>
                  <w:vAlign w:val="center"/>
                </w:tcPr>
                <w:p>
                  <w:pPr>
                    <w:pStyle w:val="29"/>
                    <w:ind w:firstLine="0"/>
                    <w:jc w:val="center"/>
                    <w:rPr>
                      <w:b/>
                      <w:color w:val="auto"/>
                      <w:sz w:val="21"/>
                      <w:szCs w:val="21"/>
                      <w:highlight w:val="none"/>
                    </w:rPr>
                  </w:pPr>
                </w:p>
              </w:tc>
              <w:tc>
                <w:tcPr>
                  <w:tcW w:w="1304" w:type="dxa"/>
                  <w:vMerge w:val="continue"/>
                  <w:tcBorders>
                    <w:tl2br w:val="nil"/>
                    <w:tr2bl w:val="nil"/>
                  </w:tcBorders>
                  <w:vAlign w:val="center"/>
                </w:tcPr>
                <w:p>
                  <w:pPr>
                    <w:pStyle w:val="29"/>
                    <w:ind w:firstLine="0"/>
                    <w:jc w:val="center"/>
                    <w:rPr>
                      <w:b/>
                      <w:color w:val="auto"/>
                      <w:sz w:val="21"/>
                      <w:szCs w:val="21"/>
                      <w:highlight w:val="none"/>
                    </w:rPr>
                  </w:pPr>
                </w:p>
              </w:tc>
              <w:tc>
                <w:tcPr>
                  <w:tcW w:w="1313" w:type="dxa"/>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二级标准值（kg/h）</w:t>
                  </w:r>
                </w:p>
              </w:tc>
              <w:tc>
                <w:tcPr>
                  <w:tcW w:w="1344" w:type="dxa"/>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监测点</w:t>
                  </w:r>
                </w:p>
              </w:tc>
              <w:tc>
                <w:tcPr>
                  <w:tcW w:w="1395" w:type="dxa"/>
                  <w:tcBorders>
                    <w:tl2br w:val="nil"/>
                    <w:tr2bl w:val="nil"/>
                  </w:tcBorders>
                  <w:vAlign w:val="center"/>
                </w:tcPr>
                <w:p>
                  <w:pPr>
                    <w:pStyle w:val="29"/>
                    <w:ind w:firstLine="0"/>
                    <w:jc w:val="center"/>
                    <w:rPr>
                      <w:b/>
                      <w:color w:val="auto"/>
                      <w:sz w:val="21"/>
                      <w:szCs w:val="21"/>
                      <w:highlight w:val="none"/>
                    </w:rPr>
                  </w:pPr>
                  <w:r>
                    <w:rPr>
                      <w:b/>
                      <w:color w:val="auto"/>
                      <w:sz w:val="21"/>
                      <w:szCs w:val="21"/>
                      <w:highlight w:val="none"/>
                    </w:rPr>
                    <w:t>浓度</w:t>
                  </w:r>
                </w:p>
                <w:p>
                  <w:pPr>
                    <w:pStyle w:val="29"/>
                    <w:ind w:firstLine="0"/>
                    <w:jc w:val="center"/>
                    <w:rPr>
                      <w:b/>
                      <w:color w:val="auto"/>
                      <w:sz w:val="21"/>
                      <w:szCs w:val="21"/>
                      <w:highlight w:val="none"/>
                    </w:rPr>
                  </w:pPr>
                  <w:r>
                    <w:rPr>
                      <w:b/>
                      <w:color w:val="auto"/>
                      <w:sz w:val="21"/>
                      <w:szCs w:val="21"/>
                      <w:highlight w:val="none"/>
                    </w:rPr>
                    <w:t>（mg/m</w:t>
                  </w:r>
                  <w:r>
                    <w:rPr>
                      <w:b/>
                      <w:color w:val="auto"/>
                      <w:sz w:val="21"/>
                      <w:szCs w:val="21"/>
                      <w:highlight w:val="none"/>
                      <w:vertAlign w:val="superscript"/>
                    </w:rPr>
                    <w:t>3</w:t>
                  </w:r>
                  <w:r>
                    <w:rPr>
                      <w:b/>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1"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非甲烷总烃</w:t>
                  </w:r>
                </w:p>
              </w:tc>
              <w:tc>
                <w:tcPr>
                  <w:tcW w:w="1483"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120</w:t>
                  </w:r>
                </w:p>
              </w:tc>
              <w:tc>
                <w:tcPr>
                  <w:tcW w:w="1304"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15</w:t>
                  </w:r>
                </w:p>
              </w:tc>
              <w:tc>
                <w:tcPr>
                  <w:tcW w:w="1313"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4.2</w:t>
                  </w:r>
                </w:p>
              </w:tc>
              <w:tc>
                <w:tcPr>
                  <w:tcW w:w="1344"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周界外浓度最高点</w:t>
                  </w:r>
                </w:p>
              </w:tc>
              <w:tc>
                <w:tcPr>
                  <w:tcW w:w="1395" w:type="dxa"/>
                  <w:tcBorders>
                    <w:tl2br w:val="nil"/>
                    <w:tr2bl w:val="nil"/>
                  </w:tcBorders>
                  <w:vAlign w:val="center"/>
                </w:tcPr>
                <w:p>
                  <w:pPr>
                    <w:pStyle w:val="29"/>
                    <w:ind w:firstLine="0"/>
                    <w:jc w:val="center"/>
                    <w:rPr>
                      <w:bCs/>
                      <w:color w:val="auto"/>
                      <w:sz w:val="21"/>
                      <w:szCs w:val="21"/>
                      <w:highlight w:val="none"/>
                    </w:rPr>
                  </w:pPr>
                  <w:r>
                    <w:rPr>
                      <w:rFonts w:hint="eastAsia"/>
                      <w:bCs/>
                      <w:color w:val="auto"/>
                      <w:sz w:val="21"/>
                      <w:szCs w:val="21"/>
                      <w:highlight w:val="none"/>
                    </w:rPr>
                    <w:t>4.0</w:t>
                  </w:r>
                </w:p>
              </w:tc>
            </w:tr>
          </w:tbl>
          <w:p>
            <w:pPr>
              <w:pStyle w:val="47"/>
              <w:spacing w:line="360" w:lineRule="auto"/>
              <w:ind w:firstLine="422" w:firstLineChars="200"/>
              <w:jc w:val="both"/>
              <w:rPr>
                <w:rFonts w:eastAsia="宋体" w:cs="Times New Roman"/>
                <w:b/>
                <w:color w:val="auto"/>
                <w:sz w:val="21"/>
                <w:szCs w:val="21"/>
              </w:rPr>
            </w:pPr>
            <w:r>
              <w:rPr>
                <w:rFonts w:ascii="Times New Roman" w:cs="Times New Roman"/>
                <w:b/>
                <w:bCs/>
                <w:color w:val="auto"/>
                <w:sz w:val="21"/>
                <w:szCs w:val="21"/>
              </w:rPr>
              <w:t>注：</w:t>
            </w:r>
            <w:r>
              <w:rPr>
                <w:rFonts w:ascii="Times New Roman" w:cs="Times New Roman"/>
                <w:color w:val="auto"/>
                <w:sz w:val="21"/>
                <w:szCs w:val="21"/>
              </w:rPr>
              <w:t>排气筒高度应高出周围200m半径范围的建筑5m以上，不能达到该要求的排气筒，应按其高度对应的排放速率的50%执行。由于项目周围200m半径范围的最高建筑约为</w:t>
            </w:r>
            <w:r>
              <w:rPr>
                <w:rFonts w:hint="eastAsia" w:ascii="Times New Roman" w:cs="Times New Roman"/>
                <w:color w:val="auto"/>
                <w:sz w:val="21"/>
                <w:szCs w:val="21"/>
                <w:lang w:val="en-US" w:eastAsia="zh-CN"/>
              </w:rPr>
              <w:t>18</w:t>
            </w:r>
            <w:r>
              <w:rPr>
                <w:rFonts w:ascii="Times New Roman" w:cs="Times New Roman"/>
                <w:color w:val="auto"/>
                <w:sz w:val="21"/>
                <w:szCs w:val="21"/>
              </w:rPr>
              <w:t>m，本项目排气筒高度设为15米，因此本项目废气排放</w:t>
            </w:r>
            <w:r>
              <w:rPr>
                <w:rFonts w:hint="eastAsia" w:ascii="Times New Roman" w:cs="Times New Roman"/>
                <w:color w:val="auto"/>
                <w:sz w:val="21"/>
                <w:szCs w:val="21"/>
              </w:rPr>
              <w:t>筒</w:t>
            </w:r>
            <w:r>
              <w:rPr>
                <w:rFonts w:ascii="Times New Roman" w:cs="Times New Roman"/>
                <w:color w:val="auto"/>
                <w:sz w:val="21"/>
                <w:szCs w:val="21"/>
              </w:rPr>
              <w:t>无法达到高出周围200m半径范围的建筑5m以上要求，故项目废气按其高度对应的排放速率限值的50%执行。</w:t>
            </w:r>
          </w:p>
          <w:p>
            <w:pPr>
              <w:pStyle w:val="139"/>
              <w:numPr>
                <w:ilvl w:val="0"/>
                <w:numId w:val="5"/>
              </w:numPr>
              <w:tabs>
                <w:tab w:val="left" w:pos="420"/>
              </w:tabs>
              <w:adjustRightInd/>
              <w:snapToGrid/>
              <w:spacing w:line="312" w:lineRule="auto"/>
              <w:ind w:left="0" w:firstLine="471"/>
              <w:rPr>
                <w:rFonts w:eastAsia="宋体" w:cs="Times New Roman"/>
                <w:b/>
                <w:color w:val="auto"/>
                <w:sz w:val="21"/>
                <w:szCs w:val="21"/>
              </w:rPr>
            </w:pPr>
            <w:r>
              <w:rPr>
                <w:rFonts w:hint="eastAsia" w:eastAsia="宋体" w:cs="Times New Roman"/>
                <w:b/>
                <w:color w:val="auto"/>
                <w:sz w:val="21"/>
                <w:szCs w:val="21"/>
              </w:rPr>
              <w:t>《恶臭污染物排放标准》 摘录</w:t>
            </w:r>
          </w:p>
          <w:tbl>
            <w:tblPr>
              <w:tblStyle w:val="40"/>
              <w:tblW w:w="82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7"/>
              <w:gridCol w:w="1377"/>
              <w:gridCol w:w="2693"/>
              <w:gridCol w:w="2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717" w:type="dxa"/>
                  <w:noWrap w:val="0"/>
                  <w:vAlign w:val="center"/>
                </w:tcPr>
                <w:p>
                  <w:pPr>
                    <w:widowControl w:val="0"/>
                    <w:spacing w:line="240" w:lineRule="auto"/>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污染物项目</w:t>
                  </w:r>
                </w:p>
              </w:tc>
              <w:tc>
                <w:tcPr>
                  <w:tcW w:w="1377" w:type="dxa"/>
                  <w:noWrap w:val="0"/>
                  <w:vAlign w:val="center"/>
                </w:tcPr>
                <w:p>
                  <w:pPr>
                    <w:widowControl w:val="0"/>
                    <w:spacing w:line="240" w:lineRule="auto"/>
                    <w:jc w:val="center"/>
                    <w:rPr>
                      <w:rFonts w:hint="eastAsia" w:ascii="Times New Roman" w:hAnsi="Times New Roman" w:eastAsia="宋体" w:cs="Times New Roman"/>
                      <w:b/>
                      <w:bCs/>
                      <w:color w:val="auto"/>
                      <w:szCs w:val="21"/>
                      <w:highlight w:val="none"/>
                      <w:lang w:eastAsia="zh-CN"/>
                    </w:rPr>
                  </w:pPr>
                  <w:r>
                    <w:rPr>
                      <w:rFonts w:hint="eastAsia" w:cs="Times New Roman"/>
                      <w:b/>
                      <w:bCs/>
                      <w:color w:val="auto"/>
                      <w:szCs w:val="21"/>
                      <w:highlight w:val="none"/>
                      <w:lang w:eastAsia="zh-CN"/>
                    </w:rPr>
                    <w:t>排放方式</w:t>
                  </w:r>
                </w:p>
              </w:tc>
              <w:tc>
                <w:tcPr>
                  <w:tcW w:w="2693" w:type="dxa"/>
                  <w:noWrap w:val="0"/>
                  <w:vAlign w:val="center"/>
                </w:tcPr>
                <w:p>
                  <w:pPr>
                    <w:widowControl w:val="0"/>
                    <w:spacing w:line="240" w:lineRule="auto"/>
                    <w:jc w:val="center"/>
                    <w:rPr>
                      <w:rFonts w:hint="eastAsia" w:ascii="Times New Roman" w:hAnsi="Times New Roman" w:eastAsia="宋体" w:cs="Times New Roman"/>
                      <w:b/>
                      <w:bCs/>
                      <w:color w:val="auto"/>
                      <w:szCs w:val="21"/>
                      <w:highlight w:val="none"/>
                      <w:lang w:eastAsia="zh-CN"/>
                    </w:rPr>
                  </w:pPr>
                  <w:r>
                    <w:rPr>
                      <w:rFonts w:hint="eastAsia" w:cs="Times New Roman"/>
                      <w:b/>
                      <w:bCs/>
                      <w:color w:val="auto"/>
                      <w:szCs w:val="21"/>
                      <w:highlight w:val="none"/>
                      <w:lang w:eastAsia="zh-CN"/>
                    </w:rPr>
                    <w:t>标准值</w:t>
                  </w:r>
                </w:p>
              </w:tc>
              <w:tc>
                <w:tcPr>
                  <w:tcW w:w="2491" w:type="dxa"/>
                  <w:noWrap w:val="0"/>
                  <w:vAlign w:val="top"/>
                </w:tcPr>
                <w:p>
                  <w:pPr>
                    <w:widowControl w:val="0"/>
                    <w:spacing w:line="240" w:lineRule="auto"/>
                    <w:jc w:val="center"/>
                    <w:rPr>
                      <w:rFonts w:hint="default" w:ascii="Times New Roman" w:hAnsi="Times New Roman" w:cs="Times New Roman"/>
                      <w:b/>
                      <w:bCs/>
                      <w:color w:val="auto"/>
                      <w:szCs w:val="21"/>
                      <w:highlight w:val="none"/>
                    </w:rPr>
                  </w:pPr>
                  <w:r>
                    <w:rPr>
                      <w:rFonts w:hint="eastAsia" w:cs="Times New Roman"/>
                      <w:b/>
                      <w:bCs/>
                      <w:color w:val="auto"/>
                      <w:szCs w:val="21"/>
                      <w:highlight w:val="none"/>
                      <w:lang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717" w:type="dxa"/>
                  <w:vMerge w:val="restart"/>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臭气浓度</w:t>
                  </w:r>
                </w:p>
              </w:tc>
              <w:tc>
                <w:tcPr>
                  <w:tcW w:w="1377" w:type="dxa"/>
                  <w:noWrap w:val="0"/>
                  <w:vAlign w:val="center"/>
                </w:tcPr>
                <w:p>
                  <w:pPr>
                    <w:widowControl w:val="0"/>
                    <w:spacing w:line="240" w:lineRule="auto"/>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有组织</w:t>
                  </w:r>
                </w:p>
              </w:tc>
              <w:tc>
                <w:tcPr>
                  <w:tcW w:w="2693" w:type="dxa"/>
                  <w:noWrap w:val="0"/>
                  <w:vAlign w:val="center"/>
                </w:tcPr>
                <w:p>
                  <w:pPr>
                    <w:widowControl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2000</w:t>
                  </w:r>
                </w:p>
              </w:tc>
              <w:tc>
                <w:tcPr>
                  <w:tcW w:w="24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无纲量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717" w:type="dxa"/>
                  <w:vMerge w:val="continue"/>
                  <w:noWrap w:val="0"/>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77" w:type="dxa"/>
                  <w:noWrap w:val="0"/>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2693" w:type="dxa"/>
                  <w:noWrap w:val="0"/>
                  <w:vAlign w:val="center"/>
                </w:tcPr>
                <w:p>
                  <w:pPr>
                    <w:widowControl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2491" w:type="dxa"/>
                  <w:noWrap w:val="0"/>
                  <w:vAlign w:val="center"/>
                </w:tcPr>
                <w:p>
                  <w:pPr>
                    <w:widowControl w:val="0"/>
                    <w:spacing w:line="240" w:lineRule="auto"/>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lang w:val="en-US" w:eastAsia="zh-CN"/>
                    </w:rPr>
                    <w:t>无纲量</w:t>
                  </w:r>
                </w:p>
              </w:tc>
            </w:tr>
          </w:tbl>
          <w:p>
            <w:pPr>
              <w:numPr>
                <w:ilvl w:val="0"/>
                <w:numId w:val="8"/>
              </w:numPr>
              <w:spacing w:line="336" w:lineRule="auto"/>
              <w:ind w:left="420" w:leftChars="0" w:hanging="420" w:firstLineChars="0"/>
              <w:rPr>
                <w:rFonts w:hint="eastAsia" w:eastAsia="宋体"/>
                <w:color w:val="auto"/>
                <w:lang w:eastAsia="zh-CN"/>
              </w:rPr>
            </w:pPr>
            <w:r>
              <w:rPr>
                <w:rFonts w:hint="eastAsia" w:hAnsi="宋体"/>
                <w:color w:val="auto"/>
                <w:sz w:val="24"/>
                <w:lang w:val="en-US" w:eastAsia="zh-CN"/>
              </w:rPr>
              <w:t>滚砂、机加工、抛光</w:t>
            </w:r>
            <w:r>
              <w:rPr>
                <w:rFonts w:hAnsi="宋体"/>
                <w:color w:val="auto"/>
                <w:sz w:val="24"/>
              </w:rPr>
              <w:t>工序产生的</w:t>
            </w:r>
            <w:r>
              <w:rPr>
                <w:rFonts w:hint="eastAsia" w:hAnsi="宋体"/>
                <w:color w:val="auto"/>
                <w:sz w:val="24"/>
                <w:lang w:val="en-US" w:eastAsia="zh-CN"/>
              </w:rPr>
              <w:t>粉尘</w:t>
            </w:r>
            <w:r>
              <w:rPr>
                <w:rFonts w:hAnsi="宋体"/>
                <w:color w:val="auto"/>
                <w:sz w:val="24"/>
              </w:rPr>
              <w:t>排放执行</w:t>
            </w:r>
            <w:r>
              <w:rPr>
                <w:rFonts w:hint="eastAsia" w:hAnsi="宋体"/>
                <w:color w:val="auto"/>
                <w:sz w:val="24"/>
              </w:rPr>
              <w:t>广东省</w:t>
            </w:r>
            <w:r>
              <w:rPr>
                <w:rFonts w:hint="eastAsia" w:hAnsi="宋体"/>
                <w:color w:val="auto"/>
                <w:sz w:val="24"/>
                <w:lang w:eastAsia="zh-CN"/>
              </w:rPr>
              <w:t>地方标准</w:t>
            </w:r>
            <w:r>
              <w:rPr>
                <w:rFonts w:hint="eastAsia" w:hAnsi="宋体"/>
                <w:color w:val="auto"/>
                <w:sz w:val="24"/>
              </w:rPr>
              <w:t>《大气污染物排放限值》（DB44/27－2001）第二时段二级标准</w:t>
            </w:r>
            <w:r>
              <w:rPr>
                <w:rFonts w:hint="eastAsia" w:hAnsi="宋体"/>
                <w:color w:val="auto"/>
                <w:sz w:val="24"/>
                <w:lang w:eastAsia="zh-CN"/>
              </w:rPr>
              <w:t>和无组织排放监控浓度限值。</w:t>
            </w:r>
          </w:p>
          <w:p>
            <w:pPr>
              <w:pStyle w:val="139"/>
              <w:numPr>
                <w:ilvl w:val="0"/>
                <w:numId w:val="5"/>
              </w:numPr>
              <w:tabs>
                <w:tab w:val="left" w:pos="420"/>
              </w:tabs>
              <w:spacing w:line="360" w:lineRule="auto"/>
              <w:ind w:left="0" w:firstLine="471"/>
              <w:rPr>
                <w:rFonts w:hint="eastAsia" w:ascii="Times New Roman" w:hAnsi="Times New Roman" w:eastAsia="宋体" w:cs="Times New Roman"/>
                <w:b/>
                <w:color w:val="auto"/>
                <w:sz w:val="21"/>
                <w:szCs w:val="21"/>
                <w:shd w:val="clear" w:color="auto" w:fill="auto"/>
              </w:rPr>
            </w:pPr>
            <w:r>
              <w:rPr>
                <w:rFonts w:hint="eastAsia" w:eastAsia="宋体" w:cs="Times New Roman"/>
                <w:b/>
                <w:color w:val="auto"/>
                <w:sz w:val="21"/>
                <w:szCs w:val="21"/>
                <w:shd w:val="clear" w:color="auto" w:fill="auto"/>
                <w:lang w:val="en-US" w:eastAsia="zh-CN"/>
              </w:rPr>
              <w:t>广东省地方标准《大气污染物排放限值》摘录</w:t>
            </w:r>
          </w:p>
          <w:tbl>
            <w:tblPr>
              <w:tblStyle w:val="40"/>
              <w:tblW w:w="8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1483"/>
              <w:gridCol w:w="1304"/>
              <w:gridCol w:w="1313"/>
              <w:gridCol w:w="1344"/>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1" w:type="dxa"/>
                  <w:vMerge w:val="restart"/>
                  <w:tcBorders>
                    <w:tl2br w:val="nil"/>
                    <w:tr2bl w:val="nil"/>
                  </w:tcBorders>
                  <w:vAlign w:val="center"/>
                </w:tcPr>
                <w:p>
                  <w:pPr>
                    <w:pStyle w:val="29"/>
                    <w:spacing w:line="360" w:lineRule="auto"/>
                    <w:ind w:firstLine="0"/>
                    <w:jc w:val="center"/>
                    <w:rPr>
                      <w:rFonts w:hint="eastAsia" w:eastAsia="宋体"/>
                      <w:b/>
                      <w:color w:val="auto"/>
                      <w:sz w:val="21"/>
                      <w:szCs w:val="21"/>
                      <w:shd w:val="clear" w:color="auto" w:fill="auto"/>
                      <w:lang w:eastAsia="zh-CN"/>
                    </w:rPr>
                  </w:pPr>
                  <w:r>
                    <w:rPr>
                      <w:rFonts w:hint="eastAsia"/>
                      <w:b/>
                      <w:color w:val="auto"/>
                      <w:sz w:val="21"/>
                      <w:szCs w:val="21"/>
                      <w:shd w:val="clear" w:color="auto" w:fill="auto"/>
                      <w:lang w:eastAsia="zh-CN"/>
                    </w:rPr>
                    <w:t>污染物</w:t>
                  </w:r>
                </w:p>
              </w:tc>
              <w:tc>
                <w:tcPr>
                  <w:tcW w:w="1483" w:type="dxa"/>
                  <w:vMerge w:val="restart"/>
                  <w:tcBorders>
                    <w:tl2br w:val="nil"/>
                    <w:tr2bl w:val="nil"/>
                  </w:tcBorders>
                  <w:vAlign w:val="center"/>
                </w:tcPr>
                <w:p>
                  <w:pPr>
                    <w:pStyle w:val="29"/>
                    <w:spacing w:line="36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最高允许排放限值（mg/m</w:t>
                  </w:r>
                  <w:r>
                    <w:rPr>
                      <w:rFonts w:hint="eastAsia"/>
                      <w:b/>
                      <w:color w:val="auto"/>
                      <w:sz w:val="21"/>
                      <w:szCs w:val="21"/>
                      <w:shd w:val="clear" w:color="auto" w:fill="auto"/>
                      <w:vertAlign w:val="superscript"/>
                    </w:rPr>
                    <w:t>3</w:t>
                  </w:r>
                  <w:r>
                    <w:rPr>
                      <w:rFonts w:hint="eastAsia"/>
                      <w:b/>
                      <w:color w:val="auto"/>
                      <w:sz w:val="21"/>
                      <w:szCs w:val="21"/>
                      <w:shd w:val="clear" w:color="auto" w:fill="auto"/>
                    </w:rPr>
                    <w:t>）</w:t>
                  </w:r>
                </w:p>
              </w:tc>
              <w:tc>
                <w:tcPr>
                  <w:tcW w:w="1304" w:type="dxa"/>
                  <w:vMerge w:val="restart"/>
                  <w:tcBorders>
                    <w:tl2br w:val="nil"/>
                    <w:tr2bl w:val="nil"/>
                  </w:tcBorders>
                  <w:vAlign w:val="center"/>
                </w:tcPr>
                <w:p>
                  <w:pPr>
                    <w:pStyle w:val="29"/>
                    <w:spacing w:line="36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排气筒高度</w:t>
                  </w:r>
                </w:p>
                <w:p>
                  <w:pPr>
                    <w:pStyle w:val="29"/>
                    <w:spacing w:line="36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（m）</w:t>
                  </w:r>
                </w:p>
              </w:tc>
              <w:tc>
                <w:tcPr>
                  <w:tcW w:w="1313" w:type="dxa"/>
                  <w:tcBorders>
                    <w:tl2br w:val="nil"/>
                    <w:tr2bl w:val="nil"/>
                  </w:tcBorders>
                  <w:vAlign w:val="center"/>
                </w:tcPr>
                <w:p>
                  <w:pPr>
                    <w:pStyle w:val="29"/>
                    <w:spacing w:line="36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排放速率</w:t>
                  </w:r>
                </w:p>
              </w:tc>
              <w:tc>
                <w:tcPr>
                  <w:tcW w:w="2739" w:type="dxa"/>
                  <w:gridSpan w:val="2"/>
                  <w:tcBorders>
                    <w:tl2br w:val="nil"/>
                    <w:tr2bl w:val="nil"/>
                  </w:tcBorders>
                  <w:vAlign w:val="center"/>
                </w:tcPr>
                <w:p>
                  <w:pPr>
                    <w:pStyle w:val="29"/>
                    <w:spacing w:line="36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1" w:type="dxa"/>
                  <w:vMerge w:val="continue"/>
                  <w:tcBorders>
                    <w:tl2br w:val="nil"/>
                    <w:tr2bl w:val="nil"/>
                  </w:tcBorders>
                  <w:vAlign w:val="center"/>
                </w:tcPr>
                <w:p>
                  <w:pPr>
                    <w:pStyle w:val="29"/>
                    <w:spacing w:line="240" w:lineRule="auto"/>
                    <w:ind w:firstLine="0"/>
                    <w:jc w:val="center"/>
                    <w:rPr>
                      <w:rFonts w:hint="eastAsia"/>
                      <w:b/>
                      <w:color w:val="auto"/>
                      <w:sz w:val="21"/>
                      <w:szCs w:val="21"/>
                      <w:shd w:val="clear" w:color="auto" w:fill="auto"/>
                    </w:rPr>
                  </w:pPr>
                </w:p>
              </w:tc>
              <w:tc>
                <w:tcPr>
                  <w:tcW w:w="1483" w:type="dxa"/>
                  <w:vMerge w:val="continue"/>
                  <w:tcBorders>
                    <w:tl2br w:val="nil"/>
                    <w:tr2bl w:val="nil"/>
                  </w:tcBorders>
                  <w:vAlign w:val="center"/>
                </w:tcPr>
                <w:p>
                  <w:pPr>
                    <w:pStyle w:val="29"/>
                    <w:spacing w:line="240" w:lineRule="auto"/>
                    <w:ind w:firstLine="0"/>
                    <w:jc w:val="center"/>
                    <w:rPr>
                      <w:rFonts w:hint="eastAsia"/>
                      <w:b/>
                      <w:color w:val="auto"/>
                      <w:sz w:val="21"/>
                      <w:szCs w:val="21"/>
                      <w:shd w:val="clear" w:color="auto" w:fill="auto"/>
                    </w:rPr>
                  </w:pPr>
                </w:p>
              </w:tc>
              <w:tc>
                <w:tcPr>
                  <w:tcW w:w="1304" w:type="dxa"/>
                  <w:vMerge w:val="continue"/>
                  <w:tcBorders>
                    <w:tl2br w:val="nil"/>
                    <w:tr2bl w:val="nil"/>
                  </w:tcBorders>
                  <w:vAlign w:val="center"/>
                </w:tcPr>
                <w:p>
                  <w:pPr>
                    <w:pStyle w:val="29"/>
                    <w:spacing w:line="240" w:lineRule="auto"/>
                    <w:ind w:firstLine="0"/>
                    <w:jc w:val="center"/>
                    <w:rPr>
                      <w:rFonts w:hint="eastAsia"/>
                      <w:b/>
                      <w:color w:val="auto"/>
                      <w:sz w:val="21"/>
                      <w:szCs w:val="21"/>
                      <w:shd w:val="clear" w:color="auto" w:fill="auto"/>
                    </w:rPr>
                  </w:pPr>
                </w:p>
              </w:tc>
              <w:tc>
                <w:tcPr>
                  <w:tcW w:w="1313" w:type="dxa"/>
                  <w:tcBorders>
                    <w:tl2br w:val="nil"/>
                    <w:tr2bl w:val="nil"/>
                  </w:tcBorders>
                  <w:vAlign w:val="center"/>
                </w:tcPr>
                <w:p>
                  <w:pPr>
                    <w:pStyle w:val="29"/>
                    <w:spacing w:line="24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二级标准值（kg/h）</w:t>
                  </w:r>
                </w:p>
              </w:tc>
              <w:tc>
                <w:tcPr>
                  <w:tcW w:w="1344" w:type="dxa"/>
                  <w:tcBorders>
                    <w:tl2br w:val="nil"/>
                    <w:tr2bl w:val="nil"/>
                  </w:tcBorders>
                  <w:vAlign w:val="center"/>
                </w:tcPr>
                <w:p>
                  <w:pPr>
                    <w:pStyle w:val="29"/>
                    <w:spacing w:line="24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监测点</w:t>
                  </w:r>
                </w:p>
              </w:tc>
              <w:tc>
                <w:tcPr>
                  <w:tcW w:w="1395" w:type="dxa"/>
                  <w:tcBorders>
                    <w:tl2br w:val="nil"/>
                    <w:tr2bl w:val="nil"/>
                  </w:tcBorders>
                  <w:vAlign w:val="center"/>
                </w:tcPr>
                <w:p>
                  <w:pPr>
                    <w:pStyle w:val="29"/>
                    <w:spacing w:line="24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浓度</w:t>
                  </w:r>
                </w:p>
                <w:p>
                  <w:pPr>
                    <w:pStyle w:val="29"/>
                    <w:spacing w:line="240" w:lineRule="auto"/>
                    <w:ind w:firstLine="0"/>
                    <w:jc w:val="center"/>
                    <w:rPr>
                      <w:rFonts w:hint="eastAsia"/>
                      <w:b/>
                      <w:color w:val="auto"/>
                      <w:sz w:val="21"/>
                      <w:szCs w:val="21"/>
                      <w:shd w:val="clear" w:color="auto" w:fill="auto"/>
                    </w:rPr>
                  </w:pPr>
                  <w:r>
                    <w:rPr>
                      <w:rFonts w:hint="eastAsia"/>
                      <w:b/>
                      <w:color w:val="auto"/>
                      <w:sz w:val="21"/>
                      <w:szCs w:val="21"/>
                      <w:shd w:val="clear" w:color="auto" w:fill="auto"/>
                    </w:rPr>
                    <w:t>（mg/m</w:t>
                  </w:r>
                  <w:r>
                    <w:rPr>
                      <w:rFonts w:hint="eastAsia"/>
                      <w:b/>
                      <w:color w:val="auto"/>
                      <w:sz w:val="21"/>
                      <w:szCs w:val="21"/>
                      <w:shd w:val="clear" w:color="auto" w:fill="auto"/>
                      <w:vertAlign w:val="superscript"/>
                    </w:rPr>
                    <w:t>3</w:t>
                  </w:r>
                  <w:r>
                    <w:rPr>
                      <w:rFonts w:hint="eastAsia"/>
                      <w:b/>
                      <w:color w:val="auto"/>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1" w:type="dxa"/>
                  <w:tcBorders>
                    <w:tl2br w:val="nil"/>
                    <w:tr2bl w:val="nil"/>
                  </w:tcBorders>
                  <w:vAlign w:val="center"/>
                </w:tcPr>
                <w:p>
                  <w:pPr>
                    <w:pStyle w:val="29"/>
                    <w:spacing w:line="240" w:lineRule="auto"/>
                    <w:ind w:firstLine="0"/>
                    <w:jc w:val="center"/>
                    <w:rPr>
                      <w:rFonts w:hint="eastAsia"/>
                      <w:bCs/>
                      <w:color w:val="auto"/>
                      <w:sz w:val="21"/>
                      <w:szCs w:val="21"/>
                      <w:shd w:val="clear" w:color="auto" w:fill="auto"/>
                    </w:rPr>
                  </w:pPr>
                  <w:r>
                    <w:rPr>
                      <w:rFonts w:hint="eastAsia"/>
                      <w:bCs/>
                      <w:color w:val="auto"/>
                      <w:sz w:val="21"/>
                      <w:szCs w:val="21"/>
                      <w:shd w:val="clear" w:color="auto" w:fill="auto"/>
                    </w:rPr>
                    <w:t>颗粒物</w:t>
                  </w:r>
                </w:p>
              </w:tc>
              <w:tc>
                <w:tcPr>
                  <w:tcW w:w="1483" w:type="dxa"/>
                  <w:tcBorders>
                    <w:tl2br w:val="nil"/>
                    <w:tr2bl w:val="nil"/>
                  </w:tcBorders>
                  <w:vAlign w:val="center"/>
                </w:tcPr>
                <w:p>
                  <w:pPr>
                    <w:pStyle w:val="29"/>
                    <w:spacing w:line="240" w:lineRule="auto"/>
                    <w:ind w:firstLine="0"/>
                    <w:jc w:val="center"/>
                    <w:rPr>
                      <w:rFonts w:hint="eastAsia"/>
                      <w:bCs/>
                      <w:color w:val="auto"/>
                      <w:sz w:val="21"/>
                      <w:szCs w:val="21"/>
                      <w:shd w:val="clear" w:color="auto" w:fill="auto"/>
                    </w:rPr>
                  </w:pPr>
                  <w:r>
                    <w:rPr>
                      <w:rFonts w:hint="eastAsia"/>
                      <w:bCs/>
                      <w:color w:val="auto"/>
                      <w:sz w:val="21"/>
                      <w:szCs w:val="21"/>
                      <w:shd w:val="clear" w:color="auto" w:fill="auto"/>
                    </w:rPr>
                    <w:t>120</w:t>
                  </w:r>
                </w:p>
              </w:tc>
              <w:tc>
                <w:tcPr>
                  <w:tcW w:w="1304" w:type="dxa"/>
                  <w:tcBorders>
                    <w:tl2br w:val="nil"/>
                    <w:tr2bl w:val="nil"/>
                  </w:tcBorders>
                  <w:vAlign w:val="center"/>
                </w:tcPr>
                <w:p>
                  <w:pPr>
                    <w:pStyle w:val="29"/>
                    <w:spacing w:line="240" w:lineRule="auto"/>
                    <w:ind w:firstLine="0"/>
                    <w:jc w:val="center"/>
                    <w:rPr>
                      <w:rFonts w:hint="eastAsia"/>
                      <w:bCs/>
                      <w:color w:val="auto"/>
                      <w:sz w:val="21"/>
                      <w:szCs w:val="21"/>
                      <w:shd w:val="clear" w:color="auto" w:fill="auto"/>
                    </w:rPr>
                  </w:pPr>
                  <w:r>
                    <w:rPr>
                      <w:rFonts w:hint="eastAsia"/>
                      <w:bCs/>
                      <w:color w:val="auto"/>
                      <w:sz w:val="21"/>
                      <w:szCs w:val="21"/>
                      <w:shd w:val="clear" w:color="auto" w:fill="auto"/>
                    </w:rPr>
                    <w:t>15</w:t>
                  </w:r>
                </w:p>
              </w:tc>
              <w:tc>
                <w:tcPr>
                  <w:tcW w:w="1313" w:type="dxa"/>
                  <w:tcBorders>
                    <w:tl2br w:val="nil"/>
                    <w:tr2bl w:val="nil"/>
                  </w:tcBorders>
                  <w:vAlign w:val="center"/>
                </w:tcPr>
                <w:p>
                  <w:pPr>
                    <w:pStyle w:val="29"/>
                    <w:spacing w:line="240" w:lineRule="auto"/>
                    <w:ind w:firstLine="0"/>
                    <w:jc w:val="center"/>
                    <w:rPr>
                      <w:rFonts w:hint="default" w:eastAsia="宋体"/>
                      <w:bCs/>
                      <w:color w:val="auto"/>
                      <w:sz w:val="21"/>
                      <w:szCs w:val="21"/>
                      <w:shd w:val="clear" w:color="auto" w:fill="auto"/>
                      <w:lang w:val="en-US" w:eastAsia="zh-CN"/>
                    </w:rPr>
                  </w:pPr>
                  <w:r>
                    <w:rPr>
                      <w:rFonts w:hint="eastAsia"/>
                      <w:bCs/>
                      <w:color w:val="auto"/>
                      <w:sz w:val="21"/>
                      <w:szCs w:val="21"/>
                      <w:shd w:val="clear" w:color="auto" w:fill="auto"/>
                      <w:lang w:val="en-US" w:eastAsia="zh-CN"/>
                    </w:rPr>
                    <w:t>1.45</w:t>
                  </w:r>
                </w:p>
              </w:tc>
              <w:tc>
                <w:tcPr>
                  <w:tcW w:w="1344" w:type="dxa"/>
                  <w:tcBorders>
                    <w:tl2br w:val="nil"/>
                    <w:tr2bl w:val="nil"/>
                  </w:tcBorders>
                  <w:vAlign w:val="center"/>
                </w:tcPr>
                <w:p>
                  <w:pPr>
                    <w:pStyle w:val="29"/>
                    <w:spacing w:line="240" w:lineRule="auto"/>
                    <w:ind w:firstLine="0"/>
                    <w:jc w:val="center"/>
                    <w:rPr>
                      <w:rFonts w:hint="eastAsia"/>
                      <w:bCs/>
                      <w:color w:val="auto"/>
                      <w:sz w:val="21"/>
                      <w:szCs w:val="21"/>
                      <w:shd w:val="clear" w:color="auto" w:fill="auto"/>
                    </w:rPr>
                  </w:pPr>
                  <w:r>
                    <w:rPr>
                      <w:rFonts w:hint="eastAsia"/>
                      <w:bCs/>
                      <w:color w:val="auto"/>
                      <w:sz w:val="21"/>
                      <w:szCs w:val="21"/>
                      <w:shd w:val="clear" w:color="auto" w:fill="auto"/>
                    </w:rPr>
                    <w:t>周界外浓度最高点</w:t>
                  </w:r>
                </w:p>
              </w:tc>
              <w:tc>
                <w:tcPr>
                  <w:tcW w:w="1395" w:type="dxa"/>
                  <w:tcBorders>
                    <w:tl2br w:val="nil"/>
                    <w:tr2bl w:val="nil"/>
                  </w:tcBorders>
                  <w:vAlign w:val="center"/>
                </w:tcPr>
                <w:p>
                  <w:pPr>
                    <w:pStyle w:val="29"/>
                    <w:spacing w:line="240" w:lineRule="auto"/>
                    <w:ind w:firstLine="0"/>
                    <w:jc w:val="center"/>
                    <w:rPr>
                      <w:rFonts w:hint="eastAsia"/>
                      <w:bCs/>
                      <w:color w:val="auto"/>
                      <w:sz w:val="21"/>
                      <w:szCs w:val="21"/>
                      <w:shd w:val="clear" w:color="auto" w:fill="auto"/>
                    </w:rPr>
                  </w:pPr>
                  <w:r>
                    <w:rPr>
                      <w:rFonts w:hint="eastAsia"/>
                      <w:bCs/>
                      <w:color w:val="auto"/>
                      <w:sz w:val="21"/>
                      <w:szCs w:val="21"/>
                      <w:shd w:val="clear" w:color="auto" w:fill="auto"/>
                    </w:rPr>
                    <w:t>1.0</w:t>
                  </w:r>
                </w:p>
              </w:tc>
            </w:tr>
          </w:tbl>
          <w:p>
            <w:pPr>
              <w:pStyle w:val="47"/>
              <w:spacing w:line="360" w:lineRule="auto"/>
              <w:ind w:firstLine="422" w:firstLineChars="200"/>
              <w:jc w:val="both"/>
              <w:rPr>
                <w:rFonts w:ascii="Times New Roman" w:cs="Times New Roman"/>
                <w:color w:val="auto"/>
                <w:sz w:val="21"/>
                <w:szCs w:val="21"/>
              </w:rPr>
            </w:pPr>
            <w:r>
              <w:rPr>
                <w:rFonts w:ascii="Times New Roman" w:cs="Times New Roman"/>
                <w:b/>
                <w:bCs/>
                <w:color w:val="auto"/>
                <w:sz w:val="21"/>
                <w:szCs w:val="21"/>
              </w:rPr>
              <w:t>注：</w:t>
            </w:r>
            <w:r>
              <w:rPr>
                <w:rFonts w:ascii="Times New Roman" w:cs="Times New Roman"/>
                <w:color w:val="auto"/>
                <w:sz w:val="21"/>
                <w:szCs w:val="21"/>
              </w:rPr>
              <w:t>排气筒高度应高出周围200m半径范围的建筑5m以上，不能达到该要求的排气筒，应按其高度对应的排放速率的50%执行。由于项目周围200m半径范围的最高建筑约为</w:t>
            </w:r>
            <w:r>
              <w:rPr>
                <w:rFonts w:hint="eastAsia" w:ascii="Times New Roman" w:cs="Times New Roman"/>
                <w:color w:val="auto"/>
                <w:sz w:val="21"/>
                <w:szCs w:val="21"/>
                <w:lang w:val="en-US" w:eastAsia="zh-CN"/>
              </w:rPr>
              <w:t>18</w:t>
            </w:r>
            <w:r>
              <w:rPr>
                <w:rFonts w:ascii="Times New Roman" w:cs="Times New Roman"/>
                <w:color w:val="auto"/>
                <w:sz w:val="21"/>
                <w:szCs w:val="21"/>
              </w:rPr>
              <w:t>m，本项目排气筒高度设为15米，因此本项目废气排放</w:t>
            </w:r>
            <w:r>
              <w:rPr>
                <w:rFonts w:hint="eastAsia" w:ascii="Times New Roman" w:cs="Times New Roman"/>
                <w:color w:val="auto"/>
                <w:sz w:val="21"/>
                <w:szCs w:val="21"/>
              </w:rPr>
              <w:t>筒</w:t>
            </w:r>
            <w:r>
              <w:rPr>
                <w:rFonts w:ascii="Times New Roman" w:cs="Times New Roman"/>
                <w:color w:val="auto"/>
                <w:sz w:val="21"/>
                <w:szCs w:val="21"/>
              </w:rPr>
              <w:t>无法达到高出周围200m半径范围的建筑5m以上要求，故项目废气按其高度对应的排放速率限值的50%执行。</w:t>
            </w:r>
          </w:p>
          <w:p>
            <w:pPr>
              <w:numPr>
                <w:ilvl w:val="0"/>
                <w:numId w:val="8"/>
              </w:numPr>
              <w:spacing w:line="360" w:lineRule="auto"/>
              <w:rPr>
                <w:color w:val="auto"/>
                <w:sz w:val="24"/>
                <w:shd w:val="clear" w:color="auto" w:fill="auto"/>
              </w:rPr>
            </w:pPr>
            <w:r>
              <w:rPr>
                <w:color w:val="auto"/>
                <w:sz w:val="24"/>
                <w:shd w:val="clear" w:color="auto" w:fill="auto"/>
              </w:rPr>
              <w:t>《</w:t>
            </w:r>
            <w:r>
              <w:rPr>
                <w:rFonts w:hint="eastAsia"/>
                <w:color w:val="auto"/>
                <w:sz w:val="24"/>
                <w:shd w:val="clear" w:color="auto" w:fill="auto"/>
              </w:rPr>
              <w:t>工业企业厂界环境噪声排放标准</w:t>
            </w:r>
            <w:r>
              <w:rPr>
                <w:color w:val="auto"/>
                <w:sz w:val="24"/>
                <w:shd w:val="clear" w:color="auto" w:fill="auto"/>
              </w:rPr>
              <w:t>》(GB12348—</w:t>
            </w:r>
            <w:r>
              <w:rPr>
                <w:rFonts w:hint="eastAsia"/>
                <w:color w:val="auto"/>
                <w:sz w:val="24"/>
                <w:shd w:val="clear" w:color="auto" w:fill="auto"/>
              </w:rPr>
              <w:t>2008</w:t>
            </w:r>
            <w:r>
              <w:rPr>
                <w:color w:val="auto"/>
                <w:sz w:val="24"/>
                <w:shd w:val="clear" w:color="auto" w:fill="auto"/>
              </w:rPr>
              <w:t>)</w:t>
            </w:r>
            <w:r>
              <w:rPr>
                <w:rFonts w:hint="eastAsia"/>
                <w:color w:val="auto"/>
                <w:sz w:val="24"/>
                <w:shd w:val="clear" w:color="auto" w:fill="auto"/>
                <w:lang w:eastAsia="zh-CN"/>
              </w:rPr>
              <w:t>2类</w:t>
            </w:r>
            <w:r>
              <w:rPr>
                <w:color w:val="auto"/>
                <w:sz w:val="24"/>
              </w:rPr>
              <w:t>和4类</w:t>
            </w:r>
            <w:r>
              <w:rPr>
                <w:color w:val="auto"/>
                <w:sz w:val="24"/>
                <w:shd w:val="clear" w:color="auto" w:fill="auto"/>
              </w:rPr>
              <w:t>标准</w:t>
            </w:r>
            <w:r>
              <w:rPr>
                <w:rFonts w:hint="eastAsia"/>
                <w:color w:val="auto"/>
                <w:sz w:val="24"/>
                <w:shd w:val="clear" w:color="auto" w:fill="auto"/>
                <w:lang w:eastAsia="zh-CN"/>
              </w:rPr>
              <w:t>。</w:t>
            </w:r>
          </w:p>
          <w:p>
            <w:pPr>
              <w:pStyle w:val="139"/>
              <w:numPr>
                <w:ilvl w:val="0"/>
                <w:numId w:val="5"/>
              </w:numPr>
              <w:tabs>
                <w:tab w:val="left" w:pos="420"/>
              </w:tabs>
              <w:spacing w:line="360" w:lineRule="auto"/>
              <w:ind w:left="0" w:firstLine="471"/>
              <w:rPr>
                <w:rFonts w:hint="eastAsia" w:ascii="Times New Roman" w:hAnsi="Times New Roman" w:eastAsia="宋体" w:cs="Times New Roman"/>
                <w:b/>
                <w:color w:val="auto"/>
                <w:sz w:val="21"/>
                <w:szCs w:val="21"/>
                <w:shd w:val="clear" w:color="auto" w:fill="auto"/>
              </w:rPr>
            </w:pPr>
            <w:r>
              <w:rPr>
                <w:rFonts w:hint="eastAsia" w:ascii="Times New Roman" w:hAnsi="Times New Roman" w:eastAsia="宋体" w:cs="Times New Roman"/>
                <w:b/>
                <w:color w:val="auto"/>
                <w:sz w:val="21"/>
                <w:szCs w:val="21"/>
                <w:shd w:val="clear" w:color="auto" w:fill="auto"/>
              </w:rPr>
              <w:t>工业企业厂界环境噪声排放标准（摘录）    单位：dB(A)</w:t>
            </w:r>
          </w:p>
          <w:tbl>
            <w:tblPr>
              <w:tblStyle w:val="40"/>
              <w:tblW w:w="858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907"/>
              <w:gridCol w:w="1687"/>
              <w:gridCol w:w="1654"/>
              <w:gridCol w:w="333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907" w:type="dxa"/>
                  <w:vAlign w:val="center"/>
                </w:tcPr>
                <w:p>
                  <w:pPr>
                    <w:adjustRightInd w:val="0"/>
                    <w:snapToGrid w:val="0"/>
                    <w:spacing w:line="360" w:lineRule="auto"/>
                    <w:jc w:val="center"/>
                    <w:rPr>
                      <w:b/>
                      <w:bCs/>
                      <w:color w:val="auto"/>
                      <w:szCs w:val="21"/>
                    </w:rPr>
                  </w:pPr>
                  <w:r>
                    <w:rPr>
                      <w:rFonts w:hAnsi="宋体"/>
                      <w:b/>
                      <w:bCs/>
                      <w:color w:val="auto"/>
                      <w:szCs w:val="21"/>
                    </w:rPr>
                    <w:t>类</w:t>
                  </w:r>
                  <w:r>
                    <w:rPr>
                      <w:b/>
                      <w:bCs/>
                      <w:color w:val="auto"/>
                      <w:szCs w:val="21"/>
                    </w:rPr>
                    <w:t xml:space="preserve"> </w:t>
                  </w:r>
                  <w:r>
                    <w:rPr>
                      <w:rFonts w:hAnsi="宋体"/>
                      <w:b/>
                      <w:bCs/>
                      <w:color w:val="auto"/>
                      <w:szCs w:val="21"/>
                    </w:rPr>
                    <w:t>别</w:t>
                  </w:r>
                </w:p>
              </w:tc>
              <w:tc>
                <w:tcPr>
                  <w:tcW w:w="1687" w:type="dxa"/>
                  <w:vAlign w:val="center"/>
                </w:tcPr>
                <w:p>
                  <w:pPr>
                    <w:adjustRightInd w:val="0"/>
                    <w:snapToGrid w:val="0"/>
                    <w:spacing w:line="360" w:lineRule="auto"/>
                    <w:jc w:val="center"/>
                    <w:rPr>
                      <w:b/>
                      <w:bCs/>
                      <w:color w:val="auto"/>
                      <w:szCs w:val="21"/>
                    </w:rPr>
                  </w:pPr>
                  <w:r>
                    <w:rPr>
                      <w:rFonts w:hAnsi="宋体"/>
                      <w:b/>
                      <w:bCs/>
                      <w:color w:val="auto"/>
                      <w:szCs w:val="21"/>
                    </w:rPr>
                    <w:t>昼间</w:t>
                  </w:r>
                </w:p>
              </w:tc>
              <w:tc>
                <w:tcPr>
                  <w:tcW w:w="1654" w:type="dxa"/>
                  <w:vAlign w:val="center"/>
                </w:tcPr>
                <w:p>
                  <w:pPr>
                    <w:adjustRightInd w:val="0"/>
                    <w:snapToGrid w:val="0"/>
                    <w:spacing w:line="360" w:lineRule="auto"/>
                    <w:ind w:left="70" w:hanging="70"/>
                    <w:jc w:val="center"/>
                    <w:rPr>
                      <w:b/>
                      <w:bCs/>
                      <w:color w:val="auto"/>
                      <w:szCs w:val="21"/>
                    </w:rPr>
                  </w:pPr>
                  <w:r>
                    <w:rPr>
                      <w:rFonts w:hAnsi="宋体"/>
                      <w:b/>
                      <w:bCs/>
                      <w:color w:val="auto"/>
                      <w:szCs w:val="21"/>
                    </w:rPr>
                    <w:t>夜间</w:t>
                  </w:r>
                </w:p>
              </w:tc>
              <w:tc>
                <w:tcPr>
                  <w:tcW w:w="3338" w:type="dxa"/>
                  <w:vAlign w:val="center"/>
                </w:tcPr>
                <w:p>
                  <w:pPr>
                    <w:adjustRightInd w:val="0"/>
                    <w:snapToGrid w:val="0"/>
                    <w:spacing w:line="360" w:lineRule="auto"/>
                    <w:ind w:left="70" w:hanging="70"/>
                    <w:jc w:val="center"/>
                    <w:rPr>
                      <w:b/>
                      <w:bCs/>
                      <w:color w:val="auto"/>
                      <w:szCs w:val="21"/>
                    </w:rPr>
                  </w:pPr>
                  <w:r>
                    <w:rPr>
                      <w:rFonts w:hAnsi="宋体"/>
                      <w:b/>
                      <w:bCs/>
                      <w:color w:val="auto"/>
                      <w:szCs w:val="21"/>
                    </w:rPr>
                    <w:t>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907" w:type="dxa"/>
                  <w:vAlign w:val="center"/>
                </w:tcPr>
                <w:p>
                  <w:pPr>
                    <w:adjustRightInd w:val="0"/>
                    <w:snapToGrid w:val="0"/>
                    <w:spacing w:line="360" w:lineRule="auto"/>
                    <w:jc w:val="center"/>
                    <w:rPr>
                      <w:color w:val="auto"/>
                      <w:szCs w:val="21"/>
                    </w:rPr>
                  </w:pPr>
                  <w:r>
                    <w:rPr>
                      <w:rFonts w:hAnsi="宋体"/>
                      <w:color w:val="auto"/>
                      <w:szCs w:val="21"/>
                    </w:rPr>
                    <w:t>噪声限值</w:t>
                  </w:r>
                </w:p>
              </w:tc>
              <w:tc>
                <w:tcPr>
                  <w:tcW w:w="1687" w:type="dxa"/>
                  <w:vAlign w:val="center"/>
                </w:tcPr>
                <w:p>
                  <w:pPr>
                    <w:adjustRightInd w:val="0"/>
                    <w:snapToGrid w:val="0"/>
                    <w:spacing w:line="360" w:lineRule="auto"/>
                    <w:jc w:val="center"/>
                    <w:rPr>
                      <w:rFonts w:hint="eastAsia" w:eastAsia="宋体"/>
                      <w:color w:val="auto"/>
                      <w:szCs w:val="21"/>
                      <w:lang w:eastAsia="zh-CN"/>
                    </w:rPr>
                  </w:pPr>
                  <w:r>
                    <w:rPr>
                      <w:color w:val="auto"/>
                      <w:szCs w:val="21"/>
                    </w:rPr>
                    <w:t>≤6</w:t>
                  </w:r>
                  <w:r>
                    <w:rPr>
                      <w:rFonts w:hint="eastAsia"/>
                      <w:color w:val="auto"/>
                      <w:szCs w:val="21"/>
                      <w:lang w:val="en-US" w:eastAsia="zh-CN"/>
                    </w:rPr>
                    <w:t>0</w:t>
                  </w:r>
                </w:p>
              </w:tc>
              <w:tc>
                <w:tcPr>
                  <w:tcW w:w="1654" w:type="dxa"/>
                  <w:vAlign w:val="center"/>
                </w:tcPr>
                <w:p>
                  <w:pPr>
                    <w:adjustRightInd w:val="0"/>
                    <w:snapToGrid w:val="0"/>
                    <w:spacing w:line="360" w:lineRule="auto"/>
                    <w:jc w:val="center"/>
                    <w:rPr>
                      <w:rFonts w:hint="eastAsia" w:eastAsia="宋体"/>
                      <w:color w:val="auto"/>
                      <w:szCs w:val="21"/>
                      <w:lang w:eastAsia="zh-CN"/>
                    </w:rPr>
                  </w:pPr>
                  <w:r>
                    <w:rPr>
                      <w:color w:val="auto"/>
                      <w:szCs w:val="21"/>
                    </w:rPr>
                    <w:t>≤5</w:t>
                  </w:r>
                  <w:r>
                    <w:rPr>
                      <w:rFonts w:hint="eastAsia"/>
                      <w:color w:val="auto"/>
                      <w:szCs w:val="21"/>
                      <w:lang w:val="en-US" w:eastAsia="zh-CN"/>
                    </w:rPr>
                    <w:t>0</w:t>
                  </w:r>
                </w:p>
              </w:tc>
              <w:tc>
                <w:tcPr>
                  <w:tcW w:w="3338" w:type="dxa"/>
                  <w:vAlign w:val="center"/>
                </w:tcPr>
                <w:p>
                  <w:pPr>
                    <w:adjustRightInd w:val="0"/>
                    <w:snapToGrid w:val="0"/>
                    <w:spacing w:line="360" w:lineRule="auto"/>
                    <w:jc w:val="center"/>
                    <w:rPr>
                      <w:color w:val="auto"/>
                      <w:szCs w:val="21"/>
                    </w:rPr>
                  </w:pPr>
                  <w:r>
                    <w:rPr>
                      <w:rFonts w:hAnsi="宋体"/>
                      <w:color w:val="auto"/>
                      <w:szCs w:val="21"/>
                    </w:rPr>
                    <w:t>（</w:t>
                  </w:r>
                  <w:r>
                    <w:rPr>
                      <w:color w:val="auto"/>
                      <w:szCs w:val="21"/>
                    </w:rPr>
                    <w:t>GB12348-2008</w:t>
                  </w:r>
                  <w:r>
                    <w:rPr>
                      <w:rFonts w:hAnsi="宋体"/>
                      <w:color w:val="auto"/>
                      <w:szCs w:val="21"/>
                    </w:rPr>
                    <w:t>）</w:t>
                  </w:r>
                  <w:r>
                    <w:rPr>
                      <w:rFonts w:hint="eastAsia"/>
                      <w:color w:val="auto"/>
                      <w:szCs w:val="21"/>
                      <w:lang w:val="en-US" w:eastAsia="zh-CN"/>
                    </w:rPr>
                    <w:t>2类</w:t>
                  </w:r>
                  <w:r>
                    <w:rPr>
                      <w:rFonts w:hAnsi="宋体"/>
                      <w:color w:val="auto"/>
                      <w:szCs w:val="21"/>
                    </w:rPr>
                    <w:t>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907" w:type="dxa"/>
                  <w:vAlign w:val="center"/>
                </w:tcPr>
                <w:p>
                  <w:pPr>
                    <w:adjustRightInd w:val="0"/>
                    <w:snapToGrid w:val="0"/>
                    <w:spacing w:line="360" w:lineRule="auto"/>
                    <w:jc w:val="center"/>
                    <w:rPr>
                      <w:rFonts w:hAnsi="宋体"/>
                      <w:color w:val="auto"/>
                      <w:szCs w:val="21"/>
                    </w:rPr>
                  </w:pPr>
                  <w:r>
                    <w:rPr>
                      <w:b w:val="0"/>
                      <w:bCs w:val="0"/>
                      <w:color w:val="auto"/>
                      <w:szCs w:val="21"/>
                    </w:rPr>
                    <w:t>噪声限值</w:t>
                  </w:r>
                </w:p>
              </w:tc>
              <w:tc>
                <w:tcPr>
                  <w:tcW w:w="1687" w:type="dxa"/>
                  <w:vAlign w:val="center"/>
                </w:tcPr>
                <w:p>
                  <w:pPr>
                    <w:adjustRightInd w:val="0"/>
                    <w:snapToGrid w:val="0"/>
                    <w:spacing w:line="360" w:lineRule="auto"/>
                    <w:jc w:val="center"/>
                    <w:rPr>
                      <w:color w:val="auto"/>
                      <w:szCs w:val="21"/>
                    </w:rPr>
                  </w:pPr>
                  <w:r>
                    <w:rPr>
                      <w:color w:val="auto"/>
                      <w:szCs w:val="21"/>
                    </w:rPr>
                    <w:t>≤</w:t>
                  </w:r>
                  <w:r>
                    <w:rPr>
                      <w:rFonts w:hint="eastAsia"/>
                      <w:color w:val="auto"/>
                      <w:szCs w:val="21"/>
                    </w:rPr>
                    <w:t>70</w:t>
                  </w:r>
                </w:p>
              </w:tc>
              <w:tc>
                <w:tcPr>
                  <w:tcW w:w="1654" w:type="dxa"/>
                  <w:vAlign w:val="center"/>
                </w:tcPr>
                <w:p>
                  <w:pPr>
                    <w:adjustRightInd w:val="0"/>
                    <w:snapToGrid w:val="0"/>
                    <w:spacing w:line="360" w:lineRule="auto"/>
                    <w:jc w:val="center"/>
                    <w:rPr>
                      <w:color w:val="auto"/>
                      <w:szCs w:val="21"/>
                    </w:rPr>
                  </w:pPr>
                  <w:r>
                    <w:rPr>
                      <w:color w:val="auto"/>
                      <w:szCs w:val="21"/>
                    </w:rPr>
                    <w:t>≤</w:t>
                  </w:r>
                  <w:r>
                    <w:rPr>
                      <w:rFonts w:hint="eastAsia"/>
                      <w:color w:val="auto"/>
                      <w:szCs w:val="21"/>
                    </w:rPr>
                    <w:t>55</w:t>
                  </w:r>
                </w:p>
              </w:tc>
              <w:tc>
                <w:tcPr>
                  <w:tcW w:w="3338" w:type="dxa"/>
                  <w:vAlign w:val="center"/>
                </w:tcPr>
                <w:p>
                  <w:pPr>
                    <w:adjustRightInd w:val="0"/>
                    <w:snapToGrid w:val="0"/>
                    <w:spacing w:line="360" w:lineRule="auto"/>
                    <w:jc w:val="center"/>
                    <w:rPr>
                      <w:rFonts w:hAnsi="宋体"/>
                      <w:color w:val="auto"/>
                      <w:szCs w:val="21"/>
                    </w:rPr>
                  </w:pPr>
                  <w:r>
                    <w:rPr>
                      <w:color w:val="auto"/>
                      <w:szCs w:val="21"/>
                    </w:rPr>
                    <w:t>（GB12348-2008）</w:t>
                  </w:r>
                  <w:r>
                    <w:rPr>
                      <w:rFonts w:hint="eastAsia"/>
                      <w:color w:val="auto"/>
                      <w:szCs w:val="21"/>
                    </w:rPr>
                    <w:t>4</w:t>
                  </w:r>
                  <w:r>
                    <w:rPr>
                      <w:color w:val="auto"/>
                      <w:szCs w:val="21"/>
                    </w:rPr>
                    <w:t>类标准</w:t>
                  </w:r>
                </w:p>
              </w:tc>
            </w:tr>
          </w:tbl>
          <w:p>
            <w:pPr>
              <w:numPr>
                <w:ilvl w:val="0"/>
                <w:numId w:val="8"/>
              </w:numPr>
              <w:rPr>
                <w:color w:val="auto"/>
                <w:shd w:val="clear" w:color="auto" w:fill="auto"/>
              </w:rPr>
            </w:pPr>
            <w:r>
              <w:rPr>
                <w:rFonts w:hint="eastAsia"/>
                <w:color w:val="auto"/>
                <w:sz w:val="24"/>
                <w:shd w:val="clear" w:color="auto" w:fill="auto"/>
              </w:rPr>
              <w:t>《一般工业固体废物贮存、处置场污染控制标准》（GB 18599-2001）（2013年修订）；</w:t>
            </w:r>
          </w:p>
          <w:p>
            <w:pPr>
              <w:numPr>
                <w:ilvl w:val="0"/>
                <w:numId w:val="8"/>
              </w:numPr>
              <w:ind w:left="420" w:leftChars="0" w:hanging="420" w:firstLineChars="0"/>
              <w:rPr>
                <w:color w:val="auto"/>
                <w:shd w:val="clear" w:color="auto" w:fill="auto"/>
              </w:rPr>
            </w:pPr>
            <w:r>
              <w:rPr>
                <w:rFonts w:hint="eastAsia"/>
                <w:color w:val="auto"/>
                <w:sz w:val="24"/>
                <w:szCs w:val="24"/>
              </w:rPr>
              <w:t>《危险废物贮存污染控制标准》(GB 18597-2001)</w:t>
            </w:r>
            <w:r>
              <w:rPr>
                <w:bCs/>
                <w:color w:val="auto"/>
                <w:sz w:val="24"/>
              </w:rPr>
              <w:t>（2013年修订</w:t>
            </w:r>
            <w:r>
              <w:rPr>
                <w:rFonts w:hint="eastAsia"/>
                <w:bCs/>
                <w:color w:val="auto"/>
                <w:sz w:val="24"/>
              </w:rPr>
              <w:t>）</w:t>
            </w:r>
            <w:r>
              <w:rPr>
                <w:rFonts w:hint="eastAsia"/>
                <w:color w:val="auto"/>
                <w:sz w:val="24"/>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36" w:hRule="atLeast"/>
        </w:trPr>
        <w:tc>
          <w:tcPr>
            <w:tcW w:w="813" w:type="dxa"/>
            <w:tcBorders>
              <w:bottom w:val="single" w:color="000000" w:sz="6" w:space="0"/>
            </w:tcBorders>
            <w:vAlign w:val="center"/>
          </w:tcPr>
          <w:p>
            <w:pPr>
              <w:pStyle w:val="55"/>
              <w:topLinePunct w:val="0"/>
              <w:autoSpaceDE/>
              <w:autoSpaceDN/>
              <w:adjustRightInd/>
              <w:spacing w:before="120"/>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总</w:t>
            </w:r>
          </w:p>
          <w:p>
            <w:pPr>
              <w:pStyle w:val="55"/>
              <w:topLinePunct w:val="0"/>
              <w:autoSpaceDE/>
              <w:autoSpaceDN/>
              <w:adjustRightInd/>
              <w:spacing w:before="120"/>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量</w:t>
            </w:r>
          </w:p>
          <w:p>
            <w:pPr>
              <w:pStyle w:val="55"/>
              <w:topLinePunct w:val="0"/>
              <w:autoSpaceDE/>
              <w:autoSpaceDN/>
              <w:adjustRightInd/>
              <w:spacing w:before="120"/>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控</w:t>
            </w:r>
          </w:p>
          <w:p>
            <w:pPr>
              <w:pStyle w:val="55"/>
              <w:topLinePunct w:val="0"/>
              <w:autoSpaceDE/>
              <w:autoSpaceDN/>
              <w:adjustRightInd/>
              <w:spacing w:before="120"/>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制</w:t>
            </w:r>
          </w:p>
          <w:p>
            <w:pPr>
              <w:pStyle w:val="55"/>
              <w:topLinePunct w:val="0"/>
              <w:autoSpaceDE/>
              <w:autoSpaceDN/>
              <w:adjustRightInd/>
              <w:spacing w:before="120"/>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指</w:t>
            </w:r>
          </w:p>
          <w:p>
            <w:pPr>
              <w:pStyle w:val="55"/>
              <w:topLinePunct w:val="0"/>
              <w:autoSpaceDE/>
              <w:autoSpaceDN/>
              <w:adjustRightInd/>
              <w:spacing w:before="120"/>
              <w:textAlignment w:val="auto"/>
              <w:rPr>
                <w:rFonts w:ascii="Times New Roman" w:hAnsi="Times New Roman"/>
                <w:color w:val="auto"/>
                <w:kern w:val="2"/>
                <w:szCs w:val="24"/>
                <w:shd w:val="clear" w:color="auto" w:fill="auto"/>
              </w:rPr>
            </w:pPr>
            <w:r>
              <w:rPr>
                <w:rFonts w:hint="eastAsia" w:ascii="Times New Roman" w:hAnsi="Times New Roman"/>
                <w:color w:val="auto"/>
                <w:kern w:val="2"/>
                <w:szCs w:val="24"/>
                <w:shd w:val="clear" w:color="auto" w:fill="auto"/>
              </w:rPr>
              <w:t>标</w:t>
            </w:r>
          </w:p>
        </w:tc>
        <w:tc>
          <w:tcPr>
            <w:tcW w:w="8715" w:type="dxa"/>
            <w:tcBorders>
              <w:bottom w:val="single" w:color="000000" w:sz="6" w:space="0"/>
            </w:tcBorders>
            <w:vAlign w:val="center"/>
          </w:tcPr>
          <w:p>
            <w:pPr>
              <w:pStyle w:val="103"/>
              <w:rPr>
                <w:rFonts w:hAnsi="Times New Roman"/>
                <w:color w:val="auto"/>
              </w:rPr>
            </w:pPr>
          </w:p>
          <w:p>
            <w:pPr>
              <w:pStyle w:val="103"/>
              <w:rPr>
                <w:rFonts w:hAnsi="Times New Roman"/>
                <w:color w:val="auto"/>
              </w:rPr>
            </w:pPr>
          </w:p>
          <w:p>
            <w:pPr>
              <w:pStyle w:val="103"/>
              <w:rPr>
                <w:rFonts w:hAnsi="Times New Roman"/>
                <w:color w:val="auto"/>
              </w:rPr>
            </w:pPr>
          </w:p>
          <w:p>
            <w:pPr>
              <w:pStyle w:val="103"/>
              <w:rPr>
                <w:rFonts w:hAnsi="Times New Roman"/>
                <w:color w:val="auto"/>
              </w:rPr>
            </w:pPr>
          </w:p>
          <w:p>
            <w:pPr>
              <w:pStyle w:val="103"/>
              <w:rPr>
                <w:rFonts w:hAnsi="Times New Roman"/>
                <w:color w:val="auto"/>
              </w:rPr>
            </w:pPr>
          </w:p>
          <w:p>
            <w:pPr>
              <w:pStyle w:val="103"/>
              <w:rPr>
                <w:rFonts w:hAnsi="Times New Roman"/>
                <w:color w:val="auto"/>
              </w:rPr>
            </w:pPr>
            <w:r>
              <w:rPr>
                <w:rFonts w:hAnsi="Times New Roman"/>
                <w:color w:val="auto"/>
              </w:rPr>
              <w:t>根据《国务院关于印发“十三五”生态环境保护规划的通知》（国发[2016]65 号）、《广东省环境保护厅关于印发广东省环境保护“十三五”规划的通知》（粤环[2016]51号）及《国务院关于印发大气污染防治行动计划的通知》（国发[2013]37 号），总量控制指标主要为化学需氧量（ CODcr）、氨氮（NH</w:t>
            </w:r>
            <w:r>
              <w:rPr>
                <w:rFonts w:hAnsi="Times New Roman"/>
                <w:color w:val="auto"/>
                <w:vertAlign w:val="subscript"/>
              </w:rPr>
              <w:t>3</w:t>
            </w:r>
            <w:r>
              <w:rPr>
                <w:rFonts w:hAnsi="Times New Roman"/>
                <w:color w:val="auto"/>
              </w:rPr>
              <w:t>-N）、二氧化硫（SO</w:t>
            </w:r>
            <w:r>
              <w:rPr>
                <w:rFonts w:hAnsi="Times New Roman"/>
                <w:color w:val="auto"/>
                <w:vertAlign w:val="subscript"/>
              </w:rPr>
              <w:t>2</w:t>
            </w:r>
            <w:r>
              <w:rPr>
                <w:rFonts w:hAnsi="Times New Roman"/>
                <w:color w:val="auto"/>
              </w:rPr>
              <w:t>）</w:t>
            </w:r>
            <w:r>
              <w:rPr>
                <w:rFonts w:hint="eastAsia" w:hAnsi="Times New Roman"/>
                <w:color w:val="auto"/>
              </w:rPr>
              <w:t>、</w:t>
            </w:r>
            <w:r>
              <w:rPr>
                <w:rFonts w:hAnsi="Times New Roman"/>
                <w:color w:val="auto"/>
              </w:rPr>
              <w:t>氮氧化物（NOx）、总氮、总磷、挥发性有机物（VOCs）、重点行业的重点重金属。最终以当地环保主管部门下达的总量控制指标为准。</w:t>
            </w:r>
          </w:p>
          <w:p>
            <w:pPr>
              <w:pStyle w:val="103"/>
              <w:rPr>
                <w:rFonts w:hAnsi="Times New Roman"/>
                <w:color w:val="auto"/>
              </w:rPr>
            </w:pPr>
            <w:r>
              <w:rPr>
                <w:rFonts w:hAnsi="Times New Roman"/>
                <w:color w:val="auto"/>
              </w:rPr>
              <w:t>废气：项目污染物总量控制指标需由建设方向当地环保部门申请调整分配，经审批同意后方能实施。本项目废气总量控制指标见下表：</w:t>
            </w:r>
          </w:p>
          <w:p>
            <w:pPr>
              <w:pStyle w:val="139"/>
              <w:numPr>
                <w:ilvl w:val="0"/>
                <w:numId w:val="5"/>
              </w:numPr>
              <w:tabs>
                <w:tab w:val="left" w:pos="420"/>
              </w:tabs>
              <w:adjustRightInd/>
              <w:snapToGrid/>
              <w:spacing w:line="312" w:lineRule="auto"/>
              <w:ind w:left="0" w:firstLine="471"/>
              <w:rPr>
                <w:rFonts w:eastAsia="宋体" w:cs="Times New Roman"/>
                <w:b/>
                <w:color w:val="auto"/>
                <w:sz w:val="21"/>
                <w:szCs w:val="21"/>
              </w:rPr>
            </w:pPr>
            <w:r>
              <w:rPr>
                <w:rFonts w:eastAsia="宋体" w:cs="Times New Roman"/>
                <w:b/>
                <w:color w:val="auto"/>
                <w:sz w:val="21"/>
                <w:szCs w:val="21"/>
              </w:rPr>
              <w:t>项目废气总量控制指标</w:t>
            </w:r>
          </w:p>
          <w:tbl>
            <w:tblPr>
              <w:tblStyle w:val="40"/>
              <w:tblW w:w="7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1726"/>
              <w:gridCol w:w="1404"/>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vAlign w:val="center"/>
                </w:tcPr>
                <w:p>
                  <w:pPr>
                    <w:kinsoku w:val="0"/>
                    <w:snapToGrid w:val="0"/>
                    <w:jc w:val="center"/>
                    <w:outlineLvl w:val="0"/>
                    <w:rPr>
                      <w:bCs/>
                      <w:color w:val="auto"/>
                      <w:szCs w:val="21"/>
                    </w:rPr>
                  </w:pPr>
                  <w:r>
                    <w:rPr>
                      <w:b/>
                      <w:color w:val="auto"/>
                      <w:szCs w:val="21"/>
                    </w:rPr>
                    <w:t>污染物</w:t>
                  </w:r>
                </w:p>
              </w:tc>
              <w:tc>
                <w:tcPr>
                  <w:tcW w:w="1726" w:type="dxa"/>
                  <w:vAlign w:val="center"/>
                </w:tcPr>
                <w:p>
                  <w:pPr>
                    <w:kinsoku w:val="0"/>
                    <w:snapToGrid w:val="0"/>
                    <w:jc w:val="center"/>
                    <w:outlineLvl w:val="0"/>
                    <w:rPr>
                      <w:bCs/>
                      <w:color w:val="auto"/>
                      <w:szCs w:val="21"/>
                    </w:rPr>
                  </w:pPr>
                  <w:r>
                    <w:rPr>
                      <w:b/>
                      <w:color w:val="auto"/>
                      <w:szCs w:val="21"/>
                    </w:rPr>
                    <w:t>排放方式</w:t>
                  </w:r>
                </w:p>
              </w:tc>
              <w:tc>
                <w:tcPr>
                  <w:tcW w:w="1404" w:type="dxa"/>
                  <w:vAlign w:val="center"/>
                </w:tcPr>
                <w:p>
                  <w:pPr>
                    <w:kinsoku w:val="0"/>
                    <w:snapToGrid w:val="0"/>
                    <w:jc w:val="center"/>
                    <w:outlineLvl w:val="0"/>
                    <w:rPr>
                      <w:b/>
                      <w:color w:val="auto"/>
                      <w:szCs w:val="21"/>
                    </w:rPr>
                  </w:pPr>
                  <w:r>
                    <w:rPr>
                      <w:b/>
                      <w:color w:val="auto"/>
                      <w:szCs w:val="21"/>
                    </w:rPr>
                    <w:t>排放量</w:t>
                  </w:r>
                </w:p>
                <w:p>
                  <w:pPr>
                    <w:kinsoku w:val="0"/>
                    <w:snapToGrid w:val="0"/>
                    <w:jc w:val="center"/>
                    <w:outlineLvl w:val="0"/>
                    <w:rPr>
                      <w:bCs/>
                      <w:color w:val="auto"/>
                      <w:szCs w:val="21"/>
                    </w:rPr>
                  </w:pPr>
                  <w:r>
                    <w:rPr>
                      <w:b/>
                      <w:color w:val="auto"/>
                      <w:szCs w:val="21"/>
                    </w:rPr>
                    <w:t>（t/a）</w:t>
                  </w:r>
                </w:p>
              </w:tc>
              <w:tc>
                <w:tcPr>
                  <w:tcW w:w="1707" w:type="dxa"/>
                  <w:vAlign w:val="center"/>
                </w:tcPr>
                <w:p>
                  <w:pPr>
                    <w:kinsoku w:val="0"/>
                    <w:snapToGrid w:val="0"/>
                    <w:jc w:val="center"/>
                    <w:outlineLvl w:val="0"/>
                    <w:rPr>
                      <w:b/>
                      <w:color w:val="auto"/>
                      <w:szCs w:val="21"/>
                    </w:rPr>
                  </w:pPr>
                  <w:r>
                    <w:rPr>
                      <w:b/>
                      <w:color w:val="auto"/>
                      <w:szCs w:val="21"/>
                    </w:rPr>
                    <w:t>合计</w:t>
                  </w:r>
                </w:p>
                <w:p>
                  <w:pPr>
                    <w:kinsoku w:val="0"/>
                    <w:snapToGrid w:val="0"/>
                    <w:jc w:val="center"/>
                    <w:outlineLvl w:val="0"/>
                    <w:rPr>
                      <w:bCs/>
                      <w:color w:val="auto"/>
                      <w:szCs w:val="21"/>
                    </w:rPr>
                  </w:pPr>
                  <w:r>
                    <w:rPr>
                      <w:b/>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8" w:type="dxa"/>
                  <w:vMerge w:val="restart"/>
                  <w:vAlign w:val="center"/>
                </w:tcPr>
                <w:p>
                  <w:pPr>
                    <w:pStyle w:val="47"/>
                    <w:tabs>
                      <w:tab w:val="left" w:pos="607"/>
                    </w:tabs>
                    <w:snapToGrid w:val="0"/>
                    <w:jc w:val="center"/>
                    <w:rPr>
                      <w:rFonts w:ascii="Times New Roman" w:cs="Times New Roman"/>
                      <w:bCs/>
                      <w:color w:val="auto"/>
                      <w:sz w:val="21"/>
                      <w:szCs w:val="21"/>
                    </w:rPr>
                  </w:pPr>
                  <w:r>
                    <w:rPr>
                      <w:rFonts w:hint="eastAsia" w:ascii="Times New Roman" w:cs="Times New Roman"/>
                      <w:color w:val="auto"/>
                      <w:sz w:val="21"/>
                      <w:szCs w:val="21"/>
                      <w:lang w:eastAsia="zh-CN"/>
                    </w:rPr>
                    <w:t>非甲烷总烃（以</w:t>
                  </w:r>
                  <w:r>
                    <w:rPr>
                      <w:rFonts w:ascii="Times New Roman" w:cs="Times New Roman"/>
                      <w:color w:val="auto"/>
                      <w:sz w:val="21"/>
                      <w:szCs w:val="21"/>
                    </w:rPr>
                    <w:t>VOCs</w:t>
                  </w:r>
                  <w:r>
                    <w:rPr>
                      <w:rFonts w:hint="eastAsia" w:ascii="Times New Roman" w:cs="Times New Roman"/>
                      <w:color w:val="auto"/>
                      <w:sz w:val="21"/>
                      <w:szCs w:val="21"/>
                      <w:lang w:eastAsia="zh-CN"/>
                    </w:rPr>
                    <w:t>计）</w:t>
                  </w:r>
                </w:p>
              </w:tc>
              <w:tc>
                <w:tcPr>
                  <w:tcW w:w="1726" w:type="dxa"/>
                  <w:vAlign w:val="center"/>
                </w:tcPr>
                <w:p>
                  <w:pPr>
                    <w:pStyle w:val="47"/>
                    <w:tabs>
                      <w:tab w:val="left" w:pos="607"/>
                    </w:tabs>
                    <w:snapToGrid w:val="0"/>
                    <w:spacing w:line="360" w:lineRule="auto"/>
                    <w:jc w:val="center"/>
                    <w:rPr>
                      <w:rFonts w:ascii="Times New Roman" w:cs="Times New Roman"/>
                      <w:bCs/>
                      <w:color w:val="auto"/>
                      <w:sz w:val="21"/>
                      <w:szCs w:val="21"/>
                    </w:rPr>
                  </w:pPr>
                  <w:r>
                    <w:rPr>
                      <w:rFonts w:ascii="Times New Roman" w:cs="Times New Roman"/>
                      <w:bCs/>
                      <w:color w:val="auto"/>
                      <w:sz w:val="21"/>
                      <w:szCs w:val="21"/>
                    </w:rPr>
                    <w:t>有组织</w:t>
                  </w:r>
                </w:p>
              </w:tc>
              <w:tc>
                <w:tcPr>
                  <w:tcW w:w="1404" w:type="dxa"/>
                  <w:vAlign w:val="center"/>
                </w:tcPr>
                <w:p>
                  <w:pPr>
                    <w:pStyle w:val="56"/>
                    <w:snapToGrid w:val="0"/>
                    <w:rPr>
                      <w:rFonts w:hint="default" w:ascii="Times New Roman" w:hAnsi="Times New Roman" w:eastAsia="宋体"/>
                      <w:bCs/>
                      <w:color w:val="auto"/>
                      <w:szCs w:val="21"/>
                      <w:lang w:val="en-US" w:eastAsia="zh-CN"/>
                    </w:rPr>
                  </w:pPr>
                  <w:r>
                    <w:rPr>
                      <w:rFonts w:hint="eastAsia" w:ascii="Times New Roman" w:hAnsi="Times New Roman" w:cs="Times New Roman"/>
                      <w:color w:val="auto"/>
                      <w:sz w:val="21"/>
                      <w:szCs w:val="21"/>
                      <w:shd w:val="clear" w:color="auto" w:fill="auto"/>
                      <w:lang w:val="en-US" w:eastAsia="zh-CN"/>
                    </w:rPr>
                    <w:t>0.006</w:t>
                  </w:r>
                </w:p>
              </w:tc>
              <w:tc>
                <w:tcPr>
                  <w:tcW w:w="1707" w:type="dxa"/>
                  <w:vMerge w:val="restart"/>
                  <w:vAlign w:val="center"/>
                </w:tcPr>
                <w:p>
                  <w:pPr>
                    <w:spacing w:line="360" w:lineRule="auto"/>
                    <w:jc w:val="center"/>
                    <w:textAlignment w:val="center"/>
                    <w:rPr>
                      <w:rFonts w:hint="default" w:eastAsia="宋体"/>
                      <w:bCs/>
                      <w:color w:val="auto"/>
                      <w:szCs w:val="21"/>
                      <w:lang w:val="en-US" w:eastAsia="zh-CN"/>
                    </w:rPr>
                  </w:pPr>
                  <w:r>
                    <w:rPr>
                      <w:rFonts w:hint="eastAsia"/>
                      <w:bCs/>
                      <w:color w:val="auto"/>
                      <w:szCs w:val="21"/>
                      <w:lang w:val="en-US" w:eastAsia="zh-CN"/>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8" w:type="dxa"/>
                  <w:vMerge w:val="continue"/>
                  <w:vAlign w:val="center"/>
                </w:tcPr>
                <w:p>
                  <w:pPr>
                    <w:pStyle w:val="47"/>
                    <w:tabs>
                      <w:tab w:val="left" w:pos="607"/>
                    </w:tabs>
                    <w:snapToGrid w:val="0"/>
                    <w:spacing w:line="360" w:lineRule="auto"/>
                    <w:jc w:val="center"/>
                    <w:rPr>
                      <w:rFonts w:ascii="Times New Roman" w:cs="Times New Roman"/>
                      <w:bCs/>
                      <w:color w:val="auto"/>
                      <w:sz w:val="21"/>
                      <w:szCs w:val="21"/>
                    </w:rPr>
                  </w:pPr>
                </w:p>
              </w:tc>
              <w:tc>
                <w:tcPr>
                  <w:tcW w:w="1726" w:type="dxa"/>
                  <w:vAlign w:val="center"/>
                </w:tcPr>
                <w:p>
                  <w:pPr>
                    <w:pStyle w:val="47"/>
                    <w:tabs>
                      <w:tab w:val="left" w:pos="607"/>
                    </w:tabs>
                    <w:snapToGrid w:val="0"/>
                    <w:spacing w:line="360" w:lineRule="auto"/>
                    <w:jc w:val="center"/>
                    <w:rPr>
                      <w:rFonts w:ascii="Times New Roman" w:cs="Times New Roman"/>
                      <w:bCs/>
                      <w:color w:val="auto"/>
                      <w:sz w:val="21"/>
                      <w:szCs w:val="21"/>
                    </w:rPr>
                  </w:pPr>
                  <w:r>
                    <w:rPr>
                      <w:rFonts w:ascii="Times New Roman" w:cs="Times New Roman"/>
                      <w:bCs/>
                      <w:color w:val="auto"/>
                      <w:sz w:val="21"/>
                      <w:szCs w:val="21"/>
                    </w:rPr>
                    <w:t>无组织</w:t>
                  </w:r>
                </w:p>
              </w:tc>
              <w:tc>
                <w:tcPr>
                  <w:tcW w:w="1404" w:type="dxa"/>
                  <w:vAlign w:val="center"/>
                </w:tcPr>
                <w:p>
                  <w:pPr>
                    <w:pStyle w:val="56"/>
                    <w:snapToGrid w:val="0"/>
                    <w:rPr>
                      <w:rFonts w:hint="default" w:ascii="Times New Roman" w:hAnsi="Times New Roman" w:eastAsia="宋体"/>
                      <w:bCs/>
                      <w:color w:val="auto"/>
                      <w:szCs w:val="21"/>
                      <w:lang w:val="en-US" w:eastAsia="zh-CN"/>
                    </w:rPr>
                  </w:pPr>
                  <w:r>
                    <w:rPr>
                      <w:rFonts w:hint="eastAsia" w:ascii="Times New Roman" w:hAnsi="Times New Roman" w:cs="Times New Roman"/>
                      <w:color w:val="auto"/>
                      <w:sz w:val="21"/>
                      <w:szCs w:val="21"/>
                      <w:shd w:val="clear" w:color="auto" w:fill="auto"/>
                      <w:lang w:val="en-US" w:eastAsia="zh-CN"/>
                    </w:rPr>
                    <w:t>0.002</w:t>
                  </w:r>
                </w:p>
              </w:tc>
              <w:tc>
                <w:tcPr>
                  <w:tcW w:w="1707" w:type="dxa"/>
                  <w:vMerge w:val="continue"/>
                  <w:vAlign w:val="center"/>
                </w:tcPr>
                <w:p>
                  <w:pPr>
                    <w:spacing w:line="360" w:lineRule="auto"/>
                    <w:jc w:val="center"/>
                    <w:textAlignment w:val="center"/>
                    <w:rPr>
                      <w:bCs/>
                      <w:color w:val="auto"/>
                      <w:szCs w:val="21"/>
                    </w:rPr>
                  </w:pPr>
                </w:p>
              </w:tc>
            </w:tr>
          </w:tbl>
          <w:p>
            <w:pPr>
              <w:spacing w:line="360" w:lineRule="auto"/>
              <w:ind w:firstLine="480" w:firstLineChars="200"/>
              <w:rPr>
                <w:color w:val="auto"/>
                <w:sz w:val="24"/>
              </w:rPr>
            </w:pPr>
            <w:r>
              <w:rPr>
                <w:color w:val="auto"/>
                <w:sz w:val="24"/>
              </w:rPr>
              <w:t>废水：项目生活污水进入开平市水口污水处理厂处理，水污染物排放总量由区域性调控解决，不分配CODcr、氨氮等总量控制指标。</w:t>
            </w: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pStyle w:val="103"/>
              <w:rPr>
                <w:rFonts w:hint="eastAsia"/>
                <w:color w:val="auto"/>
                <w:shd w:val="clear" w:color="auto" w:fill="auto"/>
              </w:rPr>
            </w:pPr>
          </w:p>
        </w:tc>
      </w:tr>
    </w:tbl>
    <w:p>
      <w:pPr>
        <w:spacing w:line="300" w:lineRule="auto"/>
        <w:ind w:firstLine="454"/>
        <w:rPr>
          <w:color w:val="auto"/>
          <w:sz w:val="28"/>
          <w:shd w:val="clear" w:color="auto" w:fill="auto"/>
        </w:rPr>
        <w:sectPr>
          <w:footerReference r:id="rId12" w:type="default"/>
          <w:pgSz w:w="11907" w:h="16840"/>
          <w:pgMar w:top="1246" w:right="1134" w:bottom="971" w:left="1418" w:header="0" w:footer="898" w:gutter="0"/>
          <w:pgBorders>
            <w:top w:val="none" w:sz="0" w:space="0"/>
            <w:left w:val="none" w:sz="0" w:space="0"/>
            <w:bottom w:val="none" w:sz="0" w:space="0"/>
            <w:right w:val="none" w:sz="0" w:space="0"/>
          </w:pgBorders>
          <w:cols w:space="720" w:num="1"/>
          <w:docGrid w:linePitch="326" w:charSpace="-4916"/>
        </w:sectPr>
      </w:pPr>
    </w:p>
    <w:p>
      <w:pPr>
        <w:pStyle w:val="38"/>
        <w:jc w:val="left"/>
        <w:rPr>
          <w:rFonts w:ascii="Times New Roman" w:hAnsi="Times New Roman"/>
          <w:color w:val="auto"/>
          <w:shd w:val="clear" w:color="auto" w:fill="auto"/>
        </w:rPr>
      </w:pPr>
      <w:r>
        <w:rPr>
          <w:rFonts w:hint="eastAsia" w:ascii="Times New Roman" w:hAnsi="Times New Roman"/>
          <w:color w:val="auto"/>
          <w:shd w:val="clear" w:color="auto" w:fill="auto"/>
        </w:rPr>
        <w:t>建设项目工程分析</w:t>
      </w:r>
    </w:p>
    <w:tbl>
      <w:tblPr>
        <w:tblStyle w:val="40"/>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015" w:hRule="atLeast"/>
        </w:trPr>
        <w:tc>
          <w:tcPr>
            <w:tcW w:w="9571" w:type="dxa"/>
            <w:tcBorders>
              <w:bottom w:val="single" w:color="auto" w:sz="4" w:space="0"/>
            </w:tcBorders>
          </w:tcPr>
          <w:p>
            <w:pPr>
              <w:numPr>
                <w:ilvl w:val="0"/>
                <w:numId w:val="9"/>
              </w:numPr>
              <w:spacing w:line="312" w:lineRule="auto"/>
              <w:rPr>
                <w:b/>
                <w:bCs/>
                <w:color w:val="auto"/>
                <w:sz w:val="24"/>
                <w:shd w:val="clear" w:color="auto" w:fill="auto"/>
              </w:rPr>
            </w:pPr>
            <w:r>
              <w:rPr>
                <w:rFonts w:hint="eastAsia"/>
                <w:b/>
                <w:bCs/>
                <w:color w:val="auto"/>
                <w:sz w:val="24"/>
                <w:shd w:val="clear" w:color="auto" w:fill="auto"/>
              </w:rPr>
              <w:t>工艺流程简述(图示):</w:t>
            </w:r>
          </w:p>
          <w:p>
            <w:pPr>
              <w:spacing w:line="276" w:lineRule="auto"/>
              <w:rPr>
                <w:b/>
                <w:bCs/>
                <w:color w:val="auto"/>
                <w:szCs w:val="21"/>
                <w:shd w:val="clear" w:color="auto" w:fill="auto"/>
              </w:rPr>
            </w:pPr>
            <w:r>
              <w:rPr>
                <w:b/>
                <w:bCs/>
                <w:color w:val="auto"/>
                <w:szCs w:val="21"/>
                <w:shd w:val="clear" w:color="auto" w:fill="auto"/>
              </w:rPr>
              <w:t>（注：G</w:t>
            </w:r>
            <w:r>
              <w:rPr>
                <w:rFonts w:hint="eastAsia"/>
                <w:b/>
                <w:bCs/>
                <w:color w:val="auto"/>
                <w:szCs w:val="21"/>
                <w:shd w:val="clear" w:color="auto" w:fill="auto"/>
                <w:vertAlign w:val="subscript"/>
              </w:rPr>
              <w:t>1</w:t>
            </w:r>
            <w:r>
              <w:rPr>
                <w:rFonts w:hint="eastAsia"/>
                <w:b/>
                <w:bCs/>
                <w:color w:val="auto"/>
                <w:szCs w:val="21"/>
                <w:shd w:val="clear" w:color="auto" w:fill="auto"/>
              </w:rPr>
              <w:t>为</w:t>
            </w:r>
            <w:r>
              <w:rPr>
                <w:rFonts w:hint="eastAsia"/>
                <w:b/>
                <w:bCs/>
                <w:color w:val="auto"/>
                <w:szCs w:val="21"/>
                <w:shd w:val="clear" w:color="auto" w:fill="auto"/>
                <w:lang w:val="en-US" w:eastAsia="zh-CN"/>
              </w:rPr>
              <w:t>烟尘</w:t>
            </w:r>
            <w:r>
              <w:rPr>
                <w:rFonts w:hint="eastAsia"/>
                <w:b/>
                <w:bCs/>
                <w:color w:val="auto"/>
                <w:szCs w:val="21"/>
                <w:shd w:val="clear" w:color="auto" w:fill="auto"/>
              </w:rPr>
              <w:t>，</w:t>
            </w:r>
            <w:r>
              <w:rPr>
                <w:b/>
                <w:bCs/>
                <w:color w:val="auto"/>
                <w:szCs w:val="21"/>
                <w:shd w:val="clear" w:color="auto" w:fill="auto"/>
              </w:rPr>
              <w:t>G</w:t>
            </w:r>
            <w:r>
              <w:rPr>
                <w:rFonts w:hint="eastAsia"/>
                <w:b/>
                <w:bCs/>
                <w:color w:val="auto"/>
                <w:szCs w:val="21"/>
                <w:shd w:val="clear" w:color="auto" w:fill="auto"/>
                <w:vertAlign w:val="subscript"/>
              </w:rPr>
              <w:t>2</w:t>
            </w:r>
            <w:r>
              <w:rPr>
                <w:rFonts w:hint="eastAsia"/>
                <w:b/>
                <w:bCs/>
                <w:color w:val="auto"/>
                <w:szCs w:val="21"/>
                <w:shd w:val="clear" w:color="auto" w:fill="auto"/>
              </w:rPr>
              <w:t>为非甲烷总烃</w:t>
            </w:r>
            <w:r>
              <w:rPr>
                <w:rFonts w:hint="eastAsia"/>
                <w:b/>
                <w:bCs/>
                <w:color w:val="auto"/>
                <w:szCs w:val="21"/>
                <w:lang w:eastAsia="zh-CN"/>
              </w:rPr>
              <w:t>、臭气</w:t>
            </w:r>
            <w:r>
              <w:rPr>
                <w:rFonts w:hint="eastAsia"/>
                <w:b/>
                <w:bCs/>
                <w:color w:val="auto"/>
                <w:szCs w:val="21"/>
                <w:shd w:val="clear" w:color="auto" w:fill="auto"/>
                <w:lang w:eastAsia="zh-CN"/>
              </w:rPr>
              <w:t>，</w:t>
            </w:r>
            <w:r>
              <w:rPr>
                <w:b/>
                <w:bCs/>
                <w:color w:val="auto"/>
                <w:szCs w:val="21"/>
                <w:shd w:val="clear" w:color="auto" w:fill="auto"/>
              </w:rPr>
              <w:t>G</w:t>
            </w:r>
            <w:r>
              <w:rPr>
                <w:rFonts w:hint="eastAsia"/>
                <w:b/>
                <w:bCs/>
                <w:color w:val="auto"/>
                <w:szCs w:val="21"/>
                <w:shd w:val="clear" w:color="auto" w:fill="auto"/>
                <w:vertAlign w:val="subscript"/>
                <w:lang w:val="en-US" w:eastAsia="zh-CN"/>
              </w:rPr>
              <w:t>3</w:t>
            </w:r>
            <w:r>
              <w:rPr>
                <w:rFonts w:hint="eastAsia"/>
                <w:b/>
                <w:bCs/>
                <w:color w:val="auto"/>
                <w:szCs w:val="21"/>
                <w:shd w:val="clear" w:color="auto" w:fill="auto"/>
              </w:rPr>
              <w:t>为</w:t>
            </w:r>
            <w:r>
              <w:rPr>
                <w:rFonts w:hint="eastAsia"/>
                <w:b/>
                <w:bCs/>
                <w:color w:val="auto"/>
                <w:szCs w:val="21"/>
                <w:shd w:val="clear" w:color="auto" w:fill="auto"/>
                <w:lang w:eastAsia="zh-CN"/>
              </w:rPr>
              <w:t>粉尘</w:t>
            </w:r>
            <w:r>
              <w:rPr>
                <w:b/>
                <w:bCs/>
                <w:color w:val="auto"/>
                <w:szCs w:val="21"/>
                <w:shd w:val="clear" w:color="auto" w:fill="auto"/>
              </w:rPr>
              <w:t>；</w:t>
            </w:r>
            <w:r>
              <w:rPr>
                <w:rFonts w:hint="eastAsia"/>
                <w:b/>
                <w:bCs/>
                <w:color w:val="auto"/>
                <w:szCs w:val="21"/>
                <w:shd w:val="clear" w:color="auto" w:fill="auto"/>
              </w:rPr>
              <w:t>S为一般工业固废；N</w:t>
            </w:r>
            <w:r>
              <w:rPr>
                <w:b/>
                <w:bCs/>
                <w:color w:val="auto"/>
                <w:szCs w:val="21"/>
                <w:shd w:val="clear" w:color="auto" w:fill="auto"/>
              </w:rPr>
              <w:t>为噪声</w:t>
            </w:r>
            <w:r>
              <w:rPr>
                <w:rFonts w:hint="eastAsia"/>
                <w:b/>
                <w:bCs/>
                <w:color w:val="auto"/>
                <w:szCs w:val="21"/>
                <w:shd w:val="clear" w:color="auto" w:fill="auto"/>
              </w:rPr>
              <w:t>。</w:t>
            </w:r>
            <w:r>
              <w:rPr>
                <w:b/>
                <w:bCs/>
                <w:color w:val="auto"/>
                <w:szCs w:val="21"/>
                <w:shd w:val="clear" w:color="auto" w:fill="auto"/>
              </w:rPr>
              <w:t>）</w:t>
            </w:r>
          </w:p>
          <w:p>
            <w:pPr>
              <w:spacing w:line="276" w:lineRule="auto"/>
              <w:rPr>
                <w:b/>
                <w:bCs/>
                <w:color w:val="auto"/>
                <w:szCs w:val="21"/>
                <w:shd w:val="clear" w:color="auto" w:fill="auto"/>
              </w:rPr>
            </w:pPr>
            <w:r>
              <w:rPr>
                <w:color w:val="auto"/>
              </w:rPr>
              <w:pict>
                <v:group id="画布 114" o:spid="_x0000_s2052" o:spt="203" style="height:123.3pt;width:472.5pt;" coordorigin="0,-116840" coordsize="6000113,1565908" editas="canvas">
                  <o:lock v:ext="edit"/>
                  <v:shape id="画布 114" o:spid="_x0000_s2053" o:spt="75" type="#_x0000_t75" style="position:absolute;left:0;top:-116840;height:1565908;width:6000113;" filled="f" stroked="f" coordsize="21600,21600">
                    <v:path/>
                    <v:fill on="f" focussize="0,0"/>
                    <v:stroke on="f"/>
                    <v:imagedata o:title=""/>
                    <o:lock v:ext="edit" rotation="t" aspectratio="t"/>
                  </v:shape>
                  <v:shape id="文本框 105" o:spid="_x0000_s2054" o:spt="202" type="#_x0000_t202" style="position:absolute;left:2780370;top:920114;height:253365;width:587948;"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机加工</w:t>
                          </w:r>
                        </w:p>
                      </w:txbxContent>
                    </v:textbox>
                  </v:shape>
                  <v:shape id="文本框 2706" o:spid="_x0000_s2055" o:spt="202" type="#_x0000_t202" style="position:absolute;left:5487088;top:898524;height:267335;width:485089;"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包装</w:t>
                          </w:r>
                        </w:p>
                      </w:txbxContent>
                    </v:textbox>
                  </v:shape>
                  <v:shape id="文本框 2699" o:spid="_x0000_s2056" o:spt="202" type="#_x0000_t202" style="position:absolute;left:1426694;top:396240;height:266065;width:499692;"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制芯</w:t>
                          </w:r>
                        </w:p>
                      </w:txbxContent>
                    </v:textbox>
                  </v:shape>
                  <v:shape id="文本框 2703" o:spid="_x0000_s2057" o:spt="202" type="#_x0000_t202" style="position:absolute;left:1076846;top:-60960;height:257175;width:1354946;"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石英砂、呋喃树脂</w:t>
                          </w:r>
                        </w:p>
                      </w:txbxContent>
                    </v:textbox>
                  </v:shape>
                  <v:shape id="文本框 2703" o:spid="_x0000_s2058" o:spt="202" type="#_x0000_t202" style="position:absolute;left:2682591;top:661034;height:294640;width:840016;" filled="f" stroked="f" coordsize="21600,21600">
                    <v:path/>
                    <v:fill on="f" focussize="0,0"/>
                    <v:stroke on="f" weight="0.25pt"/>
                    <v:imagedata o:title=""/>
                    <o:lock v:ext="edit" aspectratio="f"/>
                    <v:textbox>
                      <w:txbxContent>
                        <w:p>
                          <w:pPr>
                            <w:ind w:firstLine="105" w:firstLineChars="50"/>
                          </w:pPr>
                          <w:r>
                            <w:rPr>
                              <w:rFonts w:hint="eastAsia"/>
                              <w:bCs/>
                              <w:vertAlign w:val="subscript"/>
                            </w:rPr>
                            <w:t xml:space="preserve"> </w:t>
                          </w:r>
                          <w:r>
                            <w:rPr>
                              <w:bCs/>
                            </w:rPr>
                            <w:t>G</w:t>
                          </w:r>
                          <w:r>
                            <w:rPr>
                              <w:rFonts w:hint="eastAsia"/>
                              <w:bCs/>
                              <w:vertAlign w:val="subscript"/>
                              <w:lang w:val="en-US" w:eastAsia="zh-CN"/>
                            </w:rPr>
                            <w:t>3</w:t>
                          </w:r>
                          <w:r>
                            <w:rPr>
                              <w:rFonts w:hint="eastAsia"/>
                              <w:bCs/>
                              <w:szCs w:val="21"/>
                            </w:rPr>
                            <w:t>S</w:t>
                          </w:r>
                          <w:r>
                            <w:rPr>
                              <w:rFonts w:hint="eastAsia"/>
                            </w:rPr>
                            <w:t xml:space="preserve"> N</w:t>
                          </w:r>
                        </w:p>
                      </w:txbxContent>
                    </v:textbox>
                  </v:shape>
                  <v:shape id="文本框 2703" o:spid="_x0000_s2059" o:spt="202" type="#_x0000_t202" style="position:absolute;left:1532093;top:177165;height:244475;width:600646;" filled="f" stroked="f" coordsize="21600,21600">
                    <v:path/>
                    <v:fill on="f" focussize="0,0"/>
                    <v:stroke on="f" weight="0.25pt"/>
                    <v:imagedata o:title=""/>
                    <o:lock v:ext="edit" aspectratio="f"/>
                    <v:textbox>
                      <w:txbxContent>
                        <w:p>
                          <w:pPr>
                            <w:ind w:firstLine="105" w:firstLineChars="50"/>
                          </w:pPr>
                          <w:r>
                            <w:rPr>
                              <w:rFonts w:hint="eastAsia"/>
                              <w:bCs/>
                              <w:vertAlign w:val="subscript"/>
                            </w:rPr>
                            <w:t xml:space="preserve"> </w:t>
                          </w:r>
                          <w:r>
                            <w:rPr>
                              <w:bCs/>
                            </w:rPr>
                            <w:t>G</w:t>
                          </w:r>
                          <w:r>
                            <w:rPr>
                              <w:rFonts w:hint="eastAsia"/>
                              <w:bCs/>
                              <w:vertAlign w:val="subscript"/>
                              <w:lang w:val="en-US" w:eastAsia="zh-CN"/>
                            </w:rPr>
                            <w:t xml:space="preserve">2 </w:t>
                          </w:r>
                          <w:r>
                            <w:rPr>
                              <w:rFonts w:hint="eastAsia"/>
                            </w:rPr>
                            <w:t>N</w:t>
                          </w:r>
                        </w:p>
                      </w:txbxContent>
                    </v:textbox>
                  </v:shape>
                  <v:shape id="文本框 2703" o:spid="_x0000_s2060" o:spt="202" type="#_x0000_t202" style="position:absolute;left:1979720;top:653414;height:264160;width:675568;" filled="f" stroked="f" coordsize="21600,21600">
                    <v:path/>
                    <v:fill on="f" focussize="0,0"/>
                    <v:stroke on="f" weight="0.25pt"/>
                    <v:imagedata o:title=""/>
                    <o:lock v:ext="edit" aspectratio="f"/>
                    <v:textbox>
                      <w:txbxContent>
                        <w:p>
                          <w:pPr>
                            <w:ind w:firstLine="105" w:firstLineChars="50"/>
                          </w:pPr>
                          <w:r>
                            <w:rPr>
                              <w:bCs/>
                            </w:rPr>
                            <w:t>G</w:t>
                          </w:r>
                          <w:r>
                            <w:rPr>
                              <w:rFonts w:hint="eastAsia"/>
                              <w:bCs/>
                              <w:vertAlign w:val="subscript"/>
                              <w:lang w:val="en-US" w:eastAsia="zh-CN"/>
                            </w:rPr>
                            <w:t xml:space="preserve">3 </w:t>
                          </w:r>
                          <w:r>
                            <w:rPr>
                              <w:rFonts w:hint="eastAsia"/>
                              <w:bCs/>
                              <w:szCs w:val="21"/>
                            </w:rPr>
                            <w:t>S</w:t>
                          </w:r>
                          <w:r>
                            <w:rPr>
                              <w:rFonts w:hint="eastAsia"/>
                              <w:bCs/>
                              <w:szCs w:val="21"/>
                              <w:lang w:val="en-US" w:eastAsia="zh-CN"/>
                            </w:rPr>
                            <w:t xml:space="preserve"> </w:t>
                          </w:r>
                          <w:r>
                            <w:rPr>
                              <w:rFonts w:hint="eastAsia"/>
                            </w:rPr>
                            <w:t>N</w:t>
                          </w:r>
                        </w:p>
                      </w:txbxContent>
                    </v:textbox>
                  </v:shape>
                  <v:shape id="文本框 2703" o:spid="_x0000_s2061" o:spt="202" type="#_x0000_t202" style="position:absolute;left:5457881;top:643889;height:235585;width:504771;" filled="f" stroked="f" coordsize="21600,21600">
                    <v:path/>
                    <v:fill on="f" focussize="0,0"/>
                    <v:stroke on="f" weight="0.25pt"/>
                    <v:imagedata o:title=""/>
                    <o:lock v:ext="edit" aspectratio="f"/>
                    <v:textbox>
                      <w:txbxContent>
                        <w:p>
                          <w:pPr>
                            <w:ind w:firstLine="105" w:firstLineChars="50"/>
                          </w:pPr>
                          <w:r>
                            <w:rPr>
                              <w:rFonts w:hint="eastAsia"/>
                              <w:bCs/>
                              <w:vertAlign w:val="subscript"/>
                              <w:lang w:val="en-US" w:eastAsia="zh-CN"/>
                            </w:rPr>
                            <w:t xml:space="preserve">  </w:t>
                          </w:r>
                          <w:r>
                            <w:rPr>
                              <w:rFonts w:hint="eastAsia"/>
                              <w:bCs/>
                              <w:szCs w:val="21"/>
                            </w:rPr>
                            <w:t>S</w:t>
                          </w:r>
                        </w:p>
                      </w:txbxContent>
                    </v:textbox>
                  </v:shape>
                  <v:shape id="文本框 105" o:spid="_x0000_s2062" o:spt="202" type="#_x0000_t202" style="position:absolute;left:4865489;top:911224;height:260350;width:457152;"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测试</w:t>
                          </w:r>
                        </w:p>
                      </w:txbxContent>
                    </v:textbox>
                  </v:shape>
                  <v:shape id="文本框 105" o:spid="_x0000_s2063" o:spt="202" type="#_x0000_t202" style="position:absolute;left:3541655;top:920114;height:260350;width:466676;"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抛光</w:t>
                          </w:r>
                        </w:p>
                      </w:txbxContent>
                    </v:textbox>
                  </v:shape>
                  <v:shape id="文本框 2703" o:spid="_x0000_s2064" o:spt="202" type="#_x0000_t202" style="position:absolute;left:598742;top:634364;height:292100;width:825412;" filled="f" stroked="f" coordsize="21600,21600">
                    <v:path/>
                    <v:fill on="f" focussize="0,0"/>
                    <v:stroke on="f" weight="0.25pt"/>
                    <v:imagedata o:title=""/>
                    <o:lock v:ext="edit" aspectratio="f"/>
                    <v:textbox>
                      <w:txbxContent>
                        <w:p>
                          <w:pPr>
                            <w:ind w:firstLine="105" w:firstLineChars="50"/>
                          </w:pPr>
                          <w:r>
                            <w:rPr>
                              <w:rFonts w:hint="eastAsia"/>
                              <w:bCs/>
                              <w:vertAlign w:val="subscript"/>
                            </w:rPr>
                            <w:t xml:space="preserve"> </w:t>
                          </w:r>
                          <w:r>
                            <w:rPr>
                              <w:bCs/>
                            </w:rPr>
                            <w:t>G</w:t>
                          </w:r>
                          <w:r>
                            <w:rPr>
                              <w:rFonts w:hint="eastAsia"/>
                              <w:bCs/>
                              <w:vertAlign w:val="subscript"/>
                              <w:lang w:val="en-US" w:eastAsia="zh-CN"/>
                            </w:rPr>
                            <w:t>1</w:t>
                          </w:r>
                          <w:r>
                            <w:rPr>
                              <w:rFonts w:hint="eastAsia"/>
                              <w:bCs/>
                              <w:szCs w:val="21"/>
                            </w:rPr>
                            <w:t>S</w:t>
                          </w:r>
                          <w:r>
                            <w:rPr>
                              <w:rFonts w:hint="eastAsia"/>
                              <w:bCs/>
                              <w:szCs w:val="21"/>
                              <w:lang w:val="en-US" w:eastAsia="zh-CN"/>
                            </w:rPr>
                            <w:t xml:space="preserve"> </w:t>
                          </w:r>
                          <w:r>
                            <w:rPr>
                              <w:rFonts w:hint="eastAsia"/>
                            </w:rPr>
                            <w:t>N</w:t>
                          </w:r>
                        </w:p>
                      </w:txbxContent>
                    </v:textbox>
                  </v:shape>
                  <v:shape id="文本框 2703" o:spid="_x0000_s2065" o:spt="202" type="#_x0000_t202" style="position:absolute;left:3417843;top:662939;height:292100;width:695251;" filled="f" stroked="f" coordsize="21600,21600">
                    <v:path/>
                    <v:fill on="f" focussize="0,0"/>
                    <v:stroke on="f" weight="0.25pt"/>
                    <v:imagedata o:title=""/>
                    <o:lock v:ext="edit" aspectratio="f"/>
                    <v:textbox>
                      <w:txbxContent>
                        <w:p>
                          <w:pPr>
                            <w:ind w:firstLine="105" w:firstLineChars="50"/>
                          </w:pPr>
                          <w:r>
                            <w:rPr>
                              <w:rFonts w:hint="eastAsia"/>
                              <w:bCs/>
                              <w:vertAlign w:val="subscript"/>
                            </w:rPr>
                            <w:t xml:space="preserve"> </w:t>
                          </w:r>
                          <w:r>
                            <w:rPr>
                              <w:bCs/>
                            </w:rPr>
                            <w:t>G</w:t>
                          </w:r>
                          <w:r>
                            <w:rPr>
                              <w:rFonts w:hint="eastAsia"/>
                              <w:bCs/>
                              <w:vertAlign w:val="subscript"/>
                              <w:lang w:val="en-US" w:eastAsia="zh-CN"/>
                            </w:rPr>
                            <w:t>3</w:t>
                          </w:r>
                          <w:r>
                            <w:rPr>
                              <w:rFonts w:hint="eastAsia"/>
                              <w:bCs/>
                              <w:szCs w:val="21"/>
                            </w:rPr>
                            <w:t>S</w:t>
                          </w:r>
                          <w:r>
                            <w:rPr>
                              <w:rFonts w:hint="eastAsia"/>
                              <w:bCs/>
                              <w:vertAlign w:val="subscript"/>
                              <w:lang w:val="en-US" w:eastAsia="zh-CN"/>
                            </w:rPr>
                            <w:t xml:space="preserve"> </w:t>
                          </w:r>
                          <w:r>
                            <w:rPr>
                              <w:rFonts w:hint="eastAsia"/>
                            </w:rPr>
                            <w:t>N</w:t>
                          </w:r>
                        </w:p>
                      </w:txbxContent>
                    </v:textbox>
                  </v:shape>
                  <v:shape id="文本框 105" o:spid="_x0000_s2066" o:spt="202" type="#_x0000_t202" style="position:absolute;left:4189286;top:911224;height:260350;width:488263;"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组装</w:t>
                          </w:r>
                        </w:p>
                      </w:txbxContent>
                    </v:textbox>
                  </v:shape>
                  <v:shape id="自选图形 2700" o:spid="_x0000_s2067" o:spt="32" type="#_x0000_t32" style="position:absolute;left:1676857;top:196215;flip:x;height:200025;width:5714;" filled="f" stroked="t" coordsize="21600,21600">
                    <v:path arrowok="t"/>
                    <v:fill on="f" focussize="0,0"/>
                    <v:stroke weight="0.25pt" color="#000000" endarrow="block"/>
                    <v:imagedata o:title=""/>
                    <o:lock v:ext="edit" aspectratio="f"/>
                  </v:shape>
                  <v:shape id="自选图形 2700" o:spid="_x0000_s2068" o:spt="32" type="#_x0000_t32" style="position:absolute;left:5322641;top:1043939;flip:y;height:0;width:177781;" filled="f" stroked="t" coordsize="21600,21600">
                    <v:path arrowok="t"/>
                    <v:fill on="f" focussize="0,0"/>
                    <v:stroke weight="0.25pt" color="#000000" endarrow="block"/>
                    <v:imagedata o:title=""/>
                    <o:lock v:ext="edit" aspectratio="f"/>
                  </v:shape>
                  <v:shape id="自选图形 2700" o:spid="_x0000_s2069" o:spt="32" type="#_x0000_t32" style="position:absolute;left:3370223;top:1072514;flip:y;height:0;width:177781;" filled="f" stroked="t" coordsize="21600,21600">
                    <v:path arrowok="t"/>
                    <v:fill on="f" focussize="0,0"/>
                    <v:stroke weight="0.25pt" color="#000000" endarrow="block"/>
                    <v:imagedata o:title=""/>
                    <o:lock v:ext="edit" aspectratio="f"/>
                  </v:shape>
                  <v:shape id="自选图形 2700" o:spid="_x0000_s2070" o:spt="32" type="#_x0000_t32" style="position:absolute;left:4008330;top:1062989;flip:y;height:0;width:177781;" filled="f" stroked="t" coordsize="21600,21600">
                    <v:path arrowok="t"/>
                    <v:fill on="f" focussize="0,0"/>
                    <v:stroke weight="0.25pt" color="#000000" endarrow="block"/>
                    <v:imagedata o:title=""/>
                    <o:lock v:ext="edit" aspectratio="f"/>
                  </v:shape>
                  <v:shape id="自选图形 2700" o:spid="_x0000_s2071" o:spt="32" type="#_x0000_t32" style="position:absolute;left:4684533;top:1053464;flip:y;height:0;width:177781;" filled="f" stroked="t" coordsize="21600,21600">
                    <v:path arrowok="t"/>
                    <v:fill on="f" focussize="0,0"/>
                    <v:stroke weight="0.25pt" color="#000000" endarrow="block"/>
                    <v:imagedata o:title=""/>
                    <o:lock v:ext="edit" aspectratio="f"/>
                  </v:shape>
                  <v:shape id="文本框 2703" o:spid="_x0000_s2072" o:spt="202" type="#_x0000_t202" style="position:absolute;left:4817869;top:662939;height:245110;width:504771;" filled="f" stroked="f" coordsize="21600,21600">
                    <v:path/>
                    <v:fill on="f" focussize="0,0"/>
                    <v:stroke on="f" weight="0.25pt"/>
                    <v:imagedata o:title=""/>
                    <o:lock v:ext="edit" aspectratio="f"/>
                    <v:textbox>
                      <w:txbxContent>
                        <w:p>
                          <w:pPr>
                            <w:ind w:firstLine="105" w:firstLineChars="50"/>
                            <w:rPr>
                              <w:rFonts w:hint="eastAsia" w:eastAsia="宋体"/>
                              <w:lang w:val="en-US" w:eastAsia="zh-CN"/>
                            </w:rPr>
                          </w:pPr>
                          <w:r>
                            <w:rPr>
                              <w:rFonts w:hint="eastAsia"/>
                              <w:bCs/>
                              <w:szCs w:val="21"/>
                            </w:rPr>
                            <w:t>S</w:t>
                          </w:r>
                          <w:r>
                            <w:rPr>
                              <w:rFonts w:hint="eastAsia"/>
                              <w:bCs/>
                              <w:szCs w:val="21"/>
                              <w:lang w:val="en-US" w:eastAsia="zh-CN"/>
                            </w:rPr>
                            <w:t xml:space="preserve"> N</w:t>
                          </w:r>
                        </w:p>
                      </w:txbxContent>
                    </v:textbox>
                  </v:shape>
                  <v:shape id="自选图形 2700" o:spid="_x0000_s2073" o:spt="32" type="#_x0000_t32" style="position:absolute;left:556836;top:1041399;flip:y;height:0;width:177781;" filled="f" stroked="t" coordsize="21600,21600">
                    <v:path arrowok="t"/>
                    <v:fill on="f" focussize="0,0"/>
                    <v:stroke weight="0.25pt" color="#000000" endarrow="block"/>
                    <v:imagedata o:title=""/>
                    <o:lock v:ext="edit" aspectratio="f"/>
                  </v:shape>
                  <v:shape id="文本框 2706" o:spid="_x0000_s2074" o:spt="202" type="#_x0000_t202" style="position:absolute;left:750490;top:898524;height:266700;width:482549;"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熔化</w:t>
                          </w:r>
                        </w:p>
                      </w:txbxContent>
                    </v:textbox>
                  </v:shape>
                  <v:shape id="文本框 2699" o:spid="_x0000_s2075" o:spt="202" type="#_x0000_t202" style="position:absolute;left:1423519;top:911224;height:254000;width:507946;"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铸造</w:t>
                          </w:r>
                        </w:p>
                      </w:txbxContent>
                    </v:textbox>
                  </v:shape>
                  <v:shape id="文本框 2703" o:spid="_x0000_s2076" o:spt="202" type="#_x0000_t202" style="position:absolute;left:20318;top:911224;height:266700;width:520645;"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铜锭</w:t>
                          </w:r>
                        </w:p>
                      </w:txbxContent>
                    </v:textbox>
                  </v:shape>
                  <v:shape id="文本框 2699" o:spid="_x0000_s2077" o:spt="202" type="#_x0000_t202" style="position:absolute;left:2093373;top:911224;height:254000;width:485724;" filled="f" stroked="t" coordsize="21600,21600">
                    <v:path/>
                    <v:fill on="f" focussize="0,0"/>
                    <v:stroke weight="0.25pt" color="#000000" joinstyle="miter"/>
                    <v:imagedata o:title=""/>
                    <o:lock v:ext="edit" aspectratio="f"/>
                    <v:textbox>
                      <w:txbxContent>
                        <w:p>
                          <w:pPr>
                            <w:jc w:val="center"/>
                            <w:rPr>
                              <w:rFonts w:hint="eastAsia" w:eastAsia="宋体"/>
                              <w:lang w:val="en-US" w:eastAsia="zh-CN"/>
                            </w:rPr>
                          </w:pPr>
                          <w:r>
                            <w:rPr>
                              <w:rFonts w:hint="eastAsia"/>
                              <w:lang w:val="en-US" w:eastAsia="zh-CN"/>
                            </w:rPr>
                            <w:t>滚砂</w:t>
                          </w:r>
                        </w:p>
                      </w:txbxContent>
                    </v:textbox>
                  </v:shape>
                  <v:shape id="自选图形 2700" o:spid="_x0000_s2078" o:spt="32" type="#_x0000_t32" style="position:absolute;left:1931465;top:1063624;flip:y;height:0;width:165083;" filled="f" stroked="t" coordsize="21600,21600">
                    <v:path arrowok="t"/>
                    <v:fill on="f" focussize="0,0"/>
                    <v:stroke weight="0.25pt" color="#000000" endarrow="block"/>
                    <v:imagedata o:title=""/>
                    <o:lock v:ext="edit" aspectratio="f"/>
                  </v:shape>
                  <v:shape id="自选图形 2700" o:spid="_x0000_s2079" o:spt="32" type="#_x0000_t32" style="position:absolute;left:2591795;top:1054099;flip:y;height:0;width:177781;" filled="f" stroked="t" coordsize="21600,21600">
                    <v:path arrowok="t"/>
                    <v:fill on="f" focussize="0,0"/>
                    <v:stroke weight="0.25pt" color="#000000" endarrow="block"/>
                    <v:imagedata o:title=""/>
                    <o:lock v:ext="edit" aspectratio="f"/>
                  </v:shape>
                  <v:shape id="自选图形 2700" o:spid="_x0000_s2175" o:spt="32" type="#_x0000_t32" style="position:absolute;left:1245738;top:1050924;flip:y;height:0;width:177781;" filled="f" stroked="t" coordsize="21600,21600">
                    <v:path arrowok="t"/>
                    <v:fill on="f" focussize="0,0"/>
                    <v:stroke weight="0.25pt" color="#000000" endarrow="block"/>
                    <v:imagedata o:title=""/>
                    <o:lock v:ext="edit" aspectratio="f"/>
                  </v:shape>
                  <v:shape id="自选图形 2700" o:spid="_x0000_s2176" o:spt="32" type="#_x0000_t32" style="position:absolute;left:1674952;top:662304;flip:x;height:238760;width:1905;" filled="f" stroked="t" coordsize="21600,21600">
                    <v:path arrowok="t"/>
                    <v:fill on="f" focussize="0,0"/>
                    <v:stroke weight="0.25pt" color="#000000" endarrow="block"/>
                    <v:imagedata o:title=""/>
                    <o:lock v:ext="edit" aspectratio="f"/>
                  </v:shape>
                  <v:shape id="文本框 2703" o:spid="_x0000_s2177" o:spt="202" type="#_x0000_t202" style="position:absolute;left:1236849;top:672464;height:241300;width:824777;" filled="f" stroked="f" coordsize="21600,21600">
                    <v:path/>
                    <v:fill on="f" focussize="0,0"/>
                    <v:stroke on="f" weight="0.25pt"/>
                    <v:imagedata o:title=""/>
                    <o:lock v:ext="edit" aspectratio="f"/>
                    <v:textbox>
                      <w:txbxContent>
                        <w:p>
                          <w:pPr>
                            <w:ind w:firstLine="105" w:firstLineChars="50"/>
                          </w:pPr>
                          <w:r>
                            <w:rPr>
                              <w:rFonts w:hint="eastAsia"/>
                              <w:bCs/>
                              <w:vertAlign w:val="subscript"/>
                              <w:lang w:val="en-US" w:eastAsia="zh-CN"/>
                            </w:rPr>
                            <w:t xml:space="preserve">  </w:t>
                          </w:r>
                          <w:r>
                            <w:rPr>
                              <w:bCs/>
                            </w:rPr>
                            <w:t>G</w:t>
                          </w:r>
                          <w:r>
                            <w:rPr>
                              <w:rFonts w:hint="eastAsia"/>
                              <w:bCs/>
                              <w:vertAlign w:val="subscript"/>
                              <w:lang w:val="en-US" w:eastAsia="zh-CN"/>
                            </w:rPr>
                            <w:t xml:space="preserve">1  </w:t>
                          </w:r>
                          <w:r>
                            <w:rPr>
                              <w:bCs/>
                            </w:rPr>
                            <w:t>G</w:t>
                          </w:r>
                          <w:r>
                            <w:rPr>
                              <w:rFonts w:hint="eastAsia"/>
                              <w:bCs/>
                              <w:vertAlign w:val="subscript"/>
                              <w:lang w:val="en-US" w:eastAsia="zh-CN"/>
                            </w:rPr>
                            <w:t xml:space="preserve">2 </w:t>
                          </w:r>
                          <w:r>
                            <w:rPr>
                              <w:rFonts w:hint="eastAsia"/>
                            </w:rPr>
                            <w:t>N</w:t>
                          </w:r>
                        </w:p>
                      </w:txbxContent>
                    </v:textbox>
                  </v:shape>
                  <w10:wrap type="none"/>
                  <w10:anchorlock/>
                </v:group>
              </w:pict>
            </w:r>
          </w:p>
          <w:p>
            <w:pPr>
              <w:spacing w:line="360" w:lineRule="auto"/>
              <w:ind w:firstLine="472" w:firstLineChars="196"/>
              <w:rPr>
                <w:b/>
                <w:bCs/>
                <w:color w:val="auto"/>
                <w:sz w:val="24"/>
                <w:shd w:val="clear" w:color="auto" w:fill="auto"/>
              </w:rPr>
            </w:pPr>
            <w:r>
              <w:rPr>
                <w:rFonts w:hint="eastAsia"/>
                <w:b/>
                <w:bCs/>
                <w:color w:val="auto"/>
                <w:sz w:val="24"/>
                <w:shd w:val="clear" w:color="auto" w:fill="auto"/>
              </w:rPr>
              <w:t>二、</w:t>
            </w:r>
            <w:r>
              <w:rPr>
                <w:b/>
                <w:bCs/>
                <w:color w:val="auto"/>
                <w:sz w:val="24"/>
                <w:shd w:val="clear" w:color="auto" w:fill="auto"/>
              </w:rPr>
              <w:t>主要工艺流程简述</w:t>
            </w:r>
          </w:p>
          <w:p>
            <w:pPr>
              <w:spacing w:line="360" w:lineRule="auto"/>
              <w:ind w:firstLine="472" w:firstLineChars="196"/>
              <w:rPr>
                <w:rFonts w:hint="eastAsia" w:hAnsi="宋体"/>
                <w:bCs/>
                <w:color w:val="auto"/>
                <w:sz w:val="24"/>
                <w:lang w:val="en-US" w:eastAsia="zh-CN"/>
              </w:rPr>
            </w:pPr>
            <w:r>
              <w:rPr>
                <w:rFonts w:hint="eastAsia" w:hAnsi="宋体"/>
                <w:b/>
                <w:bCs w:val="0"/>
                <w:color w:val="auto"/>
                <w:sz w:val="24"/>
                <w:lang w:val="en-US" w:eastAsia="zh-CN"/>
              </w:rPr>
              <w:t>制芯：</w:t>
            </w:r>
            <w:r>
              <w:rPr>
                <w:rFonts w:hint="eastAsia" w:hAnsi="宋体"/>
                <w:bCs/>
                <w:color w:val="auto"/>
                <w:sz w:val="24"/>
                <w:lang w:val="en-US" w:eastAsia="zh-CN"/>
              </w:rPr>
              <w:t>石英砂和树脂混合后放入砂芯机，电加热射芯，制成砂芯，加热温度在200-300℃之间，该过程产生非甲烷总烃、臭气和噪声。</w:t>
            </w:r>
          </w:p>
          <w:p>
            <w:pPr>
              <w:spacing w:line="360" w:lineRule="auto"/>
              <w:ind w:firstLine="472" w:firstLineChars="196"/>
              <w:rPr>
                <w:rFonts w:hint="eastAsia" w:hAnsi="宋体"/>
                <w:bCs/>
                <w:color w:val="auto"/>
                <w:sz w:val="24"/>
                <w:lang w:val="en-US" w:eastAsia="zh-CN"/>
              </w:rPr>
            </w:pPr>
            <w:r>
              <w:rPr>
                <w:rFonts w:hint="eastAsia" w:hAnsi="宋体"/>
                <w:b/>
                <w:bCs w:val="0"/>
                <w:color w:val="auto"/>
                <w:sz w:val="24"/>
                <w:lang w:val="en-US" w:eastAsia="zh-CN"/>
              </w:rPr>
              <w:t>熔化：</w:t>
            </w:r>
            <w:r>
              <w:rPr>
                <w:rFonts w:hint="eastAsia" w:hAnsi="宋体"/>
                <w:bCs/>
                <w:color w:val="auto"/>
                <w:sz w:val="24"/>
                <w:lang w:val="en-US" w:eastAsia="zh-CN"/>
              </w:rPr>
              <w:t>利用电熔炉加温将铜锭加温熔化成液体，加热温度约1000℃，该过程产生烟尘、炉渣和噪声。</w:t>
            </w:r>
          </w:p>
          <w:p>
            <w:pPr>
              <w:spacing w:line="360" w:lineRule="auto"/>
              <w:ind w:firstLine="472" w:firstLineChars="196"/>
              <w:rPr>
                <w:rFonts w:hint="eastAsia" w:hAnsi="宋体"/>
                <w:bCs/>
                <w:color w:val="auto"/>
                <w:sz w:val="24"/>
                <w:highlight w:val="none"/>
                <w:lang w:val="en-US" w:eastAsia="zh-CN"/>
              </w:rPr>
            </w:pPr>
            <w:r>
              <w:rPr>
                <w:rFonts w:hint="eastAsia" w:hAnsi="宋体"/>
                <w:b/>
                <w:bCs w:val="0"/>
                <w:color w:val="auto"/>
                <w:sz w:val="24"/>
                <w:highlight w:val="none"/>
                <w:lang w:val="en-US" w:eastAsia="zh-CN"/>
              </w:rPr>
              <w:t>铸造：</w:t>
            </w:r>
            <w:r>
              <w:rPr>
                <w:rFonts w:hint="eastAsia" w:hAnsi="宋体"/>
                <w:bCs/>
                <w:color w:val="auto"/>
                <w:sz w:val="24"/>
                <w:highlight w:val="none"/>
                <w:lang w:val="en-US" w:eastAsia="zh-CN"/>
              </w:rPr>
              <w:t>利用砂芯将熔化的金属原料铸造成型，铸造温度约1000℃，金属原料中的杂质在高温下被氧化会产生一定量的金属烟尘，砂芯受热会产生非甲烷总烃，因此该过程产生烟尘、非甲烷总烃和噪声。</w:t>
            </w:r>
          </w:p>
          <w:p>
            <w:pPr>
              <w:pStyle w:val="29"/>
              <w:tabs>
                <w:tab w:val="left" w:pos="660"/>
              </w:tabs>
              <w:snapToGrid w:val="0"/>
              <w:spacing w:line="360" w:lineRule="auto"/>
              <w:ind w:firstLine="482"/>
              <w:rPr>
                <w:rFonts w:hint="eastAsia" w:hAnsi="宋体"/>
                <w:bCs/>
                <w:color w:val="auto"/>
                <w:sz w:val="24"/>
                <w:lang w:val="en-US" w:eastAsia="zh-CN"/>
              </w:rPr>
            </w:pPr>
            <w:r>
              <w:rPr>
                <w:rFonts w:hint="eastAsia" w:hAnsi="宋体"/>
                <w:b/>
                <w:bCs w:val="0"/>
                <w:color w:val="auto"/>
                <w:sz w:val="24"/>
                <w:lang w:val="en-US" w:eastAsia="zh-CN"/>
              </w:rPr>
              <w:t>滚砂</w:t>
            </w:r>
            <w:r>
              <w:rPr>
                <w:rFonts w:hint="eastAsia" w:hAnsi="宋体"/>
                <w:bCs/>
                <w:color w:val="auto"/>
                <w:sz w:val="24"/>
                <w:lang w:val="en-US" w:eastAsia="zh-CN"/>
              </w:rPr>
              <w:t>：利用滚砂机把水龙头内砂芯打散清理，滚砂设备是在密闭的状态下运作，</w:t>
            </w:r>
            <w:r>
              <w:rPr>
                <w:rFonts w:hint="eastAsia" w:hAnsi="宋体"/>
                <w:bCs/>
                <w:color w:val="auto"/>
                <w:sz w:val="24"/>
                <w:lang w:eastAsia="zh-CN"/>
              </w:rPr>
              <w:t>该</w:t>
            </w:r>
            <w:r>
              <w:rPr>
                <w:rFonts w:hint="eastAsia" w:hAnsi="宋体"/>
                <w:bCs/>
                <w:color w:val="auto"/>
                <w:sz w:val="24"/>
              </w:rPr>
              <w:t>过程产生</w:t>
            </w:r>
            <w:r>
              <w:rPr>
                <w:rFonts w:hint="eastAsia" w:hAnsi="宋体"/>
                <w:bCs/>
                <w:color w:val="auto"/>
                <w:sz w:val="24"/>
                <w:lang w:eastAsia="zh-CN"/>
              </w:rPr>
              <w:t>极少量</w:t>
            </w:r>
            <w:r>
              <w:rPr>
                <w:rFonts w:hint="eastAsia" w:hAnsi="宋体"/>
                <w:color w:val="auto"/>
              </w:rPr>
              <w:t>粉尘</w:t>
            </w:r>
            <w:r>
              <w:rPr>
                <w:rFonts w:hint="eastAsia" w:hAnsi="宋体"/>
                <w:color w:val="auto"/>
                <w:lang w:eastAsia="zh-CN"/>
              </w:rPr>
              <w:t>、废砂</w:t>
            </w:r>
            <w:r>
              <w:rPr>
                <w:rFonts w:hint="eastAsia" w:hAnsi="宋体"/>
                <w:color w:val="auto"/>
              </w:rPr>
              <w:t>和噪声。</w:t>
            </w:r>
          </w:p>
          <w:p>
            <w:pPr>
              <w:tabs>
                <w:tab w:val="left" w:pos="1860"/>
              </w:tabs>
              <w:spacing w:line="372" w:lineRule="auto"/>
              <w:ind w:firstLine="472" w:firstLineChars="196"/>
              <w:jc w:val="left"/>
              <w:rPr>
                <w:rFonts w:hint="eastAsia"/>
                <w:b/>
                <w:bCs/>
                <w:color w:val="auto"/>
                <w:sz w:val="24"/>
                <w:shd w:val="clear" w:color="auto" w:fill="auto"/>
                <w:lang w:eastAsia="zh-CN"/>
              </w:rPr>
            </w:pPr>
            <w:r>
              <w:rPr>
                <w:rFonts w:hint="eastAsia"/>
                <w:b/>
                <w:bCs/>
                <w:color w:val="auto"/>
                <w:sz w:val="24"/>
                <w:shd w:val="clear" w:color="auto" w:fill="auto"/>
                <w:lang w:eastAsia="zh-CN"/>
              </w:rPr>
              <w:t>机加工：</w:t>
            </w:r>
            <w:r>
              <w:rPr>
                <w:rFonts w:hint="eastAsia"/>
                <w:b w:val="0"/>
                <w:bCs w:val="0"/>
                <w:color w:val="auto"/>
                <w:sz w:val="24"/>
                <w:shd w:val="clear" w:color="auto" w:fill="auto"/>
                <w:lang w:eastAsia="zh-CN"/>
              </w:rPr>
              <w:t>按要求使用</w:t>
            </w:r>
            <w:r>
              <w:rPr>
                <w:rFonts w:hint="eastAsia"/>
                <w:b w:val="0"/>
                <w:bCs w:val="0"/>
                <w:color w:val="auto"/>
                <w:sz w:val="24"/>
                <w:shd w:val="clear" w:color="auto" w:fill="auto"/>
                <w:lang w:val="en-US" w:eastAsia="zh-CN"/>
              </w:rPr>
              <w:t>车床、双头钻、单头钻、</w:t>
            </w:r>
            <w:r>
              <w:rPr>
                <w:rFonts w:hint="eastAsia"/>
                <w:b w:val="0"/>
                <w:bCs w:val="0"/>
                <w:color w:val="auto"/>
                <w:sz w:val="24"/>
                <w:shd w:val="clear" w:color="auto" w:fill="auto"/>
                <w:lang w:eastAsia="zh-CN"/>
              </w:rPr>
              <w:t>铣床等设备对</w:t>
            </w:r>
            <w:r>
              <w:rPr>
                <w:rFonts w:hint="eastAsia"/>
                <w:b w:val="0"/>
                <w:bCs w:val="0"/>
                <w:color w:val="auto"/>
                <w:sz w:val="24"/>
                <w:shd w:val="clear" w:color="auto" w:fill="auto"/>
                <w:lang w:val="en-US" w:eastAsia="zh-CN"/>
              </w:rPr>
              <w:t>滚砂后的工</w:t>
            </w:r>
            <w:r>
              <w:rPr>
                <w:rFonts w:hint="eastAsia"/>
                <w:b w:val="0"/>
                <w:bCs w:val="0"/>
                <w:color w:val="auto"/>
                <w:sz w:val="24"/>
                <w:shd w:val="clear" w:color="auto" w:fill="auto"/>
                <w:lang w:eastAsia="zh-CN"/>
              </w:rPr>
              <w:t>件进行</w:t>
            </w:r>
            <w:r>
              <w:rPr>
                <w:rFonts w:hint="eastAsia"/>
                <w:b w:val="0"/>
                <w:bCs w:val="0"/>
                <w:color w:val="auto"/>
                <w:sz w:val="24"/>
                <w:shd w:val="clear" w:color="auto" w:fill="auto"/>
                <w:lang w:val="en-US" w:eastAsia="zh-CN"/>
              </w:rPr>
              <w:t>机械加工</w:t>
            </w:r>
            <w:r>
              <w:rPr>
                <w:rFonts w:hint="eastAsia"/>
                <w:b w:val="0"/>
                <w:bCs w:val="0"/>
                <w:color w:val="auto"/>
                <w:sz w:val="24"/>
                <w:shd w:val="clear" w:color="auto" w:fill="auto"/>
                <w:lang w:eastAsia="zh-CN"/>
              </w:rPr>
              <w:t>，该过程产生金属粉尘、金属边角料和噪声。</w:t>
            </w:r>
          </w:p>
          <w:p>
            <w:pPr>
              <w:pStyle w:val="29"/>
              <w:tabs>
                <w:tab w:val="left" w:pos="660"/>
              </w:tabs>
              <w:snapToGrid w:val="0"/>
              <w:spacing w:line="360" w:lineRule="auto"/>
              <w:ind w:firstLine="482"/>
              <w:rPr>
                <w:rFonts w:hAnsi="宋体"/>
                <w:bCs w:val="0"/>
                <w:color w:val="auto"/>
              </w:rPr>
            </w:pPr>
            <w:r>
              <w:rPr>
                <w:rFonts w:hint="eastAsia" w:hAnsi="宋体"/>
                <w:b/>
                <w:color w:val="auto"/>
              </w:rPr>
              <w:t>抛光：</w:t>
            </w:r>
            <w:r>
              <w:rPr>
                <w:rFonts w:hint="eastAsia" w:hAnsi="宋体"/>
                <w:color w:val="auto"/>
              </w:rPr>
              <w:t>使用</w:t>
            </w:r>
            <w:r>
              <w:rPr>
                <w:rFonts w:hint="eastAsia" w:ascii="宋体" w:hAnsi="宋体" w:eastAsia="宋体" w:cs="宋体"/>
                <w:i w:val="0"/>
                <w:color w:val="auto"/>
                <w:kern w:val="0"/>
                <w:sz w:val="24"/>
                <w:szCs w:val="24"/>
                <w:u w:val="none"/>
                <w:lang w:val="en-US" w:eastAsia="zh-CN" w:bidi="ar"/>
              </w:rPr>
              <w:t>抛光机</w:t>
            </w:r>
            <w:r>
              <w:rPr>
                <w:rFonts w:hint="eastAsia" w:hAnsi="宋体"/>
                <w:color w:val="auto"/>
              </w:rPr>
              <w:t>对</w:t>
            </w:r>
            <w:r>
              <w:rPr>
                <w:rFonts w:hint="eastAsia" w:hAnsi="宋体"/>
                <w:color w:val="auto"/>
                <w:lang w:val="en-US" w:eastAsia="zh-CN"/>
              </w:rPr>
              <w:t>机加工</w:t>
            </w:r>
            <w:r>
              <w:rPr>
                <w:rFonts w:hint="eastAsia" w:hAnsi="宋体"/>
                <w:color w:val="auto"/>
                <w:lang w:eastAsia="zh-CN"/>
              </w:rPr>
              <w:t>后的工件</w:t>
            </w:r>
            <w:r>
              <w:rPr>
                <w:rFonts w:hint="eastAsia" w:hAnsi="宋体"/>
                <w:color w:val="auto"/>
              </w:rPr>
              <w:t>进行抛光加工，</w:t>
            </w:r>
            <w:r>
              <w:rPr>
                <w:rFonts w:hint="eastAsia"/>
                <w:color w:val="auto"/>
              </w:rPr>
              <w:t>使工件表面粗糙度降低，以获得光亮、平整表面</w:t>
            </w:r>
            <w:r>
              <w:rPr>
                <w:rFonts w:hint="eastAsia"/>
                <w:color w:val="auto"/>
                <w:lang w:eastAsia="zh-CN"/>
              </w:rPr>
              <w:t>，</w:t>
            </w:r>
            <w:r>
              <w:rPr>
                <w:rFonts w:hint="eastAsia" w:hAnsi="宋体"/>
                <w:bCs/>
                <w:color w:val="auto"/>
                <w:sz w:val="24"/>
                <w:lang w:eastAsia="zh-CN"/>
              </w:rPr>
              <w:t>该</w:t>
            </w:r>
            <w:r>
              <w:rPr>
                <w:rFonts w:hint="eastAsia" w:hAnsi="宋体"/>
                <w:bCs/>
                <w:color w:val="auto"/>
                <w:sz w:val="24"/>
              </w:rPr>
              <w:t>过程产生</w:t>
            </w:r>
            <w:r>
              <w:rPr>
                <w:rFonts w:hint="eastAsia" w:hAnsi="宋体"/>
                <w:color w:val="auto"/>
              </w:rPr>
              <w:t>粉尘</w:t>
            </w:r>
            <w:r>
              <w:rPr>
                <w:rFonts w:hint="eastAsia" w:hAnsi="宋体"/>
                <w:color w:val="auto"/>
                <w:lang w:eastAsia="zh-CN"/>
              </w:rPr>
              <w:t>、废抛光轮</w:t>
            </w:r>
            <w:r>
              <w:rPr>
                <w:rFonts w:hint="eastAsia" w:hAnsi="宋体"/>
                <w:color w:val="auto"/>
              </w:rPr>
              <w:t>和噪声。</w:t>
            </w:r>
          </w:p>
          <w:p>
            <w:pPr>
              <w:spacing w:line="360" w:lineRule="auto"/>
              <w:ind w:firstLine="472" w:firstLineChars="196"/>
              <w:rPr>
                <w:rFonts w:hint="eastAsia" w:hAnsi="宋体"/>
                <w:bCs/>
                <w:color w:val="auto"/>
                <w:sz w:val="24"/>
                <w:lang w:val="en-US" w:eastAsia="zh-CN"/>
              </w:rPr>
            </w:pPr>
            <w:r>
              <w:rPr>
                <w:rFonts w:hint="eastAsia" w:hAnsi="宋体"/>
                <w:b/>
                <w:bCs w:val="0"/>
                <w:color w:val="auto"/>
                <w:sz w:val="24"/>
                <w:lang w:val="en-US" w:eastAsia="zh-CN"/>
              </w:rPr>
              <w:t>组装：</w:t>
            </w:r>
            <w:r>
              <w:rPr>
                <w:rFonts w:hint="eastAsia" w:hAnsi="宋体"/>
                <w:b w:val="0"/>
                <w:bCs/>
                <w:color w:val="auto"/>
                <w:sz w:val="24"/>
                <w:lang w:val="en-US" w:eastAsia="zh-CN"/>
              </w:rPr>
              <w:t>人工将</w:t>
            </w:r>
            <w:r>
              <w:rPr>
                <w:rFonts w:hint="eastAsia" w:hAnsi="宋体"/>
                <w:bCs/>
                <w:color w:val="auto"/>
                <w:sz w:val="24"/>
                <w:lang w:val="en-US" w:eastAsia="zh-CN"/>
              </w:rPr>
              <w:t>工件和水龙头配件组装成成品。</w:t>
            </w:r>
          </w:p>
          <w:p>
            <w:pPr>
              <w:pStyle w:val="29"/>
              <w:snapToGrid w:val="0"/>
              <w:spacing w:line="360" w:lineRule="auto"/>
              <w:ind w:firstLine="482" w:firstLineChars="200"/>
              <w:rPr>
                <w:b/>
                <w:color w:val="auto"/>
                <w:szCs w:val="24"/>
                <w:shd w:val="clear" w:color="auto" w:fill="auto"/>
              </w:rPr>
            </w:pPr>
            <w:r>
              <w:rPr>
                <w:rFonts w:hint="eastAsia"/>
                <w:b/>
                <w:color w:val="auto"/>
                <w:szCs w:val="24"/>
                <w:shd w:val="clear" w:color="auto" w:fill="auto"/>
                <w:lang w:eastAsia="zh-CN"/>
              </w:rPr>
              <w:t>测试</w:t>
            </w:r>
            <w:r>
              <w:rPr>
                <w:rFonts w:hint="eastAsia"/>
                <w:b/>
                <w:color w:val="auto"/>
                <w:szCs w:val="24"/>
                <w:shd w:val="clear" w:color="auto" w:fill="auto"/>
              </w:rPr>
              <w:t>：</w:t>
            </w:r>
            <w:r>
              <w:rPr>
                <w:rFonts w:hint="eastAsia"/>
                <w:color w:val="auto"/>
                <w:sz w:val="24"/>
              </w:rPr>
              <w:t>使用</w:t>
            </w:r>
            <w:r>
              <w:rPr>
                <w:rFonts w:hint="eastAsia"/>
                <w:color w:val="auto"/>
                <w:sz w:val="24"/>
                <w:lang w:eastAsia="zh-CN"/>
              </w:rPr>
              <w:t>试水机</w:t>
            </w:r>
            <w:r>
              <w:rPr>
                <w:rFonts w:hint="eastAsia"/>
                <w:color w:val="auto"/>
                <w:sz w:val="24"/>
              </w:rPr>
              <w:t>对</w:t>
            </w:r>
            <w:r>
              <w:rPr>
                <w:rFonts w:hint="eastAsia"/>
                <w:color w:val="auto"/>
                <w:sz w:val="24"/>
                <w:lang w:eastAsia="zh-CN"/>
              </w:rPr>
              <w:t>组装</w:t>
            </w:r>
            <w:r>
              <w:rPr>
                <w:rFonts w:hint="eastAsia"/>
                <w:color w:val="auto"/>
                <w:sz w:val="24"/>
              </w:rPr>
              <w:t>后的</w:t>
            </w:r>
            <w:r>
              <w:rPr>
                <w:rFonts w:hint="eastAsia"/>
                <w:color w:val="auto"/>
                <w:sz w:val="24"/>
                <w:lang w:eastAsia="zh-CN"/>
              </w:rPr>
              <w:t>成品</w:t>
            </w:r>
            <w:r>
              <w:rPr>
                <w:rFonts w:hint="eastAsia"/>
                <w:color w:val="auto"/>
                <w:sz w:val="24"/>
              </w:rPr>
              <w:t>进行</w:t>
            </w:r>
            <w:r>
              <w:rPr>
                <w:rFonts w:hint="eastAsia"/>
                <w:color w:val="auto"/>
                <w:sz w:val="24"/>
                <w:lang w:eastAsia="zh-CN"/>
              </w:rPr>
              <w:t>测试其性能</w:t>
            </w:r>
            <w:r>
              <w:rPr>
                <w:rFonts w:hint="eastAsia"/>
                <w:color w:val="auto"/>
                <w:sz w:val="24"/>
              </w:rPr>
              <w:t>，</w:t>
            </w:r>
            <w:r>
              <w:rPr>
                <w:rFonts w:hint="eastAsia"/>
                <w:color w:val="auto"/>
                <w:sz w:val="24"/>
                <w:lang w:val="en-US" w:eastAsia="zh-CN"/>
              </w:rPr>
              <w:t>测试用水</w:t>
            </w:r>
            <w:r>
              <w:rPr>
                <w:rFonts w:hint="eastAsia" w:hAnsi="宋体"/>
                <w:b w:val="0"/>
                <w:bCs w:val="0"/>
                <w:color w:val="auto"/>
                <w:sz w:val="24"/>
                <w:shd w:val="clear" w:color="auto" w:fill="auto"/>
                <w:lang w:eastAsia="zh-CN"/>
              </w:rPr>
              <w:t>循环使用，定期补充，不外排，</w:t>
            </w:r>
            <w:r>
              <w:rPr>
                <w:bCs/>
                <w:color w:val="auto"/>
                <w:sz w:val="24"/>
              </w:rPr>
              <w:t>该</w:t>
            </w:r>
            <w:r>
              <w:rPr>
                <w:rFonts w:hint="eastAsia"/>
                <w:bCs/>
                <w:color w:val="auto"/>
                <w:sz w:val="24"/>
                <w:lang w:val="en-US" w:eastAsia="zh-CN"/>
              </w:rPr>
              <w:t>过程</w:t>
            </w:r>
            <w:r>
              <w:rPr>
                <w:bCs/>
                <w:color w:val="auto"/>
                <w:sz w:val="24"/>
              </w:rPr>
              <w:t>产生</w:t>
            </w:r>
            <w:r>
              <w:rPr>
                <w:rFonts w:hint="eastAsia"/>
                <w:bCs/>
                <w:color w:val="auto"/>
                <w:sz w:val="24"/>
              </w:rPr>
              <w:t>少量</w:t>
            </w:r>
            <w:r>
              <w:rPr>
                <w:rFonts w:hint="eastAsia"/>
                <w:bCs/>
                <w:color w:val="auto"/>
                <w:sz w:val="24"/>
                <w:lang w:eastAsia="zh-CN"/>
              </w:rPr>
              <w:t>不合格品</w:t>
            </w:r>
            <w:r>
              <w:rPr>
                <w:rFonts w:hint="eastAsia"/>
                <w:bCs/>
                <w:color w:val="auto"/>
                <w:sz w:val="24"/>
              </w:rPr>
              <w:t>和噪声</w:t>
            </w:r>
            <w:r>
              <w:rPr>
                <w:rFonts w:hint="eastAsia" w:hAnsi="宋体"/>
                <w:bCs/>
                <w:color w:val="auto"/>
                <w:sz w:val="24"/>
                <w:shd w:val="clear" w:color="auto" w:fill="auto"/>
              </w:rPr>
              <w:t>。</w:t>
            </w:r>
          </w:p>
          <w:p>
            <w:pPr>
              <w:spacing w:line="360" w:lineRule="auto"/>
              <w:ind w:firstLine="482" w:firstLineChars="200"/>
              <w:rPr>
                <w:b/>
                <w:color w:val="auto"/>
                <w:sz w:val="24"/>
                <w:shd w:val="clear" w:color="auto" w:fill="auto"/>
              </w:rPr>
            </w:pPr>
            <w:r>
              <w:rPr>
                <w:rFonts w:hint="eastAsia"/>
                <w:b/>
                <w:color w:val="auto"/>
                <w:sz w:val="24"/>
                <w:shd w:val="clear" w:color="auto" w:fill="auto"/>
              </w:rPr>
              <w:t>包装：</w:t>
            </w:r>
            <w:r>
              <w:rPr>
                <w:rFonts w:hint="eastAsia"/>
                <w:color w:val="auto"/>
                <w:sz w:val="24"/>
                <w:shd w:val="clear" w:color="auto" w:fill="auto"/>
              </w:rPr>
              <w:t>人工将成品用包装材料进行包装后即可出货，该过程产生废包装材料。</w:t>
            </w:r>
          </w:p>
          <w:p>
            <w:pPr>
              <w:pStyle w:val="29"/>
              <w:snapToGrid w:val="0"/>
              <w:spacing w:line="360" w:lineRule="auto"/>
              <w:ind w:firstLine="482"/>
              <w:rPr>
                <w:rFonts w:hAnsi="宋体"/>
                <w:bCs/>
                <w:color w:val="auto"/>
                <w:shd w:val="clear" w:color="auto" w:fill="auto"/>
              </w:rPr>
            </w:pPr>
            <w:r>
              <w:rPr>
                <w:rFonts w:hint="eastAsia" w:hAnsi="宋体"/>
                <w:b/>
                <w:bCs/>
                <w:color w:val="auto"/>
                <w:szCs w:val="24"/>
                <w:shd w:val="clear" w:color="auto" w:fill="auto"/>
              </w:rPr>
              <w:t>说明：</w:t>
            </w:r>
            <w:r>
              <w:rPr>
                <w:rFonts w:hint="eastAsia"/>
                <w:color w:val="auto"/>
                <w:shd w:val="clear" w:color="auto" w:fill="auto"/>
              </w:rPr>
              <w:t>项目</w:t>
            </w:r>
            <w:r>
              <w:rPr>
                <w:rFonts w:hint="eastAsia"/>
                <w:color w:val="auto"/>
                <w:shd w:val="clear" w:color="auto" w:fill="auto"/>
                <w:lang w:eastAsia="zh-CN"/>
              </w:rPr>
              <w:t>空压机、</w:t>
            </w:r>
            <w:r>
              <w:rPr>
                <w:rFonts w:hint="eastAsia"/>
                <w:color w:val="auto"/>
                <w:shd w:val="clear" w:color="auto" w:fill="auto"/>
                <w:lang w:val="en-US" w:eastAsia="zh-CN"/>
              </w:rPr>
              <w:t>冷却塔</w:t>
            </w:r>
            <w:r>
              <w:rPr>
                <w:rFonts w:hint="eastAsia"/>
                <w:color w:val="auto"/>
                <w:shd w:val="clear" w:color="auto" w:fill="auto"/>
              </w:rPr>
              <w:t>为辅助设备，使用过程中产生噪声。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459" w:hRule="atLeast"/>
        </w:trPr>
        <w:tc>
          <w:tcPr>
            <w:tcW w:w="9571" w:type="dxa"/>
            <w:tcBorders>
              <w:bottom w:val="single" w:color="auto" w:sz="4" w:space="0"/>
            </w:tcBorders>
          </w:tcPr>
          <w:p>
            <w:pPr>
              <w:adjustRightInd w:val="0"/>
              <w:snapToGrid w:val="0"/>
              <w:spacing w:line="360" w:lineRule="auto"/>
              <w:rPr>
                <w:b/>
                <w:bCs/>
                <w:color w:val="auto"/>
                <w:sz w:val="24"/>
                <w:shd w:val="clear" w:color="auto" w:fill="auto"/>
              </w:rPr>
            </w:pPr>
            <w:r>
              <w:rPr>
                <w:rFonts w:hint="eastAsia"/>
                <w:b/>
                <w:bCs/>
                <w:color w:val="auto"/>
                <w:sz w:val="24"/>
                <w:shd w:val="clear" w:color="auto" w:fill="auto"/>
              </w:rPr>
              <w:t>主要污染工序：</w:t>
            </w:r>
          </w:p>
          <w:p>
            <w:pPr>
              <w:spacing w:line="360" w:lineRule="auto"/>
              <w:ind w:firstLine="595" w:firstLineChars="247"/>
              <w:rPr>
                <w:b/>
                <w:bCs/>
                <w:color w:val="auto"/>
                <w:sz w:val="24"/>
                <w:shd w:val="clear" w:color="auto" w:fill="auto"/>
              </w:rPr>
            </w:pPr>
            <w:r>
              <w:rPr>
                <w:rFonts w:hint="eastAsia"/>
                <w:b/>
                <w:bCs/>
                <w:color w:val="auto"/>
                <w:sz w:val="24"/>
                <w:shd w:val="clear" w:color="auto" w:fill="auto"/>
              </w:rPr>
              <w:t>一、大气污染源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eastAsia"/>
                <w:b w:val="0"/>
                <w:bCs w:val="0"/>
                <w:color w:val="auto"/>
                <w:sz w:val="24"/>
                <w:szCs w:val="24"/>
                <w:vertAlign w:val="baseline"/>
                <w:lang w:eastAsia="zh-CN"/>
              </w:rPr>
            </w:pPr>
            <w:r>
              <w:rPr>
                <w:rFonts w:hint="eastAsia"/>
                <w:b/>
                <w:bCs/>
                <w:color w:val="auto"/>
                <w:sz w:val="24"/>
                <w:szCs w:val="24"/>
                <w:vertAlign w:val="baseline"/>
                <w:lang w:val="en-US" w:eastAsia="zh-CN"/>
              </w:rPr>
              <w:t>熔化、铸造工序：</w:t>
            </w:r>
            <w:r>
              <w:rPr>
                <w:rFonts w:hint="eastAsia"/>
                <w:b w:val="0"/>
                <w:bCs w:val="0"/>
                <w:color w:val="auto"/>
                <w:sz w:val="24"/>
                <w:szCs w:val="24"/>
                <w:vertAlign w:val="baseline"/>
                <w:lang w:eastAsia="zh-CN"/>
              </w:rPr>
              <w:t>项目原材料在电炉熔化和铸造成型采用电能，不会产生燃料燃烧废气。但在金属熔化过程中由于金属原料中的杂质在高温下被氧化会产生一定量的金属烟尘。根据企业提供的资料，电熔炉和铸造机每天运行</w:t>
            </w:r>
            <w:r>
              <w:rPr>
                <w:rFonts w:hint="eastAsia"/>
                <w:b w:val="0"/>
                <w:bCs w:val="0"/>
                <w:color w:val="auto"/>
                <w:sz w:val="24"/>
                <w:szCs w:val="24"/>
                <w:vertAlign w:val="baseline"/>
                <w:lang w:val="en-US" w:eastAsia="zh-CN"/>
              </w:rPr>
              <w:t>8</w:t>
            </w:r>
            <w:r>
              <w:rPr>
                <w:rFonts w:hint="eastAsia"/>
                <w:b w:val="0"/>
                <w:bCs w:val="0"/>
                <w:color w:val="auto"/>
                <w:sz w:val="24"/>
                <w:szCs w:val="24"/>
                <w:vertAlign w:val="baseline"/>
                <w:lang w:eastAsia="zh-CN"/>
              </w:rPr>
              <w:t>个小时，年运行</w:t>
            </w:r>
            <w:r>
              <w:rPr>
                <w:rFonts w:hint="eastAsia"/>
                <w:b w:val="0"/>
                <w:bCs w:val="0"/>
                <w:color w:val="auto"/>
                <w:sz w:val="24"/>
                <w:szCs w:val="24"/>
                <w:vertAlign w:val="baseline"/>
                <w:lang w:val="en-US" w:eastAsia="zh-CN"/>
              </w:rPr>
              <w:t>300</w:t>
            </w:r>
            <w:r>
              <w:rPr>
                <w:rFonts w:hint="eastAsia"/>
                <w:b w:val="0"/>
                <w:bCs w:val="0"/>
                <w:color w:val="auto"/>
                <w:sz w:val="24"/>
                <w:szCs w:val="24"/>
                <w:vertAlign w:val="baseline"/>
                <w:lang w:eastAsia="zh-CN"/>
              </w:rPr>
              <w:t>天。烟尘产生系数参考《第一次全国污染源普查工业污染源产排污系数手册（2010版）》下册“有色金属熔化炉（电炉）”工艺生产铜锌合金，烟尘产污系数为1.26千克/吨-产品。由于原材料损耗较少，本项目以原材料用量计，</w:t>
            </w:r>
            <w:r>
              <w:rPr>
                <w:rFonts w:hint="eastAsia"/>
                <w:bCs/>
                <w:color w:val="auto"/>
                <w:sz w:val="24"/>
                <w:highlight w:val="none"/>
                <w:lang w:val="en-US" w:eastAsia="zh-CN"/>
              </w:rPr>
              <w:t>铜锭</w:t>
            </w:r>
            <w:r>
              <w:rPr>
                <w:rFonts w:hint="eastAsia"/>
                <w:color w:val="auto"/>
                <w:sz w:val="24"/>
                <w:highlight w:val="none"/>
              </w:rPr>
              <w:t>用量</w:t>
            </w:r>
            <w:r>
              <w:rPr>
                <w:rFonts w:hint="eastAsia"/>
                <w:color w:val="auto"/>
                <w:sz w:val="24"/>
                <w:highlight w:val="none"/>
                <w:lang w:val="en-US" w:eastAsia="zh-CN"/>
              </w:rPr>
              <w:t>为80</w:t>
            </w:r>
            <w:r>
              <w:rPr>
                <w:rFonts w:hint="eastAsia"/>
                <w:color w:val="auto"/>
                <w:sz w:val="24"/>
                <w:highlight w:val="none"/>
              </w:rPr>
              <w:t>t</w:t>
            </w:r>
            <w:r>
              <w:rPr>
                <w:color w:val="auto"/>
                <w:sz w:val="24"/>
                <w:highlight w:val="none"/>
              </w:rPr>
              <w:t>/a</w:t>
            </w:r>
            <w:r>
              <w:rPr>
                <w:rFonts w:hint="eastAsia"/>
                <w:color w:val="auto"/>
                <w:sz w:val="24"/>
                <w:highlight w:val="none"/>
              </w:rPr>
              <w:t>，</w:t>
            </w:r>
            <w:r>
              <w:rPr>
                <w:rFonts w:hint="eastAsia"/>
                <w:b w:val="0"/>
                <w:bCs w:val="0"/>
                <w:color w:val="auto"/>
                <w:sz w:val="24"/>
                <w:szCs w:val="24"/>
                <w:vertAlign w:val="baseline"/>
                <w:lang w:val="en-US" w:eastAsia="zh-CN"/>
              </w:rPr>
              <w:t>则</w:t>
            </w:r>
            <w:r>
              <w:rPr>
                <w:rFonts w:hint="eastAsia"/>
                <w:b w:val="0"/>
                <w:bCs w:val="0"/>
                <w:color w:val="auto"/>
                <w:sz w:val="24"/>
                <w:szCs w:val="24"/>
                <w:vertAlign w:val="baseline"/>
                <w:lang w:eastAsia="zh-CN"/>
              </w:rPr>
              <w:t>在熔化、铸造</w:t>
            </w:r>
            <w:r>
              <w:rPr>
                <w:rFonts w:hint="eastAsia"/>
                <w:b w:val="0"/>
                <w:bCs w:val="0"/>
                <w:color w:val="auto"/>
                <w:sz w:val="24"/>
                <w:szCs w:val="24"/>
                <w:vertAlign w:val="baseline"/>
                <w:lang w:val="en-US" w:eastAsia="zh-CN"/>
              </w:rPr>
              <w:t>工序</w:t>
            </w:r>
            <w:r>
              <w:rPr>
                <w:rFonts w:hint="eastAsia"/>
                <w:b w:val="0"/>
                <w:bCs w:val="0"/>
                <w:color w:val="auto"/>
                <w:sz w:val="24"/>
                <w:szCs w:val="24"/>
                <w:vertAlign w:val="baseline"/>
                <w:lang w:eastAsia="zh-CN"/>
              </w:rPr>
              <w:t>产生的烟尘约</w:t>
            </w:r>
            <w:r>
              <w:rPr>
                <w:rFonts w:hint="eastAsia"/>
                <w:b w:val="0"/>
                <w:bCs w:val="0"/>
                <w:color w:val="auto"/>
                <w:sz w:val="24"/>
                <w:szCs w:val="24"/>
                <w:vertAlign w:val="baseline"/>
                <w:lang w:val="en-US" w:eastAsia="zh-CN"/>
              </w:rPr>
              <w:t>为0.1</w:t>
            </w:r>
            <w:r>
              <w:rPr>
                <w:rFonts w:hint="eastAsia"/>
                <w:b w:val="0"/>
                <w:bCs w:val="0"/>
                <w:color w:val="auto"/>
                <w:sz w:val="24"/>
                <w:szCs w:val="24"/>
                <w:vertAlign w:val="baseline"/>
                <w:lang w:eastAsia="zh-CN"/>
              </w:rPr>
              <w:t>t/a。</w:t>
            </w:r>
          </w:p>
          <w:p>
            <w:pPr>
              <w:snapToGrid w:val="0"/>
              <w:spacing w:line="348" w:lineRule="auto"/>
              <w:ind w:firstLine="480" w:firstLineChars="200"/>
              <w:rPr>
                <w:rFonts w:hint="eastAsia" w:hAnsi="宋体"/>
                <w:color w:val="auto"/>
                <w:sz w:val="24"/>
                <w:lang w:eastAsia="zh-CN"/>
              </w:rPr>
            </w:pPr>
            <w:r>
              <w:rPr>
                <w:rFonts w:hint="eastAsia" w:hAnsi="宋体"/>
                <w:color w:val="auto"/>
                <w:sz w:val="24"/>
              </w:rPr>
              <w:t>项目设有</w:t>
            </w:r>
            <w:r>
              <w:rPr>
                <w:rFonts w:hint="eastAsia" w:hAnsi="宋体"/>
                <w:color w:val="auto"/>
                <w:sz w:val="24"/>
                <w:lang w:eastAsia="zh-CN"/>
              </w:rPr>
              <w:t>电熔炉</w:t>
            </w:r>
            <w:r>
              <w:rPr>
                <w:rFonts w:hint="eastAsia" w:hAnsi="宋体"/>
                <w:color w:val="auto"/>
                <w:sz w:val="24"/>
                <w:lang w:val="en-US" w:eastAsia="zh-CN"/>
              </w:rPr>
              <w:t>2</w:t>
            </w:r>
            <w:r>
              <w:rPr>
                <w:rFonts w:hint="eastAsia" w:hAnsi="宋体"/>
                <w:color w:val="auto"/>
                <w:sz w:val="24"/>
              </w:rPr>
              <w:t>台，</w:t>
            </w:r>
            <w:r>
              <w:rPr>
                <w:rFonts w:hint="eastAsia" w:hAnsi="宋体"/>
                <w:color w:val="auto"/>
                <w:sz w:val="24"/>
                <w:highlight w:val="none"/>
                <w:shd w:val="clear" w:color="auto" w:fill="auto"/>
              </w:rPr>
              <w:t>在</w:t>
            </w:r>
            <w:r>
              <w:rPr>
                <w:rFonts w:hint="eastAsia" w:hAnsi="宋体"/>
                <w:color w:val="auto"/>
                <w:sz w:val="24"/>
                <w:highlight w:val="none"/>
                <w:shd w:val="clear" w:color="auto" w:fill="auto"/>
                <w:lang w:eastAsia="zh-CN"/>
              </w:rPr>
              <w:t>熔化工序上方</w:t>
            </w:r>
            <w:r>
              <w:rPr>
                <w:rFonts w:hint="eastAsia" w:hAnsi="宋体"/>
                <w:color w:val="auto"/>
                <w:sz w:val="24"/>
                <w:highlight w:val="none"/>
                <w:shd w:val="clear" w:color="auto" w:fill="auto"/>
              </w:rPr>
              <w:t>安装集气</w:t>
            </w:r>
            <w:r>
              <w:rPr>
                <w:rFonts w:hint="eastAsia" w:hAnsi="宋体"/>
                <w:color w:val="auto"/>
                <w:sz w:val="24"/>
                <w:highlight w:val="none"/>
                <w:shd w:val="clear" w:color="auto" w:fill="auto"/>
                <w:lang w:eastAsia="zh-CN"/>
              </w:rPr>
              <w:t>装置，集气罩的尺寸为</w:t>
            </w:r>
            <w:r>
              <w:rPr>
                <w:rFonts w:hint="eastAsia" w:hAnsi="宋体"/>
                <w:color w:val="auto"/>
                <w:sz w:val="24"/>
                <w:highlight w:val="none"/>
                <w:shd w:val="clear" w:color="auto" w:fill="auto"/>
                <w:lang w:val="en-US" w:eastAsia="zh-CN"/>
              </w:rPr>
              <w:t>0.8m*0.6m，离源高度为0.3m，风速取0.5m/s，则单个集气罩的风量为1.4*（0.8m*2+0.6m*2）*0.3m*0.5m/s*3600s=2116.8</w:t>
            </w:r>
            <w:r>
              <w:rPr>
                <w:rFonts w:hint="eastAsia" w:hAnsi="宋体"/>
                <w:color w:val="auto"/>
                <w:sz w:val="24"/>
                <w:highlight w:val="none"/>
                <w:shd w:val="clear" w:color="auto" w:fill="auto"/>
              </w:rPr>
              <w:t>m</w:t>
            </w:r>
            <w:r>
              <w:rPr>
                <w:rFonts w:hint="eastAsia" w:hAnsi="宋体"/>
                <w:color w:val="auto"/>
                <w:sz w:val="24"/>
                <w:highlight w:val="none"/>
                <w:shd w:val="clear" w:color="auto" w:fill="auto"/>
                <w:vertAlign w:val="superscript"/>
              </w:rPr>
              <w:t>3</w:t>
            </w:r>
            <w:r>
              <w:rPr>
                <w:rFonts w:hint="eastAsia" w:hAnsi="宋体"/>
                <w:color w:val="auto"/>
                <w:sz w:val="24"/>
                <w:highlight w:val="none"/>
                <w:shd w:val="clear" w:color="auto" w:fill="auto"/>
              </w:rPr>
              <w:t>/h</w:t>
            </w:r>
            <w:r>
              <w:rPr>
                <w:rFonts w:hint="eastAsia" w:hAnsi="宋体"/>
                <w:color w:val="auto"/>
                <w:sz w:val="24"/>
                <w:highlight w:val="none"/>
                <w:shd w:val="clear" w:color="auto" w:fill="auto"/>
                <w:lang w:eastAsia="zh-CN"/>
              </w:rPr>
              <w:t>，</w:t>
            </w:r>
            <w:r>
              <w:rPr>
                <w:rFonts w:hint="eastAsia" w:hAnsi="宋体"/>
                <w:color w:val="auto"/>
                <w:sz w:val="24"/>
              </w:rPr>
              <w:t>即</w:t>
            </w:r>
            <w:r>
              <w:rPr>
                <w:rFonts w:hint="eastAsia" w:hAnsi="宋体"/>
                <w:color w:val="auto"/>
                <w:sz w:val="24"/>
                <w:lang w:eastAsia="zh-CN"/>
              </w:rPr>
              <w:t>熔化工序</w:t>
            </w:r>
            <w:r>
              <w:rPr>
                <w:rFonts w:hint="eastAsia" w:hAnsi="宋体"/>
                <w:color w:val="auto"/>
                <w:sz w:val="24"/>
              </w:rPr>
              <w:t>风机风量为</w:t>
            </w:r>
            <w:r>
              <w:rPr>
                <w:rFonts w:hint="eastAsia" w:hAnsi="宋体"/>
                <w:color w:val="auto"/>
                <w:sz w:val="24"/>
                <w:lang w:val="en-US" w:eastAsia="zh-CN"/>
              </w:rPr>
              <w:t>4233.6</w:t>
            </w:r>
            <w:r>
              <w:rPr>
                <w:rFonts w:hint="eastAsia" w:hAnsi="宋体"/>
                <w:color w:val="auto"/>
                <w:sz w:val="24"/>
              </w:rPr>
              <w:t>m</w:t>
            </w:r>
            <w:r>
              <w:rPr>
                <w:rFonts w:hint="eastAsia" w:hAnsi="宋体"/>
                <w:color w:val="auto"/>
                <w:sz w:val="24"/>
                <w:vertAlign w:val="superscript"/>
              </w:rPr>
              <w:t>3</w:t>
            </w:r>
            <w:r>
              <w:rPr>
                <w:rFonts w:hint="eastAsia" w:hAnsi="宋体"/>
                <w:color w:val="auto"/>
                <w:sz w:val="24"/>
              </w:rPr>
              <w:t>/h</w:t>
            </w:r>
            <w:r>
              <w:rPr>
                <w:rFonts w:hint="eastAsia" w:hAnsi="宋体"/>
                <w:color w:val="auto"/>
                <w:sz w:val="24"/>
                <w:highlight w:val="none"/>
                <w:shd w:val="clear" w:color="auto" w:fill="auto"/>
                <w:lang w:eastAsia="zh-CN"/>
              </w:rPr>
              <w:t>；</w:t>
            </w:r>
            <w:r>
              <w:rPr>
                <w:rFonts w:hint="eastAsia" w:hAnsi="宋体"/>
                <w:color w:val="auto"/>
                <w:sz w:val="24"/>
              </w:rPr>
              <w:t>设有</w:t>
            </w:r>
            <w:r>
              <w:rPr>
                <w:rFonts w:hint="eastAsia" w:hAnsi="宋体"/>
                <w:color w:val="auto"/>
                <w:sz w:val="24"/>
                <w:lang w:eastAsia="zh-CN"/>
              </w:rPr>
              <w:t>铸造机</w:t>
            </w:r>
            <w:r>
              <w:rPr>
                <w:rFonts w:hint="eastAsia" w:hAnsi="宋体"/>
                <w:color w:val="auto"/>
                <w:sz w:val="24"/>
                <w:lang w:val="en-US" w:eastAsia="zh-CN"/>
              </w:rPr>
              <w:t>2</w:t>
            </w:r>
            <w:r>
              <w:rPr>
                <w:rFonts w:hint="eastAsia" w:hAnsi="宋体"/>
                <w:color w:val="auto"/>
                <w:sz w:val="24"/>
              </w:rPr>
              <w:t>台，</w:t>
            </w:r>
            <w:r>
              <w:rPr>
                <w:rFonts w:hint="eastAsia" w:hAnsi="宋体"/>
                <w:color w:val="auto"/>
                <w:sz w:val="24"/>
                <w:highlight w:val="none"/>
                <w:shd w:val="clear" w:color="auto" w:fill="auto"/>
              </w:rPr>
              <w:t>在</w:t>
            </w:r>
            <w:r>
              <w:rPr>
                <w:rFonts w:hint="eastAsia" w:hAnsi="宋体"/>
                <w:color w:val="auto"/>
                <w:sz w:val="24"/>
                <w:highlight w:val="none"/>
                <w:shd w:val="clear" w:color="auto" w:fill="auto"/>
                <w:lang w:eastAsia="zh-CN"/>
              </w:rPr>
              <w:t>铸造工序上方</w:t>
            </w:r>
            <w:r>
              <w:rPr>
                <w:rFonts w:hint="eastAsia" w:hAnsi="宋体"/>
                <w:color w:val="auto"/>
                <w:sz w:val="24"/>
                <w:highlight w:val="none"/>
                <w:shd w:val="clear" w:color="auto" w:fill="auto"/>
              </w:rPr>
              <w:t>安装集气</w:t>
            </w:r>
            <w:r>
              <w:rPr>
                <w:rFonts w:hint="eastAsia" w:hAnsi="宋体"/>
                <w:color w:val="auto"/>
                <w:sz w:val="24"/>
                <w:highlight w:val="none"/>
                <w:shd w:val="clear" w:color="auto" w:fill="auto"/>
                <w:lang w:eastAsia="zh-CN"/>
              </w:rPr>
              <w:t>装置，集气罩的尺寸为</w:t>
            </w:r>
            <w:r>
              <w:rPr>
                <w:rFonts w:hint="eastAsia" w:hAnsi="宋体"/>
                <w:color w:val="auto"/>
                <w:sz w:val="24"/>
                <w:highlight w:val="none"/>
                <w:shd w:val="clear" w:color="auto" w:fill="auto"/>
                <w:lang w:val="en-US" w:eastAsia="zh-CN"/>
              </w:rPr>
              <w:t>1.2m*1.5m，离源高度为0.3m，风速取0.5m/s，则单个集气罩的风量为1.4*（1.2m*2+1.5m*2）*0.3m*0.5m/s*3600s=4082.4</w:t>
            </w:r>
            <w:r>
              <w:rPr>
                <w:rFonts w:hint="eastAsia" w:hAnsi="宋体"/>
                <w:color w:val="auto"/>
                <w:sz w:val="24"/>
                <w:highlight w:val="none"/>
                <w:shd w:val="clear" w:color="auto" w:fill="auto"/>
              </w:rPr>
              <w:t>m</w:t>
            </w:r>
            <w:r>
              <w:rPr>
                <w:rFonts w:hint="eastAsia" w:hAnsi="宋体"/>
                <w:color w:val="auto"/>
                <w:sz w:val="24"/>
                <w:highlight w:val="none"/>
                <w:shd w:val="clear" w:color="auto" w:fill="auto"/>
                <w:vertAlign w:val="superscript"/>
              </w:rPr>
              <w:t>3</w:t>
            </w:r>
            <w:r>
              <w:rPr>
                <w:rFonts w:hint="eastAsia" w:hAnsi="宋体"/>
                <w:color w:val="auto"/>
                <w:sz w:val="24"/>
                <w:highlight w:val="none"/>
                <w:shd w:val="clear" w:color="auto" w:fill="auto"/>
              </w:rPr>
              <w:t>/h</w:t>
            </w:r>
            <w:r>
              <w:rPr>
                <w:rFonts w:hint="eastAsia" w:hAnsi="宋体"/>
                <w:color w:val="auto"/>
                <w:sz w:val="24"/>
              </w:rPr>
              <w:t>，即</w:t>
            </w:r>
            <w:r>
              <w:rPr>
                <w:rFonts w:hint="eastAsia" w:hAnsi="宋体"/>
                <w:color w:val="auto"/>
                <w:sz w:val="24"/>
                <w:lang w:eastAsia="zh-CN"/>
              </w:rPr>
              <w:t>铸造工序</w:t>
            </w:r>
            <w:r>
              <w:rPr>
                <w:rFonts w:hint="eastAsia" w:hAnsi="宋体"/>
                <w:color w:val="auto"/>
                <w:sz w:val="24"/>
              </w:rPr>
              <w:t>风机风量为</w:t>
            </w:r>
            <w:r>
              <w:rPr>
                <w:rFonts w:hint="eastAsia" w:hAnsi="宋体"/>
                <w:color w:val="auto"/>
                <w:sz w:val="24"/>
                <w:highlight w:val="none"/>
                <w:shd w:val="clear" w:color="auto" w:fill="auto"/>
                <w:lang w:val="en-US" w:eastAsia="zh-CN"/>
              </w:rPr>
              <w:t>8164.8</w:t>
            </w:r>
            <w:r>
              <w:rPr>
                <w:rFonts w:hint="eastAsia" w:hAnsi="宋体"/>
                <w:color w:val="auto"/>
                <w:sz w:val="24"/>
              </w:rPr>
              <w:t>m</w:t>
            </w:r>
            <w:r>
              <w:rPr>
                <w:rFonts w:hint="eastAsia" w:hAnsi="宋体"/>
                <w:color w:val="auto"/>
                <w:sz w:val="24"/>
                <w:vertAlign w:val="superscript"/>
              </w:rPr>
              <w:t>3</w:t>
            </w:r>
            <w:r>
              <w:rPr>
                <w:rFonts w:hint="eastAsia" w:hAnsi="宋体"/>
                <w:color w:val="auto"/>
                <w:sz w:val="24"/>
              </w:rPr>
              <w:t>/h</w:t>
            </w:r>
            <w:r>
              <w:rPr>
                <w:rFonts w:hint="eastAsia" w:hAnsi="宋体"/>
                <w:color w:val="auto"/>
                <w:sz w:val="24"/>
                <w:lang w:eastAsia="zh-CN"/>
              </w:rPr>
              <w:t>。则熔化、铸造工序</w:t>
            </w:r>
            <w:r>
              <w:rPr>
                <w:rFonts w:hint="eastAsia" w:hAnsi="宋体"/>
                <w:color w:val="auto"/>
                <w:sz w:val="24"/>
              </w:rPr>
              <w:t>风机</w:t>
            </w:r>
            <w:r>
              <w:rPr>
                <w:rFonts w:hint="eastAsia" w:hAnsi="宋体"/>
                <w:color w:val="auto"/>
                <w:sz w:val="24"/>
                <w:lang w:eastAsia="zh-CN"/>
              </w:rPr>
              <w:t>总</w:t>
            </w:r>
            <w:r>
              <w:rPr>
                <w:rFonts w:hint="eastAsia" w:hAnsi="宋体"/>
                <w:color w:val="auto"/>
                <w:sz w:val="24"/>
              </w:rPr>
              <w:t>风量</w:t>
            </w:r>
            <w:r>
              <w:rPr>
                <w:rFonts w:hint="eastAsia" w:hAnsi="宋体"/>
                <w:color w:val="auto"/>
                <w:sz w:val="24"/>
                <w:lang w:eastAsia="zh-CN"/>
              </w:rPr>
              <w:t>约</w:t>
            </w:r>
            <w:r>
              <w:rPr>
                <w:rFonts w:hint="eastAsia" w:hAnsi="宋体"/>
                <w:color w:val="auto"/>
                <w:sz w:val="24"/>
              </w:rPr>
              <w:t>为</w:t>
            </w:r>
            <w:r>
              <w:rPr>
                <w:rFonts w:hint="eastAsia" w:hAnsi="宋体"/>
                <w:color w:val="auto"/>
                <w:sz w:val="24"/>
                <w:lang w:val="en-US" w:eastAsia="zh-CN"/>
              </w:rPr>
              <w:t>12400</w:t>
            </w:r>
            <w:r>
              <w:rPr>
                <w:rFonts w:hint="eastAsia" w:hAnsi="宋体"/>
                <w:color w:val="auto"/>
                <w:sz w:val="24"/>
              </w:rPr>
              <w:t>m</w:t>
            </w:r>
            <w:r>
              <w:rPr>
                <w:rFonts w:hint="eastAsia" w:hAnsi="宋体"/>
                <w:color w:val="auto"/>
                <w:sz w:val="24"/>
                <w:vertAlign w:val="superscript"/>
              </w:rPr>
              <w:t>3</w:t>
            </w:r>
            <w:r>
              <w:rPr>
                <w:rFonts w:hint="eastAsia" w:hAnsi="宋体"/>
                <w:color w:val="auto"/>
                <w:sz w:val="24"/>
              </w:rPr>
              <w:t>/h</w:t>
            </w:r>
            <w:r>
              <w:rPr>
                <w:rFonts w:hint="eastAsia" w:hAnsi="宋体"/>
                <w:color w:val="auto"/>
                <w:sz w:val="24"/>
                <w:lang w:eastAsia="zh-CN"/>
              </w:rPr>
              <w:t>。</w:t>
            </w:r>
          </w:p>
          <w:p>
            <w:pPr>
              <w:snapToGrid w:val="0"/>
              <w:spacing w:line="348" w:lineRule="auto"/>
              <w:ind w:firstLine="482" w:firstLineChars="200"/>
              <w:rPr>
                <w:rFonts w:hint="eastAsia"/>
                <w:b w:val="0"/>
                <w:bCs w:val="0"/>
                <w:color w:val="auto"/>
                <w:sz w:val="24"/>
                <w:szCs w:val="24"/>
                <w:shd w:val="clear" w:color="auto" w:fill="auto"/>
                <w:vertAlign w:val="baseline"/>
                <w:lang w:val="en-US" w:eastAsia="zh-CN"/>
              </w:rPr>
            </w:pPr>
            <w:r>
              <w:rPr>
                <w:rFonts w:hint="eastAsia"/>
                <w:b/>
                <w:color w:val="auto"/>
                <w:sz w:val="24"/>
                <w:szCs w:val="23"/>
                <w:shd w:val="clear" w:color="auto" w:fill="auto"/>
              </w:rPr>
              <w:t>制芯</w:t>
            </w:r>
            <w:r>
              <w:rPr>
                <w:rFonts w:hint="eastAsia"/>
                <w:b/>
                <w:color w:val="auto"/>
                <w:sz w:val="24"/>
                <w:szCs w:val="23"/>
                <w:shd w:val="clear" w:color="auto" w:fill="auto"/>
                <w:lang w:eastAsia="zh-CN"/>
              </w:rPr>
              <w:t>、铸造</w:t>
            </w:r>
            <w:r>
              <w:rPr>
                <w:rFonts w:hint="eastAsia"/>
                <w:b/>
                <w:color w:val="auto"/>
                <w:sz w:val="24"/>
                <w:szCs w:val="23"/>
                <w:shd w:val="clear" w:color="auto" w:fill="auto"/>
              </w:rPr>
              <w:t>工序：</w:t>
            </w:r>
            <w:r>
              <w:rPr>
                <w:rFonts w:hint="eastAsia"/>
                <w:b w:val="0"/>
                <w:bCs/>
                <w:color w:val="auto"/>
                <w:sz w:val="24"/>
                <w:szCs w:val="23"/>
                <w:shd w:val="clear" w:color="auto" w:fill="auto"/>
                <w:lang w:eastAsia="zh-CN"/>
              </w:rPr>
              <w:t>根据《铸造工业大气污 染物排放标准（征求意见稿）》的编制说明表</w:t>
            </w:r>
            <w:r>
              <w:rPr>
                <w:rFonts w:hint="eastAsia"/>
                <w:b w:val="0"/>
                <w:bCs/>
                <w:color w:val="auto"/>
                <w:sz w:val="24"/>
                <w:szCs w:val="23"/>
                <w:shd w:val="clear" w:color="auto" w:fill="auto"/>
                <w:lang w:val="en-US" w:eastAsia="zh-CN"/>
              </w:rPr>
              <w:t>3-4铸造工业不同生产工艺和不同工段排放的主要大气污染物种类</w:t>
            </w:r>
            <w:r>
              <w:rPr>
                <w:rFonts w:hint="eastAsia"/>
                <w:b w:val="0"/>
                <w:bCs/>
                <w:color w:val="auto"/>
                <w:sz w:val="24"/>
                <w:szCs w:val="23"/>
                <w:shd w:val="clear" w:color="auto" w:fill="auto"/>
                <w:lang w:eastAsia="zh-CN"/>
              </w:rPr>
              <w:t>，本项目属呋喃树脂砂型芯工艺，因此不会产生醛类污染物。</w:t>
            </w:r>
            <w:r>
              <w:rPr>
                <w:rFonts w:hint="eastAsia"/>
                <w:b w:val="0"/>
                <w:bCs w:val="0"/>
                <w:color w:val="auto"/>
                <w:sz w:val="24"/>
                <w:szCs w:val="24"/>
                <w:shd w:val="clear" w:color="auto" w:fill="auto"/>
                <w:vertAlign w:val="baseline"/>
                <w:lang w:eastAsia="zh-CN"/>
              </w:rPr>
              <w:t>项目制芯、铸造工序使用呋喃树脂过程中会产生臭气和有机废气，</w:t>
            </w:r>
            <w:r>
              <w:rPr>
                <w:rFonts w:hint="eastAsia" w:hAnsi="宋体"/>
                <w:color w:val="auto"/>
                <w:sz w:val="24"/>
              </w:rPr>
              <w:t>臭气浓度较低，通过水喷淋</w:t>
            </w:r>
            <w:r>
              <w:rPr>
                <w:rFonts w:hint="eastAsia" w:hAnsi="宋体"/>
                <w:color w:val="auto"/>
                <w:sz w:val="24"/>
                <w:lang w:val="en-US" w:eastAsia="zh-CN"/>
              </w:rPr>
              <w:t>+UV光解装置</w:t>
            </w:r>
            <w:r>
              <w:rPr>
                <w:rFonts w:hint="eastAsia" w:hAnsi="宋体"/>
                <w:color w:val="auto"/>
                <w:sz w:val="24"/>
              </w:rPr>
              <w:t>处理，降低恶臭浓度，同时</w:t>
            </w:r>
            <w:r>
              <w:rPr>
                <w:rFonts w:hint="eastAsia"/>
                <w:color w:val="auto"/>
                <w:sz w:val="24"/>
              </w:rPr>
              <w:t>加强车间机械通风措施</w:t>
            </w:r>
            <w:r>
              <w:rPr>
                <w:rFonts w:hint="eastAsia"/>
                <w:color w:val="auto"/>
                <w:sz w:val="24"/>
                <w:lang w:eastAsia="zh-CN"/>
              </w:rPr>
              <w:t>，</w:t>
            </w:r>
            <w:r>
              <w:rPr>
                <w:rFonts w:hint="eastAsia" w:hAnsi="宋体"/>
                <w:color w:val="auto"/>
                <w:sz w:val="24"/>
                <w:lang w:val="en-US" w:eastAsia="zh-CN"/>
              </w:rPr>
              <w:t>臭气排放满足《</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w:t>
            </w:r>
            <w:r>
              <w:rPr>
                <w:rFonts w:hint="eastAsia"/>
                <w:color w:val="auto"/>
                <w:kern w:val="0"/>
                <w:sz w:val="24"/>
                <w:lang w:eastAsia="zh-CN"/>
              </w:rPr>
              <w:t>和表</w:t>
            </w:r>
            <w:r>
              <w:rPr>
                <w:rFonts w:hint="eastAsia"/>
                <w:color w:val="auto"/>
                <w:kern w:val="0"/>
                <w:sz w:val="24"/>
                <w:lang w:val="en-US" w:eastAsia="zh-CN"/>
              </w:rPr>
              <w:t>2恶臭污染物排放标准值</w:t>
            </w:r>
            <w:r>
              <w:rPr>
                <w:rFonts w:hint="eastAsia" w:hAnsi="宋体"/>
                <w:color w:val="auto"/>
                <w:sz w:val="24"/>
                <w:lang w:val="en-US" w:eastAsia="zh-CN"/>
              </w:rPr>
              <w:t>；</w:t>
            </w:r>
            <w:r>
              <w:rPr>
                <w:rFonts w:hint="eastAsia" w:hAnsi="宋体"/>
                <w:color w:val="auto"/>
                <w:sz w:val="24"/>
              </w:rPr>
              <w:t>有机废气</w:t>
            </w:r>
            <w:r>
              <w:rPr>
                <w:rFonts w:hint="eastAsia" w:hAnsi="宋体"/>
                <w:color w:val="auto"/>
                <w:sz w:val="24"/>
                <w:shd w:val="clear" w:color="auto" w:fill="auto"/>
              </w:rPr>
              <w:t>主要成分为非甲烷总烃</w:t>
            </w:r>
            <w:r>
              <w:rPr>
                <w:rFonts w:hint="eastAsia"/>
                <w:b w:val="0"/>
                <w:bCs w:val="0"/>
                <w:color w:val="auto"/>
                <w:sz w:val="24"/>
                <w:szCs w:val="24"/>
                <w:shd w:val="clear" w:color="auto" w:fill="auto"/>
                <w:vertAlign w:val="baseline"/>
                <w:lang w:eastAsia="zh-CN"/>
              </w:rPr>
              <w:t>，根据建设单位提供的树脂检测报告（详见附件</w:t>
            </w:r>
            <w:r>
              <w:rPr>
                <w:rFonts w:hint="eastAsia"/>
                <w:b w:val="0"/>
                <w:bCs w:val="0"/>
                <w:color w:val="auto"/>
                <w:sz w:val="24"/>
                <w:szCs w:val="24"/>
                <w:shd w:val="clear" w:color="auto" w:fill="auto"/>
                <w:vertAlign w:val="baseline"/>
                <w:lang w:val="en-US" w:eastAsia="zh-CN"/>
              </w:rPr>
              <w:t>5</w:t>
            </w:r>
            <w:r>
              <w:rPr>
                <w:rFonts w:hint="eastAsia"/>
                <w:b w:val="0"/>
                <w:bCs w:val="0"/>
                <w:color w:val="auto"/>
                <w:sz w:val="24"/>
                <w:szCs w:val="24"/>
                <w:shd w:val="clear" w:color="auto" w:fill="auto"/>
                <w:vertAlign w:val="baseline"/>
                <w:lang w:eastAsia="zh-CN"/>
              </w:rPr>
              <w:t>），游离甲醛的含量为</w:t>
            </w:r>
            <w:r>
              <w:rPr>
                <w:rFonts w:hint="eastAsia"/>
                <w:b w:val="0"/>
                <w:bCs w:val="0"/>
                <w:color w:val="auto"/>
                <w:sz w:val="24"/>
                <w:szCs w:val="24"/>
                <w:shd w:val="clear" w:color="auto" w:fill="auto"/>
                <w:vertAlign w:val="baseline"/>
                <w:lang w:val="en-US" w:eastAsia="zh-CN"/>
              </w:rPr>
              <w:t>0.68%，</w:t>
            </w:r>
            <w:r>
              <w:rPr>
                <w:rFonts w:hint="eastAsia"/>
                <w:b w:val="0"/>
                <w:bCs w:val="0"/>
                <w:color w:val="auto"/>
                <w:sz w:val="24"/>
                <w:szCs w:val="24"/>
                <w:shd w:val="clear" w:color="auto" w:fill="auto"/>
                <w:vertAlign w:val="baseline"/>
                <w:lang w:eastAsia="zh-CN"/>
              </w:rPr>
              <w:t>本项目树脂用量为</w:t>
            </w:r>
            <w:r>
              <w:rPr>
                <w:rFonts w:hint="eastAsia"/>
                <w:b w:val="0"/>
                <w:bCs w:val="0"/>
                <w:color w:val="auto"/>
                <w:sz w:val="24"/>
                <w:szCs w:val="24"/>
                <w:shd w:val="clear" w:color="auto" w:fill="auto"/>
                <w:vertAlign w:val="baseline"/>
                <w:lang w:val="en-US" w:eastAsia="zh-CN"/>
              </w:rPr>
              <w:t>1.8吨，则本项目非甲烷总烃产生量约为0.012t/a。</w:t>
            </w:r>
          </w:p>
          <w:p>
            <w:pPr>
              <w:snapToGrid w:val="0"/>
              <w:spacing w:line="348" w:lineRule="auto"/>
              <w:ind w:firstLine="480" w:firstLineChars="200"/>
              <w:rPr>
                <w:rFonts w:hint="eastAsia" w:hAnsi="宋体" w:eastAsia="宋体"/>
                <w:color w:val="auto"/>
                <w:sz w:val="24"/>
                <w:lang w:eastAsia="zh-CN"/>
              </w:rPr>
            </w:pPr>
            <w:r>
              <w:rPr>
                <w:rFonts w:hint="eastAsia" w:hAnsi="宋体"/>
                <w:color w:val="auto"/>
                <w:sz w:val="24"/>
              </w:rPr>
              <w:t>项目设有</w:t>
            </w:r>
            <w:r>
              <w:rPr>
                <w:rFonts w:hint="eastAsia" w:hAnsi="宋体"/>
                <w:color w:val="auto"/>
                <w:sz w:val="24"/>
                <w:lang w:eastAsia="zh-CN"/>
              </w:rPr>
              <w:t>砂芯机</w:t>
            </w:r>
            <w:r>
              <w:rPr>
                <w:rFonts w:hint="eastAsia" w:hAnsi="宋体"/>
                <w:color w:val="auto"/>
                <w:sz w:val="24"/>
                <w:lang w:val="en-US" w:eastAsia="zh-CN"/>
              </w:rPr>
              <w:t>4</w:t>
            </w:r>
            <w:r>
              <w:rPr>
                <w:rFonts w:hint="eastAsia" w:hAnsi="宋体"/>
                <w:color w:val="auto"/>
                <w:sz w:val="24"/>
              </w:rPr>
              <w:t>台，</w:t>
            </w:r>
            <w:r>
              <w:rPr>
                <w:rFonts w:hint="eastAsia" w:hAnsi="宋体"/>
                <w:color w:val="auto"/>
                <w:sz w:val="24"/>
                <w:highlight w:val="none"/>
                <w:shd w:val="clear" w:color="auto" w:fill="auto"/>
              </w:rPr>
              <w:t>在</w:t>
            </w:r>
            <w:r>
              <w:rPr>
                <w:rFonts w:hint="eastAsia" w:hAnsi="宋体"/>
                <w:color w:val="auto"/>
                <w:sz w:val="24"/>
                <w:highlight w:val="none"/>
                <w:shd w:val="clear" w:color="auto" w:fill="auto"/>
                <w:lang w:eastAsia="zh-CN"/>
              </w:rPr>
              <w:t>制芯工序上方</w:t>
            </w:r>
            <w:r>
              <w:rPr>
                <w:rFonts w:hint="eastAsia" w:hAnsi="宋体"/>
                <w:color w:val="auto"/>
                <w:sz w:val="24"/>
                <w:highlight w:val="none"/>
                <w:shd w:val="clear" w:color="auto" w:fill="auto"/>
              </w:rPr>
              <w:t>安装集气</w:t>
            </w:r>
            <w:r>
              <w:rPr>
                <w:rFonts w:hint="eastAsia" w:hAnsi="宋体"/>
                <w:color w:val="auto"/>
                <w:sz w:val="24"/>
                <w:highlight w:val="none"/>
                <w:shd w:val="clear" w:color="auto" w:fill="auto"/>
                <w:lang w:eastAsia="zh-CN"/>
              </w:rPr>
              <w:t>装置，集气罩的尺寸为</w:t>
            </w:r>
            <w:r>
              <w:rPr>
                <w:rFonts w:hint="eastAsia" w:hAnsi="宋体"/>
                <w:color w:val="auto"/>
                <w:sz w:val="24"/>
                <w:highlight w:val="none"/>
                <w:shd w:val="clear" w:color="auto" w:fill="auto"/>
                <w:lang w:val="en-US" w:eastAsia="zh-CN"/>
              </w:rPr>
              <w:t>1m*1m，离源高度为0.3m，风速取0.5m/s，则单个集气罩的风量为1.4*（1m*2+1m*2）*0.3m*0.5m/s*3600s=3024</w:t>
            </w:r>
            <w:r>
              <w:rPr>
                <w:rFonts w:hint="eastAsia" w:hAnsi="宋体"/>
                <w:color w:val="auto"/>
                <w:sz w:val="24"/>
                <w:highlight w:val="none"/>
                <w:shd w:val="clear" w:color="auto" w:fill="auto"/>
              </w:rPr>
              <w:t>m</w:t>
            </w:r>
            <w:r>
              <w:rPr>
                <w:rFonts w:hint="eastAsia" w:hAnsi="宋体"/>
                <w:color w:val="auto"/>
                <w:sz w:val="24"/>
                <w:highlight w:val="none"/>
                <w:shd w:val="clear" w:color="auto" w:fill="auto"/>
                <w:vertAlign w:val="superscript"/>
              </w:rPr>
              <w:t>3</w:t>
            </w:r>
            <w:r>
              <w:rPr>
                <w:rFonts w:hint="eastAsia" w:hAnsi="宋体"/>
                <w:color w:val="auto"/>
                <w:sz w:val="24"/>
                <w:highlight w:val="none"/>
                <w:shd w:val="clear" w:color="auto" w:fill="auto"/>
              </w:rPr>
              <w:t>/h</w:t>
            </w:r>
            <w:r>
              <w:rPr>
                <w:rFonts w:hint="eastAsia" w:hAnsi="宋体"/>
                <w:color w:val="auto"/>
                <w:sz w:val="24"/>
                <w:highlight w:val="none"/>
                <w:shd w:val="clear" w:color="auto" w:fill="auto"/>
                <w:lang w:eastAsia="zh-CN"/>
              </w:rPr>
              <w:t>，</w:t>
            </w:r>
            <w:r>
              <w:rPr>
                <w:rFonts w:hint="eastAsia" w:hAnsi="宋体"/>
                <w:color w:val="auto"/>
                <w:sz w:val="24"/>
              </w:rPr>
              <w:t>即</w:t>
            </w:r>
            <w:r>
              <w:rPr>
                <w:rFonts w:hint="eastAsia" w:hAnsi="宋体"/>
                <w:color w:val="auto"/>
                <w:sz w:val="24"/>
                <w:highlight w:val="none"/>
                <w:shd w:val="clear" w:color="auto" w:fill="auto"/>
                <w:lang w:eastAsia="zh-CN"/>
              </w:rPr>
              <w:t>制芯</w:t>
            </w:r>
            <w:r>
              <w:rPr>
                <w:rFonts w:hint="eastAsia" w:hAnsi="宋体"/>
                <w:color w:val="auto"/>
                <w:sz w:val="24"/>
                <w:lang w:eastAsia="zh-CN"/>
              </w:rPr>
              <w:t>工序</w:t>
            </w:r>
            <w:r>
              <w:rPr>
                <w:rFonts w:hint="eastAsia" w:hAnsi="宋体"/>
                <w:color w:val="auto"/>
                <w:sz w:val="24"/>
              </w:rPr>
              <w:t>风机风量</w:t>
            </w:r>
            <w:r>
              <w:rPr>
                <w:rFonts w:hint="eastAsia" w:hAnsi="宋体"/>
                <w:color w:val="auto"/>
                <w:sz w:val="24"/>
                <w:lang w:eastAsia="zh-CN"/>
              </w:rPr>
              <w:t>约</w:t>
            </w:r>
            <w:r>
              <w:rPr>
                <w:rFonts w:hint="eastAsia" w:hAnsi="宋体"/>
                <w:color w:val="auto"/>
                <w:sz w:val="24"/>
              </w:rPr>
              <w:t>为</w:t>
            </w:r>
            <w:r>
              <w:rPr>
                <w:rFonts w:hint="eastAsia" w:hAnsi="宋体"/>
                <w:color w:val="auto"/>
                <w:sz w:val="24"/>
                <w:lang w:val="en-US" w:eastAsia="zh-CN"/>
              </w:rPr>
              <w:t>12100</w:t>
            </w:r>
            <w:r>
              <w:rPr>
                <w:rFonts w:hint="eastAsia" w:hAnsi="宋体"/>
                <w:color w:val="auto"/>
                <w:sz w:val="24"/>
              </w:rPr>
              <w:t>m</w:t>
            </w:r>
            <w:r>
              <w:rPr>
                <w:rFonts w:hint="eastAsia" w:hAnsi="宋体"/>
                <w:color w:val="auto"/>
                <w:sz w:val="24"/>
                <w:vertAlign w:val="superscript"/>
              </w:rPr>
              <w:t>3</w:t>
            </w:r>
            <w:r>
              <w:rPr>
                <w:rFonts w:hint="eastAsia" w:hAnsi="宋体"/>
                <w:color w:val="auto"/>
                <w:sz w:val="24"/>
              </w:rPr>
              <w:t>/h</w:t>
            </w:r>
            <w:r>
              <w:rPr>
                <w:rFonts w:hint="eastAsia" w:hAnsi="宋体"/>
                <w:color w:val="auto"/>
                <w:sz w:val="24"/>
                <w:lang w:eastAsia="zh-CN"/>
              </w:rPr>
              <w:t>。铸造工序集气罩上文已计算，因此不再重复计算。</w:t>
            </w:r>
          </w:p>
          <w:p>
            <w:pPr>
              <w:snapToGrid w:val="0"/>
              <w:spacing w:line="348" w:lineRule="auto"/>
              <w:ind w:firstLine="480" w:firstLineChars="200"/>
              <w:rPr>
                <w:rFonts w:hint="eastAsia" w:hAnsi="宋体" w:eastAsia="宋体"/>
                <w:color w:val="auto"/>
                <w:sz w:val="24"/>
                <w:shd w:val="clear" w:color="auto" w:fill="auto"/>
                <w:lang w:eastAsia="zh-CN"/>
              </w:rPr>
            </w:pPr>
            <w:r>
              <w:rPr>
                <w:rFonts w:hint="eastAsia" w:hAnsi="宋体"/>
                <w:color w:val="auto"/>
                <w:sz w:val="24"/>
                <w:lang w:eastAsia="zh-CN"/>
              </w:rPr>
              <w:t>综上所述，项目熔化、铸造、</w:t>
            </w:r>
            <w:r>
              <w:rPr>
                <w:rFonts w:hint="eastAsia" w:hAnsi="宋体"/>
                <w:color w:val="auto"/>
                <w:sz w:val="24"/>
                <w:highlight w:val="none"/>
                <w:shd w:val="clear" w:color="auto" w:fill="auto"/>
                <w:lang w:eastAsia="zh-CN"/>
              </w:rPr>
              <w:t>制芯</w:t>
            </w:r>
            <w:r>
              <w:rPr>
                <w:rFonts w:hint="eastAsia" w:hAnsi="宋体"/>
                <w:color w:val="auto"/>
                <w:sz w:val="24"/>
                <w:lang w:eastAsia="zh-CN"/>
              </w:rPr>
              <w:t>工序总</w:t>
            </w:r>
            <w:r>
              <w:rPr>
                <w:rFonts w:hint="eastAsia" w:hAnsi="宋体"/>
                <w:color w:val="auto"/>
                <w:sz w:val="24"/>
              </w:rPr>
              <w:t>风机风量为</w:t>
            </w:r>
            <w:r>
              <w:rPr>
                <w:rFonts w:hint="eastAsia" w:hAnsi="宋体"/>
                <w:color w:val="auto"/>
                <w:sz w:val="24"/>
                <w:lang w:val="en-US" w:eastAsia="zh-CN"/>
              </w:rPr>
              <w:t>24500</w:t>
            </w:r>
            <w:r>
              <w:rPr>
                <w:rFonts w:hint="eastAsia" w:hAnsi="宋体"/>
                <w:color w:val="auto"/>
                <w:sz w:val="24"/>
              </w:rPr>
              <w:t>m</w:t>
            </w:r>
            <w:r>
              <w:rPr>
                <w:rFonts w:hint="eastAsia" w:hAnsi="宋体"/>
                <w:color w:val="auto"/>
                <w:sz w:val="24"/>
                <w:vertAlign w:val="superscript"/>
              </w:rPr>
              <w:t>3</w:t>
            </w:r>
            <w:r>
              <w:rPr>
                <w:rFonts w:hint="eastAsia" w:hAnsi="宋体"/>
                <w:color w:val="auto"/>
                <w:sz w:val="24"/>
              </w:rPr>
              <w:t>/h</w:t>
            </w:r>
            <w:r>
              <w:rPr>
                <w:rFonts w:hint="eastAsia" w:hAnsi="宋体"/>
                <w:color w:val="auto"/>
                <w:sz w:val="24"/>
                <w:lang w:eastAsia="zh-CN"/>
              </w:rPr>
              <w:t>。根据集气罩的设置情况，</w:t>
            </w:r>
            <w:r>
              <w:rPr>
                <w:rFonts w:hint="eastAsia" w:hAnsi="宋体"/>
                <w:color w:val="auto"/>
                <w:sz w:val="24"/>
              </w:rPr>
              <w:t>收集效率可达80%，将</w:t>
            </w:r>
            <w:r>
              <w:rPr>
                <w:rFonts w:hint="eastAsia" w:hAnsi="宋体"/>
                <w:color w:val="auto"/>
                <w:sz w:val="24"/>
                <w:lang w:eastAsia="zh-CN"/>
              </w:rPr>
              <w:t>废气</w:t>
            </w:r>
            <w:r>
              <w:rPr>
                <w:rFonts w:hint="eastAsia" w:hAnsi="宋体"/>
                <w:color w:val="auto"/>
                <w:sz w:val="24"/>
              </w:rPr>
              <w:t>统一收集至</w:t>
            </w:r>
            <w:r>
              <w:rPr>
                <w:rFonts w:hint="eastAsia" w:hAnsi="宋体"/>
                <w:color w:val="auto"/>
                <w:sz w:val="24"/>
                <w:lang w:eastAsia="zh-CN"/>
              </w:rPr>
              <w:t>水喷淋</w:t>
            </w:r>
            <w:r>
              <w:rPr>
                <w:rFonts w:hint="eastAsia" w:hAnsi="宋体"/>
                <w:color w:val="auto"/>
                <w:sz w:val="24"/>
                <w:lang w:val="en-US" w:eastAsia="zh-CN"/>
              </w:rPr>
              <w:t>+UV光解</w:t>
            </w:r>
            <w:r>
              <w:rPr>
                <w:rFonts w:hint="eastAsia" w:hAnsi="宋体"/>
                <w:color w:val="auto"/>
                <w:sz w:val="24"/>
              </w:rPr>
              <w:t>装置处理，</w:t>
            </w:r>
            <w:r>
              <w:rPr>
                <w:rFonts w:hint="eastAsia" w:ascii="Times New Roman" w:hAnsi="Times New Roman" w:cs="Times New Roman"/>
                <w:color w:val="auto"/>
                <w:sz w:val="24"/>
                <w:highlight w:val="none"/>
                <w:lang w:eastAsia="zh-CN"/>
              </w:rPr>
              <w:t>根据《</w:t>
            </w:r>
            <w:r>
              <w:rPr>
                <w:rFonts w:hint="eastAsia"/>
                <w:b w:val="0"/>
                <w:bCs w:val="0"/>
                <w:color w:val="auto"/>
                <w:sz w:val="24"/>
                <w:szCs w:val="24"/>
                <w:vertAlign w:val="baseline"/>
                <w:lang w:eastAsia="zh-CN"/>
              </w:rPr>
              <w:t>第一次全国污染源普查工业污染源产排污系数手册（2010版）</w:t>
            </w:r>
            <w:r>
              <w:rPr>
                <w:rFonts w:hint="eastAsia" w:ascii="Times New Roman" w:hAnsi="Times New Roman" w:cs="Times New Roman"/>
                <w:color w:val="auto"/>
                <w:sz w:val="24"/>
                <w:highlight w:val="none"/>
                <w:lang w:eastAsia="zh-CN"/>
              </w:rPr>
              <w:t>》</w:t>
            </w:r>
            <w:r>
              <w:rPr>
                <w:rFonts w:hint="eastAsia"/>
                <w:b w:val="0"/>
                <w:bCs w:val="0"/>
                <w:color w:val="auto"/>
                <w:sz w:val="24"/>
                <w:szCs w:val="24"/>
                <w:vertAlign w:val="baseline"/>
                <w:lang w:eastAsia="zh-CN"/>
              </w:rPr>
              <w:t>下册“</w:t>
            </w:r>
            <w:r>
              <w:rPr>
                <w:rFonts w:hint="eastAsia" w:cs="Times New Roman"/>
                <w:color w:val="auto"/>
                <w:sz w:val="24"/>
                <w:highlight w:val="none"/>
                <w:lang w:eastAsia="zh-CN"/>
              </w:rPr>
              <w:t>烟尘产生与排放的治理技术表</w:t>
            </w:r>
            <w:r>
              <w:rPr>
                <w:rFonts w:hint="eastAsia"/>
                <w:b w:val="0"/>
                <w:bCs w:val="0"/>
                <w:color w:val="auto"/>
                <w:sz w:val="24"/>
                <w:szCs w:val="24"/>
                <w:vertAlign w:val="baseline"/>
                <w:lang w:eastAsia="zh-CN"/>
              </w:rPr>
              <w:t>”</w:t>
            </w:r>
            <w:r>
              <w:rPr>
                <w:rFonts w:hint="eastAsia" w:cs="Times New Roman"/>
                <w:color w:val="auto"/>
                <w:sz w:val="24"/>
                <w:highlight w:val="none"/>
                <w:lang w:eastAsia="zh-CN"/>
              </w:rPr>
              <w:t>可知</w:t>
            </w:r>
            <w:r>
              <w:rPr>
                <w:rFonts w:hint="eastAsia"/>
                <w:color w:val="auto"/>
                <w:sz w:val="24"/>
              </w:rPr>
              <w:t>，湿法除尘法/湿式除尘脱硫</w:t>
            </w:r>
            <w:r>
              <w:rPr>
                <w:rFonts w:hint="eastAsia"/>
                <w:color w:val="auto"/>
                <w:sz w:val="24"/>
                <w:lang w:eastAsia="zh-CN"/>
              </w:rPr>
              <w:t>除尘效率（</w:t>
            </w:r>
            <w:r>
              <w:rPr>
                <w:rFonts w:hint="eastAsia"/>
                <w:color w:val="auto"/>
                <w:sz w:val="24"/>
                <w:lang w:val="en-US" w:eastAsia="zh-CN"/>
              </w:rPr>
              <w:t>85%~90%</w:t>
            </w:r>
            <w:r>
              <w:rPr>
                <w:rFonts w:hint="eastAsia"/>
                <w:color w:val="auto"/>
                <w:sz w:val="24"/>
                <w:lang w:eastAsia="zh-CN"/>
              </w:rPr>
              <w:t>），效率取值为</w:t>
            </w:r>
            <w:r>
              <w:rPr>
                <w:rFonts w:hint="eastAsia"/>
                <w:color w:val="auto"/>
                <w:sz w:val="24"/>
                <w:lang w:val="en-US" w:eastAsia="zh-CN"/>
              </w:rPr>
              <w:t>87%，</w:t>
            </w:r>
            <w:r>
              <w:rPr>
                <w:rFonts w:hint="eastAsia"/>
                <w:color w:val="auto"/>
                <w:sz w:val="24"/>
                <w:lang w:eastAsia="zh-CN"/>
              </w:rPr>
              <w:t>即项目水喷淋装置对烟尘</w:t>
            </w:r>
            <w:r>
              <w:rPr>
                <w:rFonts w:hint="eastAsia"/>
                <w:color w:val="auto"/>
                <w:sz w:val="24"/>
              </w:rPr>
              <w:t>处理效率为</w:t>
            </w:r>
            <w:r>
              <w:rPr>
                <w:rFonts w:hint="eastAsia"/>
                <w:color w:val="auto"/>
                <w:sz w:val="24"/>
                <w:lang w:val="en-US" w:eastAsia="zh-CN"/>
              </w:rPr>
              <w:t>87</w:t>
            </w:r>
            <w:r>
              <w:rPr>
                <w:rFonts w:hint="eastAsia"/>
                <w:color w:val="auto"/>
                <w:sz w:val="24"/>
              </w:rPr>
              <w:t>%</w:t>
            </w:r>
            <w:r>
              <w:rPr>
                <w:rFonts w:hint="eastAsia"/>
                <w:color w:val="auto"/>
                <w:sz w:val="24"/>
                <w:lang w:eastAsia="zh-CN"/>
              </w:rPr>
              <w:t>，</w:t>
            </w:r>
            <w:r>
              <w:rPr>
                <w:rFonts w:hint="eastAsia"/>
                <w:color w:val="auto"/>
                <w:sz w:val="24"/>
                <w:lang w:val="en-US" w:eastAsia="zh-CN"/>
              </w:rPr>
              <w:t>UV光解装置对烟尘的处理效率为0；</w:t>
            </w:r>
            <w:r>
              <w:rPr>
                <w:rFonts w:hint="eastAsia" w:ascii="Times New Roman" w:hAnsi="Times New Roman" w:cs="Times New Roman"/>
                <w:color w:val="auto"/>
                <w:sz w:val="24"/>
                <w:highlight w:val="none"/>
                <w:lang w:eastAsia="zh-CN"/>
              </w:rPr>
              <w:t>根据《广东省木质家具制造行业挥发性有机化合物排放系数使用指南》表</w:t>
            </w:r>
            <w:r>
              <w:rPr>
                <w:rFonts w:hint="eastAsia" w:ascii="Times New Roman" w:hAnsi="Times New Roman" w:cs="Times New Roman"/>
                <w:color w:val="auto"/>
                <w:sz w:val="24"/>
                <w:highlight w:val="none"/>
                <w:lang w:val="en-US" w:eastAsia="zh-CN"/>
              </w:rPr>
              <w:t>4.3-1常见治理设施治理效率，水喷淋</w:t>
            </w:r>
            <w:r>
              <w:rPr>
                <w:rFonts w:hint="eastAsia"/>
                <w:color w:val="auto"/>
                <w:sz w:val="24"/>
                <w:lang w:eastAsia="zh-CN"/>
              </w:rPr>
              <w:t>装置</w:t>
            </w:r>
            <w:r>
              <w:rPr>
                <w:rFonts w:hint="eastAsia" w:cs="Times New Roman"/>
                <w:color w:val="auto"/>
                <w:sz w:val="24"/>
                <w:highlight w:val="none"/>
                <w:lang w:val="en-US" w:eastAsia="zh-CN"/>
              </w:rPr>
              <w:t>对有机废气的</w:t>
            </w:r>
            <w:r>
              <w:rPr>
                <w:rFonts w:hint="eastAsia" w:ascii="Times New Roman" w:hAnsi="Times New Roman" w:cs="Times New Roman"/>
                <w:color w:val="auto"/>
                <w:sz w:val="24"/>
                <w:highlight w:val="none"/>
                <w:lang w:val="en-US" w:eastAsia="zh-CN"/>
              </w:rPr>
              <w:t>处理效率为15%</w:t>
            </w:r>
            <w:r>
              <w:rPr>
                <w:rFonts w:hint="eastAsia" w:cs="Times New Roman"/>
                <w:color w:val="auto"/>
                <w:sz w:val="24"/>
                <w:highlight w:val="none"/>
                <w:lang w:val="en-US" w:eastAsia="zh-CN"/>
              </w:rPr>
              <w:t>，</w:t>
            </w:r>
            <w:r>
              <w:rPr>
                <w:rFonts w:hint="eastAsia"/>
                <w:color w:val="auto"/>
                <w:sz w:val="24"/>
              </w:rPr>
              <w:t>UV光解</w:t>
            </w:r>
            <w:r>
              <w:rPr>
                <w:rFonts w:hint="eastAsia"/>
                <w:color w:val="auto"/>
                <w:sz w:val="24"/>
                <w:lang w:eastAsia="zh-CN"/>
              </w:rPr>
              <w:t>装置</w:t>
            </w:r>
            <w:r>
              <w:rPr>
                <w:rFonts w:hint="eastAsia" w:cs="Times New Roman"/>
                <w:color w:val="auto"/>
                <w:sz w:val="24"/>
                <w:highlight w:val="none"/>
                <w:lang w:val="en-US" w:eastAsia="zh-CN"/>
              </w:rPr>
              <w:t>对有机废气的处理</w:t>
            </w:r>
            <w:r>
              <w:rPr>
                <w:rFonts w:hint="eastAsia"/>
                <w:color w:val="auto"/>
                <w:sz w:val="24"/>
              </w:rPr>
              <w:t>效率</w:t>
            </w:r>
            <w:r>
              <w:rPr>
                <w:rFonts w:hint="eastAsia"/>
                <w:color w:val="auto"/>
                <w:sz w:val="24"/>
                <w:lang w:val="en-US" w:eastAsia="zh-CN"/>
              </w:rPr>
              <w:t>约</w:t>
            </w:r>
            <w:r>
              <w:rPr>
                <w:rFonts w:hint="eastAsia"/>
                <w:color w:val="auto"/>
                <w:sz w:val="24"/>
              </w:rPr>
              <w:t>为</w:t>
            </w:r>
            <w:r>
              <w:rPr>
                <w:rFonts w:hint="eastAsia"/>
                <w:color w:val="auto"/>
                <w:sz w:val="24"/>
                <w:lang w:val="en-US" w:eastAsia="zh-CN"/>
              </w:rPr>
              <w:t>20%～40</w:t>
            </w:r>
            <w:r>
              <w:rPr>
                <w:rFonts w:hint="eastAsia"/>
                <w:color w:val="auto"/>
                <w:sz w:val="24"/>
              </w:rPr>
              <w:t>%</w:t>
            </w:r>
            <w:r>
              <w:rPr>
                <w:rFonts w:hint="eastAsia"/>
                <w:color w:val="auto"/>
                <w:sz w:val="24"/>
                <w:lang w:eastAsia="zh-CN"/>
              </w:rPr>
              <w:t>（</w:t>
            </w:r>
            <w:r>
              <w:rPr>
                <w:rFonts w:hint="eastAsia"/>
                <w:color w:val="auto"/>
                <w:sz w:val="24"/>
                <w:lang w:val="en-US" w:eastAsia="zh-CN"/>
              </w:rPr>
              <w:t>本项目按30%计</w:t>
            </w:r>
            <w:r>
              <w:rPr>
                <w:rFonts w:hint="eastAsia"/>
                <w:color w:val="auto"/>
                <w:sz w:val="24"/>
                <w:lang w:eastAsia="zh-CN"/>
              </w:rPr>
              <w:t>）</w:t>
            </w:r>
            <w:r>
              <w:rPr>
                <w:rFonts w:hint="eastAsia"/>
                <w:color w:val="auto"/>
                <w:sz w:val="24"/>
              </w:rPr>
              <w:t>，则</w:t>
            </w:r>
            <w:r>
              <w:rPr>
                <w:rFonts w:hint="eastAsia"/>
                <w:color w:val="auto"/>
                <w:sz w:val="24"/>
                <w:lang w:eastAsia="zh-CN"/>
              </w:rPr>
              <w:t>对有机废气的</w:t>
            </w:r>
            <w:r>
              <w:rPr>
                <w:rFonts w:hint="eastAsia"/>
                <w:color w:val="auto"/>
                <w:sz w:val="24"/>
              </w:rPr>
              <w:t>总处理效率约为</w:t>
            </w:r>
            <w:r>
              <w:rPr>
                <w:rFonts w:hint="eastAsia"/>
                <w:color w:val="auto"/>
                <w:sz w:val="24"/>
                <w:lang w:val="en-US" w:eastAsia="zh-CN"/>
              </w:rPr>
              <w:t>40</w:t>
            </w:r>
            <w:r>
              <w:rPr>
                <w:rFonts w:hint="eastAsia"/>
                <w:color w:val="auto"/>
                <w:sz w:val="24"/>
              </w:rPr>
              <w:t>%</w:t>
            </w:r>
            <w:r>
              <w:rPr>
                <w:rFonts w:hint="eastAsia"/>
                <w:color w:val="auto"/>
                <w:sz w:val="24"/>
                <w:lang w:eastAsia="zh-CN"/>
              </w:rPr>
              <w:t>。</w:t>
            </w:r>
            <w:r>
              <w:rPr>
                <w:rFonts w:hint="eastAsia"/>
                <w:color w:val="auto"/>
                <w:sz w:val="24"/>
                <w:lang w:val="en-US" w:eastAsia="zh-CN"/>
              </w:rPr>
              <w:t>项目废气经</w:t>
            </w:r>
            <w:r>
              <w:rPr>
                <w:rFonts w:hint="eastAsia" w:hAnsi="宋体"/>
                <w:color w:val="auto"/>
                <w:sz w:val="24"/>
              </w:rPr>
              <w:t>处理达标后经排气筒引至楼顶高空排放</w:t>
            </w:r>
            <w:r>
              <w:rPr>
                <w:color w:val="auto"/>
                <w:sz w:val="24"/>
              </w:rPr>
              <w:t>（编号为G</w:t>
            </w:r>
            <w:r>
              <w:rPr>
                <w:rFonts w:hint="eastAsia"/>
                <w:color w:val="auto"/>
                <w:sz w:val="24"/>
                <w:lang w:val="en-US" w:eastAsia="zh-CN"/>
              </w:rPr>
              <w:t>1</w:t>
            </w:r>
            <w:r>
              <w:rPr>
                <w:color w:val="auto"/>
                <w:sz w:val="24"/>
              </w:rPr>
              <w:t>）</w:t>
            </w:r>
            <w:r>
              <w:rPr>
                <w:rFonts w:hint="eastAsia" w:hAnsi="宋体"/>
                <w:color w:val="auto"/>
                <w:sz w:val="24"/>
              </w:rPr>
              <w:t>，排气筒高度不低于15米。项目</w:t>
            </w:r>
            <w:r>
              <w:rPr>
                <w:rFonts w:hint="eastAsia" w:hAnsi="宋体"/>
                <w:color w:val="auto"/>
                <w:sz w:val="24"/>
                <w:lang w:eastAsia="zh-CN"/>
              </w:rPr>
              <w:t>烟尘与非甲烷总烃</w:t>
            </w:r>
            <w:r>
              <w:rPr>
                <w:rFonts w:hint="eastAsia" w:hAnsi="宋体"/>
                <w:color w:val="auto"/>
                <w:sz w:val="24"/>
              </w:rPr>
              <w:t>产生和排放情况如下表所示。</w:t>
            </w:r>
          </w:p>
          <w:p>
            <w:pPr>
              <w:pStyle w:val="139"/>
              <w:numPr>
                <w:ilvl w:val="0"/>
                <w:numId w:val="5"/>
              </w:numPr>
              <w:tabs>
                <w:tab w:val="left" w:pos="420"/>
              </w:tabs>
              <w:spacing w:line="360" w:lineRule="auto"/>
              <w:ind w:left="0" w:firstLine="471"/>
              <w:rPr>
                <w:rFonts w:hint="default" w:eastAsia="宋体" w:cs="Times New Roman"/>
                <w:b/>
                <w:color w:val="auto"/>
                <w:sz w:val="21"/>
                <w:szCs w:val="21"/>
                <w:shd w:val="clear" w:color="auto" w:fill="auto"/>
              </w:rPr>
            </w:pPr>
            <w:r>
              <w:rPr>
                <w:rFonts w:hint="default" w:eastAsia="宋体" w:cs="Times New Roman"/>
                <w:b/>
                <w:color w:val="auto"/>
                <w:sz w:val="21"/>
                <w:szCs w:val="21"/>
                <w:shd w:val="clear" w:color="auto" w:fill="auto"/>
              </w:rPr>
              <w:t>项目</w:t>
            </w:r>
            <w:r>
              <w:rPr>
                <w:rFonts w:hint="eastAsia" w:eastAsia="宋体" w:cs="Times New Roman"/>
                <w:b/>
                <w:color w:val="auto"/>
                <w:sz w:val="21"/>
                <w:szCs w:val="21"/>
                <w:shd w:val="clear" w:color="auto" w:fill="auto"/>
                <w:lang w:eastAsia="zh-CN"/>
              </w:rPr>
              <w:t>粉尘产生和</w:t>
            </w:r>
            <w:r>
              <w:rPr>
                <w:rFonts w:hint="default" w:eastAsia="宋体" w:cs="Times New Roman"/>
                <w:b/>
                <w:color w:val="auto"/>
                <w:sz w:val="21"/>
                <w:szCs w:val="21"/>
                <w:shd w:val="clear" w:color="auto" w:fill="auto"/>
              </w:rPr>
              <w:t>排放情况一览表</w:t>
            </w:r>
          </w:p>
          <w:tbl>
            <w:tblPr>
              <w:tblStyle w:val="41"/>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245"/>
              <w:gridCol w:w="1251"/>
              <w:gridCol w:w="1185"/>
              <w:gridCol w:w="1050"/>
              <w:gridCol w:w="1365"/>
              <w:gridCol w:w="1185"/>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tcBorders>
                    <w:tl2br w:val="nil"/>
                    <w:tr2bl w:val="nil"/>
                  </w:tcBorders>
                  <w:vAlign w:val="center"/>
                </w:tcPr>
                <w:p>
                  <w:pPr>
                    <w:kinsoku w:val="0"/>
                    <w:snapToGrid w:val="0"/>
                    <w:jc w:val="center"/>
                    <w:outlineLvl w:val="0"/>
                    <w:rPr>
                      <w:bCs/>
                      <w:color w:val="auto"/>
                      <w:szCs w:val="21"/>
                    </w:rPr>
                  </w:pPr>
                  <w:r>
                    <w:rPr>
                      <w:b/>
                      <w:color w:val="auto"/>
                      <w:szCs w:val="21"/>
                    </w:rPr>
                    <w:t>污染物</w:t>
                  </w:r>
                </w:p>
              </w:tc>
              <w:tc>
                <w:tcPr>
                  <w:tcW w:w="1245" w:type="dxa"/>
                  <w:tcBorders>
                    <w:tl2br w:val="nil"/>
                    <w:tr2bl w:val="nil"/>
                  </w:tcBorders>
                  <w:vAlign w:val="center"/>
                </w:tcPr>
                <w:p>
                  <w:pPr>
                    <w:kinsoku w:val="0"/>
                    <w:snapToGrid w:val="0"/>
                    <w:jc w:val="center"/>
                    <w:outlineLvl w:val="0"/>
                    <w:rPr>
                      <w:bCs/>
                      <w:color w:val="auto"/>
                      <w:szCs w:val="21"/>
                    </w:rPr>
                  </w:pPr>
                  <w:r>
                    <w:rPr>
                      <w:b/>
                      <w:color w:val="auto"/>
                      <w:szCs w:val="21"/>
                    </w:rPr>
                    <w:t>排放方式</w:t>
                  </w:r>
                </w:p>
              </w:tc>
              <w:tc>
                <w:tcPr>
                  <w:tcW w:w="1251" w:type="dxa"/>
                  <w:tcBorders>
                    <w:tl2br w:val="nil"/>
                    <w:tr2bl w:val="nil"/>
                  </w:tcBorders>
                  <w:vAlign w:val="center"/>
                </w:tcPr>
                <w:p>
                  <w:pPr>
                    <w:kinsoku w:val="0"/>
                    <w:snapToGrid w:val="0"/>
                    <w:jc w:val="center"/>
                    <w:outlineLvl w:val="0"/>
                    <w:rPr>
                      <w:color w:val="auto"/>
                    </w:rPr>
                  </w:pPr>
                  <w:r>
                    <w:rPr>
                      <w:b/>
                      <w:color w:val="auto"/>
                      <w:szCs w:val="21"/>
                    </w:rPr>
                    <w:t>产生浓度（mg/m³）</w:t>
                  </w:r>
                </w:p>
              </w:tc>
              <w:tc>
                <w:tcPr>
                  <w:tcW w:w="1185" w:type="dxa"/>
                  <w:tcBorders>
                    <w:tl2br w:val="nil"/>
                    <w:tr2bl w:val="nil"/>
                  </w:tcBorders>
                  <w:vAlign w:val="center"/>
                </w:tcPr>
                <w:p>
                  <w:pPr>
                    <w:kinsoku w:val="0"/>
                    <w:snapToGrid w:val="0"/>
                    <w:jc w:val="center"/>
                    <w:outlineLvl w:val="0"/>
                    <w:rPr>
                      <w:b/>
                      <w:color w:val="auto"/>
                      <w:szCs w:val="21"/>
                    </w:rPr>
                  </w:pPr>
                  <w:r>
                    <w:rPr>
                      <w:b/>
                      <w:color w:val="auto"/>
                      <w:szCs w:val="21"/>
                    </w:rPr>
                    <w:t>产生速率</w:t>
                  </w:r>
                </w:p>
                <w:p>
                  <w:pPr>
                    <w:kinsoku w:val="0"/>
                    <w:snapToGrid w:val="0"/>
                    <w:jc w:val="center"/>
                    <w:outlineLvl w:val="0"/>
                    <w:rPr>
                      <w:bCs/>
                      <w:color w:val="auto"/>
                      <w:szCs w:val="21"/>
                    </w:rPr>
                  </w:pPr>
                  <w:r>
                    <w:rPr>
                      <w:b/>
                      <w:color w:val="auto"/>
                      <w:szCs w:val="21"/>
                    </w:rPr>
                    <w:t>（kg/h）</w:t>
                  </w:r>
                </w:p>
              </w:tc>
              <w:tc>
                <w:tcPr>
                  <w:tcW w:w="1050" w:type="dxa"/>
                  <w:tcBorders>
                    <w:tl2br w:val="nil"/>
                    <w:tr2bl w:val="nil"/>
                  </w:tcBorders>
                  <w:vAlign w:val="center"/>
                </w:tcPr>
                <w:p>
                  <w:pPr>
                    <w:kinsoku w:val="0"/>
                    <w:snapToGrid w:val="0"/>
                    <w:jc w:val="center"/>
                    <w:outlineLvl w:val="0"/>
                    <w:rPr>
                      <w:b/>
                      <w:color w:val="auto"/>
                      <w:szCs w:val="21"/>
                    </w:rPr>
                  </w:pPr>
                  <w:r>
                    <w:rPr>
                      <w:b/>
                      <w:color w:val="auto"/>
                      <w:szCs w:val="21"/>
                    </w:rPr>
                    <w:t>产生量</w:t>
                  </w:r>
                </w:p>
                <w:p>
                  <w:pPr>
                    <w:kinsoku w:val="0"/>
                    <w:snapToGrid w:val="0"/>
                    <w:jc w:val="center"/>
                    <w:outlineLvl w:val="0"/>
                    <w:rPr>
                      <w:color w:val="auto"/>
                    </w:rPr>
                  </w:pPr>
                  <w:r>
                    <w:rPr>
                      <w:b/>
                      <w:color w:val="auto"/>
                      <w:szCs w:val="21"/>
                    </w:rPr>
                    <w:t>（</w:t>
                  </w:r>
                  <w:r>
                    <w:rPr>
                      <w:rFonts w:hint="eastAsia"/>
                      <w:b/>
                      <w:color w:val="auto"/>
                      <w:szCs w:val="21"/>
                    </w:rPr>
                    <w:t>t</w:t>
                  </w:r>
                  <w:r>
                    <w:rPr>
                      <w:b/>
                      <w:color w:val="auto"/>
                      <w:szCs w:val="21"/>
                    </w:rPr>
                    <w:t>/a）</w:t>
                  </w:r>
                </w:p>
              </w:tc>
              <w:tc>
                <w:tcPr>
                  <w:tcW w:w="1365" w:type="dxa"/>
                  <w:tcBorders>
                    <w:tl2br w:val="nil"/>
                    <w:tr2bl w:val="nil"/>
                  </w:tcBorders>
                  <w:vAlign w:val="center"/>
                </w:tcPr>
                <w:p>
                  <w:pPr>
                    <w:kinsoku w:val="0"/>
                    <w:snapToGrid w:val="0"/>
                    <w:jc w:val="center"/>
                    <w:outlineLvl w:val="0"/>
                    <w:rPr>
                      <w:b/>
                      <w:color w:val="auto"/>
                      <w:szCs w:val="21"/>
                    </w:rPr>
                  </w:pPr>
                  <w:r>
                    <w:rPr>
                      <w:b/>
                      <w:color w:val="auto"/>
                      <w:szCs w:val="21"/>
                    </w:rPr>
                    <w:t>排放浓度</w:t>
                  </w:r>
                </w:p>
                <w:p>
                  <w:pPr>
                    <w:kinsoku w:val="0"/>
                    <w:snapToGrid w:val="0"/>
                    <w:jc w:val="center"/>
                    <w:outlineLvl w:val="0"/>
                    <w:rPr>
                      <w:color w:val="auto"/>
                    </w:rPr>
                  </w:pPr>
                  <w:r>
                    <w:rPr>
                      <w:b/>
                      <w:color w:val="auto"/>
                      <w:szCs w:val="21"/>
                    </w:rPr>
                    <w:t>（mg/m³）</w:t>
                  </w:r>
                </w:p>
              </w:tc>
              <w:tc>
                <w:tcPr>
                  <w:tcW w:w="1185" w:type="dxa"/>
                  <w:tcBorders>
                    <w:tl2br w:val="nil"/>
                    <w:tr2bl w:val="nil"/>
                  </w:tcBorders>
                  <w:vAlign w:val="center"/>
                </w:tcPr>
                <w:p>
                  <w:pPr>
                    <w:kinsoku w:val="0"/>
                    <w:snapToGrid w:val="0"/>
                    <w:jc w:val="center"/>
                    <w:outlineLvl w:val="0"/>
                    <w:rPr>
                      <w:b/>
                      <w:color w:val="auto"/>
                      <w:szCs w:val="21"/>
                    </w:rPr>
                  </w:pPr>
                  <w:r>
                    <w:rPr>
                      <w:b/>
                      <w:color w:val="auto"/>
                      <w:szCs w:val="21"/>
                    </w:rPr>
                    <w:t>排放速率</w:t>
                  </w:r>
                </w:p>
                <w:p>
                  <w:pPr>
                    <w:kinsoku w:val="0"/>
                    <w:snapToGrid w:val="0"/>
                    <w:jc w:val="center"/>
                    <w:outlineLvl w:val="0"/>
                    <w:rPr>
                      <w:bCs/>
                      <w:color w:val="auto"/>
                      <w:szCs w:val="21"/>
                    </w:rPr>
                  </w:pPr>
                  <w:r>
                    <w:rPr>
                      <w:b/>
                      <w:color w:val="auto"/>
                      <w:szCs w:val="21"/>
                    </w:rPr>
                    <w:t>（kg/h）</w:t>
                  </w:r>
                </w:p>
              </w:tc>
              <w:tc>
                <w:tcPr>
                  <w:tcW w:w="1050" w:type="dxa"/>
                  <w:tcBorders>
                    <w:tl2br w:val="nil"/>
                    <w:tr2bl w:val="nil"/>
                  </w:tcBorders>
                  <w:vAlign w:val="center"/>
                </w:tcPr>
                <w:p>
                  <w:pPr>
                    <w:kinsoku w:val="0"/>
                    <w:snapToGrid w:val="0"/>
                    <w:jc w:val="center"/>
                    <w:outlineLvl w:val="0"/>
                    <w:rPr>
                      <w:b/>
                      <w:color w:val="auto"/>
                      <w:szCs w:val="21"/>
                    </w:rPr>
                  </w:pPr>
                  <w:r>
                    <w:rPr>
                      <w:b/>
                      <w:color w:val="auto"/>
                      <w:szCs w:val="21"/>
                    </w:rPr>
                    <w:t>排放量</w:t>
                  </w:r>
                </w:p>
                <w:p>
                  <w:pPr>
                    <w:kinsoku w:val="0"/>
                    <w:snapToGrid w:val="0"/>
                    <w:jc w:val="center"/>
                    <w:outlineLvl w:val="0"/>
                    <w:rPr>
                      <w:color w:val="auto"/>
                    </w:rPr>
                  </w:pPr>
                  <w:r>
                    <w:rPr>
                      <w:b/>
                      <w:color w:val="auto"/>
                      <w:szCs w:val="21"/>
                    </w:rPr>
                    <w:t>（</w:t>
                  </w:r>
                  <w:r>
                    <w:rPr>
                      <w:rFonts w:hint="eastAsia"/>
                      <w:b/>
                      <w:color w:val="auto"/>
                      <w:szCs w:val="21"/>
                    </w:rPr>
                    <w:t>t</w:t>
                  </w:r>
                  <w:r>
                    <w:rPr>
                      <w:b/>
                      <w:color w:val="auto"/>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restart"/>
                  <w:tcBorders>
                    <w:tl2br w:val="nil"/>
                    <w:tr2bl w:val="nil"/>
                  </w:tcBorders>
                  <w:vAlign w:val="center"/>
                </w:tcPr>
                <w:p>
                  <w:pPr>
                    <w:pStyle w:val="47"/>
                    <w:tabs>
                      <w:tab w:val="left" w:pos="607"/>
                    </w:tabs>
                    <w:snapToGrid w:val="0"/>
                    <w:jc w:val="center"/>
                    <w:rPr>
                      <w:rFonts w:hint="eastAsia" w:ascii="Times New Roman" w:eastAsia="宋体" w:cs="Times New Roman"/>
                      <w:bCs/>
                      <w:color w:val="auto"/>
                      <w:sz w:val="21"/>
                      <w:szCs w:val="21"/>
                      <w:lang w:eastAsia="zh-CN"/>
                    </w:rPr>
                  </w:pPr>
                  <w:r>
                    <w:rPr>
                      <w:rFonts w:hint="eastAsia" w:ascii="Times New Roman" w:cs="Times New Roman"/>
                      <w:bCs/>
                      <w:color w:val="auto"/>
                      <w:sz w:val="21"/>
                      <w:szCs w:val="21"/>
                      <w:lang w:eastAsia="zh-CN"/>
                    </w:rPr>
                    <w:t>烟尘</w:t>
                  </w:r>
                </w:p>
              </w:tc>
              <w:tc>
                <w:tcPr>
                  <w:tcW w:w="1245" w:type="dxa"/>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ascii="Times New Roman" w:cs="Times New Roman"/>
                      <w:bCs/>
                      <w:color w:val="auto"/>
                      <w:sz w:val="21"/>
                      <w:szCs w:val="21"/>
                    </w:rPr>
                    <w:t>有组织</w:t>
                  </w:r>
                </w:p>
              </w:tc>
              <w:tc>
                <w:tcPr>
                  <w:tcW w:w="125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1.361</w:t>
                  </w:r>
                </w:p>
              </w:tc>
              <w:tc>
                <w:tcPr>
                  <w:tcW w:w="118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0.033</w:t>
                  </w:r>
                </w:p>
              </w:tc>
              <w:tc>
                <w:tcPr>
                  <w:tcW w:w="105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0.08</w:t>
                  </w:r>
                </w:p>
              </w:tc>
              <w:tc>
                <w:tcPr>
                  <w:tcW w:w="136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0.177</w:t>
                  </w:r>
                </w:p>
              </w:tc>
              <w:tc>
                <w:tcPr>
                  <w:tcW w:w="118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0.004</w:t>
                  </w:r>
                </w:p>
              </w:tc>
              <w:tc>
                <w:tcPr>
                  <w:tcW w:w="105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pStyle w:val="47"/>
                    <w:tabs>
                      <w:tab w:val="left" w:pos="607"/>
                    </w:tabs>
                    <w:snapToGrid w:val="0"/>
                    <w:jc w:val="center"/>
                    <w:rPr>
                      <w:rFonts w:ascii="Times New Roman" w:cs="Times New Roman"/>
                      <w:bCs/>
                      <w:color w:val="auto"/>
                      <w:sz w:val="21"/>
                      <w:szCs w:val="21"/>
                    </w:rPr>
                  </w:pPr>
                </w:p>
              </w:tc>
              <w:tc>
                <w:tcPr>
                  <w:tcW w:w="1245" w:type="dxa"/>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ascii="Times New Roman" w:cs="Times New Roman"/>
                      <w:bCs/>
                      <w:color w:val="auto"/>
                      <w:sz w:val="21"/>
                      <w:szCs w:val="21"/>
                    </w:rPr>
                    <w:t>无组织</w:t>
                  </w:r>
                </w:p>
              </w:tc>
              <w:tc>
                <w:tcPr>
                  <w:tcW w:w="1251" w:type="dxa"/>
                  <w:tcBorders>
                    <w:tl2br w:val="nil"/>
                    <w:tr2bl w:val="nil"/>
                  </w:tcBorders>
                  <w:vAlign w:val="center"/>
                </w:tcPr>
                <w:p>
                  <w:pPr>
                    <w:jc w:val="center"/>
                    <w:rPr>
                      <w:color w:val="auto"/>
                      <w:szCs w:val="21"/>
                    </w:rPr>
                  </w:pPr>
                  <w:r>
                    <w:rPr>
                      <w:color w:val="auto"/>
                      <w:szCs w:val="21"/>
                    </w:rPr>
                    <w:t>/</w:t>
                  </w:r>
                </w:p>
              </w:tc>
              <w:tc>
                <w:tcPr>
                  <w:tcW w:w="118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0.008</w:t>
                  </w:r>
                </w:p>
              </w:tc>
              <w:tc>
                <w:tcPr>
                  <w:tcW w:w="105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0.02</w:t>
                  </w:r>
                </w:p>
              </w:tc>
              <w:tc>
                <w:tcPr>
                  <w:tcW w:w="1365" w:type="dxa"/>
                  <w:tcBorders>
                    <w:tl2br w:val="nil"/>
                    <w:tr2bl w:val="nil"/>
                  </w:tcBorders>
                  <w:vAlign w:val="center"/>
                </w:tcPr>
                <w:p>
                  <w:pPr>
                    <w:jc w:val="center"/>
                    <w:rPr>
                      <w:color w:val="auto"/>
                      <w:szCs w:val="21"/>
                    </w:rPr>
                  </w:pPr>
                  <w:r>
                    <w:rPr>
                      <w:color w:val="auto"/>
                      <w:szCs w:val="21"/>
                    </w:rPr>
                    <w:t>/</w:t>
                  </w:r>
                </w:p>
              </w:tc>
              <w:tc>
                <w:tcPr>
                  <w:tcW w:w="1185" w:type="dxa"/>
                  <w:tcBorders>
                    <w:tl2br w:val="nil"/>
                    <w:tr2bl w:val="nil"/>
                  </w:tcBorders>
                  <w:vAlign w:val="center"/>
                </w:tcPr>
                <w:p>
                  <w:pPr>
                    <w:jc w:val="center"/>
                    <w:rPr>
                      <w:color w:val="auto"/>
                      <w:szCs w:val="21"/>
                    </w:rPr>
                  </w:pPr>
                  <w:r>
                    <w:rPr>
                      <w:rFonts w:hint="eastAsia"/>
                      <w:color w:val="auto"/>
                      <w:szCs w:val="21"/>
                      <w:lang w:val="en-US" w:eastAsia="zh-CN"/>
                    </w:rPr>
                    <w:t>0.008</w:t>
                  </w:r>
                </w:p>
              </w:tc>
              <w:tc>
                <w:tcPr>
                  <w:tcW w:w="1050" w:type="dxa"/>
                  <w:tcBorders>
                    <w:tl2br w:val="nil"/>
                    <w:tr2bl w:val="nil"/>
                  </w:tcBorders>
                  <w:vAlign w:val="center"/>
                </w:tcPr>
                <w:p>
                  <w:pPr>
                    <w:jc w:val="center"/>
                    <w:rPr>
                      <w:color w:val="auto"/>
                      <w:szCs w:val="21"/>
                    </w:rPr>
                  </w:pPr>
                  <w:r>
                    <w:rPr>
                      <w:rFonts w:hint="eastAsia"/>
                      <w:color w:val="auto"/>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restart"/>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hint="eastAsia" w:ascii="Times New Roman" w:cs="Times New Roman"/>
                      <w:bCs/>
                      <w:color w:val="auto"/>
                      <w:sz w:val="21"/>
                      <w:szCs w:val="21"/>
                    </w:rPr>
                    <w:t>非甲烷总烃</w:t>
                  </w:r>
                </w:p>
              </w:tc>
              <w:tc>
                <w:tcPr>
                  <w:tcW w:w="1245" w:type="dxa"/>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ascii="Times New Roman" w:cs="Times New Roman"/>
                      <w:bCs/>
                      <w:color w:val="auto"/>
                      <w:sz w:val="21"/>
                      <w:szCs w:val="21"/>
                    </w:rPr>
                    <w:t>有组织</w:t>
                  </w:r>
                </w:p>
              </w:tc>
              <w:tc>
                <w:tcPr>
                  <w:tcW w:w="125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0.17</w:t>
                  </w:r>
                </w:p>
              </w:tc>
              <w:tc>
                <w:tcPr>
                  <w:tcW w:w="118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0.004</w:t>
                  </w:r>
                </w:p>
              </w:tc>
              <w:tc>
                <w:tcPr>
                  <w:tcW w:w="1050"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0.01</w:t>
                  </w:r>
                </w:p>
              </w:tc>
              <w:tc>
                <w:tcPr>
                  <w:tcW w:w="136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0.102</w:t>
                  </w:r>
                </w:p>
              </w:tc>
              <w:tc>
                <w:tcPr>
                  <w:tcW w:w="118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0.003</w:t>
                  </w:r>
                </w:p>
              </w:tc>
              <w:tc>
                <w:tcPr>
                  <w:tcW w:w="1050"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pStyle w:val="47"/>
                    <w:tabs>
                      <w:tab w:val="left" w:pos="607"/>
                    </w:tabs>
                    <w:snapToGrid w:val="0"/>
                    <w:jc w:val="center"/>
                    <w:rPr>
                      <w:rFonts w:ascii="Times New Roman" w:cs="Times New Roman"/>
                      <w:bCs/>
                      <w:color w:val="auto"/>
                      <w:sz w:val="21"/>
                      <w:szCs w:val="21"/>
                    </w:rPr>
                  </w:pPr>
                </w:p>
              </w:tc>
              <w:tc>
                <w:tcPr>
                  <w:tcW w:w="1245" w:type="dxa"/>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ascii="Times New Roman" w:cs="Times New Roman"/>
                      <w:bCs/>
                      <w:color w:val="auto"/>
                      <w:sz w:val="21"/>
                      <w:szCs w:val="21"/>
                    </w:rPr>
                    <w:t>无组织</w:t>
                  </w:r>
                </w:p>
              </w:tc>
              <w:tc>
                <w:tcPr>
                  <w:tcW w:w="1251" w:type="dxa"/>
                  <w:tcBorders>
                    <w:tl2br w:val="nil"/>
                    <w:tr2bl w:val="nil"/>
                  </w:tcBorders>
                  <w:vAlign w:val="center"/>
                </w:tcPr>
                <w:p>
                  <w:pPr>
                    <w:jc w:val="center"/>
                    <w:rPr>
                      <w:color w:val="auto"/>
                      <w:szCs w:val="21"/>
                    </w:rPr>
                  </w:pPr>
                  <w:r>
                    <w:rPr>
                      <w:color w:val="auto"/>
                      <w:szCs w:val="21"/>
                    </w:rPr>
                    <w:t>/</w:t>
                  </w:r>
                </w:p>
              </w:tc>
              <w:tc>
                <w:tcPr>
                  <w:tcW w:w="118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0.001</w:t>
                  </w:r>
                </w:p>
              </w:tc>
              <w:tc>
                <w:tcPr>
                  <w:tcW w:w="1050"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0.002</w:t>
                  </w:r>
                </w:p>
              </w:tc>
              <w:tc>
                <w:tcPr>
                  <w:tcW w:w="1365" w:type="dxa"/>
                  <w:tcBorders>
                    <w:tl2br w:val="nil"/>
                    <w:tr2bl w:val="nil"/>
                  </w:tcBorders>
                  <w:vAlign w:val="center"/>
                </w:tcPr>
                <w:p>
                  <w:pPr>
                    <w:jc w:val="center"/>
                    <w:rPr>
                      <w:color w:val="auto"/>
                      <w:szCs w:val="21"/>
                    </w:rPr>
                  </w:pPr>
                  <w:r>
                    <w:rPr>
                      <w:color w:val="auto"/>
                      <w:szCs w:val="21"/>
                    </w:rPr>
                    <w:t>/</w:t>
                  </w:r>
                </w:p>
              </w:tc>
              <w:tc>
                <w:tcPr>
                  <w:tcW w:w="1185" w:type="dxa"/>
                  <w:tcBorders>
                    <w:tl2br w:val="nil"/>
                    <w:tr2bl w:val="nil"/>
                  </w:tcBorders>
                  <w:vAlign w:val="center"/>
                </w:tcPr>
                <w:p>
                  <w:pPr>
                    <w:jc w:val="center"/>
                    <w:rPr>
                      <w:rFonts w:hint="eastAsia"/>
                      <w:color w:val="auto"/>
                      <w:szCs w:val="21"/>
                      <w:lang w:val="en-US" w:eastAsia="zh-CN"/>
                    </w:rPr>
                  </w:pPr>
                  <w:r>
                    <w:rPr>
                      <w:rFonts w:hint="eastAsia"/>
                      <w:color w:val="auto"/>
                      <w:szCs w:val="21"/>
                      <w:lang w:val="en-US" w:eastAsia="zh-CN"/>
                    </w:rPr>
                    <w:t>0.001</w:t>
                  </w:r>
                </w:p>
              </w:tc>
              <w:tc>
                <w:tcPr>
                  <w:tcW w:w="1050" w:type="dxa"/>
                  <w:tcBorders>
                    <w:tl2br w:val="nil"/>
                    <w:tr2bl w:val="nil"/>
                  </w:tcBorders>
                  <w:vAlign w:val="center"/>
                </w:tcPr>
                <w:p>
                  <w:pPr>
                    <w:jc w:val="center"/>
                    <w:rPr>
                      <w:rFonts w:hint="eastAsia"/>
                      <w:color w:val="auto"/>
                      <w:szCs w:val="21"/>
                      <w:lang w:val="en-US" w:eastAsia="zh-CN"/>
                    </w:rPr>
                  </w:pPr>
                  <w:r>
                    <w:rPr>
                      <w:rFonts w:hint="eastAsia"/>
                      <w:color w:val="auto"/>
                      <w:szCs w:val="21"/>
                      <w:lang w:val="en-US" w:eastAsia="zh-CN"/>
                    </w:rPr>
                    <w:t>0.002</w:t>
                  </w:r>
                </w:p>
              </w:tc>
            </w:tr>
          </w:tbl>
          <w:p>
            <w:pPr>
              <w:spacing w:line="360" w:lineRule="auto"/>
              <w:ind w:firstLine="480" w:firstLineChars="200"/>
              <w:rPr>
                <w:rFonts w:hint="eastAsia" w:hAnsi="宋体"/>
                <w:color w:val="auto"/>
                <w:sz w:val="24"/>
                <w:highlight w:val="none"/>
                <w:shd w:val="clear" w:color="auto" w:fill="auto"/>
                <w:lang w:eastAsia="zh-CN"/>
              </w:rPr>
            </w:pPr>
            <w:r>
              <w:rPr>
                <w:rFonts w:hint="eastAsia" w:hAnsi="宋体"/>
                <w:color w:val="auto"/>
                <w:sz w:val="24"/>
              </w:rPr>
              <w:t>根据上表可知项目</w:t>
            </w:r>
            <w:r>
              <w:rPr>
                <w:rFonts w:hint="eastAsia" w:hAnsi="宋体"/>
                <w:color w:val="auto"/>
                <w:sz w:val="24"/>
                <w:lang w:eastAsia="zh-CN"/>
              </w:rPr>
              <w:t>烟尘有组织</w:t>
            </w:r>
            <w:r>
              <w:rPr>
                <w:rFonts w:hint="eastAsia" w:hAnsi="宋体"/>
                <w:color w:val="auto"/>
                <w:sz w:val="24"/>
              </w:rPr>
              <w:t>排放浓度可以达到《工业炉窑大气污染物排放标准》（GB9078-1996）表2“金属熔化炉”二级标准，</w:t>
            </w:r>
            <w:r>
              <w:rPr>
                <w:rFonts w:hint="eastAsia"/>
                <w:color w:val="auto"/>
                <w:sz w:val="24"/>
                <w:shd w:val="clear" w:color="auto" w:fill="FFFFFF"/>
              </w:rPr>
              <w:t>无组织排放量较少，</w:t>
            </w:r>
            <w:r>
              <w:rPr>
                <w:color w:val="auto"/>
                <w:sz w:val="24"/>
                <w:shd w:val="clear" w:color="auto" w:fill="FFFFFF"/>
              </w:rPr>
              <w:t>根据估算，</w:t>
            </w:r>
            <w:r>
              <w:rPr>
                <w:color w:val="auto"/>
                <w:sz w:val="24"/>
              </w:rPr>
              <w:t>周界外</w:t>
            </w:r>
            <w:r>
              <w:rPr>
                <w:rFonts w:hint="eastAsia"/>
                <w:color w:val="auto"/>
                <w:sz w:val="24"/>
                <w:lang w:eastAsia="zh-CN"/>
              </w:rPr>
              <w:t>烟尘</w:t>
            </w:r>
            <w:r>
              <w:rPr>
                <w:color w:val="auto"/>
                <w:kern w:val="0"/>
                <w:sz w:val="24"/>
              </w:rPr>
              <w:t>最大</w:t>
            </w:r>
            <w:r>
              <w:rPr>
                <w:rFonts w:hint="eastAsia"/>
                <w:color w:val="auto"/>
                <w:kern w:val="0"/>
                <w:sz w:val="24"/>
                <w:lang w:eastAsia="zh-CN"/>
              </w:rPr>
              <w:t>地面</w:t>
            </w:r>
            <w:r>
              <w:rPr>
                <w:color w:val="auto"/>
                <w:kern w:val="0"/>
                <w:sz w:val="24"/>
              </w:rPr>
              <w:t>浓度</w:t>
            </w:r>
            <w:r>
              <w:rPr>
                <w:rFonts w:hint="eastAsia"/>
                <w:color w:val="auto"/>
                <w:kern w:val="0"/>
                <w:sz w:val="24"/>
              </w:rPr>
              <w:t>未超过</w:t>
            </w:r>
            <w:r>
              <w:rPr>
                <w:rFonts w:hint="eastAsia" w:hAnsi="宋体"/>
                <w:color w:val="auto"/>
                <w:sz w:val="24"/>
                <w:lang w:eastAsia="zh-CN"/>
              </w:rPr>
              <w:t>广东省地方标准《大气污染物排放限值》（DB44/27－2001）无组织排放监控浓度限值</w:t>
            </w:r>
            <w:r>
              <w:rPr>
                <w:rFonts w:hint="eastAsia"/>
                <w:color w:val="auto"/>
                <w:sz w:val="24"/>
                <w:lang w:eastAsia="zh-CN"/>
              </w:rPr>
              <w:t>；非甲烷总烃</w:t>
            </w:r>
            <w:r>
              <w:rPr>
                <w:rFonts w:hint="eastAsia" w:hAnsi="宋体"/>
                <w:color w:val="auto"/>
                <w:sz w:val="24"/>
                <w:lang w:eastAsia="zh-CN"/>
              </w:rPr>
              <w:t>有组织</w:t>
            </w:r>
            <w:r>
              <w:rPr>
                <w:rFonts w:hint="eastAsia" w:hAnsi="宋体"/>
                <w:color w:val="auto"/>
                <w:sz w:val="24"/>
              </w:rPr>
              <w:t>排放浓度</w:t>
            </w:r>
            <w:r>
              <w:rPr>
                <w:rFonts w:hint="eastAsia" w:hAnsi="宋体"/>
                <w:color w:val="auto"/>
                <w:sz w:val="24"/>
                <w:lang w:eastAsia="zh-CN"/>
              </w:rPr>
              <w:t>和速率</w:t>
            </w:r>
            <w:r>
              <w:rPr>
                <w:rFonts w:hint="eastAsia" w:hAnsi="宋体"/>
                <w:color w:val="auto"/>
                <w:sz w:val="24"/>
              </w:rPr>
              <w:t>可以达到</w:t>
            </w:r>
            <w:r>
              <w:rPr>
                <w:rFonts w:hint="eastAsia"/>
                <w:color w:val="auto"/>
                <w:sz w:val="24"/>
              </w:rPr>
              <w:t>广东省地方标准《大气污染物排放限值》</w:t>
            </w:r>
            <w:r>
              <w:rPr>
                <w:color w:val="auto"/>
                <w:sz w:val="24"/>
              </w:rPr>
              <w:t>（DB44/27-2001）中第二时段二级标准</w:t>
            </w:r>
            <w:r>
              <w:rPr>
                <w:rFonts w:hint="eastAsia"/>
                <w:b w:val="0"/>
                <w:bCs w:val="0"/>
                <w:color w:val="auto"/>
                <w:sz w:val="24"/>
                <w:szCs w:val="24"/>
                <w:lang w:val="en-US" w:eastAsia="zh-CN"/>
              </w:rPr>
              <w:t>，</w:t>
            </w:r>
            <w:r>
              <w:rPr>
                <w:color w:val="auto"/>
                <w:sz w:val="24"/>
                <w:shd w:val="clear" w:color="auto" w:fill="FFFFFF"/>
              </w:rPr>
              <w:t>根据估算，</w:t>
            </w:r>
            <w:r>
              <w:rPr>
                <w:color w:val="auto"/>
                <w:sz w:val="24"/>
              </w:rPr>
              <w:t>周界外</w:t>
            </w:r>
            <w:r>
              <w:rPr>
                <w:rFonts w:hint="eastAsia"/>
                <w:color w:val="auto"/>
                <w:sz w:val="24"/>
              </w:rPr>
              <w:t>非甲烷总烃</w:t>
            </w:r>
            <w:r>
              <w:rPr>
                <w:color w:val="auto"/>
                <w:kern w:val="0"/>
                <w:sz w:val="24"/>
              </w:rPr>
              <w:t>最大</w:t>
            </w:r>
            <w:r>
              <w:rPr>
                <w:rFonts w:hint="eastAsia"/>
                <w:color w:val="auto"/>
                <w:kern w:val="0"/>
                <w:sz w:val="24"/>
                <w:lang w:eastAsia="zh-CN"/>
              </w:rPr>
              <w:t>地面</w:t>
            </w:r>
            <w:r>
              <w:rPr>
                <w:color w:val="auto"/>
                <w:kern w:val="0"/>
                <w:sz w:val="24"/>
              </w:rPr>
              <w:t>浓度</w:t>
            </w:r>
            <w:r>
              <w:rPr>
                <w:rFonts w:hint="eastAsia"/>
                <w:color w:val="auto"/>
                <w:kern w:val="0"/>
                <w:sz w:val="24"/>
              </w:rPr>
              <w:t>未超过</w:t>
            </w:r>
            <w:r>
              <w:rPr>
                <w:color w:val="auto"/>
                <w:sz w:val="24"/>
              </w:rPr>
              <w:t>广东省地方标准《大气污染物排放限值》（DB44/ 27-2001）第二时段无组织排放监控浓度限值</w:t>
            </w:r>
            <w:r>
              <w:rPr>
                <w:rFonts w:hint="eastAsia"/>
                <w:color w:val="auto"/>
                <w:kern w:val="0"/>
                <w:sz w:val="24"/>
                <w:lang w:eastAsia="zh-CN"/>
              </w:rPr>
              <w:t>，</w:t>
            </w:r>
            <w:r>
              <w:rPr>
                <w:rFonts w:hint="eastAsia"/>
                <w:color w:val="auto"/>
                <w:sz w:val="24"/>
              </w:rPr>
              <w:t>对周围环境影响较小。</w:t>
            </w:r>
          </w:p>
          <w:p>
            <w:pPr>
              <w:spacing w:line="360" w:lineRule="auto"/>
              <w:ind w:firstLine="482" w:firstLineChars="200"/>
              <w:rPr>
                <w:rFonts w:hint="default"/>
                <w:b w:val="0"/>
                <w:bCs/>
                <w:color w:val="auto"/>
                <w:sz w:val="24"/>
                <w:highlight w:val="none"/>
                <w:lang w:val="en-US" w:eastAsia="zh-CN"/>
              </w:rPr>
            </w:pPr>
            <w:r>
              <w:rPr>
                <w:rFonts w:hint="eastAsia"/>
                <w:b/>
                <w:color w:val="auto"/>
                <w:sz w:val="24"/>
                <w:highlight w:val="none"/>
                <w:lang w:eastAsia="zh-CN"/>
              </w:rPr>
              <w:t>滚砂、</w:t>
            </w:r>
            <w:r>
              <w:rPr>
                <w:rFonts w:hint="eastAsia" w:ascii="Times New Roman" w:hAnsi="Times New Roman" w:cs="Times New Roman"/>
                <w:b/>
                <w:bCs/>
                <w:color w:val="auto"/>
                <w:kern w:val="2"/>
                <w:sz w:val="24"/>
                <w:szCs w:val="24"/>
                <w:lang w:val="en-US" w:eastAsia="zh-CN" w:bidi="ar-SA"/>
              </w:rPr>
              <w:t>机加工工序</w:t>
            </w:r>
            <w:r>
              <w:rPr>
                <w:rFonts w:hint="eastAsia"/>
                <w:b/>
                <w:color w:val="auto"/>
                <w:sz w:val="24"/>
                <w:highlight w:val="none"/>
                <w:lang w:eastAsia="zh-CN"/>
              </w:rPr>
              <w:t>：</w:t>
            </w:r>
            <w:r>
              <w:rPr>
                <w:rFonts w:hint="eastAsia"/>
                <w:b w:val="0"/>
                <w:bCs/>
                <w:color w:val="auto"/>
                <w:sz w:val="24"/>
                <w:highlight w:val="none"/>
                <w:lang w:eastAsia="zh-CN"/>
              </w:rPr>
              <w:t>本项目滚砂设备是在密闭的状态下运作，外溢的粉尘极少，</w:t>
            </w:r>
            <w:r>
              <w:rPr>
                <w:rFonts w:hint="eastAsia"/>
                <w:color w:val="auto"/>
                <w:sz w:val="24"/>
                <w:highlight w:val="none"/>
                <w:lang w:eastAsia="zh-CN"/>
              </w:rPr>
              <w:t>根据滚砂机的运行原理，</w:t>
            </w:r>
            <w:r>
              <w:rPr>
                <w:rFonts w:hint="eastAsia"/>
                <w:b w:val="0"/>
                <w:bCs/>
                <w:color w:val="auto"/>
                <w:sz w:val="24"/>
                <w:highlight w:val="none"/>
                <w:lang w:val="en-US" w:eastAsia="zh-CN"/>
              </w:rPr>
              <w:t>大部分粉尘随着砂芯通过柜体截留，沉降在柜底部，工作结束后人工将废砂与大部分粉尘清扫后交由创惠再生砂有限公司回收（合作协议详见附件4），少量外溢粉尘通过无组织排放；</w:t>
            </w:r>
            <w:r>
              <w:rPr>
                <w:rFonts w:hint="default" w:ascii="Times New Roman" w:hAnsi="Times New Roman" w:eastAsia="宋体" w:cs="Times New Roman"/>
                <w:color w:val="auto"/>
                <w:kern w:val="2"/>
                <w:sz w:val="24"/>
                <w:szCs w:val="24"/>
                <w:lang w:val="en-US" w:eastAsia="zh-CN" w:bidi="ar-SA"/>
              </w:rPr>
              <w:t>机加工工序会产生少量的金属粉尘</w:t>
            </w:r>
            <w:r>
              <w:rPr>
                <w:rFonts w:hint="eastAsia" w:ascii="Times New Roman" w:hAnsi="Times New Roman" w:cs="Times New Roman"/>
                <w:color w:val="auto"/>
                <w:kern w:val="2"/>
                <w:sz w:val="24"/>
                <w:szCs w:val="24"/>
                <w:lang w:val="en-US" w:eastAsia="zh-CN" w:bidi="ar-SA"/>
              </w:rPr>
              <w:t>，</w:t>
            </w:r>
            <w:r>
              <w:rPr>
                <w:rFonts w:hint="eastAsia"/>
                <w:b w:val="0"/>
                <w:bCs/>
                <w:color w:val="auto"/>
                <w:sz w:val="24"/>
                <w:highlight w:val="none"/>
                <w:lang w:val="en-US" w:eastAsia="zh-CN"/>
              </w:rPr>
              <w:t>机</w:t>
            </w:r>
            <w:r>
              <w:rPr>
                <w:rFonts w:hint="default" w:ascii="Times New Roman" w:hAnsi="Times New Roman" w:eastAsia="宋体" w:cs="Times New Roman"/>
                <w:color w:val="auto"/>
                <w:kern w:val="2"/>
                <w:sz w:val="24"/>
                <w:szCs w:val="24"/>
                <w:lang w:val="en-US" w:eastAsia="zh-CN" w:bidi="ar-SA"/>
              </w:rPr>
              <w:t>加工产生的粉尘主要以金属细屑颗粒物为主，质量和粒径相对较大，约90%可在操作区域附近沉降，沉降金属粉尘及时清理后交专业公司回收处理，</w:t>
            </w:r>
            <w:r>
              <w:rPr>
                <w:rFonts w:hint="eastAsia"/>
                <w:b w:val="0"/>
                <w:bCs/>
                <w:color w:val="auto"/>
                <w:sz w:val="24"/>
                <w:highlight w:val="none"/>
                <w:lang w:val="en-US" w:eastAsia="zh-CN"/>
              </w:rPr>
              <w:t>剩余10%通过无组织排放。</w:t>
            </w:r>
            <w:r>
              <w:rPr>
                <w:rFonts w:hint="eastAsia"/>
                <w:bCs/>
                <w:color w:val="auto"/>
                <w:sz w:val="24"/>
                <w:highlight w:val="none"/>
              </w:rPr>
              <w:t>引用《第一次全国污染源普查工业污染物产排污系数手册》中金属加工的粉尘产污系数为1.523kg/t，本项目</w:t>
            </w:r>
            <w:r>
              <w:rPr>
                <w:rFonts w:hint="eastAsia"/>
                <w:bCs/>
                <w:color w:val="auto"/>
                <w:sz w:val="24"/>
                <w:highlight w:val="none"/>
                <w:lang w:val="en-US" w:eastAsia="zh-CN"/>
              </w:rPr>
              <w:t>铜锭使</w:t>
            </w:r>
            <w:r>
              <w:rPr>
                <w:rFonts w:hint="eastAsia"/>
                <w:color w:val="auto"/>
                <w:sz w:val="24"/>
                <w:highlight w:val="none"/>
              </w:rPr>
              <w:t>用量</w:t>
            </w:r>
            <w:r>
              <w:rPr>
                <w:rFonts w:hint="eastAsia"/>
                <w:color w:val="auto"/>
                <w:sz w:val="24"/>
                <w:highlight w:val="none"/>
                <w:lang w:val="en-US" w:eastAsia="zh-CN"/>
              </w:rPr>
              <w:t>为80</w:t>
            </w:r>
            <w:r>
              <w:rPr>
                <w:rFonts w:hint="eastAsia"/>
                <w:color w:val="auto"/>
                <w:sz w:val="24"/>
                <w:highlight w:val="none"/>
              </w:rPr>
              <w:t>t</w:t>
            </w:r>
            <w:r>
              <w:rPr>
                <w:color w:val="auto"/>
                <w:sz w:val="24"/>
                <w:highlight w:val="none"/>
              </w:rPr>
              <w:t>/a</w:t>
            </w:r>
            <w:r>
              <w:rPr>
                <w:rFonts w:hint="eastAsia"/>
                <w:color w:val="auto"/>
                <w:sz w:val="24"/>
                <w:highlight w:val="none"/>
              </w:rPr>
              <w:t>，则滚砂、机加工工序产生粉尘量为</w:t>
            </w:r>
            <w:r>
              <w:rPr>
                <w:rFonts w:hint="eastAsia"/>
                <w:color w:val="auto"/>
                <w:sz w:val="24"/>
                <w:highlight w:val="none"/>
                <w:lang w:val="en-US" w:eastAsia="zh-CN"/>
              </w:rPr>
              <w:t>0.12t</w:t>
            </w:r>
            <w:r>
              <w:rPr>
                <w:rFonts w:hint="eastAsia"/>
                <w:color w:val="auto"/>
                <w:sz w:val="24"/>
                <w:highlight w:val="none"/>
              </w:rPr>
              <w:t>/a</w:t>
            </w:r>
            <w:r>
              <w:rPr>
                <w:rFonts w:hint="eastAsia"/>
                <w:color w:val="auto"/>
                <w:sz w:val="24"/>
                <w:highlight w:val="none"/>
                <w:lang w:eastAsia="zh-CN"/>
              </w:rPr>
              <w:t>，</w:t>
            </w:r>
            <w:r>
              <w:rPr>
                <w:rFonts w:hint="eastAsia"/>
                <w:b w:val="0"/>
                <w:bCs/>
                <w:color w:val="auto"/>
                <w:sz w:val="24"/>
                <w:highlight w:val="none"/>
                <w:lang w:val="en-US" w:eastAsia="zh-CN"/>
              </w:rPr>
              <w:t>无组织排放量为0.012</w:t>
            </w:r>
            <w:r>
              <w:rPr>
                <w:rFonts w:hint="eastAsia"/>
                <w:color w:val="auto"/>
                <w:sz w:val="24"/>
                <w:highlight w:val="none"/>
                <w:lang w:val="en-US" w:eastAsia="zh-CN"/>
              </w:rPr>
              <w:t>t</w:t>
            </w:r>
            <w:r>
              <w:rPr>
                <w:rFonts w:hint="eastAsia"/>
                <w:color w:val="auto"/>
                <w:sz w:val="24"/>
                <w:highlight w:val="none"/>
              </w:rPr>
              <w:t>/a</w:t>
            </w:r>
            <w:r>
              <w:rPr>
                <w:rFonts w:hint="eastAsia"/>
                <w:color w:val="auto"/>
                <w:sz w:val="24"/>
                <w:highlight w:val="none"/>
                <w:lang w:eastAsia="zh-CN"/>
              </w:rPr>
              <w:t>，排放速率为</w:t>
            </w:r>
            <w:r>
              <w:rPr>
                <w:rFonts w:hint="eastAsia"/>
                <w:color w:val="auto"/>
                <w:sz w:val="24"/>
                <w:highlight w:val="none"/>
                <w:lang w:val="en-US" w:eastAsia="zh-CN"/>
              </w:rPr>
              <w:t>0.005kg/h。</w:t>
            </w:r>
            <w:r>
              <w:rPr>
                <w:rFonts w:hint="default" w:ascii="Times New Roman" w:hAnsi="Times New Roman" w:cs="Times New Roman"/>
                <w:color w:val="auto"/>
                <w:sz w:val="24"/>
                <w:szCs w:val="24"/>
                <w:highlight w:val="none"/>
                <w:shd w:val="clear" w:color="auto" w:fill="auto"/>
              </w:rPr>
              <w:t>根据估算</w:t>
            </w:r>
            <w:r>
              <w:rPr>
                <w:rFonts w:hint="eastAsia" w:ascii="Times New Roman" w:hAnsi="Times New Roman" w:cs="Times New Roman"/>
                <w:color w:val="auto"/>
                <w:sz w:val="24"/>
                <w:szCs w:val="24"/>
                <w:highlight w:val="none"/>
                <w:shd w:val="clear" w:color="auto" w:fill="auto"/>
                <w:lang w:eastAsia="zh-CN"/>
              </w:rPr>
              <w:t>模式计算</w:t>
            </w:r>
            <w:r>
              <w:rPr>
                <w:rFonts w:hint="default" w:ascii="Times New Roman" w:hAnsi="Times New Roman" w:cs="Times New Roman"/>
                <w:color w:val="auto"/>
                <w:sz w:val="24"/>
                <w:szCs w:val="24"/>
                <w:highlight w:val="none"/>
                <w:shd w:val="clear" w:color="auto" w:fill="auto"/>
              </w:rPr>
              <w:t>，</w:t>
            </w:r>
            <w:r>
              <w:rPr>
                <w:rFonts w:hint="eastAsia" w:cs="Times New Roman"/>
                <w:color w:val="auto"/>
                <w:sz w:val="24"/>
                <w:szCs w:val="24"/>
                <w:highlight w:val="none"/>
                <w:shd w:val="clear" w:color="auto" w:fill="auto"/>
                <w:lang w:val="en-US" w:eastAsia="zh-CN"/>
              </w:rPr>
              <w:t>TSP</w:t>
            </w:r>
            <w:r>
              <w:rPr>
                <w:rFonts w:hint="eastAsia" w:ascii="Times New Roman" w:hAnsi="Times New Roman" w:cs="Times New Roman"/>
                <w:color w:val="auto"/>
                <w:sz w:val="24"/>
                <w:szCs w:val="24"/>
                <w:highlight w:val="none"/>
                <w:shd w:val="clear" w:color="auto" w:fill="auto"/>
                <w:lang w:eastAsia="zh-CN"/>
              </w:rPr>
              <w:t>无组织排放</w:t>
            </w:r>
            <w:r>
              <w:rPr>
                <w:rFonts w:hint="eastAsia" w:cs="Times New Roman"/>
                <w:color w:val="auto"/>
                <w:kern w:val="0"/>
                <w:sz w:val="24"/>
                <w:szCs w:val="24"/>
                <w:highlight w:val="none"/>
                <w:shd w:val="clear" w:color="auto" w:fill="auto"/>
                <w:lang w:eastAsia="zh-CN"/>
              </w:rPr>
              <w:t>最大地面浓度</w:t>
            </w:r>
            <w:r>
              <w:rPr>
                <w:rFonts w:hint="eastAsia" w:ascii="Times New Roman" w:hAnsi="Times New Roman" w:cs="Times New Roman"/>
                <w:color w:val="auto"/>
                <w:kern w:val="0"/>
                <w:sz w:val="24"/>
                <w:szCs w:val="24"/>
                <w:highlight w:val="none"/>
                <w:shd w:val="clear" w:color="auto" w:fill="auto"/>
                <w:lang w:eastAsia="zh-CN"/>
              </w:rPr>
              <w:t>为</w:t>
            </w:r>
            <w:r>
              <w:rPr>
                <w:rFonts w:hint="eastAsia" w:cs="Times New Roman"/>
                <w:color w:val="auto"/>
                <w:kern w:val="0"/>
                <w:sz w:val="24"/>
                <w:szCs w:val="24"/>
                <w:highlight w:val="none"/>
                <w:shd w:val="clear" w:color="auto" w:fill="auto"/>
                <w:lang w:eastAsia="zh-CN"/>
              </w:rPr>
              <w:t>2.42E-02</w:t>
            </w:r>
            <w:r>
              <w:rPr>
                <w:rFonts w:hint="eastAsia" w:cs="Times New Roman"/>
                <w:bCs/>
                <w:color w:val="auto"/>
                <w:sz w:val="24"/>
                <w:highlight w:val="none"/>
                <w:shd w:val="clear" w:color="auto" w:fill="auto"/>
                <w:lang w:eastAsia="zh-CN"/>
              </w:rPr>
              <w:t>mg/m</w:t>
            </w:r>
            <w:r>
              <w:rPr>
                <w:rFonts w:hint="eastAsia" w:cs="Times New Roman"/>
                <w:bCs/>
                <w:color w:val="auto"/>
                <w:sz w:val="24"/>
                <w:highlight w:val="none"/>
                <w:shd w:val="clear" w:color="auto" w:fill="auto"/>
                <w:vertAlign w:val="superscript"/>
                <w:lang w:eastAsia="zh-CN"/>
              </w:rPr>
              <w:t>3</w:t>
            </w:r>
            <w:r>
              <w:rPr>
                <w:rFonts w:hint="default" w:ascii="Times New Roman" w:hAnsi="Times New Roman" w:cs="Times New Roman"/>
                <w:color w:val="auto"/>
                <w:sz w:val="24"/>
                <w:highlight w:val="none"/>
              </w:rPr>
              <w:t>，</w:t>
            </w:r>
            <w:r>
              <w:rPr>
                <w:rFonts w:hint="eastAsia"/>
                <w:b w:val="0"/>
                <w:bCs/>
                <w:color w:val="auto"/>
                <w:sz w:val="24"/>
                <w:highlight w:val="none"/>
                <w:lang w:val="en-US" w:eastAsia="zh-CN"/>
              </w:rPr>
              <w:t>可达到广东省地方标准《大气污染物排放限值》（DB44/ 27-2001）第二时段无组织排放监控浓度限值。</w:t>
            </w:r>
            <w:r>
              <w:rPr>
                <w:rFonts w:hint="default" w:ascii="Times New Roman" w:hAnsi="Times New Roman" w:cs="Times New Roman"/>
                <w:color w:val="auto"/>
                <w:sz w:val="24"/>
                <w:highlight w:val="none"/>
              </w:rPr>
              <w:t>同时加强车间机械通风措施，使生产车间符合《工业企业设计卫生标准》（TJ36-79）（GBZ1-2010）要求，</w:t>
            </w:r>
            <w:r>
              <w:rPr>
                <w:rFonts w:hint="default" w:ascii="Times New Roman" w:hAnsi="Times New Roman" w:cs="Times New Roman"/>
                <w:color w:val="auto"/>
                <w:spacing w:val="-2"/>
                <w:sz w:val="24"/>
                <w:highlight w:val="none"/>
              </w:rPr>
              <w:t>另外，建设单位必须做好员工的防护措施（如配带口罩）</w:t>
            </w:r>
            <w:r>
              <w:rPr>
                <w:rFonts w:hint="default" w:ascii="Times New Roman" w:hAnsi="Times New Roman" w:cs="Times New Roman"/>
                <w:color w:val="auto"/>
                <w:sz w:val="24"/>
                <w:highlight w:val="none"/>
              </w:rPr>
              <w:t>，以确保员工身体健康不受到影响，</w:t>
            </w:r>
            <w:r>
              <w:rPr>
                <w:rFonts w:hint="default" w:ascii="Times New Roman" w:hAnsi="Times New Roman" w:cs="Times New Roman"/>
                <w:color w:val="auto"/>
                <w:kern w:val="0"/>
                <w:sz w:val="24"/>
                <w:highlight w:val="none"/>
              </w:rPr>
              <w:t>则不会对周围空气环境造成明显影响</w:t>
            </w:r>
            <w:r>
              <w:rPr>
                <w:rFonts w:hint="default" w:ascii="Times New Roman" w:hAnsi="Times New Roman" w:cs="Times New Roman"/>
                <w:color w:val="auto"/>
                <w:spacing w:val="-2"/>
                <w:sz w:val="24"/>
                <w:highlight w:val="none"/>
              </w:rPr>
              <w:t>。</w:t>
            </w:r>
          </w:p>
          <w:p>
            <w:pPr>
              <w:spacing w:line="360" w:lineRule="auto"/>
              <w:ind w:firstLine="482" w:firstLineChars="200"/>
              <w:rPr>
                <w:rFonts w:ascii="Times New Roman" w:hAnsi="Times New Roman"/>
                <w:color w:val="auto"/>
                <w:sz w:val="24"/>
                <w:szCs w:val="24"/>
              </w:rPr>
            </w:pPr>
            <w:r>
              <w:rPr>
                <w:rFonts w:hint="eastAsia"/>
                <w:b/>
                <w:color w:val="auto"/>
                <w:sz w:val="24"/>
                <w:highlight w:val="none"/>
              </w:rPr>
              <w:t>抛光工序：</w:t>
            </w:r>
            <w:r>
              <w:rPr>
                <w:rFonts w:hint="eastAsia"/>
                <w:color w:val="auto"/>
                <w:sz w:val="24"/>
                <w:highlight w:val="none"/>
              </w:rPr>
              <w:t>项目</w:t>
            </w:r>
            <w:r>
              <w:rPr>
                <w:rFonts w:hint="eastAsia"/>
                <w:color w:val="auto"/>
                <w:sz w:val="24"/>
                <w:highlight w:val="none"/>
                <w:lang w:eastAsia="zh-CN"/>
              </w:rPr>
              <w:t>抛光工序</w:t>
            </w:r>
            <w:r>
              <w:rPr>
                <w:rFonts w:hint="eastAsia"/>
                <w:color w:val="auto"/>
                <w:sz w:val="24"/>
                <w:highlight w:val="none"/>
              </w:rPr>
              <w:t>在</w:t>
            </w:r>
            <w:r>
              <w:rPr>
                <w:rFonts w:hint="eastAsia"/>
                <w:b w:val="0"/>
                <w:bCs w:val="0"/>
                <w:color w:val="auto"/>
                <w:sz w:val="24"/>
                <w:szCs w:val="24"/>
                <w:vertAlign w:val="baseline"/>
                <w:lang w:val="en-US" w:eastAsia="zh-CN"/>
              </w:rPr>
              <w:t>加工过程</w:t>
            </w:r>
            <w:r>
              <w:rPr>
                <w:rFonts w:hint="eastAsia"/>
                <w:color w:val="auto"/>
                <w:sz w:val="24"/>
                <w:highlight w:val="none"/>
              </w:rPr>
              <w:t>中会产生一定量的粉尘，</w:t>
            </w:r>
            <w:r>
              <w:rPr>
                <w:rFonts w:hint="eastAsia"/>
                <w:bCs/>
                <w:color w:val="auto"/>
                <w:sz w:val="24"/>
                <w:highlight w:val="none"/>
              </w:rPr>
              <w:t>引用《第一次全国污染源普查工业污染物产排污系数手册》中金属加工的粉尘产污系数为1.523kg/t，由于原材料损耗较少，本项目以原材料用量计，</w:t>
            </w:r>
            <w:r>
              <w:rPr>
                <w:rFonts w:hint="eastAsia"/>
                <w:bCs/>
                <w:color w:val="auto"/>
                <w:sz w:val="24"/>
                <w:highlight w:val="none"/>
                <w:lang w:val="en-US" w:eastAsia="zh-CN"/>
              </w:rPr>
              <w:t>铜锭</w:t>
            </w:r>
            <w:r>
              <w:rPr>
                <w:rFonts w:hint="eastAsia"/>
                <w:color w:val="auto"/>
                <w:sz w:val="24"/>
                <w:highlight w:val="none"/>
              </w:rPr>
              <w:t>用量</w:t>
            </w:r>
            <w:r>
              <w:rPr>
                <w:rFonts w:hint="eastAsia"/>
                <w:color w:val="auto"/>
                <w:sz w:val="24"/>
                <w:highlight w:val="none"/>
                <w:lang w:val="en-US" w:eastAsia="zh-CN"/>
              </w:rPr>
              <w:t>为80</w:t>
            </w:r>
            <w:r>
              <w:rPr>
                <w:rFonts w:hint="eastAsia"/>
                <w:color w:val="auto"/>
                <w:sz w:val="24"/>
                <w:highlight w:val="none"/>
              </w:rPr>
              <w:t>t</w:t>
            </w:r>
            <w:r>
              <w:rPr>
                <w:color w:val="auto"/>
                <w:sz w:val="24"/>
                <w:highlight w:val="none"/>
              </w:rPr>
              <w:t>/a</w:t>
            </w:r>
            <w:r>
              <w:rPr>
                <w:rFonts w:hint="eastAsia"/>
                <w:color w:val="auto"/>
                <w:sz w:val="24"/>
                <w:highlight w:val="none"/>
              </w:rPr>
              <w:t>，则粉尘产生量为</w:t>
            </w:r>
            <w:r>
              <w:rPr>
                <w:rFonts w:hint="eastAsia"/>
                <w:color w:val="auto"/>
                <w:sz w:val="24"/>
                <w:highlight w:val="none"/>
                <w:lang w:val="en-US" w:eastAsia="zh-CN"/>
              </w:rPr>
              <w:t>0.12t</w:t>
            </w:r>
            <w:r>
              <w:rPr>
                <w:rFonts w:hint="eastAsia"/>
                <w:color w:val="auto"/>
                <w:sz w:val="24"/>
                <w:highlight w:val="none"/>
              </w:rPr>
              <w:t>/a。</w:t>
            </w:r>
            <w:r>
              <w:rPr>
                <w:rFonts w:hint="eastAsia" w:hAnsi="宋体"/>
                <w:color w:val="auto"/>
                <w:sz w:val="24"/>
              </w:rPr>
              <w:t>项目设有抛光机</w:t>
            </w:r>
            <w:r>
              <w:rPr>
                <w:rFonts w:hint="eastAsia" w:hAnsi="宋体"/>
                <w:color w:val="auto"/>
                <w:sz w:val="24"/>
                <w:lang w:val="en-US" w:eastAsia="zh-CN"/>
              </w:rPr>
              <w:t>18</w:t>
            </w:r>
            <w:r>
              <w:rPr>
                <w:rFonts w:hint="eastAsia" w:hAnsi="宋体"/>
                <w:color w:val="auto"/>
                <w:sz w:val="24"/>
              </w:rPr>
              <w:t>台，</w:t>
            </w:r>
            <w:r>
              <w:rPr>
                <w:rFonts w:hint="eastAsia" w:hAnsi="宋体"/>
                <w:color w:val="auto"/>
                <w:sz w:val="24"/>
                <w:lang w:val="en-US" w:eastAsia="zh-CN"/>
              </w:rPr>
              <w:t>36</w:t>
            </w:r>
            <w:r>
              <w:rPr>
                <w:rFonts w:hint="eastAsia" w:hAnsi="宋体"/>
                <w:color w:val="auto"/>
                <w:sz w:val="24"/>
              </w:rPr>
              <w:t>个工位，拟将抛光机三面围挡，在工位</w:t>
            </w:r>
            <w:r>
              <w:rPr>
                <w:rFonts w:hint="eastAsia" w:hAnsi="宋体"/>
                <w:color w:val="auto"/>
                <w:sz w:val="24"/>
                <w:lang w:eastAsia="zh-CN"/>
              </w:rPr>
              <w:t>侧方</w:t>
            </w:r>
            <w:r>
              <w:rPr>
                <w:rFonts w:hint="eastAsia" w:hAnsi="宋体"/>
                <w:color w:val="auto"/>
                <w:sz w:val="24"/>
              </w:rPr>
              <w:t>设置集气罩</w:t>
            </w:r>
            <w:r>
              <w:rPr>
                <w:rFonts w:hint="eastAsia" w:hAnsi="宋体"/>
                <w:color w:val="auto"/>
                <w:sz w:val="24"/>
                <w:lang w:eastAsia="zh-CN"/>
              </w:rPr>
              <w:t>（背面侧吸）</w:t>
            </w:r>
            <w:r>
              <w:rPr>
                <w:rFonts w:hint="eastAsia" w:hAnsi="宋体"/>
                <w:color w:val="auto"/>
                <w:sz w:val="24"/>
              </w:rPr>
              <w:t>，</w:t>
            </w:r>
            <w:r>
              <w:rPr>
                <w:rFonts w:ascii="Times New Roman" w:hAnsi="Times New Roman"/>
                <w:color w:val="auto"/>
                <w:sz w:val="24"/>
              </w:rPr>
              <w:t>按照《环境工程设计手册》（湖南科学技术出版社），在较稳定状态下，产生</w:t>
            </w:r>
            <w:r>
              <w:rPr>
                <w:rFonts w:hint="eastAsia" w:ascii="Times New Roman" w:hAnsi="Times New Roman"/>
                <w:color w:val="auto"/>
                <w:sz w:val="24"/>
                <w:lang w:val="en-US" w:eastAsia="zh-CN"/>
              </w:rPr>
              <w:t>以高速散发到空气运动</w:t>
            </w:r>
            <w:r>
              <w:rPr>
                <w:rFonts w:ascii="Times New Roman" w:hAnsi="Times New Roman"/>
                <w:color w:val="auto"/>
                <w:sz w:val="24"/>
              </w:rPr>
              <w:t>的抽风口风速可取</w:t>
            </w:r>
            <w:r>
              <w:rPr>
                <w:rFonts w:hint="eastAsia" w:ascii="Times New Roman" w:hAnsi="Times New Roman"/>
                <w:color w:val="auto"/>
                <w:sz w:val="24"/>
                <w:lang w:val="en-US" w:eastAsia="zh-CN"/>
              </w:rPr>
              <w:t>2.5</w:t>
            </w:r>
            <w:r>
              <w:rPr>
                <w:rFonts w:ascii="Times New Roman" w:hAnsi="Times New Roman"/>
                <w:color w:val="auto"/>
                <w:sz w:val="24"/>
              </w:rPr>
              <w:t>m/s-</w:t>
            </w:r>
            <w:r>
              <w:rPr>
                <w:rFonts w:hint="eastAsia" w:ascii="Times New Roman" w:hAnsi="Times New Roman"/>
                <w:color w:val="auto"/>
                <w:sz w:val="24"/>
                <w:lang w:val="en-US" w:eastAsia="zh-CN"/>
              </w:rPr>
              <w:t>10</w:t>
            </w:r>
            <w:r>
              <w:rPr>
                <w:rFonts w:ascii="Times New Roman" w:hAnsi="Times New Roman"/>
                <w:color w:val="auto"/>
                <w:sz w:val="24"/>
              </w:rPr>
              <w:t>m/s，为保证收集效率，本环评取抽风口风速为</w:t>
            </w:r>
            <w:r>
              <w:rPr>
                <w:rFonts w:hint="eastAsia" w:ascii="Times New Roman" w:hAnsi="Times New Roman"/>
                <w:color w:val="auto"/>
                <w:sz w:val="24"/>
                <w:lang w:val="en-US" w:eastAsia="zh-CN"/>
              </w:rPr>
              <w:t>2.5</w:t>
            </w:r>
            <w:r>
              <w:rPr>
                <w:rFonts w:ascii="Times New Roman" w:hAnsi="Times New Roman"/>
                <w:color w:val="auto"/>
                <w:sz w:val="24"/>
              </w:rPr>
              <w:t>m/s</w:t>
            </w:r>
            <w:r>
              <w:rPr>
                <w:rFonts w:ascii="Times New Roman" w:hAnsi="Times New Roman"/>
                <w:color w:val="auto"/>
                <w:sz w:val="24"/>
                <w:szCs w:val="24"/>
              </w:rPr>
              <w:t>，则按照以下经验公式计算得出抛光机所需的风量：</w:t>
            </w:r>
          </w:p>
          <w:p>
            <w:pPr>
              <w:widowControl/>
              <w:snapToGrid w:val="0"/>
              <w:spacing w:line="360" w:lineRule="auto"/>
              <w:ind w:firstLine="480" w:firstLineChars="200"/>
              <w:jc w:val="center"/>
              <w:rPr>
                <w:rFonts w:ascii="Times New Roman" w:hAnsi="Times New Roman"/>
                <w:color w:val="auto"/>
                <w:sz w:val="24"/>
                <w:szCs w:val="24"/>
              </w:rPr>
            </w:pPr>
            <w:r>
              <w:rPr>
                <w:rFonts w:ascii="Times New Roman" w:hAnsi="Times New Roman"/>
                <w:color w:val="auto"/>
                <w:sz w:val="24"/>
                <w:szCs w:val="24"/>
              </w:rPr>
              <w:t>Q=v×F</w:t>
            </w:r>
          </w:p>
          <w:p>
            <w:pPr>
              <w:adjustRightInd w:val="0"/>
              <w:snapToGrid w:val="0"/>
              <w:spacing w:line="360" w:lineRule="auto"/>
              <w:ind w:firstLine="480" w:firstLineChars="200"/>
              <w:jc w:val="left"/>
              <w:rPr>
                <w:rFonts w:ascii="Times New Roman" w:hAnsi="Times New Roman"/>
                <w:bCs/>
                <w:color w:val="auto"/>
                <w:sz w:val="24"/>
                <w:szCs w:val="24"/>
              </w:rPr>
            </w:pPr>
            <w:r>
              <w:rPr>
                <w:rFonts w:ascii="Times New Roman" w:hAnsi="Times New Roman"/>
                <w:bCs/>
                <w:color w:val="auto"/>
                <w:sz w:val="24"/>
                <w:szCs w:val="24"/>
              </w:rPr>
              <w:t>式中：v—工作孔上的吸入速度，m/s，</w:t>
            </w:r>
            <w:r>
              <w:rPr>
                <w:rFonts w:ascii="Times New Roman" w:hAnsi="Times New Roman"/>
                <w:color w:val="auto"/>
                <w:sz w:val="24"/>
                <w:szCs w:val="24"/>
              </w:rPr>
              <w:t>选取抛光机的</w:t>
            </w:r>
            <w:r>
              <w:rPr>
                <w:rFonts w:ascii="Times New Roman" w:hAnsi="Times New Roman"/>
                <w:bCs/>
                <w:color w:val="auto"/>
                <w:sz w:val="24"/>
                <w:szCs w:val="24"/>
              </w:rPr>
              <w:t>吸入速度v</w:t>
            </w:r>
            <w:r>
              <w:rPr>
                <w:rFonts w:ascii="Times New Roman" w:hAnsi="Times New Roman"/>
                <w:color w:val="auto"/>
                <w:sz w:val="24"/>
                <w:szCs w:val="24"/>
              </w:rPr>
              <w:t>=</w:t>
            </w:r>
            <w:r>
              <w:rPr>
                <w:rFonts w:hint="eastAsia" w:ascii="Times New Roman" w:hAnsi="Times New Roman"/>
                <w:color w:val="auto"/>
                <w:sz w:val="24"/>
                <w:szCs w:val="24"/>
                <w:lang w:val="en-US" w:eastAsia="zh-CN"/>
              </w:rPr>
              <w:t>2.5</w:t>
            </w:r>
            <w:r>
              <w:rPr>
                <w:rFonts w:ascii="Times New Roman" w:hAnsi="Times New Roman"/>
                <w:color w:val="auto"/>
                <w:sz w:val="24"/>
                <w:szCs w:val="24"/>
              </w:rPr>
              <w:t>m/s</w:t>
            </w:r>
            <w:r>
              <w:rPr>
                <w:rFonts w:ascii="Times New Roman" w:hAnsi="Times New Roman"/>
                <w:bCs/>
                <w:color w:val="auto"/>
                <w:sz w:val="24"/>
                <w:szCs w:val="24"/>
              </w:rPr>
              <w:t>；</w:t>
            </w:r>
          </w:p>
          <w:p>
            <w:pPr>
              <w:autoSpaceDE w:val="0"/>
              <w:autoSpaceDN w:val="0"/>
              <w:adjustRightInd w:val="0"/>
              <w:spacing w:line="360" w:lineRule="auto"/>
              <w:ind w:left="239" w:leftChars="114" w:firstLine="360" w:firstLineChars="150"/>
              <w:jc w:val="left"/>
              <w:rPr>
                <w:rFonts w:ascii="Times New Roman" w:hAnsi="Times New Roman"/>
                <w:color w:val="auto"/>
                <w:kern w:val="0"/>
                <w:sz w:val="24"/>
              </w:rPr>
            </w:pPr>
            <w:r>
              <w:rPr>
                <w:rFonts w:ascii="Times New Roman" w:hAnsi="Times New Roman"/>
                <w:bCs/>
                <w:color w:val="auto"/>
                <w:sz w:val="24"/>
                <w:szCs w:val="24"/>
              </w:rPr>
              <w:t>F—工作孔及不严密缝隙面积，m</w:t>
            </w:r>
            <w:r>
              <w:rPr>
                <w:rFonts w:ascii="Times New Roman" w:hAnsi="Times New Roman"/>
                <w:bCs/>
                <w:color w:val="auto"/>
                <w:sz w:val="24"/>
                <w:szCs w:val="24"/>
                <w:vertAlign w:val="superscript"/>
              </w:rPr>
              <w:t>2</w:t>
            </w:r>
            <w:r>
              <w:rPr>
                <w:rFonts w:ascii="Times New Roman" w:hAnsi="Times New Roman"/>
                <w:bCs/>
                <w:color w:val="auto"/>
                <w:sz w:val="24"/>
                <w:szCs w:val="24"/>
              </w:rPr>
              <w:t>，</w:t>
            </w:r>
            <w:r>
              <w:rPr>
                <w:rFonts w:ascii="Times New Roman" w:hAnsi="Times New Roman"/>
                <w:color w:val="auto"/>
                <w:sz w:val="24"/>
                <w:szCs w:val="24"/>
              </w:rPr>
              <w:t>选取抛光机</w:t>
            </w:r>
            <w:r>
              <w:rPr>
                <w:rFonts w:ascii="Times New Roman" w:hAnsi="Times New Roman"/>
                <w:bCs/>
                <w:color w:val="auto"/>
                <w:sz w:val="24"/>
                <w:szCs w:val="24"/>
              </w:rPr>
              <w:t>缝隙面积F=</w:t>
            </w:r>
            <w:r>
              <w:rPr>
                <w:rFonts w:hint="eastAsia" w:ascii="Times New Roman" w:hAnsi="Times New Roman"/>
                <w:bCs/>
                <w:color w:val="auto"/>
                <w:sz w:val="24"/>
                <w:szCs w:val="24"/>
                <w:lang w:val="en-US" w:eastAsia="zh-CN"/>
              </w:rPr>
              <w:t>0.</w:t>
            </w:r>
            <w:r>
              <w:rPr>
                <w:rFonts w:hint="eastAsia"/>
                <w:bCs/>
                <w:color w:val="auto"/>
                <w:sz w:val="24"/>
                <w:szCs w:val="24"/>
                <w:lang w:val="en-US" w:eastAsia="zh-CN"/>
              </w:rPr>
              <w:t>2</w:t>
            </w:r>
            <w:r>
              <w:rPr>
                <w:rFonts w:ascii="Times New Roman" w:hAnsi="Times New Roman"/>
                <w:bCs/>
                <w:color w:val="auto"/>
                <w:sz w:val="24"/>
                <w:szCs w:val="24"/>
              </w:rPr>
              <w:t>m</w:t>
            </w:r>
            <w:r>
              <w:rPr>
                <w:rFonts w:ascii="Times New Roman" w:hAnsi="Times New Roman"/>
                <w:bCs/>
                <w:color w:val="auto"/>
                <w:sz w:val="24"/>
                <w:szCs w:val="24"/>
                <w:vertAlign w:val="superscript"/>
              </w:rPr>
              <w:t>2</w:t>
            </w:r>
            <w:r>
              <w:rPr>
                <w:rFonts w:ascii="Times New Roman" w:hAnsi="Times New Roman"/>
                <w:bCs/>
                <w:color w:val="auto"/>
                <w:sz w:val="24"/>
                <w:szCs w:val="24"/>
              </w:rPr>
              <w:t>；</w:t>
            </w:r>
          </w:p>
          <w:p>
            <w:pPr>
              <w:snapToGrid w:val="0"/>
              <w:spacing w:line="348" w:lineRule="auto"/>
              <w:ind w:firstLine="480" w:firstLineChars="200"/>
              <w:rPr>
                <w:rFonts w:hint="eastAsia" w:hAnsi="宋体" w:eastAsia="宋体"/>
                <w:color w:val="auto"/>
                <w:sz w:val="24"/>
                <w:shd w:val="clear" w:color="auto" w:fill="auto"/>
                <w:lang w:eastAsia="zh-CN"/>
              </w:rPr>
            </w:pPr>
            <w:r>
              <w:rPr>
                <w:rFonts w:ascii="Times New Roman" w:hAnsi="Times New Roman"/>
                <w:color w:val="auto"/>
                <w:sz w:val="24"/>
              </w:rPr>
              <w:t>则每个集气罩的风量约为</w:t>
            </w:r>
            <w:r>
              <w:rPr>
                <w:rFonts w:hint="eastAsia"/>
                <w:color w:val="auto"/>
                <w:sz w:val="24"/>
                <w:lang w:val="en-US" w:eastAsia="zh-CN"/>
              </w:rPr>
              <w:t>1800</w:t>
            </w:r>
            <w:r>
              <w:rPr>
                <w:rFonts w:ascii="Times New Roman" w:hAnsi="Times New Roman"/>
                <w:color w:val="auto"/>
                <w:sz w:val="24"/>
              </w:rPr>
              <w:t>m</w:t>
            </w:r>
            <w:r>
              <w:rPr>
                <w:rFonts w:ascii="Times New Roman" w:hAnsi="Times New Roman"/>
                <w:color w:val="auto"/>
                <w:sz w:val="24"/>
                <w:vertAlign w:val="superscript"/>
              </w:rPr>
              <w:t>3</w:t>
            </w:r>
            <w:r>
              <w:rPr>
                <w:rFonts w:ascii="Times New Roman" w:hAnsi="Times New Roman"/>
                <w:color w:val="auto"/>
                <w:sz w:val="24"/>
              </w:rPr>
              <w:t>/h，项目共设有</w:t>
            </w:r>
            <w:r>
              <w:rPr>
                <w:rFonts w:hint="eastAsia"/>
                <w:color w:val="auto"/>
                <w:sz w:val="24"/>
                <w:lang w:val="en-US" w:eastAsia="zh-CN"/>
              </w:rPr>
              <w:t>36</w:t>
            </w:r>
            <w:r>
              <w:rPr>
                <w:rFonts w:ascii="Times New Roman" w:hAnsi="Times New Roman"/>
                <w:color w:val="auto"/>
                <w:sz w:val="24"/>
              </w:rPr>
              <w:t>个集气罩，即设计的总风量为</w:t>
            </w:r>
            <w:r>
              <w:rPr>
                <w:rFonts w:hint="eastAsia"/>
                <w:color w:val="auto"/>
                <w:sz w:val="24"/>
                <w:lang w:val="en-US" w:eastAsia="zh-CN"/>
              </w:rPr>
              <w:t>64800</w:t>
            </w:r>
            <w:r>
              <w:rPr>
                <w:rFonts w:ascii="Times New Roman" w:hAnsi="Times New Roman"/>
                <w:color w:val="auto"/>
                <w:sz w:val="24"/>
              </w:rPr>
              <w:t>m</w:t>
            </w:r>
            <w:r>
              <w:rPr>
                <w:rFonts w:ascii="Times New Roman" w:hAnsi="Times New Roman"/>
                <w:color w:val="auto"/>
                <w:sz w:val="24"/>
                <w:vertAlign w:val="superscript"/>
              </w:rPr>
              <w:t>3</w:t>
            </w:r>
            <w:r>
              <w:rPr>
                <w:rFonts w:ascii="Times New Roman" w:hAnsi="Times New Roman"/>
                <w:color w:val="auto"/>
                <w:sz w:val="24"/>
              </w:rPr>
              <w:t>/h。</w:t>
            </w:r>
            <w:r>
              <w:rPr>
                <w:rFonts w:hint="eastAsia" w:hAnsi="宋体"/>
                <w:color w:val="auto"/>
                <w:sz w:val="24"/>
                <w:lang w:eastAsia="zh-CN"/>
              </w:rPr>
              <w:t>根据集气罩的设置情况，</w:t>
            </w:r>
            <w:r>
              <w:rPr>
                <w:rFonts w:hint="eastAsia" w:hAnsi="宋体"/>
                <w:color w:val="auto"/>
                <w:sz w:val="24"/>
              </w:rPr>
              <w:t>收集效率可达80%，将粉尘收集</w:t>
            </w:r>
            <w:r>
              <w:rPr>
                <w:rFonts w:hint="eastAsia" w:hAnsi="宋体"/>
                <w:color w:val="auto"/>
                <w:sz w:val="24"/>
                <w:lang w:eastAsia="zh-CN"/>
              </w:rPr>
              <w:t>后引</w:t>
            </w:r>
            <w:r>
              <w:rPr>
                <w:rFonts w:hint="eastAsia" w:hAnsi="宋体"/>
                <w:color w:val="auto"/>
                <w:sz w:val="24"/>
              </w:rPr>
              <w:t>至</w:t>
            </w:r>
            <w:r>
              <w:rPr>
                <w:rFonts w:hint="eastAsia"/>
                <w:color w:val="auto"/>
                <w:sz w:val="24"/>
                <w:shd w:val="clear" w:color="auto" w:fill="auto"/>
              </w:rPr>
              <w:t>布袋除尘装置</w:t>
            </w:r>
            <w:r>
              <w:rPr>
                <w:rFonts w:hint="eastAsia" w:hAnsi="宋体"/>
                <w:color w:val="auto"/>
                <w:sz w:val="24"/>
              </w:rPr>
              <w:t>处理，处理效率可达</w:t>
            </w:r>
            <w:r>
              <w:rPr>
                <w:rFonts w:hint="eastAsia" w:hAnsi="宋体"/>
                <w:color w:val="auto"/>
                <w:sz w:val="24"/>
                <w:lang w:val="en-US" w:eastAsia="zh-CN"/>
              </w:rPr>
              <w:t>99</w:t>
            </w:r>
            <w:r>
              <w:rPr>
                <w:rFonts w:hint="eastAsia" w:hAnsi="宋体"/>
                <w:color w:val="auto"/>
                <w:sz w:val="24"/>
              </w:rPr>
              <w:t>%，处理达标后经排气筒引至楼顶高空排放</w:t>
            </w:r>
            <w:r>
              <w:rPr>
                <w:color w:val="auto"/>
                <w:sz w:val="24"/>
              </w:rPr>
              <w:t>（编号为G</w:t>
            </w:r>
            <w:r>
              <w:rPr>
                <w:rFonts w:hint="eastAsia"/>
                <w:color w:val="auto"/>
                <w:sz w:val="24"/>
                <w:lang w:val="en-US" w:eastAsia="zh-CN"/>
              </w:rPr>
              <w:t>2</w:t>
            </w:r>
            <w:r>
              <w:rPr>
                <w:color w:val="auto"/>
                <w:sz w:val="24"/>
              </w:rPr>
              <w:t>）</w:t>
            </w:r>
            <w:r>
              <w:rPr>
                <w:rFonts w:hint="eastAsia" w:hAnsi="宋体"/>
                <w:color w:val="auto"/>
                <w:sz w:val="24"/>
              </w:rPr>
              <w:t>，排气筒高度不低于15米。项目</w:t>
            </w:r>
            <w:r>
              <w:rPr>
                <w:rFonts w:hint="eastAsia" w:hAnsi="宋体"/>
                <w:color w:val="auto"/>
                <w:sz w:val="24"/>
                <w:lang w:eastAsia="zh-CN"/>
              </w:rPr>
              <w:t>抛光工序</w:t>
            </w:r>
            <w:r>
              <w:rPr>
                <w:rFonts w:hint="eastAsia" w:hAnsi="宋体"/>
                <w:color w:val="auto"/>
                <w:sz w:val="24"/>
              </w:rPr>
              <w:t>粉尘产生和排放情况如下表所示。</w:t>
            </w:r>
          </w:p>
          <w:p>
            <w:pPr>
              <w:pStyle w:val="139"/>
              <w:numPr>
                <w:ilvl w:val="0"/>
                <w:numId w:val="5"/>
              </w:numPr>
              <w:tabs>
                <w:tab w:val="left" w:pos="420"/>
              </w:tabs>
              <w:spacing w:line="360" w:lineRule="auto"/>
              <w:ind w:left="0" w:firstLine="471"/>
              <w:rPr>
                <w:rFonts w:hint="default" w:eastAsia="宋体" w:cs="Times New Roman"/>
                <w:b/>
                <w:color w:val="auto"/>
                <w:sz w:val="21"/>
                <w:szCs w:val="21"/>
                <w:shd w:val="clear" w:color="auto" w:fill="auto"/>
              </w:rPr>
            </w:pPr>
            <w:r>
              <w:rPr>
                <w:rFonts w:hint="eastAsia" w:eastAsia="宋体" w:cs="Times New Roman"/>
                <w:b/>
                <w:color w:val="auto"/>
                <w:sz w:val="21"/>
                <w:szCs w:val="21"/>
                <w:shd w:val="clear" w:color="auto" w:fill="auto"/>
                <w:lang w:eastAsia="zh-CN"/>
              </w:rPr>
              <w:t>粉尘产生和</w:t>
            </w:r>
            <w:r>
              <w:rPr>
                <w:rFonts w:hint="default" w:eastAsia="宋体" w:cs="Times New Roman"/>
                <w:b/>
                <w:color w:val="auto"/>
                <w:sz w:val="21"/>
                <w:szCs w:val="21"/>
                <w:shd w:val="clear" w:color="auto" w:fill="auto"/>
              </w:rPr>
              <w:t>排放情况一览表</w:t>
            </w:r>
          </w:p>
          <w:tbl>
            <w:tblPr>
              <w:tblStyle w:val="41"/>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1245"/>
              <w:gridCol w:w="1251"/>
              <w:gridCol w:w="1185"/>
              <w:gridCol w:w="1050"/>
              <w:gridCol w:w="1365"/>
              <w:gridCol w:w="1185"/>
              <w:gridCol w:w="1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6" w:type="dxa"/>
                  <w:tcBorders>
                    <w:tl2br w:val="nil"/>
                    <w:tr2bl w:val="nil"/>
                  </w:tcBorders>
                  <w:vAlign w:val="center"/>
                </w:tcPr>
                <w:p>
                  <w:pPr>
                    <w:kinsoku w:val="0"/>
                    <w:snapToGrid w:val="0"/>
                    <w:jc w:val="center"/>
                    <w:outlineLvl w:val="0"/>
                    <w:rPr>
                      <w:bCs/>
                      <w:color w:val="auto"/>
                      <w:szCs w:val="21"/>
                    </w:rPr>
                  </w:pPr>
                  <w:r>
                    <w:rPr>
                      <w:b/>
                      <w:color w:val="auto"/>
                      <w:szCs w:val="21"/>
                    </w:rPr>
                    <w:t>污染物</w:t>
                  </w:r>
                </w:p>
              </w:tc>
              <w:tc>
                <w:tcPr>
                  <w:tcW w:w="1245" w:type="dxa"/>
                  <w:tcBorders>
                    <w:tl2br w:val="nil"/>
                    <w:tr2bl w:val="nil"/>
                  </w:tcBorders>
                  <w:vAlign w:val="center"/>
                </w:tcPr>
                <w:p>
                  <w:pPr>
                    <w:kinsoku w:val="0"/>
                    <w:snapToGrid w:val="0"/>
                    <w:jc w:val="center"/>
                    <w:outlineLvl w:val="0"/>
                    <w:rPr>
                      <w:bCs/>
                      <w:color w:val="auto"/>
                      <w:szCs w:val="21"/>
                    </w:rPr>
                  </w:pPr>
                  <w:r>
                    <w:rPr>
                      <w:b/>
                      <w:color w:val="auto"/>
                      <w:szCs w:val="21"/>
                    </w:rPr>
                    <w:t>排放方式</w:t>
                  </w:r>
                </w:p>
              </w:tc>
              <w:tc>
                <w:tcPr>
                  <w:tcW w:w="1251" w:type="dxa"/>
                  <w:tcBorders>
                    <w:tl2br w:val="nil"/>
                    <w:tr2bl w:val="nil"/>
                  </w:tcBorders>
                  <w:vAlign w:val="center"/>
                </w:tcPr>
                <w:p>
                  <w:pPr>
                    <w:kinsoku w:val="0"/>
                    <w:snapToGrid w:val="0"/>
                    <w:jc w:val="center"/>
                    <w:outlineLvl w:val="0"/>
                    <w:rPr>
                      <w:color w:val="auto"/>
                    </w:rPr>
                  </w:pPr>
                  <w:r>
                    <w:rPr>
                      <w:b/>
                      <w:color w:val="auto"/>
                      <w:szCs w:val="21"/>
                    </w:rPr>
                    <w:t>产生浓度（mg/m³）</w:t>
                  </w:r>
                </w:p>
              </w:tc>
              <w:tc>
                <w:tcPr>
                  <w:tcW w:w="1185" w:type="dxa"/>
                  <w:tcBorders>
                    <w:tl2br w:val="nil"/>
                    <w:tr2bl w:val="nil"/>
                  </w:tcBorders>
                  <w:vAlign w:val="center"/>
                </w:tcPr>
                <w:p>
                  <w:pPr>
                    <w:kinsoku w:val="0"/>
                    <w:snapToGrid w:val="0"/>
                    <w:jc w:val="center"/>
                    <w:outlineLvl w:val="0"/>
                    <w:rPr>
                      <w:b/>
                      <w:color w:val="auto"/>
                      <w:szCs w:val="21"/>
                    </w:rPr>
                  </w:pPr>
                  <w:r>
                    <w:rPr>
                      <w:b/>
                      <w:color w:val="auto"/>
                      <w:szCs w:val="21"/>
                    </w:rPr>
                    <w:t>产生速率</w:t>
                  </w:r>
                </w:p>
                <w:p>
                  <w:pPr>
                    <w:kinsoku w:val="0"/>
                    <w:snapToGrid w:val="0"/>
                    <w:jc w:val="center"/>
                    <w:outlineLvl w:val="0"/>
                    <w:rPr>
                      <w:bCs/>
                      <w:color w:val="auto"/>
                      <w:szCs w:val="21"/>
                    </w:rPr>
                  </w:pPr>
                  <w:r>
                    <w:rPr>
                      <w:b/>
                      <w:color w:val="auto"/>
                      <w:szCs w:val="21"/>
                    </w:rPr>
                    <w:t>（kg/h）</w:t>
                  </w:r>
                </w:p>
              </w:tc>
              <w:tc>
                <w:tcPr>
                  <w:tcW w:w="1050" w:type="dxa"/>
                  <w:tcBorders>
                    <w:tl2br w:val="nil"/>
                    <w:tr2bl w:val="nil"/>
                  </w:tcBorders>
                  <w:vAlign w:val="center"/>
                </w:tcPr>
                <w:p>
                  <w:pPr>
                    <w:kinsoku w:val="0"/>
                    <w:snapToGrid w:val="0"/>
                    <w:jc w:val="center"/>
                    <w:outlineLvl w:val="0"/>
                    <w:rPr>
                      <w:b/>
                      <w:color w:val="auto"/>
                      <w:szCs w:val="21"/>
                    </w:rPr>
                  </w:pPr>
                  <w:r>
                    <w:rPr>
                      <w:b/>
                      <w:color w:val="auto"/>
                      <w:szCs w:val="21"/>
                    </w:rPr>
                    <w:t>产生量</w:t>
                  </w:r>
                </w:p>
                <w:p>
                  <w:pPr>
                    <w:kinsoku w:val="0"/>
                    <w:snapToGrid w:val="0"/>
                    <w:jc w:val="center"/>
                    <w:outlineLvl w:val="0"/>
                    <w:rPr>
                      <w:color w:val="auto"/>
                    </w:rPr>
                  </w:pPr>
                  <w:r>
                    <w:rPr>
                      <w:b/>
                      <w:color w:val="auto"/>
                      <w:szCs w:val="21"/>
                    </w:rPr>
                    <w:t>（</w:t>
                  </w:r>
                  <w:r>
                    <w:rPr>
                      <w:rFonts w:hint="eastAsia"/>
                      <w:b/>
                      <w:color w:val="auto"/>
                      <w:szCs w:val="21"/>
                    </w:rPr>
                    <w:t>t</w:t>
                  </w:r>
                  <w:r>
                    <w:rPr>
                      <w:b/>
                      <w:color w:val="auto"/>
                      <w:szCs w:val="21"/>
                    </w:rPr>
                    <w:t>/a）</w:t>
                  </w:r>
                </w:p>
              </w:tc>
              <w:tc>
                <w:tcPr>
                  <w:tcW w:w="1365" w:type="dxa"/>
                  <w:tcBorders>
                    <w:tl2br w:val="nil"/>
                    <w:tr2bl w:val="nil"/>
                  </w:tcBorders>
                  <w:vAlign w:val="center"/>
                </w:tcPr>
                <w:p>
                  <w:pPr>
                    <w:kinsoku w:val="0"/>
                    <w:snapToGrid w:val="0"/>
                    <w:jc w:val="center"/>
                    <w:outlineLvl w:val="0"/>
                    <w:rPr>
                      <w:b/>
                      <w:color w:val="auto"/>
                      <w:szCs w:val="21"/>
                    </w:rPr>
                  </w:pPr>
                  <w:r>
                    <w:rPr>
                      <w:b/>
                      <w:color w:val="auto"/>
                      <w:szCs w:val="21"/>
                    </w:rPr>
                    <w:t>排放浓度</w:t>
                  </w:r>
                </w:p>
                <w:p>
                  <w:pPr>
                    <w:kinsoku w:val="0"/>
                    <w:snapToGrid w:val="0"/>
                    <w:jc w:val="center"/>
                    <w:outlineLvl w:val="0"/>
                    <w:rPr>
                      <w:color w:val="auto"/>
                    </w:rPr>
                  </w:pPr>
                  <w:r>
                    <w:rPr>
                      <w:b/>
                      <w:color w:val="auto"/>
                      <w:szCs w:val="21"/>
                    </w:rPr>
                    <w:t>（mg/m³）</w:t>
                  </w:r>
                </w:p>
              </w:tc>
              <w:tc>
                <w:tcPr>
                  <w:tcW w:w="1185" w:type="dxa"/>
                  <w:tcBorders>
                    <w:tl2br w:val="nil"/>
                    <w:tr2bl w:val="nil"/>
                  </w:tcBorders>
                  <w:vAlign w:val="center"/>
                </w:tcPr>
                <w:p>
                  <w:pPr>
                    <w:kinsoku w:val="0"/>
                    <w:snapToGrid w:val="0"/>
                    <w:jc w:val="center"/>
                    <w:outlineLvl w:val="0"/>
                    <w:rPr>
                      <w:b/>
                      <w:color w:val="auto"/>
                      <w:szCs w:val="21"/>
                    </w:rPr>
                  </w:pPr>
                  <w:r>
                    <w:rPr>
                      <w:b/>
                      <w:color w:val="auto"/>
                      <w:szCs w:val="21"/>
                    </w:rPr>
                    <w:t>排放速率</w:t>
                  </w:r>
                </w:p>
                <w:p>
                  <w:pPr>
                    <w:kinsoku w:val="0"/>
                    <w:snapToGrid w:val="0"/>
                    <w:jc w:val="center"/>
                    <w:outlineLvl w:val="0"/>
                    <w:rPr>
                      <w:bCs/>
                      <w:color w:val="auto"/>
                      <w:szCs w:val="21"/>
                    </w:rPr>
                  </w:pPr>
                  <w:r>
                    <w:rPr>
                      <w:b/>
                      <w:color w:val="auto"/>
                      <w:szCs w:val="21"/>
                    </w:rPr>
                    <w:t>（kg/h）</w:t>
                  </w:r>
                </w:p>
              </w:tc>
              <w:tc>
                <w:tcPr>
                  <w:tcW w:w="1050" w:type="dxa"/>
                  <w:tcBorders>
                    <w:tl2br w:val="nil"/>
                    <w:tr2bl w:val="nil"/>
                  </w:tcBorders>
                  <w:vAlign w:val="center"/>
                </w:tcPr>
                <w:p>
                  <w:pPr>
                    <w:kinsoku w:val="0"/>
                    <w:snapToGrid w:val="0"/>
                    <w:jc w:val="center"/>
                    <w:outlineLvl w:val="0"/>
                    <w:rPr>
                      <w:b/>
                      <w:color w:val="auto"/>
                      <w:szCs w:val="21"/>
                    </w:rPr>
                  </w:pPr>
                  <w:r>
                    <w:rPr>
                      <w:b/>
                      <w:color w:val="auto"/>
                      <w:szCs w:val="21"/>
                    </w:rPr>
                    <w:t>排放量</w:t>
                  </w:r>
                </w:p>
                <w:p>
                  <w:pPr>
                    <w:kinsoku w:val="0"/>
                    <w:snapToGrid w:val="0"/>
                    <w:jc w:val="center"/>
                    <w:outlineLvl w:val="0"/>
                    <w:rPr>
                      <w:color w:val="auto"/>
                    </w:rPr>
                  </w:pPr>
                  <w:r>
                    <w:rPr>
                      <w:b/>
                      <w:color w:val="auto"/>
                      <w:szCs w:val="21"/>
                    </w:rPr>
                    <w:t>（</w:t>
                  </w:r>
                  <w:r>
                    <w:rPr>
                      <w:rFonts w:hint="eastAsia"/>
                      <w:b/>
                      <w:color w:val="auto"/>
                      <w:szCs w:val="21"/>
                    </w:rPr>
                    <w:t>t</w:t>
                  </w:r>
                  <w:r>
                    <w:rPr>
                      <w:b/>
                      <w:color w:val="auto"/>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restart"/>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hint="eastAsia" w:ascii="Times New Roman" w:cs="Times New Roman"/>
                      <w:bCs/>
                      <w:color w:val="auto"/>
                      <w:sz w:val="21"/>
                      <w:szCs w:val="21"/>
                    </w:rPr>
                    <w:t>粉尘</w:t>
                  </w:r>
                </w:p>
              </w:tc>
              <w:tc>
                <w:tcPr>
                  <w:tcW w:w="1245" w:type="dxa"/>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ascii="Times New Roman" w:cs="Times New Roman"/>
                      <w:bCs/>
                      <w:color w:val="auto"/>
                      <w:sz w:val="21"/>
                      <w:szCs w:val="21"/>
                    </w:rPr>
                    <w:t>有组织</w:t>
                  </w:r>
                </w:p>
              </w:tc>
              <w:tc>
                <w:tcPr>
                  <w:tcW w:w="125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0.617</w:t>
                  </w:r>
                </w:p>
              </w:tc>
              <w:tc>
                <w:tcPr>
                  <w:tcW w:w="118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0.040</w:t>
                  </w:r>
                </w:p>
              </w:tc>
              <w:tc>
                <w:tcPr>
                  <w:tcW w:w="105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0.096</w:t>
                  </w:r>
                </w:p>
              </w:tc>
              <w:tc>
                <w:tcPr>
                  <w:tcW w:w="136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0.006</w:t>
                  </w:r>
                </w:p>
              </w:tc>
              <w:tc>
                <w:tcPr>
                  <w:tcW w:w="118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rPr>
                    <w:t>0.00</w:t>
                  </w:r>
                  <w:r>
                    <w:rPr>
                      <w:rFonts w:hint="eastAsia"/>
                      <w:color w:val="auto"/>
                      <w:szCs w:val="21"/>
                      <w:lang w:val="en-US" w:eastAsia="zh-CN"/>
                    </w:rPr>
                    <w:t>04</w:t>
                  </w:r>
                </w:p>
              </w:tc>
              <w:tc>
                <w:tcPr>
                  <w:tcW w:w="105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dxa"/>
                  <w:vMerge w:val="continue"/>
                  <w:tcBorders>
                    <w:tl2br w:val="nil"/>
                    <w:tr2bl w:val="nil"/>
                  </w:tcBorders>
                  <w:vAlign w:val="center"/>
                </w:tcPr>
                <w:p>
                  <w:pPr>
                    <w:pStyle w:val="47"/>
                    <w:tabs>
                      <w:tab w:val="left" w:pos="607"/>
                    </w:tabs>
                    <w:snapToGrid w:val="0"/>
                    <w:jc w:val="center"/>
                    <w:rPr>
                      <w:rFonts w:ascii="Times New Roman" w:cs="Times New Roman"/>
                      <w:bCs/>
                      <w:color w:val="auto"/>
                      <w:sz w:val="21"/>
                      <w:szCs w:val="21"/>
                    </w:rPr>
                  </w:pPr>
                </w:p>
              </w:tc>
              <w:tc>
                <w:tcPr>
                  <w:tcW w:w="1245" w:type="dxa"/>
                  <w:tcBorders>
                    <w:tl2br w:val="nil"/>
                    <w:tr2bl w:val="nil"/>
                  </w:tcBorders>
                  <w:vAlign w:val="center"/>
                </w:tcPr>
                <w:p>
                  <w:pPr>
                    <w:pStyle w:val="47"/>
                    <w:tabs>
                      <w:tab w:val="left" w:pos="607"/>
                    </w:tabs>
                    <w:snapToGrid w:val="0"/>
                    <w:jc w:val="center"/>
                    <w:rPr>
                      <w:rFonts w:ascii="Times New Roman" w:cs="Times New Roman"/>
                      <w:bCs/>
                      <w:color w:val="auto"/>
                      <w:sz w:val="21"/>
                      <w:szCs w:val="21"/>
                    </w:rPr>
                  </w:pPr>
                  <w:r>
                    <w:rPr>
                      <w:rFonts w:ascii="Times New Roman" w:cs="Times New Roman"/>
                      <w:bCs/>
                      <w:color w:val="auto"/>
                      <w:sz w:val="21"/>
                      <w:szCs w:val="21"/>
                    </w:rPr>
                    <w:t>无组织</w:t>
                  </w:r>
                </w:p>
              </w:tc>
              <w:tc>
                <w:tcPr>
                  <w:tcW w:w="1251" w:type="dxa"/>
                  <w:tcBorders>
                    <w:tl2br w:val="nil"/>
                    <w:tr2bl w:val="nil"/>
                  </w:tcBorders>
                  <w:vAlign w:val="center"/>
                </w:tcPr>
                <w:p>
                  <w:pPr>
                    <w:jc w:val="center"/>
                    <w:rPr>
                      <w:color w:val="auto"/>
                      <w:szCs w:val="21"/>
                    </w:rPr>
                  </w:pPr>
                  <w:r>
                    <w:rPr>
                      <w:color w:val="auto"/>
                      <w:szCs w:val="21"/>
                    </w:rPr>
                    <w:t>/</w:t>
                  </w:r>
                </w:p>
              </w:tc>
              <w:tc>
                <w:tcPr>
                  <w:tcW w:w="1185"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0.01</w:t>
                  </w:r>
                </w:p>
              </w:tc>
              <w:tc>
                <w:tcPr>
                  <w:tcW w:w="1050"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0.024</w:t>
                  </w:r>
                </w:p>
              </w:tc>
              <w:tc>
                <w:tcPr>
                  <w:tcW w:w="1365" w:type="dxa"/>
                  <w:tcBorders>
                    <w:tl2br w:val="nil"/>
                    <w:tr2bl w:val="nil"/>
                  </w:tcBorders>
                  <w:vAlign w:val="center"/>
                </w:tcPr>
                <w:p>
                  <w:pPr>
                    <w:jc w:val="center"/>
                    <w:rPr>
                      <w:color w:val="auto"/>
                      <w:szCs w:val="21"/>
                    </w:rPr>
                  </w:pPr>
                  <w:r>
                    <w:rPr>
                      <w:color w:val="auto"/>
                      <w:szCs w:val="21"/>
                    </w:rPr>
                    <w:t>/</w:t>
                  </w:r>
                </w:p>
              </w:tc>
              <w:tc>
                <w:tcPr>
                  <w:tcW w:w="1185" w:type="dxa"/>
                  <w:tcBorders>
                    <w:tl2br w:val="nil"/>
                    <w:tr2bl w:val="nil"/>
                  </w:tcBorders>
                  <w:vAlign w:val="center"/>
                </w:tcPr>
                <w:p>
                  <w:pPr>
                    <w:jc w:val="center"/>
                    <w:rPr>
                      <w:color w:val="auto"/>
                      <w:szCs w:val="21"/>
                    </w:rPr>
                  </w:pPr>
                  <w:r>
                    <w:rPr>
                      <w:rFonts w:hint="eastAsia"/>
                      <w:color w:val="auto"/>
                      <w:szCs w:val="21"/>
                      <w:lang w:val="en-US" w:eastAsia="zh-CN"/>
                    </w:rPr>
                    <w:t>0.01</w:t>
                  </w:r>
                </w:p>
              </w:tc>
              <w:tc>
                <w:tcPr>
                  <w:tcW w:w="1050" w:type="dxa"/>
                  <w:tcBorders>
                    <w:tl2br w:val="nil"/>
                    <w:tr2bl w:val="nil"/>
                  </w:tcBorders>
                  <w:vAlign w:val="center"/>
                </w:tcPr>
                <w:p>
                  <w:pPr>
                    <w:jc w:val="center"/>
                    <w:rPr>
                      <w:color w:val="auto"/>
                      <w:szCs w:val="21"/>
                    </w:rPr>
                  </w:pPr>
                  <w:r>
                    <w:rPr>
                      <w:rFonts w:hint="eastAsia"/>
                      <w:color w:val="auto"/>
                      <w:szCs w:val="21"/>
                      <w:lang w:val="en-US" w:eastAsia="zh-CN"/>
                    </w:rPr>
                    <w:t>0.024</w:t>
                  </w:r>
                </w:p>
              </w:tc>
            </w:tr>
          </w:tbl>
          <w:p>
            <w:pPr>
              <w:spacing w:line="360" w:lineRule="auto"/>
              <w:ind w:firstLine="480" w:firstLineChars="200"/>
              <w:rPr>
                <w:color w:val="auto"/>
                <w:sz w:val="24"/>
                <w:highlight w:val="none"/>
              </w:rPr>
            </w:pPr>
            <w:r>
              <w:rPr>
                <w:rFonts w:hint="eastAsia" w:hAnsi="宋体"/>
                <w:color w:val="auto"/>
                <w:sz w:val="24"/>
              </w:rPr>
              <w:t>根据上表可知项目粉尘排放浓度和排放速率可以达到</w:t>
            </w:r>
            <w:r>
              <w:rPr>
                <w:rFonts w:hint="eastAsia"/>
                <w:color w:val="auto"/>
                <w:sz w:val="24"/>
              </w:rPr>
              <w:t>广东省地方标准《大气污染物排放限值》</w:t>
            </w:r>
            <w:r>
              <w:rPr>
                <w:color w:val="auto"/>
                <w:sz w:val="24"/>
              </w:rPr>
              <w:t>（DB44/27-2001）中第二时段二级标准</w:t>
            </w:r>
            <w:r>
              <w:rPr>
                <w:rFonts w:hint="eastAsia" w:hAnsi="宋体"/>
                <w:color w:val="auto"/>
                <w:sz w:val="24"/>
              </w:rPr>
              <w:t>，</w:t>
            </w:r>
            <w:r>
              <w:rPr>
                <w:rFonts w:hint="eastAsia"/>
                <w:color w:val="auto"/>
                <w:sz w:val="24"/>
                <w:shd w:val="clear" w:color="auto" w:fill="FFFFFF"/>
              </w:rPr>
              <w:t>无组织排放量较少，</w:t>
            </w:r>
            <w:r>
              <w:rPr>
                <w:color w:val="auto"/>
                <w:sz w:val="24"/>
                <w:shd w:val="clear" w:color="auto" w:fill="FFFFFF"/>
              </w:rPr>
              <w:t>根据估算，</w:t>
            </w:r>
            <w:r>
              <w:rPr>
                <w:color w:val="auto"/>
                <w:sz w:val="24"/>
              </w:rPr>
              <w:t>周界外</w:t>
            </w:r>
            <w:r>
              <w:rPr>
                <w:rFonts w:hint="eastAsia"/>
                <w:color w:val="auto"/>
                <w:sz w:val="24"/>
              </w:rPr>
              <w:t>粉尘</w:t>
            </w:r>
            <w:r>
              <w:rPr>
                <w:color w:val="auto"/>
                <w:kern w:val="0"/>
                <w:sz w:val="24"/>
              </w:rPr>
              <w:t>最大落地浓度</w:t>
            </w:r>
            <w:r>
              <w:rPr>
                <w:rFonts w:hint="eastAsia"/>
                <w:color w:val="auto"/>
                <w:kern w:val="0"/>
                <w:sz w:val="24"/>
              </w:rPr>
              <w:t>未超过</w:t>
            </w:r>
            <w:r>
              <w:rPr>
                <w:color w:val="auto"/>
                <w:sz w:val="24"/>
              </w:rPr>
              <w:t>广东省地方标准《大气污染物排放限值》（DB44/ 27-2001）第二时段无组织排放监控浓度限值</w:t>
            </w:r>
            <w:r>
              <w:rPr>
                <w:rFonts w:hint="eastAsia"/>
                <w:color w:val="auto"/>
                <w:sz w:val="24"/>
              </w:rPr>
              <w:t>，对周围环境影响较小。</w:t>
            </w:r>
          </w:p>
          <w:p>
            <w:pPr>
              <w:spacing w:line="360" w:lineRule="auto"/>
              <w:ind w:firstLine="472" w:firstLineChars="196"/>
              <w:rPr>
                <w:b/>
                <w:bCs/>
                <w:color w:val="auto"/>
                <w:sz w:val="24"/>
                <w:shd w:val="clear" w:color="auto" w:fill="auto"/>
              </w:rPr>
            </w:pPr>
            <w:r>
              <w:rPr>
                <w:rFonts w:hint="eastAsia"/>
                <w:b/>
                <w:bCs/>
                <w:color w:val="auto"/>
                <w:sz w:val="24"/>
                <w:shd w:val="clear" w:color="auto" w:fill="auto"/>
              </w:rPr>
              <w:t>二、水污染源</w:t>
            </w:r>
          </w:p>
          <w:p>
            <w:pPr>
              <w:adjustRightInd w:val="0"/>
              <w:spacing w:line="360" w:lineRule="auto"/>
              <w:ind w:firstLine="482" w:firstLineChars="200"/>
              <w:rPr>
                <w:rFonts w:hint="eastAsia"/>
                <w:color w:val="auto"/>
                <w:sz w:val="24"/>
                <w:highlight w:val="none"/>
                <w:lang w:eastAsia="zh-CN"/>
              </w:rPr>
            </w:pPr>
            <w:r>
              <w:rPr>
                <w:rFonts w:hint="eastAsia" w:hAnsi="宋体"/>
                <w:b/>
                <w:color w:val="auto"/>
                <w:sz w:val="24"/>
                <w:shd w:val="clear" w:color="auto" w:fill="auto"/>
                <w:lang w:val="en-US" w:eastAsia="zh-CN"/>
              </w:rPr>
              <w:t>冷</w:t>
            </w:r>
            <w:r>
              <w:rPr>
                <w:rFonts w:hAnsi="宋体"/>
                <w:b/>
                <w:color w:val="auto"/>
                <w:sz w:val="24"/>
                <w:shd w:val="clear" w:color="auto" w:fill="auto"/>
              </w:rPr>
              <w:t>却用水：</w:t>
            </w:r>
            <w:r>
              <w:rPr>
                <w:rFonts w:hAnsi="宋体"/>
                <w:color w:val="auto"/>
                <w:sz w:val="24"/>
                <w:shd w:val="clear" w:color="auto" w:fill="auto"/>
              </w:rPr>
              <w:t>项目</w:t>
            </w:r>
            <w:r>
              <w:rPr>
                <w:rFonts w:hint="eastAsia" w:hAnsi="宋体"/>
                <w:color w:val="auto"/>
                <w:sz w:val="24"/>
                <w:shd w:val="clear" w:color="auto" w:fill="auto"/>
                <w:lang w:val="en-US" w:eastAsia="zh-CN"/>
              </w:rPr>
              <w:t>铸造</w:t>
            </w:r>
            <w:r>
              <w:rPr>
                <w:rFonts w:hAnsi="宋体"/>
                <w:color w:val="auto"/>
                <w:sz w:val="24"/>
                <w:shd w:val="clear" w:color="auto" w:fill="auto"/>
              </w:rPr>
              <w:t>工序中</w:t>
            </w:r>
            <w:r>
              <w:rPr>
                <w:rFonts w:hint="eastAsia" w:hAnsi="宋体"/>
                <w:color w:val="auto"/>
                <w:sz w:val="24"/>
                <w:shd w:val="clear" w:color="auto" w:fill="auto"/>
              </w:rPr>
              <w:t>需使用冷却塔进行</w:t>
            </w:r>
            <w:r>
              <w:rPr>
                <w:rFonts w:hAnsi="宋体"/>
                <w:color w:val="auto"/>
                <w:sz w:val="24"/>
                <w:shd w:val="clear" w:color="auto" w:fill="auto"/>
              </w:rPr>
              <w:t>冷却，冷却方式为间接冷却，冷却用水为普通的自来水，其中无需添加矿物油、乳化液等冷却剂，根据建设单位提供资料，</w:t>
            </w:r>
            <w:r>
              <w:rPr>
                <w:rFonts w:hint="eastAsia" w:hAnsi="宋体"/>
                <w:color w:val="auto"/>
                <w:sz w:val="24"/>
              </w:rPr>
              <w:t>项目冷却塔</w:t>
            </w:r>
            <w:r>
              <w:rPr>
                <w:rFonts w:hAnsi="宋体"/>
                <w:color w:val="auto"/>
                <w:sz w:val="24"/>
              </w:rPr>
              <w:t>循环水量为</w:t>
            </w:r>
            <w:r>
              <w:rPr>
                <w:rFonts w:hint="eastAsia"/>
                <w:color w:val="auto"/>
                <w:sz w:val="24"/>
                <w:lang w:val="en-US" w:eastAsia="zh-CN"/>
              </w:rPr>
              <w:t>2</w:t>
            </w:r>
            <w:r>
              <w:rPr>
                <w:rFonts w:hint="eastAsia"/>
                <w:color w:val="auto"/>
                <w:sz w:val="24"/>
              </w:rPr>
              <w:t>t</w:t>
            </w:r>
            <w:r>
              <w:rPr>
                <w:rStyle w:val="46"/>
                <w:rFonts w:hint="eastAsia"/>
                <w:color w:val="auto"/>
                <w:lang w:val="en-US" w:eastAsia="zh-CN"/>
              </w:rPr>
              <w:t>/h</w:t>
            </w:r>
            <w:r>
              <w:rPr>
                <w:rFonts w:hAnsi="宋体"/>
                <w:color w:val="auto"/>
                <w:sz w:val="24"/>
              </w:rPr>
              <w:t>，该冷却水循环使用，不外排，</w:t>
            </w:r>
            <w:r>
              <w:rPr>
                <w:rFonts w:hint="eastAsia"/>
                <w:color w:val="auto"/>
                <w:sz w:val="24"/>
              </w:rPr>
              <w:t>因受热等因素损失，需定期补充新鲜水，</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adjustRightInd w:val="0"/>
              <w:spacing w:line="360" w:lineRule="auto"/>
              <w:ind w:firstLine="482" w:firstLineChars="200"/>
              <w:rPr>
                <w:rFonts w:hint="eastAsia" w:hAnsi="宋体" w:eastAsia="宋体"/>
                <w:b/>
                <w:bCs/>
                <w:color w:val="auto"/>
                <w:sz w:val="24"/>
                <w:shd w:val="clear" w:color="auto" w:fill="auto"/>
                <w:lang w:eastAsia="zh-CN"/>
              </w:rPr>
            </w:pPr>
            <w:r>
              <w:rPr>
                <w:rFonts w:hint="eastAsia" w:hAnsi="宋体"/>
                <w:b/>
                <w:bCs/>
                <w:color w:val="auto"/>
                <w:sz w:val="24"/>
                <w:shd w:val="clear" w:color="auto" w:fill="auto"/>
                <w:lang w:eastAsia="zh-CN"/>
              </w:rPr>
              <w:t>测试用水：</w:t>
            </w:r>
            <w:r>
              <w:rPr>
                <w:rFonts w:hint="eastAsia" w:hAnsi="宋体"/>
                <w:b w:val="0"/>
                <w:bCs w:val="0"/>
                <w:color w:val="auto"/>
                <w:sz w:val="24"/>
                <w:shd w:val="clear" w:color="auto" w:fill="auto"/>
                <w:lang w:eastAsia="zh-CN"/>
              </w:rPr>
              <w:t>项目测试工序使用试水机对产品进行测试其性能，该</w:t>
            </w:r>
            <w:r>
              <w:rPr>
                <w:rFonts w:hAnsi="宋体"/>
                <w:color w:val="auto"/>
                <w:sz w:val="24"/>
                <w:shd w:val="clear" w:color="auto" w:fill="auto"/>
              </w:rPr>
              <w:t>用水为普通的自来水</w:t>
            </w:r>
            <w:r>
              <w:rPr>
                <w:rFonts w:hint="eastAsia" w:hAnsi="宋体"/>
                <w:b w:val="0"/>
                <w:bCs w:val="0"/>
                <w:color w:val="auto"/>
                <w:sz w:val="24"/>
                <w:shd w:val="clear" w:color="auto" w:fill="auto"/>
                <w:lang w:eastAsia="zh-CN"/>
              </w:rPr>
              <w:t>。</w:t>
            </w:r>
            <w:r>
              <w:rPr>
                <w:rFonts w:hAnsi="宋体"/>
                <w:color w:val="auto"/>
                <w:sz w:val="24"/>
                <w:shd w:val="clear" w:color="auto" w:fill="auto"/>
              </w:rPr>
              <w:t>根据建设单位提供资料，</w:t>
            </w:r>
            <w:r>
              <w:rPr>
                <w:rFonts w:hint="eastAsia" w:hAnsi="宋体"/>
                <w:b w:val="0"/>
                <w:bCs w:val="0"/>
                <w:color w:val="auto"/>
                <w:sz w:val="24"/>
                <w:shd w:val="clear" w:color="auto" w:fill="auto"/>
                <w:lang w:eastAsia="zh-CN"/>
              </w:rPr>
              <w:t>测试用水量较少，且循环使用，定期补充，不外排，年用量约3t/a。</w:t>
            </w:r>
          </w:p>
          <w:p>
            <w:pPr>
              <w:widowControl w:val="0"/>
              <w:spacing w:after="0" w:line="360" w:lineRule="auto"/>
              <w:ind w:right="170" w:firstLine="472" w:firstLineChars="196"/>
              <w:jc w:val="both"/>
              <w:rPr>
                <w:rFonts w:hint="default" w:ascii="Times New Roman" w:hAnsi="Times New Roman" w:eastAsia="宋体" w:cs="Times New Roman"/>
                <w:color w:val="auto"/>
                <w:kern w:val="2"/>
                <w:sz w:val="24"/>
                <w:szCs w:val="24"/>
              </w:rPr>
            </w:pPr>
            <w:r>
              <w:rPr>
                <w:rFonts w:hint="eastAsia" w:hAnsi="宋体"/>
                <w:b/>
                <w:color w:val="auto"/>
                <w:sz w:val="24"/>
                <w:lang w:eastAsia="zh-CN"/>
              </w:rPr>
              <w:t>喷淋废水</w:t>
            </w:r>
            <w:r>
              <w:rPr>
                <w:rFonts w:hint="eastAsia" w:hAnsi="宋体"/>
                <w:b/>
                <w:color w:val="auto"/>
                <w:sz w:val="24"/>
              </w:rPr>
              <w:t>：</w:t>
            </w:r>
            <w:r>
              <w:rPr>
                <w:rFonts w:hint="eastAsia" w:hAnsi="宋体"/>
                <w:color w:val="auto"/>
                <w:sz w:val="24"/>
              </w:rPr>
              <w:t>项目采用水喷淋</w:t>
            </w:r>
            <w:r>
              <w:rPr>
                <w:rFonts w:hint="eastAsia" w:hAnsi="宋体"/>
                <w:color w:val="auto"/>
                <w:sz w:val="24"/>
                <w:lang w:val="en-US" w:eastAsia="zh-CN"/>
              </w:rPr>
              <w:t>+UV光解</w:t>
            </w:r>
            <w:r>
              <w:rPr>
                <w:rFonts w:hint="eastAsia" w:hAnsi="宋体"/>
                <w:color w:val="auto"/>
                <w:sz w:val="24"/>
              </w:rPr>
              <w:t>装置对</w:t>
            </w:r>
            <w:r>
              <w:rPr>
                <w:rFonts w:hint="eastAsia" w:hAnsi="宋体"/>
                <w:color w:val="auto"/>
                <w:sz w:val="24"/>
                <w:lang w:val="en-US" w:eastAsia="zh-CN"/>
              </w:rPr>
              <w:t>熔化、铸造、制芯</w:t>
            </w:r>
            <w:r>
              <w:rPr>
                <w:rFonts w:hint="eastAsia" w:hAnsi="宋体"/>
                <w:color w:val="auto"/>
                <w:sz w:val="24"/>
              </w:rPr>
              <w:t>工序产生的</w:t>
            </w:r>
            <w:r>
              <w:rPr>
                <w:rFonts w:hint="eastAsia" w:hAnsi="宋体"/>
                <w:color w:val="auto"/>
                <w:sz w:val="24"/>
                <w:lang w:eastAsia="zh-CN"/>
              </w:rPr>
              <w:t>废气</w:t>
            </w:r>
            <w:r>
              <w:rPr>
                <w:rFonts w:hint="eastAsia" w:hAnsi="宋体"/>
                <w:color w:val="auto"/>
                <w:sz w:val="24"/>
              </w:rPr>
              <w:t>进行处理，</w:t>
            </w:r>
            <w:r>
              <w:rPr>
                <w:rFonts w:hint="eastAsia" w:hAnsi="宋体"/>
                <w:color w:val="auto"/>
                <w:sz w:val="24"/>
                <w:lang w:eastAsia="zh-CN"/>
              </w:rPr>
              <w:t>喷淋废水</w:t>
            </w:r>
            <w:r>
              <w:rPr>
                <w:rFonts w:hint="default" w:ascii="Times New Roman" w:hAnsi="Times New Roman" w:eastAsia="宋体" w:cs="Times New Roman"/>
                <w:color w:val="auto"/>
                <w:kern w:val="2"/>
                <w:sz w:val="24"/>
                <w:szCs w:val="24"/>
              </w:rPr>
              <w:t>经喷淋塔配套循环水池循环后使用，</w:t>
            </w:r>
            <w:r>
              <w:rPr>
                <w:rFonts w:hint="default" w:ascii="Times New Roman" w:hAnsi="Times New Roman" w:cs="Times New Roman"/>
                <w:color w:val="auto"/>
                <w:sz w:val="24"/>
              </w:rPr>
              <w:t>因受热等因素损失，需定期补充新鲜水，</w:t>
            </w:r>
            <w:r>
              <w:rPr>
                <w:rFonts w:hint="default" w:ascii="Times New Roman" w:hAnsi="Times New Roman" w:cs="Times New Roman"/>
                <w:color w:val="auto"/>
                <w:sz w:val="24"/>
                <w:lang w:eastAsia="zh-CN"/>
              </w:rPr>
              <w:t>根据建设单位提供的资料，水喷淋装置循环水池有效水容积为</w:t>
            </w:r>
            <w:r>
              <w:rPr>
                <w:rFonts w:hint="eastAsia" w:cs="Times New Roman"/>
                <w:color w:val="auto"/>
                <w:sz w:val="24"/>
                <w:lang w:val="en-US" w:eastAsia="zh-CN"/>
              </w:rPr>
              <w:t>1.5</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，水泵流量为0.5t/h</w:t>
            </w:r>
            <w:r>
              <w:rPr>
                <w:rFonts w:hint="eastAsia" w:cs="Times New Roman"/>
                <w:color w:val="auto"/>
                <w:sz w:val="24"/>
                <w:lang w:eastAsia="zh-CN"/>
              </w:rPr>
              <w:t>，每天工作8h，循环水量为4t/d</w:t>
            </w:r>
            <w:r>
              <w:rPr>
                <w:rFonts w:hint="default" w:ascii="Times New Roman" w:hAnsi="Times New Roman" w:cs="Times New Roman"/>
                <w:color w:val="auto"/>
                <w:sz w:val="24"/>
                <w:lang w:val="en-US" w:eastAsia="zh-CN"/>
              </w:rPr>
              <w:t>，</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s="Times New Roman"/>
                <w:color w:val="auto"/>
                <w:sz w:val="24"/>
                <w:lang w:val="en-US" w:eastAsia="zh-CN"/>
              </w:rPr>
              <w:t>0.08</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w:t>
            </w:r>
            <w:r>
              <w:rPr>
                <w:rFonts w:hint="eastAsia" w:cs="Times New Roman"/>
                <w:color w:val="auto"/>
                <w:sz w:val="24"/>
                <w:lang w:val="en-US" w:eastAsia="zh-CN"/>
              </w:rPr>
              <w:t>24</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喷淋废水</w:t>
            </w:r>
            <w:r>
              <w:rPr>
                <w:rFonts w:hint="eastAsia" w:ascii="Times New Roman" w:hAnsi="Times New Roman" w:cs="Times New Roman"/>
                <w:bCs/>
                <w:color w:val="auto"/>
                <w:sz w:val="24"/>
                <w:szCs w:val="24"/>
                <w:highlight w:val="none"/>
                <w:lang w:eastAsia="zh-CN"/>
              </w:rPr>
              <w:t>循环</w:t>
            </w:r>
            <w:r>
              <w:rPr>
                <w:rFonts w:hint="default" w:ascii="Times New Roman" w:hAnsi="Times New Roman" w:cs="Times New Roman"/>
                <w:bCs/>
                <w:color w:val="auto"/>
                <w:sz w:val="24"/>
                <w:szCs w:val="24"/>
                <w:highlight w:val="none"/>
              </w:rPr>
              <w:t>一段时间后需定期更换</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2"/>
                <w:highlight w:val="none"/>
              </w:rPr>
              <w:t>每</w:t>
            </w:r>
            <w:r>
              <w:rPr>
                <w:rFonts w:hint="eastAsia"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rPr>
              <w:t>个月更换一次，更换水量为</w:t>
            </w:r>
            <w:r>
              <w:rPr>
                <w:rFonts w:hint="eastAsia" w:cs="Times New Roman"/>
                <w:color w:val="auto"/>
                <w:sz w:val="24"/>
                <w:szCs w:val="22"/>
                <w:highlight w:val="none"/>
                <w:lang w:val="en-US" w:eastAsia="zh-CN"/>
              </w:rPr>
              <w:t>1.5</w:t>
            </w:r>
            <w:r>
              <w:rPr>
                <w:rFonts w:hint="default" w:ascii="Times New Roman" w:hAnsi="Times New Roman" w:cs="Times New Roman"/>
                <w:color w:val="auto"/>
                <w:sz w:val="24"/>
                <w:szCs w:val="22"/>
                <w:highlight w:val="none"/>
              </w:rPr>
              <w:t>吨/次，则更换废水产生量为</w:t>
            </w:r>
            <w:r>
              <w:rPr>
                <w:rFonts w:hint="eastAsia" w:cs="Times New Roman"/>
                <w:color w:val="auto"/>
                <w:sz w:val="24"/>
                <w:szCs w:val="22"/>
                <w:highlight w:val="none"/>
                <w:lang w:val="en-US" w:eastAsia="zh-CN"/>
              </w:rPr>
              <w:t>6</w:t>
            </w:r>
            <w:r>
              <w:rPr>
                <w:rFonts w:hint="default" w:ascii="Times New Roman" w:hAnsi="Times New Roman" w:cs="Times New Roman"/>
                <w:color w:val="auto"/>
                <w:sz w:val="24"/>
                <w:szCs w:val="22"/>
                <w:highlight w:val="none"/>
              </w:rPr>
              <w:t>t/a。该废水经收集后</w:t>
            </w:r>
            <w:r>
              <w:rPr>
                <w:rFonts w:hint="eastAsia" w:cs="Times New Roman"/>
                <w:color w:val="auto"/>
                <w:sz w:val="24"/>
                <w:szCs w:val="22"/>
                <w:highlight w:val="none"/>
                <w:lang w:eastAsia="zh-CN"/>
              </w:rPr>
              <w:t>定期交具有零星废水处理资质的单位处理，不外排</w:t>
            </w:r>
            <w:r>
              <w:rPr>
                <w:rFonts w:hint="default" w:ascii="Times New Roman" w:hAnsi="Times New Roman" w:cs="Times New Roman"/>
                <w:color w:val="auto"/>
                <w:sz w:val="24"/>
                <w:szCs w:val="22"/>
                <w:highlight w:val="none"/>
              </w:rPr>
              <w:t>。</w:t>
            </w:r>
          </w:p>
          <w:p>
            <w:pPr>
              <w:snapToGrid w:val="0"/>
              <w:spacing w:line="360" w:lineRule="auto"/>
              <w:ind w:firstLine="482" w:firstLineChars="200"/>
              <w:rPr>
                <w:color w:val="auto"/>
                <w:sz w:val="24"/>
              </w:rPr>
            </w:pPr>
            <w:r>
              <w:rPr>
                <w:rFonts w:hint="default" w:ascii="Times New Roman" w:hAnsi="Times New Roman" w:cs="Times New Roman"/>
                <w:b/>
                <w:color w:val="auto"/>
                <w:sz w:val="24"/>
                <w:shd w:val="clear" w:color="auto" w:fill="auto"/>
              </w:rPr>
              <w:t>生活污水：</w:t>
            </w:r>
            <w:r>
              <w:rPr>
                <w:rFonts w:hint="default" w:ascii="Times New Roman" w:hAnsi="Times New Roman" w:cs="Times New Roman"/>
                <w:color w:val="auto"/>
                <w:sz w:val="24"/>
                <w:shd w:val="clear" w:color="auto" w:fill="auto"/>
              </w:rPr>
              <w:t>项目设有员工及管理人员总数为</w:t>
            </w:r>
            <w:r>
              <w:rPr>
                <w:rFonts w:hint="eastAsia" w:cs="Times New Roman"/>
                <w:color w:val="auto"/>
                <w:sz w:val="24"/>
                <w:shd w:val="clear" w:color="auto" w:fill="auto"/>
                <w:lang w:val="en-US" w:eastAsia="zh-CN"/>
              </w:rPr>
              <w:t>70</w:t>
            </w:r>
            <w:r>
              <w:rPr>
                <w:rFonts w:hint="default" w:ascii="Times New Roman" w:hAnsi="Times New Roman" w:cs="Times New Roman"/>
                <w:color w:val="auto"/>
                <w:sz w:val="24"/>
                <w:shd w:val="clear" w:color="auto" w:fill="auto"/>
              </w:rPr>
              <w:t>人，均</w:t>
            </w:r>
            <w:r>
              <w:rPr>
                <w:rFonts w:hint="default" w:ascii="Times New Roman" w:hAnsi="Times New Roman" w:cs="Times New Roman"/>
                <w:color w:val="auto"/>
                <w:sz w:val="24"/>
                <w:shd w:val="clear" w:color="auto" w:fill="auto"/>
                <w:lang w:eastAsia="zh-CN"/>
              </w:rPr>
              <w:t>不</w:t>
            </w:r>
            <w:r>
              <w:rPr>
                <w:rFonts w:hint="default" w:ascii="Times New Roman" w:hAnsi="Times New Roman" w:cs="Times New Roman"/>
                <w:color w:val="auto"/>
                <w:sz w:val="24"/>
                <w:shd w:val="clear" w:color="auto" w:fill="auto"/>
              </w:rPr>
              <w:t>在项目内食宿</w:t>
            </w:r>
            <w:r>
              <w:rPr>
                <w:rFonts w:hint="default" w:ascii="Times New Roman" w:hAnsi="Times New Roman" w:cs="Times New Roman"/>
                <w:bCs/>
                <w:color w:val="auto"/>
                <w:sz w:val="24"/>
                <w:shd w:val="clear" w:color="auto" w:fill="auto"/>
              </w:rPr>
              <w:t>，根据《广东省用水定额》（DB 44/T 1461-2014），员工办用水定额按0.04t/人·日计，</w:t>
            </w:r>
            <w:r>
              <w:rPr>
                <w:rFonts w:hint="default" w:ascii="Times New Roman" w:hAnsi="Times New Roman" w:cs="Times New Roman"/>
                <w:color w:val="auto"/>
                <w:sz w:val="24"/>
                <w:shd w:val="clear" w:color="auto" w:fill="auto"/>
              </w:rPr>
              <w:t>则项目一天用水量=0.</w:t>
            </w:r>
            <w:r>
              <w:rPr>
                <w:rFonts w:hint="default" w:ascii="Times New Roman" w:hAnsi="Times New Roman" w:cs="Times New Roman"/>
                <w:color w:val="auto"/>
                <w:sz w:val="24"/>
                <w:shd w:val="clear" w:color="auto" w:fill="auto"/>
                <w:lang w:val="en-US" w:eastAsia="zh-CN"/>
              </w:rPr>
              <w:t>04</w:t>
            </w:r>
            <w:r>
              <w:rPr>
                <w:rFonts w:hint="default" w:ascii="Times New Roman" w:hAnsi="Times New Roman" w:cs="Times New Roman"/>
                <w:color w:val="auto"/>
                <w:sz w:val="24"/>
                <w:shd w:val="clear" w:color="auto" w:fill="auto"/>
              </w:rPr>
              <w:t>t/d×</w:t>
            </w:r>
            <w:r>
              <w:rPr>
                <w:rFonts w:hint="eastAsia" w:cs="Times New Roman"/>
                <w:color w:val="auto"/>
                <w:sz w:val="24"/>
                <w:shd w:val="clear" w:color="auto" w:fill="auto"/>
                <w:lang w:val="en-US" w:eastAsia="zh-CN"/>
              </w:rPr>
              <w:t>70</w:t>
            </w:r>
            <w:r>
              <w:rPr>
                <w:rFonts w:hint="default" w:ascii="Times New Roman" w:hAnsi="Times New Roman" w:cs="Times New Roman"/>
                <w:color w:val="auto"/>
                <w:sz w:val="24"/>
                <w:shd w:val="clear" w:color="auto" w:fill="auto"/>
              </w:rPr>
              <w:t>=</w:t>
            </w:r>
            <w:r>
              <w:rPr>
                <w:rFonts w:hint="eastAsia" w:cs="Times New Roman"/>
                <w:color w:val="auto"/>
                <w:sz w:val="24"/>
                <w:shd w:val="clear" w:color="auto" w:fill="auto"/>
                <w:lang w:val="en-US" w:eastAsia="zh-CN"/>
              </w:rPr>
              <w:t>2.8</w:t>
            </w:r>
            <w:r>
              <w:rPr>
                <w:rFonts w:hint="default" w:ascii="Times New Roman" w:hAnsi="Times New Roman" w:cs="Times New Roman"/>
                <w:color w:val="auto"/>
                <w:sz w:val="24"/>
                <w:shd w:val="clear" w:color="auto" w:fill="auto"/>
              </w:rPr>
              <w:t>t/d，一年300天计算，生活用水量为</w:t>
            </w:r>
            <w:r>
              <w:rPr>
                <w:rFonts w:hint="eastAsia" w:cs="Times New Roman"/>
                <w:color w:val="auto"/>
                <w:sz w:val="24"/>
                <w:shd w:val="clear" w:color="auto" w:fill="auto"/>
                <w:lang w:val="en-US" w:eastAsia="zh-CN"/>
              </w:rPr>
              <w:t>840</w:t>
            </w:r>
            <w:r>
              <w:rPr>
                <w:rFonts w:hint="default" w:ascii="Times New Roman" w:hAnsi="Times New Roman" w:cs="Times New Roman"/>
                <w:color w:val="auto"/>
                <w:sz w:val="24"/>
                <w:shd w:val="clear" w:color="auto" w:fill="auto"/>
              </w:rPr>
              <w:t>t/a。项目生活污水排污系数按0.9计算，则生活污水排放量约为</w:t>
            </w:r>
            <w:r>
              <w:rPr>
                <w:rFonts w:hint="eastAsia" w:cs="Times New Roman"/>
                <w:color w:val="auto"/>
                <w:sz w:val="24"/>
                <w:shd w:val="clear" w:color="auto" w:fill="auto"/>
                <w:lang w:val="en-US" w:eastAsia="zh-CN"/>
              </w:rPr>
              <w:t>756</w:t>
            </w:r>
            <w:r>
              <w:rPr>
                <w:rFonts w:hint="default" w:ascii="Times New Roman" w:hAnsi="Times New Roman" w:cs="Times New Roman"/>
                <w:color w:val="auto"/>
                <w:sz w:val="24"/>
                <w:shd w:val="clear" w:color="auto" w:fill="auto"/>
              </w:rPr>
              <w:t>t/a，</w:t>
            </w:r>
            <w:r>
              <w:rPr>
                <w:color w:val="auto"/>
                <w:sz w:val="24"/>
                <w:shd w:val="clear" w:color="auto" w:fill="auto"/>
              </w:rPr>
              <w:t>该类污水的主要污染物为</w:t>
            </w:r>
            <w:r>
              <w:rPr>
                <w:color w:val="auto"/>
                <w:sz w:val="24"/>
              </w:rPr>
              <w:t>COD</w:t>
            </w:r>
            <w:r>
              <w:rPr>
                <w:rFonts w:eastAsia="楷体_GB2312"/>
                <w:color w:val="auto"/>
                <w:sz w:val="24"/>
                <w:vertAlign w:val="subscript"/>
              </w:rPr>
              <w:t>Cr</w:t>
            </w:r>
            <w:r>
              <w:rPr>
                <w:color w:val="auto"/>
                <w:sz w:val="24"/>
              </w:rPr>
              <w:t>（</w:t>
            </w:r>
            <w:r>
              <w:rPr>
                <w:rFonts w:hint="eastAsia"/>
                <w:color w:val="auto"/>
                <w:sz w:val="24"/>
              </w:rPr>
              <w:t>250</w:t>
            </w:r>
            <w:r>
              <w:rPr>
                <w:color w:val="auto"/>
                <w:sz w:val="24"/>
              </w:rPr>
              <w:t>mg/L）、BOD</w:t>
            </w:r>
            <w:r>
              <w:rPr>
                <w:color w:val="auto"/>
                <w:sz w:val="24"/>
                <w:vertAlign w:val="subscript"/>
              </w:rPr>
              <w:t>5</w:t>
            </w:r>
            <w:r>
              <w:rPr>
                <w:color w:val="auto"/>
                <w:sz w:val="24"/>
              </w:rPr>
              <w:t>（</w:t>
            </w:r>
            <w:r>
              <w:rPr>
                <w:rFonts w:hint="eastAsia"/>
                <w:color w:val="auto"/>
                <w:sz w:val="24"/>
              </w:rPr>
              <w:t>150</w:t>
            </w:r>
            <w:r>
              <w:rPr>
                <w:color w:val="auto"/>
                <w:sz w:val="24"/>
              </w:rPr>
              <w:t>mg/L）、SS（</w:t>
            </w:r>
            <w:r>
              <w:rPr>
                <w:rFonts w:hint="eastAsia"/>
                <w:color w:val="auto"/>
                <w:sz w:val="24"/>
              </w:rPr>
              <w:t>150</w:t>
            </w:r>
            <w:r>
              <w:rPr>
                <w:color w:val="auto"/>
                <w:sz w:val="24"/>
              </w:rPr>
              <w:t>mg/L）、NH</w:t>
            </w:r>
            <w:r>
              <w:rPr>
                <w:color w:val="auto"/>
                <w:sz w:val="24"/>
                <w:vertAlign w:val="subscript"/>
              </w:rPr>
              <w:t>3</w:t>
            </w:r>
            <w:r>
              <w:rPr>
                <w:color w:val="auto"/>
                <w:sz w:val="24"/>
              </w:rPr>
              <w:t>-N（25mg/L）。</w:t>
            </w:r>
          </w:p>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lang w:val="zh-CN"/>
              </w:rPr>
              <w:t>生活污水污染物</w:t>
            </w:r>
            <w:r>
              <w:rPr>
                <w:rFonts w:hint="eastAsia" w:eastAsia="宋体" w:cs="Times New Roman"/>
                <w:b/>
                <w:color w:val="auto"/>
                <w:sz w:val="21"/>
                <w:szCs w:val="21"/>
                <w:lang w:val="zh-CN"/>
              </w:rPr>
              <w:t>产排情况表</w:t>
            </w:r>
          </w:p>
          <w:tbl>
            <w:tblPr>
              <w:tblStyle w:val="40"/>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64"/>
              <w:gridCol w:w="1362"/>
              <w:gridCol w:w="1361"/>
              <w:gridCol w:w="1361"/>
              <w:gridCol w:w="1530"/>
              <w:gridCol w:w="15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restart"/>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废水量</w:t>
                  </w:r>
                </w:p>
              </w:tc>
              <w:tc>
                <w:tcPr>
                  <w:tcW w:w="1362" w:type="dxa"/>
                  <w:vMerge w:val="restart"/>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污染物</w:t>
                  </w:r>
                </w:p>
              </w:tc>
              <w:tc>
                <w:tcPr>
                  <w:tcW w:w="2722" w:type="dxa"/>
                  <w:gridSpan w:val="2"/>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产生情况</w:t>
                  </w:r>
                </w:p>
              </w:tc>
              <w:tc>
                <w:tcPr>
                  <w:tcW w:w="3056" w:type="dxa"/>
                  <w:gridSpan w:val="2"/>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rFonts w:hint="default" w:ascii="Times New Roman" w:hAnsi="Times New Roman" w:cs="Times New Roman"/>
                      <w:b/>
                      <w:bCs/>
                      <w:color w:val="auto"/>
                      <w:kern w:val="0"/>
                      <w:sz w:val="21"/>
                      <w:szCs w:val="21"/>
                    </w:rPr>
                  </w:pPr>
                </w:p>
              </w:tc>
              <w:tc>
                <w:tcPr>
                  <w:tcW w:w="1362" w:type="dxa"/>
                  <w:vMerge w:val="continue"/>
                  <w:tcBorders>
                    <w:tl2br w:val="nil"/>
                    <w:tr2bl w:val="nil"/>
                  </w:tcBorders>
                  <w:vAlign w:val="center"/>
                </w:tcPr>
                <w:p>
                  <w:pPr>
                    <w:widowControl/>
                    <w:jc w:val="center"/>
                    <w:rPr>
                      <w:rFonts w:hint="default" w:ascii="Times New Roman" w:hAnsi="Times New Roman" w:cs="Times New Roman"/>
                      <w:b/>
                      <w:bCs/>
                      <w:color w:val="auto"/>
                      <w:kern w:val="0"/>
                      <w:sz w:val="21"/>
                      <w:szCs w:val="21"/>
                    </w:rPr>
                  </w:pPr>
                </w:p>
              </w:tc>
              <w:tc>
                <w:tcPr>
                  <w:tcW w:w="1361" w:type="dxa"/>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产生浓度</w:t>
                  </w:r>
                </w:p>
              </w:tc>
              <w:tc>
                <w:tcPr>
                  <w:tcW w:w="1361" w:type="dxa"/>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产生量</w:t>
                  </w:r>
                </w:p>
              </w:tc>
              <w:tc>
                <w:tcPr>
                  <w:tcW w:w="1530" w:type="dxa"/>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排放浓度</w:t>
                  </w:r>
                </w:p>
              </w:tc>
              <w:tc>
                <w:tcPr>
                  <w:tcW w:w="1526" w:type="dxa"/>
                  <w:tcBorders>
                    <w:tl2br w:val="nil"/>
                    <w:tr2bl w:val="nil"/>
                  </w:tcBorders>
                  <w:vAlign w:val="center"/>
                </w:tcPr>
                <w:p>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排放量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restart"/>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756</w:t>
                  </w:r>
                  <w:r>
                    <w:rPr>
                      <w:rFonts w:hint="default" w:ascii="Times New Roman" w:hAnsi="Times New Roman" w:cs="Times New Roman"/>
                      <w:color w:val="auto"/>
                      <w:sz w:val="21"/>
                      <w:szCs w:val="21"/>
                    </w:rPr>
                    <w:t>t/a</w:t>
                  </w:r>
                </w:p>
              </w:tc>
              <w:tc>
                <w:tcPr>
                  <w:tcW w:w="1362"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w:t>
                  </w:r>
                </w:p>
              </w:tc>
              <w:tc>
                <w:tcPr>
                  <w:tcW w:w="1361"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r>
                    <w:rPr>
                      <w:rFonts w:hint="default" w:ascii="Times New Roman" w:hAnsi="Times New Roman" w:cs="Times New Roman"/>
                      <w:bCs/>
                      <w:color w:val="auto"/>
                      <w:kern w:val="0"/>
                      <w:sz w:val="21"/>
                      <w:szCs w:val="21"/>
                    </w:rPr>
                    <w:t>mg/L</w:t>
                  </w:r>
                </w:p>
              </w:tc>
              <w:tc>
                <w:tcPr>
                  <w:tcW w:w="136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0.189</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30" w:type="dxa"/>
                  <w:tcBorders>
                    <w:tl2br w:val="nil"/>
                    <w:tr2bl w:val="nil"/>
                  </w:tcBorders>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200mg/L</w:t>
                  </w:r>
                </w:p>
              </w:tc>
              <w:tc>
                <w:tcPr>
                  <w:tcW w:w="152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0.151</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rFonts w:hint="default" w:ascii="Times New Roman" w:hAnsi="Times New Roman" w:cs="Times New Roman"/>
                      <w:color w:val="auto"/>
                      <w:sz w:val="21"/>
                      <w:szCs w:val="21"/>
                    </w:rPr>
                  </w:pPr>
                </w:p>
              </w:tc>
              <w:tc>
                <w:tcPr>
                  <w:tcW w:w="1362"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BOD</w:t>
                  </w:r>
                  <w:r>
                    <w:rPr>
                      <w:rFonts w:hint="default" w:ascii="Times New Roman" w:hAnsi="Times New Roman" w:cs="Times New Roman"/>
                      <w:color w:val="auto"/>
                      <w:sz w:val="21"/>
                      <w:szCs w:val="21"/>
                      <w:vertAlign w:val="subscript"/>
                    </w:rPr>
                    <w:t>5</w:t>
                  </w:r>
                </w:p>
              </w:tc>
              <w:tc>
                <w:tcPr>
                  <w:tcW w:w="1361"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r>
                    <w:rPr>
                      <w:rFonts w:hint="default" w:ascii="Times New Roman" w:hAnsi="Times New Roman" w:cs="Times New Roman"/>
                      <w:bCs/>
                      <w:color w:val="auto"/>
                      <w:kern w:val="0"/>
                      <w:sz w:val="21"/>
                      <w:szCs w:val="21"/>
                    </w:rPr>
                    <w:t>mg/L</w:t>
                  </w:r>
                </w:p>
              </w:tc>
              <w:tc>
                <w:tcPr>
                  <w:tcW w:w="136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0.113</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30" w:type="dxa"/>
                  <w:tcBorders>
                    <w:tl2br w:val="nil"/>
                    <w:tr2bl w:val="nil"/>
                  </w:tcBorders>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120mg/L</w:t>
                  </w:r>
                </w:p>
              </w:tc>
              <w:tc>
                <w:tcPr>
                  <w:tcW w:w="152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0.091</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rFonts w:hint="default" w:ascii="Times New Roman" w:hAnsi="Times New Roman" w:cs="Times New Roman"/>
                      <w:color w:val="auto"/>
                      <w:sz w:val="21"/>
                      <w:szCs w:val="21"/>
                    </w:rPr>
                  </w:pPr>
                </w:p>
              </w:tc>
              <w:tc>
                <w:tcPr>
                  <w:tcW w:w="1362"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1361"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150</w:t>
                  </w:r>
                  <w:r>
                    <w:rPr>
                      <w:rFonts w:hint="default" w:ascii="Times New Roman" w:hAnsi="Times New Roman" w:cs="Times New Roman"/>
                      <w:bCs/>
                      <w:color w:val="auto"/>
                      <w:kern w:val="0"/>
                      <w:sz w:val="21"/>
                      <w:szCs w:val="21"/>
                    </w:rPr>
                    <w:t>mg/L</w:t>
                  </w:r>
                </w:p>
              </w:tc>
              <w:tc>
                <w:tcPr>
                  <w:tcW w:w="136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0.113</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30" w:type="dxa"/>
                  <w:tcBorders>
                    <w:tl2br w:val="nil"/>
                    <w:tr2bl w:val="nil"/>
                  </w:tcBorders>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120mg/L</w:t>
                  </w:r>
                </w:p>
              </w:tc>
              <w:tc>
                <w:tcPr>
                  <w:tcW w:w="152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0.091</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64" w:type="dxa"/>
                  <w:vMerge w:val="continue"/>
                  <w:tcBorders>
                    <w:tl2br w:val="nil"/>
                    <w:tr2bl w:val="nil"/>
                  </w:tcBorders>
                  <w:vAlign w:val="center"/>
                </w:tcPr>
                <w:p>
                  <w:pPr>
                    <w:widowControl/>
                    <w:jc w:val="center"/>
                    <w:rPr>
                      <w:rFonts w:hint="default" w:ascii="Times New Roman" w:hAnsi="Times New Roman" w:cs="Times New Roman"/>
                      <w:color w:val="auto"/>
                      <w:sz w:val="21"/>
                      <w:szCs w:val="21"/>
                    </w:rPr>
                  </w:pPr>
                </w:p>
              </w:tc>
              <w:tc>
                <w:tcPr>
                  <w:tcW w:w="1362"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1361" w:type="dxa"/>
                  <w:tcBorders>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r>
                    <w:rPr>
                      <w:rFonts w:hint="default" w:ascii="Times New Roman" w:hAnsi="Times New Roman" w:cs="Times New Roman"/>
                      <w:bCs/>
                      <w:color w:val="auto"/>
                      <w:kern w:val="0"/>
                      <w:sz w:val="21"/>
                      <w:szCs w:val="21"/>
                    </w:rPr>
                    <w:t>mg/L</w:t>
                  </w:r>
                </w:p>
              </w:tc>
              <w:tc>
                <w:tcPr>
                  <w:tcW w:w="1361"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0.019</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30" w:type="dxa"/>
                  <w:tcBorders>
                    <w:tl2br w:val="nil"/>
                    <w:tr2bl w:val="nil"/>
                  </w:tcBorders>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20mg/L</w:t>
                  </w:r>
                </w:p>
              </w:tc>
              <w:tc>
                <w:tcPr>
                  <w:tcW w:w="152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0.015</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bl>
          <w:p>
            <w:pPr>
              <w:adjustRightInd w:val="0"/>
              <w:snapToGrid w:val="0"/>
              <w:spacing w:line="360" w:lineRule="auto"/>
              <w:ind w:firstLine="482" w:firstLineChars="200"/>
              <w:rPr>
                <w:b/>
                <w:bCs/>
                <w:color w:val="auto"/>
                <w:sz w:val="24"/>
                <w:shd w:val="clear" w:color="auto" w:fill="auto"/>
              </w:rPr>
            </w:pPr>
            <w:r>
              <w:rPr>
                <w:rFonts w:hint="eastAsia"/>
                <w:b/>
                <w:bCs/>
                <w:color w:val="auto"/>
                <w:sz w:val="24"/>
                <w:shd w:val="clear" w:color="auto" w:fill="auto"/>
              </w:rPr>
              <w:t>三、噪声污染源</w:t>
            </w:r>
          </w:p>
          <w:p>
            <w:pPr>
              <w:spacing w:line="360" w:lineRule="auto"/>
              <w:ind w:firstLine="480" w:firstLineChars="200"/>
              <w:jc w:val="left"/>
              <w:rPr>
                <w:color w:val="auto"/>
                <w:sz w:val="24"/>
              </w:rPr>
            </w:pPr>
            <w:r>
              <w:rPr>
                <w:color w:val="auto"/>
                <w:sz w:val="24"/>
              </w:rPr>
              <w:t>项目的主要噪声为：</w:t>
            </w:r>
            <w:r>
              <w:rPr>
                <w:rFonts w:hint="eastAsia"/>
                <w:color w:val="auto"/>
                <w:sz w:val="24"/>
              </w:rPr>
              <w:t>车间各主要工艺设备</w:t>
            </w:r>
            <w:r>
              <w:rPr>
                <w:color w:val="auto"/>
                <w:sz w:val="24"/>
              </w:rPr>
              <w:t>的运行噪声，噪声值约为70～</w:t>
            </w:r>
            <w:r>
              <w:rPr>
                <w:rFonts w:hint="eastAsia"/>
                <w:color w:val="auto"/>
                <w:sz w:val="24"/>
              </w:rPr>
              <w:t>80</w:t>
            </w:r>
            <w:r>
              <w:rPr>
                <w:color w:val="auto"/>
                <w:sz w:val="24"/>
              </w:rPr>
              <w:t>dB（A）；空压机</w:t>
            </w:r>
            <w:r>
              <w:rPr>
                <w:rFonts w:hint="eastAsia"/>
                <w:color w:val="auto"/>
                <w:sz w:val="24"/>
                <w:lang w:eastAsia="zh-CN"/>
              </w:rPr>
              <w:t>、冷却塔</w:t>
            </w:r>
            <w:r>
              <w:rPr>
                <w:color w:val="auto"/>
                <w:sz w:val="24"/>
              </w:rPr>
              <w:t>的运行噪声，噪声值约为</w:t>
            </w:r>
            <w:r>
              <w:rPr>
                <w:rFonts w:hint="eastAsia"/>
                <w:color w:val="auto"/>
                <w:sz w:val="24"/>
              </w:rPr>
              <w:t>80</w:t>
            </w:r>
            <w:r>
              <w:rPr>
                <w:color w:val="auto"/>
                <w:sz w:val="24"/>
              </w:rPr>
              <w:t>～</w:t>
            </w:r>
            <w:r>
              <w:rPr>
                <w:rFonts w:hint="eastAsia"/>
                <w:color w:val="auto"/>
                <w:sz w:val="24"/>
              </w:rPr>
              <w:t>90</w:t>
            </w:r>
            <w:r>
              <w:rPr>
                <w:color w:val="auto"/>
                <w:sz w:val="24"/>
              </w:rPr>
              <w:t>dB（A）；机械通风所用通风机运行时产生的噪声，其噪声级</w:t>
            </w:r>
            <w:r>
              <w:rPr>
                <w:rFonts w:hint="eastAsia"/>
                <w:color w:val="auto"/>
                <w:sz w:val="24"/>
              </w:rPr>
              <w:t>约</w:t>
            </w:r>
            <w:r>
              <w:rPr>
                <w:color w:val="auto"/>
                <w:sz w:val="24"/>
              </w:rPr>
              <w:t>为70～75dB（A）</w:t>
            </w:r>
            <w:r>
              <w:rPr>
                <w:rFonts w:hAnsi="宋体"/>
                <w:color w:val="auto"/>
                <w:sz w:val="24"/>
              </w:rPr>
              <w:t>。</w:t>
            </w:r>
            <w:r>
              <w:rPr>
                <w:rFonts w:hint="eastAsia" w:hAnsi="宋体"/>
                <w:color w:val="auto"/>
                <w:sz w:val="24"/>
              </w:rPr>
              <w:t>各类加工机械</w:t>
            </w:r>
            <w:r>
              <w:rPr>
                <w:rFonts w:hint="eastAsia"/>
                <w:color w:val="auto"/>
                <w:sz w:val="24"/>
              </w:rPr>
              <w:t>具体噪声值见下表。</w:t>
            </w:r>
          </w:p>
          <w:p>
            <w:pPr>
              <w:pStyle w:val="139"/>
              <w:numPr>
                <w:ilvl w:val="0"/>
                <w:numId w:val="5"/>
              </w:numPr>
              <w:tabs>
                <w:tab w:val="left" w:pos="420"/>
              </w:tabs>
              <w:spacing w:line="360" w:lineRule="auto"/>
              <w:ind w:left="0" w:firstLine="471"/>
              <w:rPr>
                <w:rFonts w:eastAsia="宋体" w:cs="Times New Roman"/>
                <w:b/>
                <w:color w:val="auto"/>
                <w:sz w:val="21"/>
                <w:szCs w:val="21"/>
              </w:rPr>
            </w:pPr>
            <w:r>
              <w:rPr>
                <w:rFonts w:hint="eastAsia" w:eastAsia="宋体" w:cs="Times New Roman"/>
                <w:b/>
                <w:color w:val="auto"/>
                <w:sz w:val="21"/>
                <w:szCs w:val="21"/>
              </w:rPr>
              <w:t xml:space="preserve"> 噪声污染情况一览表</w:t>
            </w:r>
          </w:p>
          <w:tbl>
            <w:tblPr>
              <w:tblStyle w:val="41"/>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2084"/>
              <w:gridCol w:w="2816"/>
              <w:gridCol w:w="1273"/>
              <w:gridCol w:w="1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9" w:type="dxa"/>
                  <w:vAlign w:val="center"/>
                </w:tcPr>
                <w:p>
                  <w:pPr>
                    <w:spacing w:line="360" w:lineRule="auto"/>
                    <w:jc w:val="center"/>
                    <w:rPr>
                      <w:b/>
                      <w:bCs/>
                      <w:color w:val="auto"/>
                      <w:szCs w:val="21"/>
                    </w:rPr>
                  </w:pPr>
                  <w:r>
                    <w:rPr>
                      <w:rFonts w:hint="eastAsia"/>
                      <w:b/>
                      <w:bCs/>
                      <w:color w:val="auto"/>
                      <w:szCs w:val="21"/>
                    </w:rPr>
                    <w:t>序号</w:t>
                  </w:r>
                </w:p>
              </w:tc>
              <w:tc>
                <w:tcPr>
                  <w:tcW w:w="2084" w:type="dxa"/>
                  <w:vAlign w:val="center"/>
                </w:tcPr>
                <w:p>
                  <w:pPr>
                    <w:spacing w:line="360" w:lineRule="auto"/>
                    <w:jc w:val="center"/>
                    <w:rPr>
                      <w:b/>
                      <w:bCs/>
                      <w:color w:val="auto"/>
                      <w:szCs w:val="21"/>
                    </w:rPr>
                  </w:pPr>
                  <w:r>
                    <w:rPr>
                      <w:rFonts w:hint="eastAsia"/>
                      <w:b/>
                      <w:bCs/>
                      <w:color w:val="auto"/>
                      <w:szCs w:val="21"/>
                    </w:rPr>
                    <w:t>噪声源</w:t>
                  </w:r>
                </w:p>
              </w:tc>
              <w:tc>
                <w:tcPr>
                  <w:tcW w:w="2816" w:type="dxa"/>
                  <w:vAlign w:val="center"/>
                </w:tcPr>
                <w:p>
                  <w:pPr>
                    <w:spacing w:line="360" w:lineRule="auto"/>
                    <w:jc w:val="center"/>
                    <w:rPr>
                      <w:b/>
                      <w:bCs/>
                      <w:color w:val="auto"/>
                      <w:szCs w:val="21"/>
                    </w:rPr>
                  </w:pPr>
                  <w:r>
                    <w:rPr>
                      <w:rFonts w:hint="eastAsia"/>
                      <w:b/>
                      <w:bCs/>
                      <w:color w:val="auto"/>
                      <w:szCs w:val="21"/>
                    </w:rPr>
                    <w:t>噪声</w:t>
                  </w:r>
                  <w:r>
                    <w:rPr>
                      <w:rFonts w:hint="eastAsia" w:eastAsia="宋体"/>
                      <w:b/>
                      <w:bCs/>
                      <w:color w:val="auto"/>
                      <w:sz w:val="21"/>
                      <w:szCs w:val="21"/>
                      <w:vertAlign w:val="baseline"/>
                      <w:lang w:eastAsia="zh-CN"/>
                    </w:rPr>
                    <w:t>声功率级</w:t>
                  </w:r>
                  <w:r>
                    <w:rPr>
                      <w:rFonts w:hint="eastAsia"/>
                      <w:b/>
                      <w:bCs/>
                      <w:color w:val="auto"/>
                      <w:szCs w:val="21"/>
                    </w:rPr>
                    <w:t>dB(A)</w:t>
                  </w:r>
                </w:p>
              </w:tc>
              <w:tc>
                <w:tcPr>
                  <w:tcW w:w="1273" w:type="dxa"/>
                  <w:vAlign w:val="center"/>
                </w:tcPr>
                <w:p>
                  <w:pPr>
                    <w:spacing w:line="360" w:lineRule="auto"/>
                    <w:jc w:val="center"/>
                    <w:rPr>
                      <w:rFonts w:hint="eastAsia" w:eastAsia="宋体"/>
                      <w:b/>
                      <w:bCs/>
                      <w:color w:val="auto"/>
                      <w:szCs w:val="21"/>
                      <w:lang w:eastAsia="zh-CN"/>
                    </w:rPr>
                  </w:pPr>
                  <w:r>
                    <w:rPr>
                      <w:rFonts w:hint="eastAsia"/>
                      <w:b/>
                      <w:bCs/>
                      <w:color w:val="auto"/>
                      <w:szCs w:val="21"/>
                      <w:highlight w:val="none"/>
                      <w:lang w:eastAsia="zh-CN"/>
                    </w:rPr>
                    <w:t>取值距离</w:t>
                  </w:r>
                </w:p>
              </w:tc>
              <w:tc>
                <w:tcPr>
                  <w:tcW w:w="1318" w:type="dxa"/>
                  <w:vAlign w:val="center"/>
                </w:tcPr>
                <w:p>
                  <w:pPr>
                    <w:spacing w:line="360" w:lineRule="auto"/>
                    <w:jc w:val="center"/>
                    <w:rPr>
                      <w:rFonts w:hint="eastAsia"/>
                      <w:b/>
                      <w:bCs/>
                      <w:color w:val="auto"/>
                      <w:szCs w:val="21"/>
                    </w:rPr>
                  </w:pPr>
                  <w:r>
                    <w:rPr>
                      <w:rFonts w:hint="eastAsia"/>
                      <w:b/>
                      <w:bCs/>
                      <w:color w:val="auto"/>
                      <w:szCs w:val="21"/>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49" w:type="dxa"/>
                  <w:vAlign w:val="center"/>
                </w:tcPr>
                <w:p>
                  <w:pPr>
                    <w:spacing w:line="360" w:lineRule="auto"/>
                    <w:jc w:val="center"/>
                    <w:rPr>
                      <w:color w:val="auto"/>
                      <w:szCs w:val="21"/>
                    </w:rPr>
                  </w:pPr>
                  <w:r>
                    <w:rPr>
                      <w:rFonts w:hint="eastAsia"/>
                      <w:color w:val="auto"/>
                      <w:szCs w:val="21"/>
                    </w:rPr>
                    <w:t>1</w:t>
                  </w:r>
                </w:p>
              </w:tc>
              <w:tc>
                <w:tcPr>
                  <w:tcW w:w="2084" w:type="dxa"/>
                  <w:vAlign w:val="center"/>
                </w:tcPr>
                <w:p>
                  <w:pPr>
                    <w:jc w:val="center"/>
                    <w:rPr>
                      <w:color w:val="auto"/>
                      <w:szCs w:val="21"/>
                    </w:rPr>
                  </w:pPr>
                  <w:r>
                    <w:rPr>
                      <w:rFonts w:hint="eastAsia" w:ascii="宋体" w:hAnsi="宋体"/>
                      <w:b w:val="0"/>
                      <w:bCs w:val="0"/>
                      <w:color w:val="auto"/>
                      <w:sz w:val="21"/>
                      <w:szCs w:val="21"/>
                      <w:shd w:val="clear" w:color="auto" w:fill="auto"/>
                      <w:lang w:val="en-US" w:eastAsia="zh-CN"/>
                    </w:rPr>
                    <w:t>电熔炉</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restart"/>
                  <w:vAlign w:val="center"/>
                </w:tcPr>
                <w:p>
                  <w:pPr>
                    <w:spacing w:line="360" w:lineRule="auto"/>
                    <w:jc w:val="center"/>
                    <w:rPr>
                      <w:color w:val="auto"/>
                      <w:szCs w:val="21"/>
                    </w:rPr>
                  </w:pPr>
                  <w:r>
                    <w:rPr>
                      <w:rFonts w:hint="eastAsia"/>
                      <w:b w:val="0"/>
                      <w:bCs w:val="0"/>
                      <w:color w:val="auto"/>
                      <w:sz w:val="21"/>
                      <w:szCs w:val="21"/>
                      <w:vertAlign w:val="baseline"/>
                      <w:lang w:val="en-US" w:eastAsia="zh-CN"/>
                    </w:rPr>
                    <w:t>设备1m处</w:t>
                  </w:r>
                </w:p>
              </w:tc>
              <w:tc>
                <w:tcPr>
                  <w:tcW w:w="1318" w:type="dxa"/>
                  <w:vMerge w:val="restart"/>
                  <w:vAlign w:val="center"/>
                </w:tcPr>
                <w:p>
                  <w:pPr>
                    <w:spacing w:line="360" w:lineRule="auto"/>
                    <w:jc w:val="center"/>
                    <w:rPr>
                      <w:rFonts w:hint="eastAsia"/>
                      <w:color w:val="auto"/>
                      <w:szCs w:val="21"/>
                    </w:rPr>
                  </w:pPr>
                  <w:r>
                    <w:rPr>
                      <w:rFonts w:hint="eastAsia"/>
                      <w:color w:val="auto"/>
                      <w:szCs w:val="21"/>
                    </w:rPr>
                    <w:t>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2</w:t>
                  </w:r>
                </w:p>
              </w:tc>
              <w:tc>
                <w:tcPr>
                  <w:tcW w:w="2084" w:type="dxa"/>
                  <w:vAlign w:val="center"/>
                </w:tcPr>
                <w:p>
                  <w:pPr>
                    <w:jc w:val="center"/>
                    <w:rPr>
                      <w:color w:val="auto"/>
                      <w:szCs w:val="21"/>
                    </w:rPr>
                  </w:pPr>
                  <w:r>
                    <w:rPr>
                      <w:rFonts w:hint="eastAsia" w:ascii="宋体" w:hAnsi="宋体"/>
                      <w:b w:val="0"/>
                      <w:bCs w:val="0"/>
                      <w:color w:val="auto"/>
                      <w:sz w:val="21"/>
                      <w:szCs w:val="21"/>
                      <w:shd w:val="clear" w:color="auto" w:fill="auto"/>
                      <w:lang w:val="en-US" w:eastAsia="zh-CN"/>
                    </w:rPr>
                    <w:t>铸造机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3</w:t>
                  </w:r>
                </w:p>
              </w:tc>
              <w:tc>
                <w:tcPr>
                  <w:tcW w:w="2084" w:type="dxa"/>
                  <w:vAlign w:val="center"/>
                </w:tcPr>
                <w:p>
                  <w:pPr>
                    <w:jc w:val="center"/>
                    <w:rPr>
                      <w:color w:val="auto"/>
                      <w:szCs w:val="21"/>
                    </w:rPr>
                  </w:pPr>
                  <w:r>
                    <w:rPr>
                      <w:rFonts w:hint="eastAsia" w:hAnsi="宋体"/>
                      <w:b w:val="0"/>
                      <w:bCs w:val="0"/>
                      <w:color w:val="auto"/>
                      <w:sz w:val="21"/>
                      <w:szCs w:val="21"/>
                      <w:lang w:val="en-US" w:eastAsia="zh-CN"/>
                    </w:rPr>
                    <w:t>砂芯机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4</w:t>
                  </w:r>
                </w:p>
              </w:tc>
              <w:tc>
                <w:tcPr>
                  <w:tcW w:w="2084" w:type="dxa"/>
                  <w:vAlign w:val="center"/>
                </w:tcPr>
                <w:p>
                  <w:pPr>
                    <w:jc w:val="center"/>
                    <w:rPr>
                      <w:color w:val="auto"/>
                      <w:szCs w:val="21"/>
                    </w:rPr>
                  </w:pPr>
                  <w:r>
                    <w:rPr>
                      <w:rFonts w:hint="eastAsia" w:hAnsi="宋体"/>
                      <w:b w:val="0"/>
                      <w:bCs w:val="0"/>
                      <w:color w:val="auto"/>
                      <w:sz w:val="21"/>
                      <w:szCs w:val="21"/>
                      <w:lang w:val="en-US" w:eastAsia="zh-CN"/>
                    </w:rPr>
                    <w:t>滚砂机</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5</w:t>
                  </w:r>
                </w:p>
              </w:tc>
              <w:tc>
                <w:tcPr>
                  <w:tcW w:w="2084" w:type="dxa"/>
                  <w:vAlign w:val="center"/>
                </w:tcPr>
                <w:p>
                  <w:pPr>
                    <w:jc w:val="center"/>
                    <w:rPr>
                      <w:color w:val="auto"/>
                      <w:szCs w:val="21"/>
                    </w:rPr>
                  </w:pPr>
                  <w:r>
                    <w:rPr>
                      <w:rFonts w:hint="eastAsia" w:hAnsi="宋体"/>
                      <w:b w:val="0"/>
                      <w:bCs w:val="0"/>
                      <w:color w:val="auto"/>
                      <w:sz w:val="21"/>
                      <w:szCs w:val="21"/>
                      <w:lang w:val="en-US" w:eastAsia="zh-CN"/>
                    </w:rPr>
                    <w:t>车床</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6</w:t>
                  </w:r>
                </w:p>
              </w:tc>
              <w:tc>
                <w:tcPr>
                  <w:tcW w:w="2084" w:type="dxa"/>
                  <w:vAlign w:val="center"/>
                </w:tcPr>
                <w:p>
                  <w:pPr>
                    <w:jc w:val="center"/>
                    <w:rPr>
                      <w:color w:val="auto"/>
                      <w:szCs w:val="21"/>
                    </w:rPr>
                  </w:pPr>
                  <w:r>
                    <w:rPr>
                      <w:rFonts w:hint="eastAsia" w:hAnsi="宋体"/>
                      <w:b w:val="0"/>
                      <w:bCs w:val="0"/>
                      <w:color w:val="auto"/>
                      <w:sz w:val="21"/>
                      <w:szCs w:val="21"/>
                    </w:rPr>
                    <w:t>双头钻</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7</w:t>
                  </w:r>
                </w:p>
              </w:tc>
              <w:tc>
                <w:tcPr>
                  <w:tcW w:w="2084" w:type="dxa"/>
                  <w:vAlign w:val="center"/>
                </w:tcPr>
                <w:p>
                  <w:pPr>
                    <w:jc w:val="center"/>
                    <w:rPr>
                      <w:color w:val="auto"/>
                      <w:szCs w:val="21"/>
                    </w:rPr>
                  </w:pPr>
                  <w:r>
                    <w:rPr>
                      <w:rFonts w:hint="eastAsia" w:hAnsi="宋体"/>
                      <w:b w:val="0"/>
                      <w:bCs w:val="0"/>
                      <w:color w:val="auto"/>
                      <w:sz w:val="21"/>
                      <w:szCs w:val="21"/>
                    </w:rPr>
                    <w:t>单头钻</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color w:val="auto"/>
                      <w:szCs w:val="21"/>
                    </w:rPr>
                  </w:pPr>
                  <w:r>
                    <w:rPr>
                      <w:rFonts w:hint="eastAsia"/>
                      <w:color w:val="auto"/>
                      <w:szCs w:val="21"/>
                    </w:rPr>
                    <w:t>8</w:t>
                  </w:r>
                </w:p>
              </w:tc>
              <w:tc>
                <w:tcPr>
                  <w:tcW w:w="2084" w:type="dxa"/>
                  <w:vAlign w:val="center"/>
                </w:tcPr>
                <w:p>
                  <w:pPr>
                    <w:jc w:val="center"/>
                    <w:rPr>
                      <w:color w:val="auto"/>
                      <w:szCs w:val="21"/>
                    </w:rPr>
                  </w:pPr>
                  <w:r>
                    <w:rPr>
                      <w:rFonts w:hint="eastAsia" w:hAnsi="宋体"/>
                      <w:b w:val="0"/>
                      <w:bCs w:val="0"/>
                      <w:color w:val="auto"/>
                      <w:sz w:val="21"/>
                      <w:szCs w:val="21"/>
                    </w:rPr>
                    <w:t>铣床</w:t>
                  </w:r>
                </w:p>
              </w:tc>
              <w:tc>
                <w:tcPr>
                  <w:tcW w:w="2816" w:type="dxa"/>
                  <w:vAlign w:val="center"/>
                </w:tcPr>
                <w:p>
                  <w:pPr>
                    <w:spacing w:line="360" w:lineRule="auto"/>
                    <w:jc w:val="center"/>
                    <w:rPr>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rFonts w:hint="eastAsia" w:eastAsia="宋体"/>
                      <w:color w:val="auto"/>
                      <w:szCs w:val="21"/>
                      <w:lang w:val="en-US" w:eastAsia="zh-CN"/>
                    </w:rPr>
                  </w:pPr>
                  <w:r>
                    <w:rPr>
                      <w:rFonts w:hint="eastAsia"/>
                      <w:color w:val="auto"/>
                      <w:szCs w:val="21"/>
                      <w:lang w:val="en-US" w:eastAsia="zh-CN"/>
                    </w:rPr>
                    <w:t>9</w:t>
                  </w:r>
                </w:p>
              </w:tc>
              <w:tc>
                <w:tcPr>
                  <w:tcW w:w="2084" w:type="dxa"/>
                  <w:vAlign w:val="center"/>
                </w:tcPr>
                <w:p>
                  <w:pPr>
                    <w:jc w:val="center"/>
                    <w:rPr>
                      <w:rFonts w:hint="eastAsia" w:ascii="宋体" w:hAnsi="宋体"/>
                      <w:color w:val="auto"/>
                      <w:szCs w:val="21"/>
                    </w:rPr>
                  </w:pPr>
                  <w:r>
                    <w:rPr>
                      <w:rFonts w:hint="eastAsia" w:hAnsi="宋体"/>
                      <w:b w:val="0"/>
                      <w:bCs w:val="0"/>
                      <w:color w:val="auto"/>
                      <w:sz w:val="21"/>
                      <w:szCs w:val="21"/>
                      <w:lang w:val="en-US" w:eastAsia="zh-CN"/>
                    </w:rPr>
                    <w:t>加工中心</w:t>
                  </w:r>
                </w:p>
              </w:tc>
              <w:tc>
                <w:tcPr>
                  <w:tcW w:w="2816" w:type="dxa"/>
                  <w:vAlign w:val="center"/>
                </w:tcPr>
                <w:p>
                  <w:pPr>
                    <w:spacing w:line="360" w:lineRule="auto"/>
                    <w:jc w:val="center"/>
                    <w:rPr>
                      <w:rFonts w:hint="eastAsia"/>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rFonts w:hint="default" w:eastAsia="宋体"/>
                      <w:color w:val="auto"/>
                      <w:szCs w:val="21"/>
                      <w:lang w:val="en-US" w:eastAsia="zh-CN"/>
                    </w:rPr>
                  </w:pPr>
                  <w:r>
                    <w:rPr>
                      <w:rFonts w:hint="eastAsia"/>
                      <w:color w:val="auto"/>
                      <w:szCs w:val="21"/>
                      <w:lang w:val="en-US" w:eastAsia="zh-CN"/>
                    </w:rPr>
                    <w:t>10</w:t>
                  </w:r>
                </w:p>
              </w:tc>
              <w:tc>
                <w:tcPr>
                  <w:tcW w:w="2084" w:type="dxa"/>
                  <w:vAlign w:val="center"/>
                </w:tcPr>
                <w:p>
                  <w:pPr>
                    <w:jc w:val="center"/>
                    <w:rPr>
                      <w:rFonts w:hint="eastAsia" w:ascii="宋体" w:hAnsi="宋体"/>
                      <w:color w:val="auto"/>
                      <w:szCs w:val="21"/>
                    </w:rPr>
                  </w:pPr>
                  <w:r>
                    <w:rPr>
                      <w:rFonts w:hint="eastAsia" w:hAnsi="宋体"/>
                      <w:b w:val="0"/>
                      <w:bCs w:val="0"/>
                      <w:color w:val="auto"/>
                      <w:sz w:val="21"/>
                      <w:szCs w:val="21"/>
                    </w:rPr>
                    <w:t>抛光机</w:t>
                  </w:r>
                </w:p>
              </w:tc>
              <w:tc>
                <w:tcPr>
                  <w:tcW w:w="2816" w:type="dxa"/>
                  <w:vAlign w:val="center"/>
                </w:tcPr>
                <w:p>
                  <w:pPr>
                    <w:spacing w:line="360" w:lineRule="auto"/>
                    <w:jc w:val="center"/>
                    <w:rPr>
                      <w:rFonts w:hint="eastAsia"/>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rFonts w:hint="default"/>
                      <w:color w:val="auto"/>
                      <w:szCs w:val="21"/>
                      <w:lang w:val="en-US" w:eastAsia="zh-CN"/>
                    </w:rPr>
                  </w:pPr>
                  <w:r>
                    <w:rPr>
                      <w:rFonts w:hint="eastAsia"/>
                      <w:color w:val="auto"/>
                      <w:szCs w:val="21"/>
                      <w:lang w:val="en-US" w:eastAsia="zh-CN"/>
                    </w:rPr>
                    <w:t>11</w:t>
                  </w:r>
                </w:p>
              </w:tc>
              <w:tc>
                <w:tcPr>
                  <w:tcW w:w="2084" w:type="dxa"/>
                  <w:vAlign w:val="center"/>
                </w:tcPr>
                <w:p>
                  <w:pPr>
                    <w:jc w:val="center"/>
                    <w:rPr>
                      <w:rFonts w:hint="eastAsia" w:ascii="宋体" w:hAnsi="宋体"/>
                      <w:color w:val="auto"/>
                      <w:sz w:val="21"/>
                      <w:szCs w:val="21"/>
                      <w:shd w:val="clear" w:color="auto" w:fill="auto"/>
                      <w:lang w:val="en-US" w:eastAsia="zh-CN"/>
                    </w:rPr>
                  </w:pPr>
                  <w:r>
                    <w:rPr>
                      <w:rFonts w:hint="eastAsia" w:hAnsi="宋体"/>
                      <w:b w:val="0"/>
                      <w:bCs w:val="0"/>
                      <w:color w:val="auto"/>
                      <w:sz w:val="21"/>
                      <w:szCs w:val="21"/>
                      <w:lang w:val="en-US" w:eastAsia="zh-CN"/>
                    </w:rPr>
                    <w:t>试水机</w:t>
                  </w:r>
                </w:p>
              </w:tc>
              <w:tc>
                <w:tcPr>
                  <w:tcW w:w="2816" w:type="dxa"/>
                  <w:vAlign w:val="center"/>
                </w:tcPr>
                <w:p>
                  <w:pPr>
                    <w:spacing w:line="360" w:lineRule="auto"/>
                    <w:jc w:val="center"/>
                    <w:rPr>
                      <w:rFonts w:hint="eastAsia"/>
                      <w:color w:val="auto"/>
                      <w:szCs w:val="21"/>
                    </w:rPr>
                  </w:pPr>
                  <w:r>
                    <w:rPr>
                      <w:rFonts w:hint="eastAsia"/>
                      <w:color w:val="auto"/>
                      <w:szCs w:val="21"/>
                    </w:rPr>
                    <w:t>70~80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rFonts w:hint="default"/>
                      <w:color w:val="auto"/>
                      <w:szCs w:val="21"/>
                      <w:lang w:val="en-US" w:eastAsia="zh-CN"/>
                    </w:rPr>
                  </w:pPr>
                  <w:r>
                    <w:rPr>
                      <w:rFonts w:hint="eastAsia"/>
                      <w:color w:val="auto"/>
                      <w:szCs w:val="21"/>
                      <w:lang w:val="en-US" w:eastAsia="zh-CN"/>
                    </w:rPr>
                    <w:t>12</w:t>
                  </w:r>
                </w:p>
              </w:tc>
              <w:tc>
                <w:tcPr>
                  <w:tcW w:w="2084" w:type="dxa"/>
                  <w:vAlign w:val="center"/>
                </w:tcPr>
                <w:p>
                  <w:pPr>
                    <w:jc w:val="center"/>
                    <w:rPr>
                      <w:rFonts w:hint="eastAsia" w:ascii="宋体" w:hAnsi="宋体"/>
                      <w:color w:val="auto"/>
                      <w:sz w:val="21"/>
                      <w:szCs w:val="21"/>
                      <w:shd w:val="clear" w:color="auto" w:fill="auto"/>
                      <w:lang w:val="en-US" w:eastAsia="zh-CN"/>
                    </w:rPr>
                  </w:pPr>
                  <w:r>
                    <w:rPr>
                      <w:rFonts w:hint="eastAsia" w:hAnsi="宋体"/>
                      <w:b w:val="0"/>
                      <w:bCs w:val="0"/>
                      <w:color w:val="auto"/>
                      <w:sz w:val="21"/>
                      <w:szCs w:val="21"/>
                    </w:rPr>
                    <w:t>空压机</w:t>
                  </w:r>
                </w:p>
              </w:tc>
              <w:tc>
                <w:tcPr>
                  <w:tcW w:w="2816" w:type="dxa"/>
                  <w:vAlign w:val="center"/>
                </w:tcPr>
                <w:p>
                  <w:pPr>
                    <w:spacing w:line="360" w:lineRule="auto"/>
                    <w:jc w:val="center"/>
                    <w:rPr>
                      <w:rFonts w:hint="eastAsia"/>
                      <w:color w:val="auto"/>
                      <w:szCs w:val="21"/>
                    </w:rPr>
                  </w:pPr>
                  <w:r>
                    <w:rPr>
                      <w:rFonts w:hint="eastAsia"/>
                      <w:color w:val="auto"/>
                      <w:szCs w:val="21"/>
                    </w:rPr>
                    <w:t>80~90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9" w:type="dxa"/>
                  <w:vAlign w:val="center"/>
                </w:tcPr>
                <w:p>
                  <w:pPr>
                    <w:spacing w:line="360" w:lineRule="auto"/>
                    <w:jc w:val="center"/>
                    <w:rPr>
                      <w:rFonts w:hint="default"/>
                      <w:color w:val="auto"/>
                      <w:szCs w:val="21"/>
                      <w:lang w:val="en-US" w:eastAsia="zh-CN"/>
                    </w:rPr>
                  </w:pPr>
                  <w:r>
                    <w:rPr>
                      <w:rFonts w:hint="eastAsia"/>
                      <w:color w:val="auto"/>
                      <w:szCs w:val="21"/>
                      <w:lang w:val="en-US" w:eastAsia="zh-CN"/>
                    </w:rPr>
                    <w:t>13</w:t>
                  </w:r>
                </w:p>
              </w:tc>
              <w:tc>
                <w:tcPr>
                  <w:tcW w:w="2084" w:type="dxa"/>
                  <w:vAlign w:val="center"/>
                </w:tcPr>
                <w:p>
                  <w:pPr>
                    <w:jc w:val="center"/>
                    <w:rPr>
                      <w:rFonts w:hint="eastAsia" w:ascii="宋体" w:hAnsi="宋体"/>
                      <w:color w:val="auto"/>
                      <w:sz w:val="21"/>
                      <w:szCs w:val="21"/>
                      <w:shd w:val="clear" w:color="auto" w:fill="auto"/>
                      <w:lang w:val="en-US" w:eastAsia="zh-CN"/>
                    </w:rPr>
                  </w:pPr>
                  <w:r>
                    <w:rPr>
                      <w:rFonts w:hint="eastAsia" w:hAnsi="宋体"/>
                      <w:b w:val="0"/>
                      <w:bCs w:val="0"/>
                      <w:color w:val="auto"/>
                      <w:sz w:val="21"/>
                      <w:szCs w:val="21"/>
                      <w:lang w:val="en-US" w:eastAsia="zh-CN"/>
                    </w:rPr>
                    <w:t>冷却塔</w:t>
                  </w:r>
                </w:p>
              </w:tc>
              <w:tc>
                <w:tcPr>
                  <w:tcW w:w="2816" w:type="dxa"/>
                  <w:vAlign w:val="center"/>
                </w:tcPr>
                <w:p>
                  <w:pPr>
                    <w:spacing w:line="360" w:lineRule="auto"/>
                    <w:jc w:val="center"/>
                    <w:rPr>
                      <w:rFonts w:hint="eastAsia"/>
                      <w:color w:val="auto"/>
                      <w:szCs w:val="21"/>
                    </w:rPr>
                  </w:pPr>
                  <w:r>
                    <w:rPr>
                      <w:rFonts w:hint="eastAsia"/>
                      <w:color w:val="auto"/>
                      <w:szCs w:val="21"/>
                    </w:rPr>
                    <w:t>80~90</w:t>
                  </w:r>
                </w:p>
              </w:tc>
              <w:tc>
                <w:tcPr>
                  <w:tcW w:w="1273" w:type="dxa"/>
                  <w:vMerge w:val="continue"/>
                  <w:vAlign w:val="center"/>
                </w:tcPr>
                <w:p>
                  <w:pPr>
                    <w:spacing w:line="360" w:lineRule="auto"/>
                    <w:jc w:val="center"/>
                    <w:rPr>
                      <w:color w:val="auto"/>
                      <w:szCs w:val="21"/>
                    </w:rPr>
                  </w:pPr>
                </w:p>
              </w:tc>
              <w:tc>
                <w:tcPr>
                  <w:tcW w:w="1318" w:type="dxa"/>
                  <w:vMerge w:val="continue"/>
                  <w:vAlign w:val="center"/>
                </w:tcPr>
                <w:p>
                  <w:pPr>
                    <w:spacing w:line="360" w:lineRule="auto"/>
                    <w:jc w:val="center"/>
                    <w:rPr>
                      <w:color w:val="auto"/>
                      <w:szCs w:val="21"/>
                    </w:rPr>
                  </w:pPr>
                </w:p>
              </w:tc>
            </w:tr>
          </w:tbl>
          <w:p>
            <w:pPr>
              <w:spacing w:line="360" w:lineRule="auto"/>
              <w:ind w:firstLine="472" w:firstLineChars="196"/>
              <w:rPr>
                <w:b/>
                <w:bCs/>
                <w:color w:val="auto"/>
                <w:sz w:val="24"/>
                <w:shd w:val="clear" w:color="auto" w:fill="auto"/>
              </w:rPr>
            </w:pPr>
            <w:r>
              <w:rPr>
                <w:rFonts w:hint="eastAsia"/>
                <w:b/>
                <w:bCs/>
                <w:color w:val="auto"/>
                <w:sz w:val="24"/>
                <w:shd w:val="clear" w:color="auto" w:fill="auto"/>
              </w:rPr>
              <w:t>四、固体废弃物污染源</w:t>
            </w:r>
          </w:p>
          <w:p>
            <w:pPr>
              <w:pStyle w:val="54"/>
              <w:autoSpaceDE/>
              <w:autoSpaceDN/>
              <w:snapToGrid w:val="0"/>
              <w:spacing w:line="360" w:lineRule="auto"/>
              <w:ind w:firstLine="475" w:firstLineChars="197"/>
              <w:textAlignment w:val="auto"/>
              <w:rPr>
                <w:rFonts w:hint="default" w:ascii="Times New Roman" w:hAnsi="Times New Roman" w:eastAsia="宋体" w:cs="Times New Roman"/>
                <w:bCs/>
                <w:color w:val="auto"/>
                <w:shd w:val="clear" w:color="auto" w:fill="auto"/>
              </w:rPr>
            </w:pPr>
            <w:r>
              <w:rPr>
                <w:rFonts w:hint="default" w:ascii="Times New Roman" w:hAnsi="Times New Roman" w:eastAsia="宋体" w:cs="Times New Roman"/>
                <w:b/>
                <w:color w:val="auto"/>
                <w:kern w:val="2"/>
                <w:szCs w:val="24"/>
                <w:shd w:val="clear" w:color="auto" w:fill="auto"/>
              </w:rPr>
              <w:t>生活垃圾：</w:t>
            </w:r>
            <w:r>
              <w:rPr>
                <w:rFonts w:hint="default" w:ascii="Times New Roman" w:hAnsi="Times New Roman" w:eastAsia="宋体" w:cs="Times New Roman"/>
                <w:color w:val="auto"/>
                <w:shd w:val="clear" w:color="auto" w:fill="auto"/>
              </w:rPr>
              <w:t>项目员工生活垃圾排放量计算如下：</w:t>
            </w:r>
            <w:r>
              <w:rPr>
                <w:rFonts w:hint="default" w:ascii="Times New Roman" w:hAnsi="Times New Roman" w:eastAsia="宋体" w:cs="Times New Roman"/>
                <w:color w:val="auto"/>
                <w:shd w:val="clear" w:color="auto" w:fill="auto"/>
                <w:lang w:val="en-US" w:eastAsia="zh-CN"/>
              </w:rPr>
              <w:t>0.5</w:t>
            </w:r>
            <w:r>
              <w:rPr>
                <w:rFonts w:hint="default" w:ascii="Times New Roman" w:hAnsi="Times New Roman" w:eastAsia="宋体" w:cs="Times New Roman"/>
                <w:color w:val="auto"/>
                <w:shd w:val="clear" w:color="auto" w:fill="auto"/>
              </w:rPr>
              <w:t>kg/人·d×</w:t>
            </w:r>
            <w:r>
              <w:rPr>
                <w:rFonts w:hint="eastAsia" w:eastAsia="宋体" w:cs="Times New Roman"/>
                <w:color w:val="auto"/>
                <w:shd w:val="clear" w:color="auto" w:fill="auto"/>
                <w:lang w:val="en-US" w:eastAsia="zh-CN"/>
              </w:rPr>
              <w:t>70</w:t>
            </w:r>
            <w:r>
              <w:rPr>
                <w:rFonts w:hint="default" w:ascii="Times New Roman" w:hAnsi="Times New Roman" w:eastAsia="宋体" w:cs="Times New Roman"/>
                <w:color w:val="auto"/>
                <w:shd w:val="clear" w:color="auto" w:fill="auto"/>
              </w:rPr>
              <w:t>人＝</w:t>
            </w:r>
            <w:r>
              <w:rPr>
                <w:rFonts w:hint="eastAsia" w:eastAsia="宋体" w:cs="Times New Roman"/>
                <w:color w:val="auto"/>
                <w:shd w:val="clear" w:color="auto" w:fill="auto"/>
                <w:lang w:val="en-US" w:eastAsia="zh-CN"/>
              </w:rPr>
              <w:t>35</w:t>
            </w:r>
            <w:r>
              <w:rPr>
                <w:rFonts w:hint="default" w:ascii="Times New Roman" w:hAnsi="Times New Roman" w:eastAsia="宋体" w:cs="Times New Roman"/>
                <w:color w:val="auto"/>
                <w:shd w:val="clear" w:color="auto" w:fill="auto"/>
              </w:rPr>
              <w:t>kg/d，即</w:t>
            </w:r>
            <w:r>
              <w:rPr>
                <w:rFonts w:hint="eastAsia" w:eastAsia="宋体" w:cs="Times New Roman"/>
                <w:color w:val="auto"/>
                <w:shd w:val="clear" w:color="auto" w:fill="auto"/>
                <w:lang w:val="en-US" w:eastAsia="zh-CN"/>
              </w:rPr>
              <w:t>10.5</w:t>
            </w:r>
            <w:r>
              <w:rPr>
                <w:rFonts w:hint="default" w:ascii="Times New Roman" w:hAnsi="Times New Roman" w:eastAsia="宋体" w:cs="Times New Roman"/>
                <w:color w:val="auto"/>
                <w:shd w:val="clear" w:color="auto" w:fill="auto"/>
              </w:rPr>
              <w:t>t/a。</w:t>
            </w:r>
            <w:r>
              <w:rPr>
                <w:rFonts w:hint="default" w:ascii="Times New Roman" w:hAnsi="Times New Roman" w:eastAsia="宋体" w:cs="Times New Roman"/>
                <w:bCs/>
                <w:color w:val="auto"/>
                <w:shd w:val="clear" w:color="auto" w:fill="auto"/>
              </w:rPr>
              <w:t>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adjustRightInd w:val="0"/>
              <w:snapToGrid w:val="0"/>
              <w:spacing w:line="360" w:lineRule="auto"/>
              <w:ind w:firstLine="482" w:firstLineChars="200"/>
              <w:rPr>
                <w:color w:val="auto"/>
                <w:sz w:val="24"/>
              </w:rPr>
            </w:pPr>
            <w:r>
              <w:rPr>
                <w:rFonts w:hint="eastAsia" w:ascii="宋体" w:hAnsi="宋体"/>
                <w:b/>
                <w:color w:val="auto"/>
                <w:sz w:val="24"/>
              </w:rPr>
              <w:t>一般工业固废</w:t>
            </w:r>
            <w:r>
              <w:rPr>
                <w:rFonts w:hint="eastAsia"/>
                <w:color w:val="auto"/>
                <w:sz w:val="24"/>
              </w:rPr>
              <w:t>：</w:t>
            </w:r>
            <w:r>
              <w:rPr>
                <w:color w:val="auto"/>
                <w:sz w:val="24"/>
                <w:szCs w:val="22"/>
              </w:rPr>
              <w:t>根据建设单位提供的资料，</w:t>
            </w:r>
            <w:r>
              <w:rPr>
                <w:bCs/>
                <w:color w:val="auto"/>
                <w:sz w:val="24"/>
              </w:rPr>
              <w:t>项目</w:t>
            </w:r>
            <w:r>
              <w:rPr>
                <w:rFonts w:hint="eastAsia"/>
                <w:bCs/>
                <w:color w:val="auto"/>
                <w:sz w:val="24"/>
                <w:lang w:eastAsia="zh-CN"/>
              </w:rPr>
              <w:t>熔化</w:t>
            </w:r>
            <w:r>
              <w:rPr>
                <w:rFonts w:hint="eastAsia"/>
                <w:bCs/>
                <w:color w:val="auto"/>
                <w:sz w:val="24"/>
              </w:rPr>
              <w:t>工序</w:t>
            </w:r>
            <w:r>
              <w:rPr>
                <w:bCs/>
                <w:color w:val="auto"/>
                <w:sz w:val="24"/>
              </w:rPr>
              <w:t>产生</w:t>
            </w:r>
            <w:r>
              <w:rPr>
                <w:rFonts w:hint="eastAsia"/>
                <w:bCs/>
                <w:color w:val="auto"/>
                <w:sz w:val="24"/>
              </w:rPr>
              <w:t>少量</w:t>
            </w:r>
            <w:r>
              <w:rPr>
                <w:rFonts w:hint="eastAsia"/>
                <w:bCs/>
                <w:color w:val="auto"/>
                <w:sz w:val="24"/>
                <w:lang w:eastAsia="zh-CN"/>
              </w:rPr>
              <w:t>炉渣</w:t>
            </w:r>
            <w:r>
              <w:rPr>
                <w:bCs/>
                <w:color w:val="auto"/>
                <w:sz w:val="24"/>
              </w:rPr>
              <w:t>，产生量约为</w:t>
            </w:r>
            <w:r>
              <w:rPr>
                <w:rFonts w:hint="eastAsia"/>
                <w:bCs/>
                <w:color w:val="auto"/>
                <w:sz w:val="24"/>
                <w:lang w:val="en-US" w:eastAsia="zh-CN"/>
              </w:rPr>
              <w:t>1</w:t>
            </w:r>
            <w:r>
              <w:rPr>
                <w:color w:val="auto"/>
                <w:spacing w:val="-2"/>
                <w:sz w:val="24"/>
              </w:rPr>
              <w:t>t/a</w:t>
            </w:r>
            <w:r>
              <w:rPr>
                <w:bCs/>
                <w:color w:val="auto"/>
                <w:sz w:val="24"/>
              </w:rPr>
              <w:t>；</w:t>
            </w:r>
            <w:r>
              <w:rPr>
                <w:rFonts w:hint="eastAsia"/>
                <w:bCs/>
                <w:color w:val="auto"/>
                <w:sz w:val="24"/>
                <w:lang w:eastAsia="zh-CN"/>
              </w:rPr>
              <w:t>滚砂工序产生废砂，产生量约为</w:t>
            </w:r>
            <w:r>
              <w:rPr>
                <w:rFonts w:hint="eastAsia"/>
                <w:bCs/>
                <w:color w:val="auto"/>
                <w:sz w:val="24"/>
                <w:lang w:val="en-US" w:eastAsia="zh-CN"/>
              </w:rPr>
              <w:t>91.8</w:t>
            </w:r>
            <w:r>
              <w:rPr>
                <w:color w:val="auto"/>
                <w:spacing w:val="-2"/>
                <w:sz w:val="24"/>
              </w:rPr>
              <w:t>t/a</w:t>
            </w:r>
            <w:r>
              <w:rPr>
                <w:rFonts w:hint="eastAsia"/>
                <w:color w:val="auto"/>
                <w:spacing w:val="-2"/>
                <w:sz w:val="24"/>
                <w:lang w:eastAsia="zh-CN"/>
              </w:rPr>
              <w:t>；机加工工序产生少量金属边角料，产生量约为</w:t>
            </w:r>
            <w:r>
              <w:rPr>
                <w:rFonts w:hint="eastAsia"/>
                <w:color w:val="auto"/>
                <w:spacing w:val="-2"/>
                <w:sz w:val="24"/>
                <w:lang w:val="en-US" w:eastAsia="zh-CN"/>
              </w:rPr>
              <w:t>2</w:t>
            </w:r>
            <w:r>
              <w:rPr>
                <w:color w:val="auto"/>
                <w:spacing w:val="-2"/>
                <w:sz w:val="24"/>
              </w:rPr>
              <w:t>t/a</w:t>
            </w:r>
            <w:r>
              <w:rPr>
                <w:rFonts w:hint="eastAsia"/>
                <w:color w:val="auto"/>
                <w:spacing w:val="-2"/>
                <w:sz w:val="24"/>
                <w:lang w:eastAsia="zh-CN"/>
              </w:rPr>
              <w:t>；</w:t>
            </w:r>
            <w:r>
              <w:rPr>
                <w:rFonts w:hint="eastAsia"/>
                <w:bCs/>
                <w:color w:val="auto"/>
                <w:sz w:val="24"/>
                <w:lang w:eastAsia="zh-CN"/>
              </w:rPr>
              <w:t>测试</w:t>
            </w:r>
            <w:r>
              <w:rPr>
                <w:rFonts w:hint="eastAsia"/>
                <w:bCs/>
                <w:color w:val="auto"/>
                <w:sz w:val="24"/>
              </w:rPr>
              <w:t>工序产生少量不合格品，产生量约为</w:t>
            </w:r>
            <w:r>
              <w:rPr>
                <w:rFonts w:hint="eastAsia"/>
                <w:bCs/>
                <w:color w:val="auto"/>
                <w:sz w:val="24"/>
                <w:lang w:val="en-US" w:eastAsia="zh-CN"/>
              </w:rPr>
              <w:t>2</w:t>
            </w:r>
            <w:r>
              <w:rPr>
                <w:color w:val="auto"/>
                <w:spacing w:val="-2"/>
                <w:sz w:val="24"/>
              </w:rPr>
              <w:t>t/a</w:t>
            </w:r>
            <w:r>
              <w:rPr>
                <w:rFonts w:hint="eastAsia"/>
                <w:color w:val="auto"/>
                <w:spacing w:val="-2"/>
                <w:sz w:val="24"/>
              </w:rPr>
              <w:t>；</w:t>
            </w:r>
            <w:r>
              <w:rPr>
                <w:rFonts w:hint="eastAsia" w:cs="Times New Roman"/>
                <w:bCs/>
                <w:color w:val="auto"/>
                <w:sz w:val="24"/>
                <w:szCs w:val="24"/>
                <w:highlight w:val="none"/>
                <w:lang w:eastAsia="zh-CN"/>
              </w:rPr>
              <w:t>抛光工序产生废抛光轮，产生量约为</w:t>
            </w:r>
            <w:r>
              <w:rPr>
                <w:rFonts w:hint="eastAsia" w:cs="Times New Roman"/>
                <w:bCs/>
                <w:color w:val="auto"/>
                <w:sz w:val="24"/>
                <w:szCs w:val="24"/>
                <w:highlight w:val="none"/>
                <w:lang w:val="en-US" w:eastAsia="zh-CN"/>
              </w:rPr>
              <w:t>0.3</w:t>
            </w:r>
            <w:r>
              <w:rPr>
                <w:rFonts w:hint="default" w:ascii="Times New Roman" w:hAnsi="Times New Roman" w:cs="Times New Roman"/>
                <w:color w:val="auto"/>
                <w:spacing w:val="-2"/>
                <w:sz w:val="24"/>
              </w:rPr>
              <w:t>t/a</w:t>
            </w:r>
            <w:r>
              <w:rPr>
                <w:rFonts w:hint="eastAsia" w:cs="Times New Roman"/>
                <w:color w:val="auto"/>
                <w:spacing w:val="-2"/>
                <w:sz w:val="24"/>
                <w:lang w:eastAsia="zh-CN"/>
              </w:rPr>
              <w:t>；</w:t>
            </w:r>
            <w:r>
              <w:rPr>
                <w:rFonts w:hint="eastAsia"/>
                <w:color w:val="auto"/>
                <w:spacing w:val="-2"/>
                <w:sz w:val="24"/>
              </w:rPr>
              <w:t>包装工序产生少量废包装材料</w:t>
            </w:r>
            <w:r>
              <w:rPr>
                <w:rFonts w:hint="eastAsia"/>
                <w:bCs/>
                <w:color w:val="auto"/>
                <w:sz w:val="24"/>
              </w:rPr>
              <w:t>，产生量约为0.</w:t>
            </w:r>
            <w:r>
              <w:rPr>
                <w:rFonts w:hint="eastAsia"/>
                <w:bCs/>
                <w:color w:val="auto"/>
                <w:sz w:val="24"/>
                <w:lang w:val="en-US" w:eastAsia="zh-CN"/>
              </w:rPr>
              <w:t>1</w:t>
            </w:r>
            <w:r>
              <w:rPr>
                <w:color w:val="auto"/>
                <w:spacing w:val="-2"/>
                <w:sz w:val="24"/>
              </w:rPr>
              <w:t>t/a</w:t>
            </w:r>
            <w:r>
              <w:rPr>
                <w:rFonts w:hint="eastAsia"/>
                <w:color w:val="auto"/>
                <w:spacing w:val="-2"/>
                <w:sz w:val="24"/>
                <w:lang w:eastAsia="zh-CN"/>
              </w:rPr>
              <w:t>；</w:t>
            </w:r>
            <w:r>
              <w:rPr>
                <w:rFonts w:hint="eastAsia"/>
                <w:color w:val="auto"/>
                <w:spacing w:val="-2"/>
                <w:sz w:val="24"/>
                <w:highlight w:val="none"/>
              </w:rPr>
              <w:t>布袋除尘</w:t>
            </w:r>
            <w:r>
              <w:rPr>
                <w:bCs/>
                <w:color w:val="auto"/>
                <w:sz w:val="24"/>
                <w:highlight w:val="none"/>
              </w:rPr>
              <w:t>装置收集的粉尘，产生量约为</w:t>
            </w:r>
            <w:r>
              <w:rPr>
                <w:rFonts w:hint="eastAsia"/>
                <w:bCs/>
                <w:color w:val="auto"/>
                <w:sz w:val="24"/>
                <w:highlight w:val="none"/>
                <w:lang w:val="en-US" w:eastAsia="zh-CN"/>
              </w:rPr>
              <w:t>0.096</w:t>
            </w:r>
            <w:r>
              <w:rPr>
                <w:bCs/>
                <w:color w:val="auto"/>
                <w:sz w:val="24"/>
                <w:highlight w:val="none"/>
              </w:rPr>
              <w:t>*</w:t>
            </w:r>
            <w:r>
              <w:rPr>
                <w:rFonts w:hint="eastAsia"/>
                <w:bCs/>
                <w:color w:val="auto"/>
                <w:sz w:val="24"/>
                <w:highlight w:val="none"/>
              </w:rPr>
              <w:t>99</w:t>
            </w:r>
            <w:r>
              <w:rPr>
                <w:bCs/>
                <w:color w:val="auto"/>
                <w:sz w:val="24"/>
                <w:highlight w:val="none"/>
              </w:rPr>
              <w:t>%≈</w:t>
            </w:r>
            <w:r>
              <w:rPr>
                <w:rFonts w:hint="eastAsia"/>
                <w:bCs/>
                <w:color w:val="auto"/>
                <w:sz w:val="24"/>
                <w:highlight w:val="none"/>
                <w:lang w:val="en-US" w:eastAsia="zh-CN"/>
              </w:rPr>
              <w:t>0.1</w:t>
            </w:r>
            <w:r>
              <w:rPr>
                <w:color w:val="auto"/>
                <w:spacing w:val="-2"/>
                <w:sz w:val="24"/>
                <w:highlight w:val="none"/>
              </w:rPr>
              <w:t>t/a</w:t>
            </w:r>
            <w:r>
              <w:rPr>
                <w:rFonts w:hint="eastAsia"/>
                <w:bCs/>
                <w:color w:val="auto"/>
                <w:sz w:val="24"/>
                <w:highlight w:val="none"/>
              </w:rPr>
              <w:t>。</w:t>
            </w:r>
            <w:r>
              <w:rPr>
                <w:color w:val="auto"/>
                <w:sz w:val="24"/>
              </w:rPr>
              <w:t>综上所述，项目一般固废产生量为</w:t>
            </w:r>
            <w:r>
              <w:rPr>
                <w:rFonts w:hint="eastAsia"/>
                <w:color w:val="auto"/>
                <w:sz w:val="24"/>
                <w:szCs w:val="24"/>
                <w:lang w:val="en-US" w:eastAsia="zh-CN"/>
              </w:rPr>
              <w:t>97.3</w:t>
            </w:r>
            <w:r>
              <w:rPr>
                <w:color w:val="auto"/>
                <w:spacing w:val="-2"/>
                <w:sz w:val="24"/>
                <w:szCs w:val="24"/>
              </w:rPr>
              <w:t>t/a</w:t>
            </w:r>
            <w:r>
              <w:rPr>
                <w:color w:val="auto"/>
                <w:sz w:val="24"/>
              </w:rPr>
              <w:t>，经收集后</w:t>
            </w:r>
            <w:r>
              <w:rPr>
                <w:color w:val="auto"/>
                <w:spacing w:val="-2"/>
                <w:sz w:val="24"/>
              </w:rPr>
              <w:t>交专业公司回收处理</w:t>
            </w:r>
            <w:r>
              <w:rPr>
                <w:color w:val="auto"/>
                <w:sz w:val="24"/>
              </w:rPr>
              <w:t>。</w:t>
            </w:r>
          </w:p>
          <w:p>
            <w:pPr>
              <w:adjustRightInd w:val="0"/>
              <w:snapToGrid w:val="0"/>
              <w:spacing w:line="360" w:lineRule="auto"/>
              <w:ind w:firstLine="482"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b/>
                <w:color w:val="auto"/>
                <w:sz w:val="24"/>
                <w:highlight w:val="none"/>
              </w:rPr>
              <w:t>危险废物</w:t>
            </w:r>
            <w:r>
              <w:rPr>
                <w:rFonts w:hint="default" w:ascii="Times New Roman" w:hAnsi="Times New Roman" w:cs="Times New Roman"/>
                <w:color w:val="auto"/>
                <w:sz w:val="24"/>
                <w:highlight w:val="none"/>
              </w:rPr>
              <w:t>：</w:t>
            </w:r>
            <w:r>
              <w:rPr>
                <w:rFonts w:hint="eastAsia" w:ascii="Times New Roman" w:hAnsi="Times New Roman" w:cs="Times New Roman"/>
                <w:color w:val="auto"/>
                <w:sz w:val="24"/>
                <w:szCs w:val="24"/>
                <w:highlight w:val="none"/>
                <w:lang w:eastAsia="zh-CN"/>
              </w:rPr>
              <w:t>项目危险废物主要包括废树脂桶、废机油、废机油油桶、</w:t>
            </w:r>
            <w:r>
              <w:rPr>
                <w:rFonts w:hint="eastAsia" w:ascii="Times New Roman" w:hAnsi="Times New Roman"/>
                <w:color w:val="auto"/>
                <w:kern w:val="0"/>
                <w:sz w:val="24"/>
                <w:lang w:val="en-US" w:eastAsia="zh-CN"/>
              </w:rPr>
              <w:t>含油废抹布、</w:t>
            </w:r>
            <w:r>
              <w:rPr>
                <w:rFonts w:hint="eastAsia" w:ascii="Times New Roman" w:hAnsi="Times New Roman" w:cs="Times New Roman"/>
                <w:color w:val="auto"/>
                <w:sz w:val="24"/>
                <w:szCs w:val="24"/>
                <w:highlight w:val="none"/>
                <w:lang w:eastAsia="zh-CN"/>
              </w:rPr>
              <w:t>废</w:t>
            </w:r>
            <w:r>
              <w:rPr>
                <w:rFonts w:hint="eastAsia" w:ascii="Times New Roman" w:hAnsi="Times New Roman" w:cs="Times New Roman"/>
                <w:color w:val="auto"/>
                <w:sz w:val="24"/>
                <w:szCs w:val="24"/>
                <w:highlight w:val="none"/>
                <w:lang w:val="en-US" w:eastAsia="zh-CN"/>
              </w:rPr>
              <w:t>UV灯管</w:t>
            </w:r>
            <w:r>
              <w:rPr>
                <w:rFonts w:hint="eastAsia" w:ascii="Times New Roman" w:hAnsi="Times New Roman" w:cs="Times New Roman"/>
                <w:color w:val="auto"/>
                <w:sz w:val="24"/>
                <w:szCs w:val="24"/>
                <w:highlight w:val="none"/>
                <w:lang w:eastAsia="zh-CN"/>
              </w:rPr>
              <w:t>。</w:t>
            </w:r>
          </w:p>
          <w:p>
            <w:pPr>
              <w:adjustRightInd w:val="0"/>
              <w:snapToGrid w:val="0"/>
              <w:spacing w:line="336" w:lineRule="auto"/>
              <w:ind w:firstLine="482"/>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1）废树脂桶、</w:t>
            </w:r>
            <w:r>
              <w:rPr>
                <w:rFonts w:hint="eastAsia" w:ascii="Times New Roman" w:hAnsi="Times New Roman" w:cs="Times New Roman"/>
                <w:color w:val="auto"/>
                <w:sz w:val="24"/>
                <w:szCs w:val="24"/>
                <w:highlight w:val="none"/>
                <w:lang w:eastAsia="zh-CN"/>
              </w:rPr>
              <w:t>废机油油桶、含油废抹布</w:t>
            </w:r>
          </w:p>
          <w:p>
            <w:pPr>
              <w:adjustRightInd w:val="0"/>
              <w:snapToGrid w:val="0"/>
              <w:spacing w:line="360" w:lineRule="auto"/>
              <w:ind w:firstLine="480" w:firstLineChars="200"/>
              <w:rPr>
                <w:rFonts w:hint="default" w:ascii="Times New Roman" w:hAnsi="Times New Roman" w:eastAsia="宋体" w:cs="Times New Roman"/>
                <w:color w:val="auto"/>
                <w:sz w:val="24"/>
                <w:szCs w:val="22"/>
                <w:highlight w:val="none"/>
                <w:lang w:eastAsia="zh-CN"/>
              </w:rPr>
            </w:pPr>
            <w:r>
              <w:rPr>
                <w:rFonts w:hint="eastAsia" w:ascii="Times New Roman" w:hAnsi="Times New Roman"/>
                <w:color w:val="auto"/>
                <w:kern w:val="0"/>
                <w:sz w:val="24"/>
                <w:lang w:val="en-US" w:eastAsia="zh-CN"/>
              </w:rPr>
              <w:t>项目使用的呋喃树脂为桶装，使用量为1.8t/a（1800kg/a），净含量200kg/桶，故</w:t>
            </w:r>
            <w:r>
              <w:rPr>
                <w:rFonts w:hint="eastAsia" w:ascii="Times New Roman" w:hAnsi="Times New Roman" w:cs="Times New Roman"/>
                <w:color w:val="auto"/>
                <w:sz w:val="24"/>
                <w:highlight w:val="none"/>
                <w:lang w:val="en-US" w:eastAsia="zh-CN"/>
              </w:rPr>
              <w:t>废树脂桶</w:t>
            </w:r>
            <w:r>
              <w:rPr>
                <w:rFonts w:hint="eastAsia" w:ascii="Times New Roman" w:hAnsi="Times New Roman"/>
                <w:color w:val="auto"/>
                <w:kern w:val="0"/>
                <w:sz w:val="24"/>
                <w:lang w:val="en-US" w:eastAsia="zh-CN"/>
              </w:rPr>
              <w:t>的产生量共9个。空桶质量为20kg/个，则项目年产生</w:t>
            </w:r>
            <w:r>
              <w:rPr>
                <w:rFonts w:hint="eastAsia" w:ascii="Times New Roman" w:hAnsi="Times New Roman" w:cs="Times New Roman"/>
                <w:color w:val="auto"/>
                <w:sz w:val="24"/>
                <w:highlight w:val="none"/>
                <w:lang w:val="en-US" w:eastAsia="zh-CN"/>
              </w:rPr>
              <w:t>废树脂桶</w:t>
            </w:r>
            <w:r>
              <w:rPr>
                <w:rFonts w:hint="eastAsia" w:ascii="Times New Roman" w:hAnsi="Times New Roman"/>
                <w:color w:val="auto"/>
                <w:kern w:val="0"/>
                <w:sz w:val="24"/>
                <w:lang w:val="en-US" w:eastAsia="zh-CN"/>
              </w:rPr>
              <w:t>约180kg，即0.18t/a；</w:t>
            </w:r>
            <w:r>
              <w:rPr>
                <w:rFonts w:hint="default" w:ascii="Times New Roman" w:hAnsi="Times New Roman" w:eastAsia="宋体" w:cs="Times New Roman"/>
                <w:color w:val="auto"/>
                <w:sz w:val="24"/>
                <w:szCs w:val="22"/>
                <w:highlight w:val="none"/>
              </w:rPr>
              <w:t>项目</w:t>
            </w:r>
            <w:r>
              <w:rPr>
                <w:rFonts w:hint="eastAsia" w:ascii="Times New Roman" w:hAnsi="Times New Roman" w:cs="Times New Roman"/>
                <w:color w:val="auto"/>
                <w:sz w:val="24"/>
                <w:szCs w:val="20"/>
                <w:highlight w:val="none"/>
                <w:lang w:eastAsia="zh-CN"/>
              </w:rPr>
              <w:t>机械设备润滑</w:t>
            </w:r>
            <w:r>
              <w:rPr>
                <w:rFonts w:hint="eastAsia" w:ascii="Times New Roman" w:hAnsi="Times New Roman"/>
                <w:color w:val="auto"/>
                <w:kern w:val="0"/>
                <w:sz w:val="24"/>
                <w:lang w:val="en-US" w:eastAsia="zh-CN"/>
              </w:rPr>
              <w:t>使用的机油为桶装，使用量为0.1t/a（100kg/a），净含量50kg/桶，故废机油油桶的产生量共2个。空桶质量为1.5kg/个，则项目年产生废机油油桶约3kg，即0.003t/a；含油废抹布产生量为0.001t/a。综上所述，</w:t>
            </w:r>
            <w:r>
              <w:rPr>
                <w:rFonts w:hint="eastAsia" w:ascii="Times New Roman" w:hAnsi="Times New Roman" w:cs="Times New Roman"/>
                <w:color w:val="auto"/>
                <w:sz w:val="24"/>
                <w:highlight w:val="none"/>
                <w:lang w:val="en-US" w:eastAsia="zh-CN"/>
              </w:rPr>
              <w:t>废树脂桶、</w:t>
            </w:r>
            <w:r>
              <w:rPr>
                <w:rFonts w:hint="eastAsia" w:ascii="Times New Roman" w:hAnsi="Times New Roman" w:cs="Times New Roman"/>
                <w:color w:val="auto"/>
                <w:sz w:val="24"/>
                <w:szCs w:val="24"/>
                <w:highlight w:val="none"/>
                <w:lang w:eastAsia="zh-CN"/>
              </w:rPr>
              <w:t>废机油油桶、含油废抹布（</w:t>
            </w:r>
            <w:r>
              <w:rPr>
                <w:rFonts w:hint="default" w:ascii="Times New Roman" w:hAnsi="Times New Roman" w:eastAsia="宋体" w:cs="Times New Roman"/>
                <w:color w:val="auto"/>
                <w:sz w:val="24"/>
                <w:szCs w:val="20"/>
                <w:highlight w:val="none"/>
              </w:rPr>
              <w:t>废物类别：HW49其他废物，废物代码：900-041-49</w:t>
            </w:r>
            <w:r>
              <w:rPr>
                <w:rFonts w:hint="eastAsia" w:ascii="Times New Roman" w:hAnsi="Times New Roman" w:cs="Times New Roman"/>
                <w:color w:val="auto"/>
                <w:sz w:val="24"/>
                <w:szCs w:val="24"/>
                <w:highlight w:val="none"/>
                <w:lang w:eastAsia="zh-CN"/>
              </w:rPr>
              <w:t>）产生量为</w:t>
            </w:r>
            <w:r>
              <w:rPr>
                <w:rFonts w:hint="eastAsia" w:ascii="Times New Roman" w:hAnsi="Times New Roman" w:cs="Times New Roman"/>
                <w:color w:val="auto"/>
                <w:sz w:val="24"/>
                <w:szCs w:val="24"/>
                <w:highlight w:val="none"/>
                <w:lang w:val="en-US" w:eastAsia="zh-CN"/>
              </w:rPr>
              <w:t>0.184</w:t>
            </w:r>
            <w:r>
              <w:rPr>
                <w:rFonts w:hint="eastAsia" w:ascii="Times New Roman" w:hAnsi="Times New Roman"/>
                <w:color w:val="auto"/>
                <w:kern w:val="0"/>
                <w:sz w:val="24"/>
                <w:lang w:val="en-US" w:eastAsia="zh-CN"/>
              </w:rPr>
              <w:t>t/a，</w:t>
            </w:r>
            <w:r>
              <w:rPr>
                <w:rFonts w:hint="eastAsia" w:ascii="Times New Roman" w:hAnsi="Times New Roman" w:cs="Times New Roman"/>
                <w:color w:val="auto"/>
                <w:sz w:val="24"/>
                <w:szCs w:val="24"/>
                <w:highlight w:val="none"/>
              </w:rPr>
              <w:t>收集后暂存于项目危废暂存区，定期</w:t>
            </w:r>
            <w:r>
              <w:rPr>
                <w:rFonts w:hint="eastAsia" w:ascii="Times New Roman" w:hAnsi="Times New Roman" w:cs="Times New Roman"/>
                <w:color w:val="auto"/>
                <w:sz w:val="24"/>
                <w:szCs w:val="24"/>
                <w:highlight w:val="none"/>
                <w:lang w:eastAsia="zh-CN"/>
              </w:rPr>
              <w:t>交给有危险废物处置资质单位处置</w:t>
            </w:r>
            <w:r>
              <w:rPr>
                <w:rFonts w:hint="eastAsia" w:ascii="Times New Roman" w:hAnsi="Times New Roman" w:cs="Times New Roman"/>
                <w:color w:val="auto"/>
                <w:sz w:val="24"/>
                <w:szCs w:val="24"/>
                <w:highlight w:val="none"/>
              </w:rPr>
              <w:t>。</w:t>
            </w:r>
          </w:p>
          <w:p>
            <w:pPr>
              <w:widowControl w:val="0"/>
              <w:autoSpaceDE w:val="0"/>
              <w:autoSpaceDN w:val="0"/>
              <w:adjustRightInd w:val="0"/>
              <w:spacing w:line="360" w:lineRule="auto"/>
              <w:ind w:firstLine="480" w:firstLineChars="200"/>
              <w:jc w:val="both"/>
              <w:rPr>
                <w:rFonts w:hint="default" w:ascii="宋体" w:hAnsi="Times New Roman" w:eastAsia="宋体" w:cs="宋体"/>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（2）废机油</w:t>
            </w:r>
          </w:p>
          <w:p>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lang w:eastAsia="zh-CN"/>
              </w:rPr>
              <w:t>机械设备润滑</w:t>
            </w:r>
            <w:r>
              <w:rPr>
                <w:rFonts w:ascii="Times New Roman" w:hAnsi="Times New Roman" w:cs="Times New Roman"/>
                <w:color w:val="auto"/>
                <w:sz w:val="24"/>
                <w:szCs w:val="24"/>
                <w:highlight w:val="none"/>
              </w:rPr>
              <w:t>会用到</w:t>
            </w:r>
            <w:r>
              <w:rPr>
                <w:rFonts w:hint="eastAsia" w:ascii="Times New Roman" w:hAnsi="Times New Roman" w:cs="Times New Roman"/>
                <w:color w:val="auto"/>
                <w:sz w:val="24"/>
                <w:szCs w:val="24"/>
                <w:highlight w:val="none"/>
                <w:lang w:eastAsia="zh-CN"/>
              </w:rPr>
              <w:t>机油</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机油</w:t>
            </w:r>
            <w:r>
              <w:rPr>
                <w:rFonts w:ascii="Times New Roman" w:hAnsi="Times New Roman" w:cs="Times New Roman"/>
                <w:color w:val="auto"/>
                <w:sz w:val="24"/>
                <w:szCs w:val="24"/>
                <w:highlight w:val="none"/>
              </w:rPr>
              <w:t>需要定期更换，约</w:t>
            </w:r>
            <w:r>
              <w:rPr>
                <w:rFonts w:hint="eastAsia" w:ascii="Times New Roman" w:hAnsi="Times New Roman" w:cs="Times New Roman"/>
                <w:color w:val="auto"/>
                <w:sz w:val="24"/>
                <w:szCs w:val="24"/>
                <w:highlight w:val="none"/>
                <w:lang w:eastAsia="zh-CN"/>
              </w:rPr>
              <w:t>一</w:t>
            </w:r>
            <w:r>
              <w:rPr>
                <w:rFonts w:ascii="Times New Roman" w:hAnsi="Times New Roman" w:cs="Times New Roman"/>
                <w:color w:val="auto"/>
                <w:sz w:val="24"/>
                <w:szCs w:val="24"/>
                <w:highlight w:val="none"/>
              </w:rPr>
              <w:t>年更换一次，</w:t>
            </w:r>
            <w:r>
              <w:rPr>
                <w:rFonts w:hint="eastAsia" w:ascii="Times New Roman" w:hAnsi="Times New Roman" w:cs="Times New Roman"/>
                <w:color w:val="auto"/>
                <w:sz w:val="24"/>
                <w:szCs w:val="24"/>
                <w:highlight w:val="none"/>
                <w:lang w:eastAsia="zh-CN"/>
              </w:rPr>
              <w:t>则</w:t>
            </w:r>
            <w:r>
              <w:rPr>
                <w:rFonts w:ascii="Times New Roman" w:hAnsi="Times New Roman" w:cs="Times New Roman"/>
                <w:color w:val="auto"/>
                <w:sz w:val="24"/>
                <w:szCs w:val="24"/>
                <w:highlight w:val="none"/>
              </w:rPr>
              <w:t>废</w:t>
            </w:r>
            <w:r>
              <w:rPr>
                <w:rFonts w:hint="eastAsia" w:ascii="Times New Roman" w:hAnsi="Times New Roman" w:cs="Times New Roman"/>
                <w:color w:val="auto"/>
                <w:sz w:val="24"/>
                <w:szCs w:val="24"/>
                <w:highlight w:val="none"/>
                <w:lang w:eastAsia="zh-CN"/>
              </w:rPr>
              <w:t>机油</w:t>
            </w:r>
            <w:r>
              <w:rPr>
                <w:rFonts w:hint="default" w:ascii="Times New Roman" w:hAnsi="Times New Roman" w:eastAsia="宋体" w:cs="Times New Roman"/>
                <w:color w:val="auto"/>
                <w:sz w:val="24"/>
                <w:szCs w:val="20"/>
                <w:highlight w:val="none"/>
              </w:rPr>
              <w:t>（废物类别：</w:t>
            </w:r>
            <w:r>
              <w:rPr>
                <w:rFonts w:ascii="Times New Roman" w:hAnsi="Times New Roman" w:cs="Times New Roman"/>
                <w:color w:val="auto"/>
                <w:sz w:val="24"/>
                <w:szCs w:val="24"/>
                <w:highlight w:val="none"/>
              </w:rPr>
              <w:t>HW08 废矿物油与含矿物油废物，废物代码：900-217-08</w:t>
            </w:r>
            <w:r>
              <w:rPr>
                <w:rFonts w:hint="default" w:ascii="Times New Roman" w:hAnsi="Times New Roman" w:eastAsia="宋体" w:cs="Times New Roman"/>
                <w:color w:val="auto"/>
                <w:sz w:val="24"/>
                <w:szCs w:val="20"/>
                <w:highlight w:val="none"/>
              </w:rPr>
              <w:t>）</w:t>
            </w:r>
            <w:r>
              <w:rPr>
                <w:rFonts w:hint="eastAsia" w:ascii="Times New Roman" w:hAnsi="Times New Roman" w:cs="Times New Roman"/>
                <w:color w:val="auto"/>
                <w:sz w:val="24"/>
                <w:szCs w:val="24"/>
                <w:highlight w:val="none"/>
                <w:lang w:eastAsia="zh-CN"/>
              </w:rPr>
              <w:t>产生量</w:t>
            </w:r>
            <w:r>
              <w:rPr>
                <w:rFonts w:ascii="Times New Roman" w:hAnsi="Times New Roman" w:cs="Times New Roman"/>
                <w:color w:val="auto"/>
                <w:sz w:val="24"/>
                <w:szCs w:val="24"/>
                <w:highlight w:val="none"/>
              </w:rPr>
              <w:t>约</w:t>
            </w:r>
            <w:r>
              <w:rPr>
                <w:rFonts w:hint="eastAsia" w:ascii="Times New Roman" w:hAnsi="Times New Roman" w:cs="Times New Roman"/>
                <w:color w:val="auto"/>
                <w:sz w:val="24"/>
                <w:szCs w:val="24"/>
                <w:highlight w:val="none"/>
                <w:lang w:val="en-US" w:eastAsia="zh-CN"/>
              </w:rPr>
              <w:t>0.1</w:t>
            </w:r>
            <w:r>
              <w:rPr>
                <w:rFonts w:ascii="Times New Roman" w:hAnsi="Times New Roman" w:cs="Times New Roman"/>
                <w:color w:val="auto"/>
                <w:sz w:val="24"/>
                <w:szCs w:val="24"/>
                <w:highlight w:val="none"/>
              </w:rPr>
              <w:t>t</w:t>
            </w:r>
            <w:r>
              <w:rPr>
                <w:rFonts w:hint="default" w:ascii="Times New Roman" w:hAnsi="Times New Roman" w:eastAsia="宋体" w:cs="Times New Roman"/>
                <w:color w:val="auto"/>
                <w:sz w:val="24"/>
                <w:szCs w:val="22"/>
                <w:highlight w:val="none"/>
              </w:rPr>
              <w:t>/a</w:t>
            </w:r>
            <w:r>
              <w:rPr>
                <w:rFonts w:ascii="Times New Roman" w:hAnsi="Times New Roman" w:cs="Times New Roman"/>
                <w:color w:val="auto"/>
                <w:sz w:val="24"/>
                <w:szCs w:val="24"/>
                <w:highlight w:val="none"/>
              </w:rPr>
              <w:t>。收集后暂存于项目危废暂存区，定期交具有危废处理资质的单位处理。</w:t>
            </w:r>
          </w:p>
          <w:p>
            <w:pPr>
              <w:widowControl w:val="0"/>
              <w:snapToGrid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宋体" w:eastAsia="宋体" w:cs="Times New Roman"/>
                <w:color w:val="auto"/>
                <w:kern w:val="2"/>
                <w:sz w:val="24"/>
                <w:szCs w:val="24"/>
                <w:highlight w:val="none"/>
                <w:lang w:val="en-US" w:eastAsia="zh-CN" w:bidi="ar-SA"/>
              </w:rPr>
              <w:t>（3）</w:t>
            </w:r>
            <w:r>
              <w:rPr>
                <w:rFonts w:hint="eastAsia" w:ascii="Times New Roman" w:hAnsi="Times New Roman" w:eastAsia="宋体" w:cs="宋体"/>
                <w:color w:val="auto"/>
                <w:kern w:val="2"/>
                <w:sz w:val="24"/>
                <w:szCs w:val="24"/>
                <w:lang w:val="en-US" w:eastAsia="zh-CN" w:bidi="ar-SA"/>
              </w:rPr>
              <w:t>废UV灯管</w:t>
            </w:r>
          </w:p>
          <w:p>
            <w:pPr>
              <w:widowControl w:val="0"/>
              <w:snapToGrid w:val="0"/>
              <w:spacing w:line="360" w:lineRule="auto"/>
              <w:ind w:firstLine="480" w:firstLineChars="200"/>
              <w:jc w:val="both"/>
              <w:rPr>
                <w:rFonts w:hint="default" w:ascii="Times New Roman" w:hAnsi="宋体" w:eastAsia="宋体" w:cs="Times New Roman"/>
                <w:color w:val="auto"/>
                <w:kern w:val="2"/>
                <w:sz w:val="24"/>
                <w:szCs w:val="24"/>
                <w:highlight w:val="none"/>
                <w:lang w:val="en-US" w:eastAsia="zh-CN" w:bidi="ar-SA"/>
              </w:rPr>
            </w:pPr>
            <w:r>
              <w:rPr>
                <w:rFonts w:ascii="Times New Roman" w:hAnsi="Times New Roman" w:eastAsia="宋体" w:cs="Times New Roman"/>
                <w:bCs/>
                <w:color w:val="auto"/>
                <w:kern w:val="2"/>
                <w:sz w:val="24"/>
                <w:szCs w:val="24"/>
                <w:lang w:val="en-US" w:eastAsia="zh-CN" w:bidi="ar-SA"/>
              </w:rPr>
              <w:t>项目设置一套</w:t>
            </w:r>
            <w:r>
              <w:rPr>
                <w:rFonts w:hint="eastAsia" w:ascii="Times New Roman" w:hAnsi="Times New Roman" w:eastAsia="宋体" w:cs="Times New Roman"/>
                <w:bCs/>
                <w:color w:val="auto"/>
                <w:kern w:val="2"/>
                <w:sz w:val="24"/>
                <w:szCs w:val="24"/>
                <w:lang w:val="en-US" w:eastAsia="zh-CN" w:bidi="ar-SA"/>
              </w:rPr>
              <w:t>水喷淋+</w:t>
            </w:r>
            <w:r>
              <w:rPr>
                <w:rFonts w:ascii="Times New Roman" w:hAnsi="Times New Roman" w:eastAsia="宋体" w:cs="Times New Roman"/>
                <w:color w:val="auto"/>
                <w:kern w:val="2"/>
                <w:sz w:val="24"/>
                <w:szCs w:val="20"/>
                <w:lang w:val="en-US" w:eastAsia="zh-CN" w:bidi="ar-SA"/>
              </w:rPr>
              <w:t>UV光解装置</w:t>
            </w:r>
            <w:r>
              <w:rPr>
                <w:rFonts w:hint="eastAsia" w:ascii="Times New Roman" w:hAnsi="Times New Roman" w:eastAsia="宋体" w:cs="Times New Roman"/>
                <w:bCs/>
                <w:color w:val="auto"/>
                <w:kern w:val="2"/>
                <w:sz w:val="24"/>
                <w:szCs w:val="24"/>
                <w:lang w:val="en-US" w:eastAsia="zh-CN" w:bidi="ar-SA"/>
              </w:rPr>
              <w:t>，根据工程设计规范，正常情况下，一般处理10000m</w:t>
            </w:r>
            <w:r>
              <w:rPr>
                <w:rFonts w:hint="eastAsia" w:ascii="Times New Roman" w:hAnsi="Times New Roman" w:eastAsia="宋体" w:cs="Times New Roman"/>
                <w:bCs/>
                <w:color w:val="auto"/>
                <w:kern w:val="2"/>
                <w:sz w:val="24"/>
                <w:szCs w:val="24"/>
                <w:vertAlign w:val="superscript"/>
                <w:lang w:val="en-US" w:eastAsia="zh-CN" w:bidi="ar-SA"/>
              </w:rPr>
              <w:t>3</w:t>
            </w:r>
            <w:r>
              <w:rPr>
                <w:rFonts w:hint="eastAsia" w:ascii="Times New Roman" w:hAnsi="Times New Roman" w:eastAsia="宋体" w:cs="Times New Roman"/>
                <w:bCs/>
                <w:color w:val="auto"/>
                <w:kern w:val="2"/>
                <w:sz w:val="24"/>
                <w:szCs w:val="24"/>
                <w:lang w:val="en-US" w:eastAsia="zh-CN" w:bidi="ar-SA"/>
              </w:rPr>
              <w:t>/h的风量的废气，需要配备4kw的</w:t>
            </w:r>
            <w:r>
              <w:rPr>
                <w:rFonts w:ascii="Times New Roman" w:hAnsi="Times New Roman" w:eastAsia="宋体" w:cs="Times New Roman"/>
                <w:color w:val="auto"/>
                <w:kern w:val="2"/>
                <w:sz w:val="24"/>
                <w:szCs w:val="20"/>
                <w:lang w:val="en-US" w:eastAsia="zh-CN" w:bidi="ar-SA"/>
              </w:rPr>
              <w:t>UV</w:t>
            </w:r>
            <w:r>
              <w:rPr>
                <w:rFonts w:hint="eastAsia" w:ascii="Times New Roman" w:hAnsi="Times New Roman" w:eastAsia="宋体" w:cs="Times New Roman"/>
                <w:bCs/>
                <w:color w:val="auto"/>
                <w:kern w:val="2"/>
                <w:sz w:val="24"/>
                <w:szCs w:val="24"/>
                <w:lang w:val="en-US" w:eastAsia="zh-CN" w:bidi="ar-SA"/>
              </w:rPr>
              <w:t>灯管，1根灯管的功率为150w。本项目</w:t>
            </w:r>
            <w:r>
              <w:rPr>
                <w:rFonts w:hint="eastAsia" w:hAnsi="宋体"/>
                <w:color w:val="auto"/>
                <w:sz w:val="24"/>
                <w:lang w:eastAsia="zh-CN"/>
              </w:rPr>
              <w:t>熔化、铸造、</w:t>
            </w:r>
            <w:r>
              <w:rPr>
                <w:rFonts w:hint="eastAsia" w:hAnsi="宋体"/>
                <w:color w:val="auto"/>
                <w:sz w:val="24"/>
                <w:highlight w:val="none"/>
                <w:shd w:val="clear" w:color="auto" w:fill="auto"/>
                <w:lang w:eastAsia="zh-CN"/>
              </w:rPr>
              <w:t>制芯</w:t>
            </w:r>
            <w:r>
              <w:rPr>
                <w:rFonts w:hint="eastAsia" w:hAnsi="宋体"/>
                <w:color w:val="auto"/>
                <w:sz w:val="24"/>
                <w:lang w:eastAsia="zh-CN"/>
              </w:rPr>
              <w:t>工序总</w:t>
            </w:r>
            <w:r>
              <w:rPr>
                <w:rFonts w:hint="eastAsia" w:hAnsi="宋体"/>
                <w:color w:val="auto"/>
                <w:sz w:val="24"/>
              </w:rPr>
              <w:t>风机风量为</w:t>
            </w:r>
            <w:r>
              <w:rPr>
                <w:rFonts w:hint="eastAsia" w:hAnsi="宋体"/>
                <w:color w:val="auto"/>
                <w:sz w:val="24"/>
                <w:lang w:val="en-US" w:eastAsia="zh-CN"/>
              </w:rPr>
              <w:t>24500</w:t>
            </w:r>
            <w:r>
              <w:rPr>
                <w:rFonts w:hint="eastAsia" w:hAnsi="宋体"/>
                <w:color w:val="auto"/>
                <w:sz w:val="24"/>
              </w:rPr>
              <w:t>m</w:t>
            </w:r>
            <w:r>
              <w:rPr>
                <w:rFonts w:hint="eastAsia" w:hAnsi="宋体"/>
                <w:color w:val="auto"/>
                <w:sz w:val="24"/>
                <w:vertAlign w:val="superscript"/>
              </w:rPr>
              <w:t>3</w:t>
            </w:r>
            <w:r>
              <w:rPr>
                <w:rFonts w:hint="eastAsia" w:hAnsi="宋体"/>
                <w:color w:val="auto"/>
                <w:sz w:val="24"/>
              </w:rPr>
              <w:t>/h</w:t>
            </w:r>
            <w:r>
              <w:rPr>
                <w:rFonts w:hint="eastAsia" w:ascii="Times New Roman" w:hAnsi="Times New Roman" w:eastAsia="宋体" w:cs="Times New Roman"/>
                <w:bCs/>
                <w:color w:val="auto"/>
                <w:kern w:val="2"/>
                <w:sz w:val="24"/>
                <w:szCs w:val="24"/>
                <w:lang w:val="en-US" w:eastAsia="zh-CN" w:bidi="ar-SA"/>
              </w:rPr>
              <w:t>，则需要配备9.8kw的</w:t>
            </w:r>
            <w:r>
              <w:rPr>
                <w:rFonts w:ascii="Times New Roman" w:hAnsi="Times New Roman" w:eastAsia="宋体" w:cs="Times New Roman"/>
                <w:color w:val="auto"/>
                <w:kern w:val="2"/>
                <w:sz w:val="24"/>
                <w:szCs w:val="20"/>
                <w:lang w:val="en-US" w:eastAsia="zh-CN" w:bidi="ar-SA"/>
              </w:rPr>
              <w:t>UV</w:t>
            </w:r>
            <w:r>
              <w:rPr>
                <w:rFonts w:hint="eastAsia" w:ascii="Times New Roman" w:hAnsi="Times New Roman" w:eastAsia="宋体" w:cs="Times New Roman"/>
                <w:bCs/>
                <w:color w:val="auto"/>
                <w:kern w:val="2"/>
                <w:sz w:val="24"/>
                <w:szCs w:val="24"/>
                <w:lang w:val="en-US" w:eastAsia="zh-CN" w:bidi="ar-SA"/>
              </w:rPr>
              <w:t>灯管，即需要66根UV灯管。UV灯管</w:t>
            </w:r>
            <w:r>
              <w:rPr>
                <w:rFonts w:ascii="Times New Roman" w:hAnsi="Times New Roman" w:eastAsia="宋体" w:cs="Times New Roman"/>
                <w:bCs/>
                <w:color w:val="auto"/>
                <w:kern w:val="2"/>
                <w:sz w:val="24"/>
                <w:szCs w:val="24"/>
                <w:lang w:val="en-US" w:eastAsia="zh-CN" w:bidi="ar-SA"/>
              </w:rPr>
              <w:t>使用寿命为2400小时，则废</w:t>
            </w:r>
            <w:r>
              <w:rPr>
                <w:rFonts w:hint="eastAsia" w:ascii="Times New Roman" w:hAnsi="Times New Roman" w:eastAsia="宋体" w:cs="Times New Roman"/>
                <w:bCs/>
                <w:color w:val="auto"/>
                <w:kern w:val="2"/>
                <w:sz w:val="24"/>
                <w:szCs w:val="24"/>
                <w:lang w:val="en-US" w:eastAsia="zh-CN" w:bidi="ar-SA"/>
              </w:rPr>
              <w:t>UV</w:t>
            </w:r>
            <w:r>
              <w:rPr>
                <w:rFonts w:ascii="Times New Roman" w:hAnsi="Times New Roman" w:eastAsia="宋体" w:cs="Times New Roman"/>
                <w:bCs/>
                <w:color w:val="auto"/>
                <w:kern w:val="2"/>
                <w:sz w:val="24"/>
                <w:szCs w:val="24"/>
                <w:lang w:val="en-US" w:eastAsia="zh-CN" w:bidi="ar-SA"/>
              </w:rPr>
              <w:t>灯管</w:t>
            </w:r>
            <w:r>
              <w:rPr>
                <w:rFonts w:ascii="Times New Roman" w:hAnsi="Times New Roman" w:eastAsia="宋体" w:cs="Times New Roman"/>
                <w:color w:val="auto"/>
                <w:kern w:val="2"/>
                <w:sz w:val="24"/>
                <w:szCs w:val="24"/>
                <w:lang w:val="en-US" w:eastAsia="zh-CN" w:bidi="ar-SA"/>
              </w:rPr>
              <w:t>（HW29 含汞废物，废物代码：900-023-29）</w:t>
            </w:r>
            <w:r>
              <w:rPr>
                <w:rFonts w:ascii="Times New Roman" w:hAnsi="Times New Roman" w:eastAsia="宋体" w:cs="Times New Roman"/>
                <w:bCs/>
                <w:color w:val="auto"/>
                <w:kern w:val="2"/>
                <w:sz w:val="24"/>
                <w:szCs w:val="24"/>
                <w:lang w:val="en-US" w:eastAsia="zh-CN" w:bidi="ar-SA"/>
              </w:rPr>
              <w:t>年产生量为</w:t>
            </w:r>
            <w:r>
              <w:rPr>
                <w:rFonts w:hint="eastAsia" w:ascii="Times New Roman" w:hAnsi="Times New Roman" w:eastAsia="宋体" w:cs="Times New Roman"/>
                <w:bCs/>
                <w:color w:val="auto"/>
                <w:kern w:val="2"/>
                <w:sz w:val="24"/>
                <w:szCs w:val="24"/>
                <w:lang w:val="en-US" w:eastAsia="zh-CN" w:bidi="ar-SA"/>
              </w:rPr>
              <w:t>66根。</w:t>
            </w:r>
          </w:p>
          <w:p>
            <w:pPr>
              <w:widowControl w:val="0"/>
              <w:snapToGrid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按照《建设项目危险废物环境影响评价指南》（环境保护部公告2017年第43号），本项目所涉及的危险废物产排、处置等情况汇总如下表。</w:t>
            </w:r>
          </w:p>
          <w:p>
            <w:pPr>
              <w:keepLines w:val="0"/>
              <w:pageBreakBefore w:val="0"/>
              <w:widowControl/>
              <w:numPr>
                <w:ilvl w:val="0"/>
                <w:numId w:val="5"/>
              </w:numPr>
              <w:tabs>
                <w:tab w:val="left" w:pos="420"/>
              </w:tabs>
              <w:kinsoku/>
              <w:wordWrap/>
              <w:overflowPunct/>
              <w:topLinePunct w:val="0"/>
              <w:bidi w:val="0"/>
              <w:adjustRightInd w:val="0"/>
              <w:snapToGrid w:val="0"/>
              <w:spacing w:line="360" w:lineRule="auto"/>
              <w:ind w:left="0" w:firstLine="471"/>
              <w:jc w:val="center"/>
              <w:rPr>
                <w:rFonts w:hint="eastAsia" w:ascii="Times New Roman" w:hAnsi="Times New Roman" w:eastAsia="宋体" w:cs="Times New Roman"/>
                <w:b/>
                <w:color w:val="auto"/>
                <w:kern w:val="0"/>
                <w:sz w:val="21"/>
                <w:szCs w:val="21"/>
                <w:highlight w:val="none"/>
                <w:shd w:val="clear" w:color="auto" w:fill="auto"/>
                <w:lang w:val="en-US" w:eastAsia="zh-CN" w:bidi="ar-SA"/>
              </w:rPr>
            </w:pPr>
            <w:r>
              <w:rPr>
                <w:rFonts w:hint="eastAsia" w:ascii="Times New Roman" w:hAnsi="Times New Roman" w:eastAsia="宋体" w:cs="Times New Roman"/>
                <w:b/>
                <w:color w:val="auto"/>
                <w:kern w:val="0"/>
                <w:sz w:val="21"/>
                <w:szCs w:val="21"/>
                <w:highlight w:val="none"/>
                <w:shd w:val="clear" w:color="auto" w:fill="auto"/>
                <w:lang w:val="en-US" w:eastAsia="zh-CN" w:bidi="ar-SA"/>
              </w:rPr>
              <w:t>危险废物汇总表</w:t>
            </w:r>
          </w:p>
          <w:tbl>
            <w:tblPr>
              <w:tblStyle w:val="40"/>
              <w:tblW w:w="93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
              <w:gridCol w:w="1127"/>
              <w:gridCol w:w="958"/>
              <w:gridCol w:w="780"/>
              <w:gridCol w:w="566"/>
              <w:gridCol w:w="900"/>
              <w:gridCol w:w="495"/>
              <w:gridCol w:w="1035"/>
              <w:gridCol w:w="705"/>
              <w:gridCol w:w="705"/>
              <w:gridCol w:w="705"/>
              <w:gridCol w:w="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415"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序号</w:t>
                  </w:r>
                </w:p>
              </w:tc>
              <w:tc>
                <w:tcPr>
                  <w:tcW w:w="1127"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危险废物名称</w:t>
                  </w:r>
                </w:p>
              </w:tc>
              <w:tc>
                <w:tcPr>
                  <w:tcW w:w="958"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危险废物类别</w:t>
                  </w:r>
                </w:p>
              </w:tc>
              <w:tc>
                <w:tcPr>
                  <w:tcW w:w="780"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危险废物代码</w:t>
                  </w:r>
                </w:p>
              </w:tc>
              <w:tc>
                <w:tcPr>
                  <w:tcW w:w="566"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产生量</w:t>
                  </w:r>
                </w:p>
              </w:tc>
              <w:tc>
                <w:tcPr>
                  <w:tcW w:w="900"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产生工序及装置</w:t>
                  </w:r>
                </w:p>
              </w:tc>
              <w:tc>
                <w:tcPr>
                  <w:tcW w:w="495"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形态</w:t>
                  </w:r>
                </w:p>
              </w:tc>
              <w:tc>
                <w:tcPr>
                  <w:tcW w:w="1035"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主要成分</w:t>
                  </w:r>
                </w:p>
              </w:tc>
              <w:tc>
                <w:tcPr>
                  <w:tcW w:w="705"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有害成分</w:t>
                  </w:r>
                </w:p>
              </w:tc>
              <w:tc>
                <w:tcPr>
                  <w:tcW w:w="705"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产废周期</w:t>
                  </w:r>
                </w:p>
              </w:tc>
              <w:tc>
                <w:tcPr>
                  <w:tcW w:w="705"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危险</w:t>
                  </w:r>
                </w:p>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特性</w:t>
                  </w:r>
                </w:p>
              </w:tc>
              <w:tc>
                <w:tcPr>
                  <w:tcW w:w="994" w:type="dxa"/>
                  <w:tcBorders>
                    <w:tl2br w:val="nil"/>
                    <w:tr2bl w:val="nil"/>
                  </w:tcBorders>
                  <w:noWrap w:val="0"/>
                  <w:vAlign w:val="center"/>
                </w:tcPr>
                <w:p>
                  <w:pPr>
                    <w:topLinePunct/>
                    <w:adjustRightInd w:val="0"/>
                    <w:snapToGrid w:val="0"/>
                    <w:spacing w:line="240" w:lineRule="auto"/>
                    <w:ind w:firstLine="0"/>
                    <w:jc w:val="center"/>
                    <w:rPr>
                      <w:rFonts w:ascii="Times New Roman" w:hAnsi="Times New Roman" w:eastAsia="宋体" w:cs="Times New Roman"/>
                      <w:b/>
                      <w:bCs/>
                      <w:color w:val="auto"/>
                      <w:kern w:val="0"/>
                      <w:sz w:val="21"/>
                      <w:szCs w:val="21"/>
                      <w:highlight w:val="none"/>
                    </w:rPr>
                  </w:pPr>
                  <w:r>
                    <w:rPr>
                      <w:rFonts w:ascii="Times New Roman" w:hAnsi="Times New Roman" w:eastAsia="宋体" w:cs="Times New Roman"/>
                      <w:b/>
                      <w:bCs/>
                      <w:color w:val="auto"/>
                      <w:kern w:val="0"/>
                      <w:sz w:val="21"/>
                      <w:szCs w:val="21"/>
                      <w:highlight w:val="none"/>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jc w:val="center"/>
              </w:trPr>
              <w:tc>
                <w:tcPr>
                  <w:tcW w:w="41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w:t>
                  </w:r>
                </w:p>
              </w:tc>
              <w:tc>
                <w:tcPr>
                  <w:tcW w:w="1127"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rPr>
                    <w:t>废树脂桶、废机油油桶、含油废抹布</w:t>
                  </w:r>
                </w:p>
              </w:tc>
              <w:tc>
                <w:tcPr>
                  <w:tcW w:w="958"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其它废物</w:t>
                  </w:r>
                </w:p>
              </w:tc>
              <w:tc>
                <w:tcPr>
                  <w:tcW w:w="780"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sz w:val="21"/>
                      <w:szCs w:val="21"/>
                      <w:highlight w:val="none"/>
                    </w:rPr>
                    <w:t>900-041-49</w:t>
                  </w:r>
                </w:p>
              </w:tc>
              <w:tc>
                <w:tcPr>
                  <w:tcW w:w="566"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0.184</w:t>
                  </w:r>
                </w:p>
                <w:p>
                  <w:pPr>
                    <w:topLinePunct/>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t</w:t>
                  </w: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cs="Times New Roman"/>
                      <w:color w:val="auto"/>
                      <w:kern w:val="0"/>
                      <w:sz w:val="21"/>
                      <w:szCs w:val="21"/>
                      <w:highlight w:val="none"/>
                      <w:lang w:val="en-US" w:eastAsia="zh-CN"/>
                    </w:rPr>
                    <w:t>a</w:t>
                  </w:r>
                </w:p>
              </w:tc>
              <w:tc>
                <w:tcPr>
                  <w:tcW w:w="900"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cs="Times New Roman"/>
                      <w:color w:val="auto"/>
                      <w:kern w:val="0"/>
                      <w:sz w:val="21"/>
                      <w:szCs w:val="21"/>
                      <w:highlight w:val="none"/>
                      <w:lang w:eastAsia="zh-CN"/>
                    </w:rPr>
                    <w:t>制芯、设备润滑</w:t>
                  </w:r>
                </w:p>
              </w:tc>
              <w:tc>
                <w:tcPr>
                  <w:tcW w:w="49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ascii="Times New Roman" w:hAnsi="Times New Roman" w:eastAsia="宋体" w:cs="Times New Roman"/>
                      <w:bCs/>
                      <w:color w:val="auto"/>
                      <w:sz w:val="21"/>
                      <w:szCs w:val="21"/>
                      <w:highlight w:val="none"/>
                    </w:rPr>
                    <w:t>固态</w:t>
                  </w:r>
                </w:p>
              </w:tc>
              <w:tc>
                <w:tcPr>
                  <w:tcW w:w="103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rPr>
                    <w:t>废树脂桶、废机油油桶、含油废抹布</w:t>
                  </w:r>
                </w:p>
              </w:tc>
              <w:tc>
                <w:tcPr>
                  <w:tcW w:w="705"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0"/>
                      <w:sz w:val="21"/>
                      <w:szCs w:val="21"/>
                      <w:highlight w:val="none"/>
                    </w:rPr>
                  </w:pPr>
                  <w:r>
                    <w:rPr>
                      <w:rFonts w:hint="eastAsia" w:ascii="Times New Roman" w:hAnsi="Times New Roman" w:eastAsia="宋体" w:cs="Times New Roman"/>
                      <w:bCs/>
                      <w:color w:val="auto"/>
                      <w:sz w:val="21"/>
                      <w:szCs w:val="21"/>
                      <w:highlight w:val="none"/>
                      <w:lang w:eastAsia="zh-CN"/>
                    </w:rPr>
                    <w:t>石油类</w:t>
                  </w:r>
                </w:p>
              </w:tc>
              <w:tc>
                <w:tcPr>
                  <w:tcW w:w="70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cs="Times New Roman"/>
                      <w:bCs/>
                      <w:color w:val="auto"/>
                      <w:sz w:val="21"/>
                      <w:szCs w:val="21"/>
                      <w:highlight w:val="none"/>
                      <w:lang w:val="en-US" w:eastAsia="zh-CN"/>
                    </w:rPr>
                    <w:t>1</w:t>
                  </w:r>
                  <w:r>
                    <w:rPr>
                      <w:rFonts w:ascii="Times New Roman" w:hAnsi="Times New Roman" w:eastAsia="宋体" w:cs="Times New Roman"/>
                      <w:bCs/>
                      <w:color w:val="auto"/>
                      <w:sz w:val="21"/>
                      <w:szCs w:val="21"/>
                      <w:highlight w:val="none"/>
                    </w:rPr>
                    <w:t>年</w:t>
                  </w:r>
                </w:p>
              </w:tc>
              <w:tc>
                <w:tcPr>
                  <w:tcW w:w="705"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 xml:space="preserve">T/In </w:t>
                  </w:r>
                </w:p>
              </w:tc>
              <w:tc>
                <w:tcPr>
                  <w:tcW w:w="994" w:type="dxa"/>
                  <w:vMerge w:val="restart"/>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bCs/>
                      <w:color w:val="auto"/>
                      <w:kern w:val="0"/>
                      <w:sz w:val="21"/>
                      <w:szCs w:val="21"/>
                      <w:highlight w:val="none"/>
                    </w:rPr>
                  </w:pPr>
                  <w:r>
                    <w:rPr>
                      <w:rFonts w:ascii="Times New Roman" w:hAnsi="Times New Roman" w:eastAsia="宋体" w:cs="Times New Roman"/>
                      <w:bCs/>
                      <w:color w:val="auto"/>
                      <w:kern w:val="0"/>
                      <w:sz w:val="21"/>
                      <w:szCs w:val="21"/>
                      <w:highlight w:val="none"/>
                    </w:rPr>
                    <w:t>暂存于项目内危废暂存区，定期交</w:t>
                  </w:r>
                  <w:r>
                    <w:rPr>
                      <w:rFonts w:hint="eastAsia" w:ascii="Times New Roman" w:hAnsi="Times New Roman" w:eastAsia="宋体" w:cs="Times New Roman"/>
                      <w:bCs/>
                      <w:color w:val="auto"/>
                      <w:kern w:val="0"/>
                      <w:sz w:val="21"/>
                      <w:szCs w:val="21"/>
                      <w:highlight w:val="none"/>
                      <w:lang w:eastAsia="zh-CN"/>
                    </w:rPr>
                    <w:t>给</w:t>
                  </w:r>
                  <w:r>
                    <w:rPr>
                      <w:rFonts w:hint="eastAsia" w:ascii="Times New Roman" w:hAnsi="Times New Roman" w:eastAsia="宋体" w:cs="Times New Roman"/>
                      <w:bCs/>
                      <w:color w:val="auto"/>
                      <w:kern w:val="0"/>
                      <w:sz w:val="21"/>
                      <w:szCs w:val="21"/>
                      <w:highlight w:val="none"/>
                    </w:rPr>
                    <w:t>有危险废物处置资质单位处置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jc w:val="center"/>
              </w:trPr>
              <w:tc>
                <w:tcPr>
                  <w:tcW w:w="415" w:type="dxa"/>
                  <w:tcBorders>
                    <w:tl2br w:val="nil"/>
                    <w:tr2bl w:val="nil"/>
                  </w:tcBorders>
                  <w:noWrap w:val="0"/>
                  <w:vAlign w:val="center"/>
                </w:tcPr>
                <w:p>
                  <w:pPr>
                    <w:topLinePunct/>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1127"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ascii="Times New Roman" w:hAnsi="Times New Roman" w:eastAsia="宋体" w:cs="Times New Roman"/>
                      <w:bCs/>
                      <w:color w:val="auto"/>
                      <w:sz w:val="21"/>
                      <w:szCs w:val="21"/>
                      <w:highlight w:val="none"/>
                    </w:rPr>
                    <w:t>废</w:t>
                  </w:r>
                  <w:r>
                    <w:rPr>
                      <w:rFonts w:hint="eastAsia" w:ascii="Times New Roman" w:hAnsi="Times New Roman" w:cs="Times New Roman"/>
                      <w:bCs/>
                      <w:color w:val="auto"/>
                      <w:sz w:val="21"/>
                      <w:szCs w:val="21"/>
                      <w:highlight w:val="none"/>
                      <w:lang w:eastAsia="zh-CN"/>
                    </w:rPr>
                    <w:t>机油</w:t>
                  </w:r>
                </w:p>
              </w:tc>
              <w:tc>
                <w:tcPr>
                  <w:tcW w:w="958"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ascii="Times New Roman" w:hAnsi="Times New Roman" w:eastAsia="宋体" w:cs="Times New Roman"/>
                      <w:bCs/>
                      <w:color w:val="auto"/>
                      <w:sz w:val="21"/>
                      <w:szCs w:val="21"/>
                      <w:highlight w:val="none"/>
                    </w:rPr>
                    <w:t>废矿物油与含矿物油废物</w:t>
                  </w:r>
                </w:p>
              </w:tc>
              <w:tc>
                <w:tcPr>
                  <w:tcW w:w="780"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ascii="Times New Roman" w:hAnsi="Times New Roman" w:cs="Times New Roman"/>
                      <w:color w:val="auto"/>
                      <w:sz w:val="21"/>
                      <w:szCs w:val="21"/>
                      <w:highlight w:val="none"/>
                    </w:rPr>
                    <w:t>900-217-08</w:t>
                  </w:r>
                </w:p>
              </w:tc>
              <w:tc>
                <w:tcPr>
                  <w:tcW w:w="566"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bCs/>
                      <w:color w:val="auto"/>
                      <w:sz w:val="21"/>
                      <w:szCs w:val="21"/>
                      <w:highlight w:val="none"/>
                      <w:lang w:val="en-US" w:eastAsia="zh-CN"/>
                    </w:rPr>
                    <w:t>0.1</w:t>
                  </w:r>
                  <w:r>
                    <w:rPr>
                      <w:rFonts w:hint="eastAsia" w:ascii="Times New Roman" w:hAnsi="Times New Roman" w:eastAsia="宋体" w:cs="Times New Roman"/>
                      <w:color w:val="auto"/>
                      <w:kern w:val="0"/>
                      <w:sz w:val="21"/>
                      <w:szCs w:val="21"/>
                      <w:highlight w:val="none"/>
                      <w:lang w:val="en-US" w:eastAsia="zh-CN"/>
                    </w:rPr>
                    <w:t>t</w:t>
                  </w: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cs="Times New Roman"/>
                      <w:color w:val="auto"/>
                      <w:kern w:val="0"/>
                      <w:sz w:val="21"/>
                      <w:szCs w:val="21"/>
                      <w:highlight w:val="none"/>
                      <w:lang w:val="en-US" w:eastAsia="zh-CN"/>
                    </w:rPr>
                    <w:t>a</w:t>
                  </w:r>
                </w:p>
              </w:tc>
              <w:tc>
                <w:tcPr>
                  <w:tcW w:w="900"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cs="Times New Roman"/>
                      <w:color w:val="auto"/>
                      <w:kern w:val="0"/>
                      <w:sz w:val="21"/>
                      <w:szCs w:val="21"/>
                      <w:highlight w:val="none"/>
                      <w:lang w:eastAsia="zh-CN"/>
                    </w:rPr>
                    <w:t>设备润滑</w:t>
                  </w:r>
                </w:p>
              </w:tc>
              <w:tc>
                <w:tcPr>
                  <w:tcW w:w="49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ascii="Times New Roman" w:hAnsi="Times New Roman" w:eastAsia="宋体" w:cs="Times New Roman"/>
                      <w:bCs/>
                      <w:color w:val="auto"/>
                      <w:sz w:val="21"/>
                      <w:szCs w:val="21"/>
                      <w:highlight w:val="none"/>
                    </w:rPr>
                    <w:t>液态</w:t>
                  </w:r>
                </w:p>
              </w:tc>
              <w:tc>
                <w:tcPr>
                  <w:tcW w:w="103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rPr>
                  </w:pPr>
                  <w:r>
                    <w:rPr>
                      <w:rFonts w:ascii="Times New Roman" w:hAnsi="Times New Roman" w:eastAsia="宋体" w:cs="Times New Roman"/>
                      <w:bCs/>
                      <w:color w:val="auto"/>
                      <w:sz w:val="21"/>
                      <w:szCs w:val="21"/>
                      <w:highlight w:val="none"/>
                    </w:rPr>
                    <w:t>废</w:t>
                  </w:r>
                  <w:r>
                    <w:rPr>
                      <w:rFonts w:hint="eastAsia" w:ascii="Times New Roman" w:hAnsi="Times New Roman" w:cs="Times New Roman"/>
                      <w:bCs/>
                      <w:color w:val="auto"/>
                      <w:sz w:val="21"/>
                      <w:szCs w:val="21"/>
                      <w:highlight w:val="none"/>
                      <w:lang w:eastAsia="zh-CN"/>
                    </w:rPr>
                    <w:t>机油</w:t>
                  </w:r>
                </w:p>
              </w:tc>
              <w:tc>
                <w:tcPr>
                  <w:tcW w:w="705"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bCs/>
                      <w:color w:val="auto"/>
                      <w:sz w:val="21"/>
                      <w:szCs w:val="21"/>
                      <w:highlight w:val="none"/>
                    </w:rPr>
                  </w:pPr>
                  <w:r>
                    <w:rPr>
                      <w:rFonts w:ascii="Times New Roman" w:hAnsi="Times New Roman" w:eastAsia="宋体" w:cs="Times New Roman"/>
                      <w:bCs/>
                      <w:color w:val="auto"/>
                      <w:sz w:val="21"/>
                      <w:szCs w:val="21"/>
                      <w:highlight w:val="none"/>
                    </w:rPr>
                    <w:t>石油类</w:t>
                  </w:r>
                </w:p>
              </w:tc>
              <w:tc>
                <w:tcPr>
                  <w:tcW w:w="705" w:type="dxa"/>
                  <w:tcBorders>
                    <w:tl2br w:val="nil"/>
                    <w:tr2bl w:val="nil"/>
                  </w:tcBorders>
                  <w:noWrap w:val="0"/>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cs="Times New Roman"/>
                      <w:bCs/>
                      <w:color w:val="auto"/>
                      <w:sz w:val="21"/>
                      <w:szCs w:val="21"/>
                      <w:highlight w:val="none"/>
                      <w:lang w:val="en-US" w:eastAsia="zh-CN"/>
                    </w:rPr>
                    <w:t>1</w:t>
                  </w:r>
                  <w:r>
                    <w:rPr>
                      <w:rFonts w:ascii="Times New Roman" w:hAnsi="Times New Roman" w:eastAsia="宋体" w:cs="Times New Roman"/>
                      <w:bCs/>
                      <w:color w:val="auto"/>
                      <w:sz w:val="21"/>
                      <w:szCs w:val="21"/>
                      <w:highlight w:val="none"/>
                    </w:rPr>
                    <w:t>年</w:t>
                  </w:r>
                </w:p>
              </w:tc>
              <w:tc>
                <w:tcPr>
                  <w:tcW w:w="705" w:type="dxa"/>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T、I</w:t>
                  </w:r>
                </w:p>
              </w:tc>
              <w:tc>
                <w:tcPr>
                  <w:tcW w:w="994" w:type="dxa"/>
                  <w:vMerge w:val="continue"/>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415" w:type="dxa"/>
                  <w:tcBorders>
                    <w:tl2br w:val="nil"/>
                    <w:tr2bl w:val="nil"/>
                  </w:tcBorders>
                  <w:noWrap w:val="0"/>
                  <w:vAlign w:val="center"/>
                </w:tcPr>
                <w:p>
                  <w:pPr>
                    <w:topLinePunct/>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w:t>
                  </w:r>
                </w:p>
              </w:tc>
              <w:tc>
                <w:tcPr>
                  <w:tcW w:w="1127" w:type="dxa"/>
                  <w:tcBorders>
                    <w:tl2br w:val="nil"/>
                    <w:tr2bl w:val="nil"/>
                  </w:tcBorders>
                  <w:noWrap w:val="0"/>
                  <w:vAlign w:val="center"/>
                </w:tcPr>
                <w:p>
                  <w:pPr>
                    <w:topLinePunct/>
                    <w:adjustRightInd w:val="0"/>
                    <w:snapToGrid w:val="0"/>
                    <w:jc w:val="center"/>
                    <w:rPr>
                      <w:rFonts w:ascii="Times New Roman" w:hAnsi="Times New Roman" w:eastAsia="宋体" w:cs="Times New Roman"/>
                      <w:bCs/>
                      <w:color w:val="auto"/>
                      <w:sz w:val="21"/>
                      <w:szCs w:val="21"/>
                      <w:highlight w:val="none"/>
                    </w:rPr>
                  </w:pPr>
                  <w:r>
                    <w:rPr>
                      <w:rFonts w:hint="eastAsia"/>
                      <w:color w:val="auto"/>
                      <w:kern w:val="0"/>
                      <w:szCs w:val="21"/>
                    </w:rPr>
                    <w:t>废UV灯管</w:t>
                  </w:r>
                </w:p>
              </w:tc>
              <w:tc>
                <w:tcPr>
                  <w:tcW w:w="958" w:type="dxa"/>
                  <w:tcBorders>
                    <w:tl2br w:val="nil"/>
                    <w:tr2bl w:val="nil"/>
                  </w:tcBorders>
                  <w:noWrap w:val="0"/>
                  <w:vAlign w:val="center"/>
                </w:tcPr>
                <w:p>
                  <w:pPr>
                    <w:topLinePunct/>
                    <w:adjustRightInd w:val="0"/>
                    <w:snapToGrid w:val="0"/>
                    <w:jc w:val="center"/>
                    <w:rPr>
                      <w:rFonts w:ascii="Times New Roman" w:hAnsi="Times New Roman" w:eastAsia="宋体" w:cs="Times New Roman"/>
                      <w:bCs/>
                      <w:color w:val="auto"/>
                      <w:sz w:val="21"/>
                      <w:szCs w:val="21"/>
                      <w:highlight w:val="none"/>
                    </w:rPr>
                  </w:pPr>
                  <w:r>
                    <w:rPr>
                      <w:rFonts w:hint="eastAsia"/>
                      <w:color w:val="auto"/>
                      <w:kern w:val="0"/>
                      <w:szCs w:val="21"/>
                    </w:rPr>
                    <w:t>含汞废物</w:t>
                  </w:r>
                </w:p>
              </w:tc>
              <w:tc>
                <w:tcPr>
                  <w:tcW w:w="780" w:type="dxa"/>
                  <w:tcBorders>
                    <w:tl2br w:val="nil"/>
                    <w:tr2bl w:val="nil"/>
                  </w:tcBorders>
                  <w:noWrap w:val="0"/>
                  <w:vAlign w:val="center"/>
                </w:tcPr>
                <w:p>
                  <w:pPr>
                    <w:topLinePunct/>
                    <w:adjustRightInd w:val="0"/>
                    <w:snapToGrid w:val="0"/>
                    <w:jc w:val="center"/>
                    <w:rPr>
                      <w:rFonts w:ascii="Times New Roman" w:hAnsi="Times New Roman" w:cs="Times New Roman"/>
                      <w:color w:val="auto"/>
                      <w:sz w:val="21"/>
                      <w:szCs w:val="21"/>
                      <w:highlight w:val="none"/>
                    </w:rPr>
                  </w:pPr>
                  <w:r>
                    <w:rPr>
                      <w:rFonts w:hint="eastAsia"/>
                      <w:color w:val="auto"/>
                      <w:szCs w:val="21"/>
                    </w:rPr>
                    <w:t>900-023-29</w:t>
                  </w:r>
                </w:p>
              </w:tc>
              <w:tc>
                <w:tcPr>
                  <w:tcW w:w="566" w:type="dxa"/>
                  <w:tcBorders>
                    <w:tl2br w:val="nil"/>
                    <w:tr2bl w:val="nil"/>
                  </w:tcBorders>
                  <w:noWrap w:val="0"/>
                  <w:vAlign w:val="center"/>
                </w:tcPr>
                <w:p>
                  <w:pPr>
                    <w:topLinePunct/>
                    <w:adjustRightInd w:val="0"/>
                    <w:snapToGrid w:val="0"/>
                    <w:jc w:val="center"/>
                    <w:rPr>
                      <w:rFonts w:hint="eastAsia" w:ascii="Times New Roman" w:hAnsi="Times New Roman" w:cs="Times New Roman"/>
                      <w:bCs/>
                      <w:color w:val="auto"/>
                      <w:sz w:val="21"/>
                      <w:szCs w:val="21"/>
                      <w:highlight w:val="none"/>
                      <w:lang w:val="en-US" w:eastAsia="zh-CN"/>
                    </w:rPr>
                  </w:pPr>
                  <w:r>
                    <w:rPr>
                      <w:rFonts w:hint="eastAsia"/>
                      <w:color w:val="auto"/>
                      <w:kern w:val="0"/>
                      <w:szCs w:val="21"/>
                      <w:lang w:val="en-US" w:eastAsia="zh-CN"/>
                    </w:rPr>
                    <w:t>66</w:t>
                  </w:r>
                  <w:r>
                    <w:rPr>
                      <w:rFonts w:hint="eastAsia" w:eastAsia="宋体"/>
                      <w:color w:val="auto"/>
                      <w:kern w:val="0"/>
                      <w:szCs w:val="21"/>
                      <w:lang w:eastAsia="zh-CN"/>
                    </w:rPr>
                    <w:t>根</w:t>
                  </w:r>
                  <w:r>
                    <w:rPr>
                      <w:color w:val="auto"/>
                      <w:kern w:val="0"/>
                      <w:szCs w:val="21"/>
                    </w:rPr>
                    <w:t>/</w:t>
                  </w:r>
                  <w:r>
                    <w:rPr>
                      <w:rFonts w:hint="eastAsia"/>
                      <w:color w:val="auto"/>
                      <w:kern w:val="0"/>
                      <w:szCs w:val="21"/>
                    </w:rPr>
                    <w:t>a</w:t>
                  </w:r>
                </w:p>
              </w:tc>
              <w:tc>
                <w:tcPr>
                  <w:tcW w:w="900" w:type="dxa"/>
                  <w:tcBorders>
                    <w:tl2br w:val="nil"/>
                    <w:tr2bl w:val="nil"/>
                  </w:tcBorders>
                  <w:noWrap w:val="0"/>
                  <w:vAlign w:val="center"/>
                </w:tcPr>
                <w:p>
                  <w:pPr>
                    <w:topLinePunct/>
                    <w:adjustRightInd w:val="0"/>
                    <w:snapToGrid w:val="0"/>
                    <w:jc w:val="center"/>
                    <w:rPr>
                      <w:rFonts w:hint="eastAsia" w:ascii="Times New Roman" w:hAnsi="Times New Roman" w:cs="Times New Roman"/>
                      <w:color w:val="auto"/>
                      <w:kern w:val="0"/>
                      <w:sz w:val="21"/>
                      <w:szCs w:val="21"/>
                      <w:highlight w:val="none"/>
                      <w:lang w:eastAsia="zh-CN"/>
                    </w:rPr>
                  </w:pPr>
                  <w:r>
                    <w:rPr>
                      <w:rFonts w:hint="eastAsia"/>
                      <w:color w:val="auto"/>
                      <w:kern w:val="0"/>
                      <w:szCs w:val="21"/>
                    </w:rPr>
                    <w:t>UV光解装置</w:t>
                  </w:r>
                </w:p>
              </w:tc>
              <w:tc>
                <w:tcPr>
                  <w:tcW w:w="495" w:type="dxa"/>
                  <w:tcBorders>
                    <w:tl2br w:val="nil"/>
                    <w:tr2bl w:val="nil"/>
                  </w:tcBorders>
                  <w:noWrap w:val="0"/>
                  <w:vAlign w:val="center"/>
                </w:tcPr>
                <w:p>
                  <w:pPr>
                    <w:topLinePunct/>
                    <w:adjustRightInd w:val="0"/>
                    <w:snapToGrid w:val="0"/>
                    <w:jc w:val="center"/>
                    <w:rPr>
                      <w:rFonts w:ascii="Times New Roman" w:hAnsi="Times New Roman" w:eastAsia="宋体" w:cs="Times New Roman"/>
                      <w:bCs/>
                      <w:color w:val="auto"/>
                      <w:sz w:val="21"/>
                      <w:szCs w:val="21"/>
                      <w:highlight w:val="none"/>
                    </w:rPr>
                  </w:pPr>
                  <w:r>
                    <w:rPr>
                      <w:bCs/>
                      <w:color w:val="auto"/>
                      <w:szCs w:val="21"/>
                    </w:rPr>
                    <w:t>固态</w:t>
                  </w:r>
                </w:p>
              </w:tc>
              <w:tc>
                <w:tcPr>
                  <w:tcW w:w="1035" w:type="dxa"/>
                  <w:tcBorders>
                    <w:tl2br w:val="nil"/>
                    <w:tr2bl w:val="nil"/>
                  </w:tcBorders>
                  <w:noWrap w:val="0"/>
                  <w:vAlign w:val="center"/>
                </w:tcPr>
                <w:p>
                  <w:pPr>
                    <w:topLinePunct/>
                    <w:adjustRightInd w:val="0"/>
                    <w:snapToGrid w:val="0"/>
                    <w:jc w:val="center"/>
                    <w:rPr>
                      <w:rFonts w:ascii="Times New Roman" w:hAnsi="Times New Roman" w:eastAsia="宋体" w:cs="Times New Roman"/>
                      <w:bCs/>
                      <w:color w:val="auto"/>
                      <w:sz w:val="21"/>
                      <w:szCs w:val="21"/>
                      <w:highlight w:val="none"/>
                    </w:rPr>
                  </w:pPr>
                  <w:r>
                    <w:rPr>
                      <w:rFonts w:hint="eastAsia"/>
                      <w:color w:val="auto"/>
                      <w:kern w:val="0"/>
                      <w:szCs w:val="21"/>
                    </w:rPr>
                    <w:t>UV灯管</w:t>
                  </w:r>
                </w:p>
              </w:tc>
              <w:tc>
                <w:tcPr>
                  <w:tcW w:w="705" w:type="dxa"/>
                  <w:tcBorders>
                    <w:tl2br w:val="nil"/>
                    <w:tr2bl w:val="nil"/>
                  </w:tcBorders>
                  <w:noWrap w:val="0"/>
                  <w:vAlign w:val="center"/>
                </w:tcPr>
                <w:p>
                  <w:pPr>
                    <w:topLinePunct/>
                    <w:adjustRightInd w:val="0"/>
                    <w:snapToGrid w:val="0"/>
                    <w:jc w:val="center"/>
                    <w:rPr>
                      <w:rFonts w:ascii="Times New Roman" w:hAnsi="Times New Roman" w:eastAsia="宋体" w:cs="Times New Roman"/>
                      <w:bCs/>
                      <w:color w:val="auto"/>
                      <w:sz w:val="21"/>
                      <w:szCs w:val="21"/>
                      <w:highlight w:val="none"/>
                    </w:rPr>
                  </w:pPr>
                  <w:r>
                    <w:rPr>
                      <w:rFonts w:hint="eastAsia"/>
                      <w:color w:val="auto"/>
                      <w:kern w:val="0"/>
                      <w:szCs w:val="21"/>
                    </w:rPr>
                    <w:t>含汞废物</w:t>
                  </w:r>
                </w:p>
              </w:tc>
              <w:tc>
                <w:tcPr>
                  <w:tcW w:w="705" w:type="dxa"/>
                  <w:tcBorders>
                    <w:tl2br w:val="nil"/>
                    <w:tr2bl w:val="nil"/>
                  </w:tcBorders>
                  <w:noWrap w:val="0"/>
                  <w:vAlign w:val="center"/>
                </w:tcPr>
                <w:p>
                  <w:pPr>
                    <w:topLinePunct/>
                    <w:adjustRightInd w:val="0"/>
                    <w:snapToGrid w:val="0"/>
                    <w:jc w:val="center"/>
                    <w:rPr>
                      <w:rFonts w:hint="eastAsia" w:ascii="Times New Roman" w:hAnsi="Times New Roman" w:cs="Times New Roman"/>
                      <w:bCs/>
                      <w:color w:val="auto"/>
                      <w:sz w:val="21"/>
                      <w:szCs w:val="21"/>
                      <w:highlight w:val="none"/>
                      <w:lang w:val="en-US" w:eastAsia="zh-CN"/>
                    </w:rPr>
                  </w:pPr>
                  <w:r>
                    <w:rPr>
                      <w:rFonts w:hint="eastAsia"/>
                      <w:bCs/>
                      <w:color w:val="auto"/>
                      <w:szCs w:val="21"/>
                    </w:rPr>
                    <w:t>1</w:t>
                  </w:r>
                  <w:r>
                    <w:rPr>
                      <w:bCs/>
                      <w:color w:val="auto"/>
                      <w:szCs w:val="21"/>
                    </w:rPr>
                    <w:t>年</w:t>
                  </w:r>
                </w:p>
              </w:tc>
              <w:tc>
                <w:tcPr>
                  <w:tcW w:w="705" w:type="dxa"/>
                  <w:tcBorders>
                    <w:tl2br w:val="nil"/>
                    <w:tr2bl w:val="nil"/>
                  </w:tcBorders>
                  <w:noWrap w:val="0"/>
                  <w:vAlign w:val="center"/>
                </w:tcPr>
                <w:p>
                  <w:pPr>
                    <w:topLinePunct/>
                    <w:adjustRightInd w:val="0"/>
                    <w:snapToGrid w:val="0"/>
                    <w:jc w:val="center"/>
                    <w:rPr>
                      <w:rFonts w:ascii="Times New Roman" w:hAnsi="Times New Roman" w:eastAsia="宋体" w:cs="Times New Roman"/>
                      <w:color w:val="auto"/>
                      <w:kern w:val="0"/>
                      <w:sz w:val="21"/>
                      <w:szCs w:val="21"/>
                      <w:highlight w:val="none"/>
                    </w:rPr>
                  </w:pPr>
                  <w:r>
                    <w:rPr>
                      <w:color w:val="auto"/>
                      <w:kern w:val="0"/>
                      <w:szCs w:val="21"/>
                    </w:rPr>
                    <w:t>T</w:t>
                  </w:r>
                </w:p>
              </w:tc>
              <w:tc>
                <w:tcPr>
                  <w:tcW w:w="994" w:type="dxa"/>
                  <w:vMerge w:val="continue"/>
                  <w:tcBorders>
                    <w:tl2br w:val="nil"/>
                    <w:tr2bl w:val="nil"/>
                  </w:tcBorders>
                  <w:noWrap w:val="0"/>
                  <w:vAlign w:val="center"/>
                </w:tcPr>
                <w:p>
                  <w:pPr>
                    <w:topLinePunct/>
                    <w:adjustRightInd w:val="0"/>
                    <w:snapToGrid w:val="0"/>
                    <w:spacing w:line="240" w:lineRule="auto"/>
                    <w:ind w:firstLine="0" w:firstLineChars="0"/>
                    <w:jc w:val="center"/>
                    <w:rPr>
                      <w:rFonts w:ascii="Times New Roman" w:hAnsi="Times New Roman" w:eastAsia="宋体" w:cs="Times New Roman"/>
                      <w:bCs/>
                      <w:color w:val="auto"/>
                      <w:kern w:val="0"/>
                      <w:sz w:val="21"/>
                      <w:szCs w:val="21"/>
                      <w:highlight w:val="none"/>
                    </w:rPr>
                  </w:pPr>
                </w:p>
              </w:tc>
            </w:tr>
          </w:tbl>
          <w:p>
            <w:pPr>
              <w:autoSpaceDE w:val="0"/>
              <w:autoSpaceDN w:val="0"/>
              <w:spacing w:line="360" w:lineRule="auto"/>
              <w:ind w:firstLine="420" w:firstLineChars="200"/>
              <w:rPr>
                <w:rFonts w:hint="eastAsia" w:ascii="Calibri" w:hAnsi="Calibri" w:eastAsia="宋体"/>
                <w:b/>
                <w:bCs/>
                <w:color w:val="auto"/>
                <w:sz w:val="24"/>
                <w:szCs w:val="21"/>
                <w:lang w:eastAsia="zh-CN"/>
              </w:rPr>
            </w:pPr>
            <w:r>
              <w:rPr>
                <w:rFonts w:hint="eastAsia" w:ascii="Calibri" w:hAnsi="Calibri" w:eastAsia="宋体"/>
                <w:color w:val="auto"/>
                <w:szCs w:val="24"/>
                <w:u w:val="none"/>
                <w:lang w:val="en-US" w:eastAsia="zh-CN"/>
              </w:rPr>
              <w:t xml:space="preserve"> </w:t>
            </w:r>
            <w:r>
              <w:rPr>
                <w:rFonts w:hint="eastAsia" w:ascii="Calibri" w:hAnsi="Calibri" w:eastAsia="宋体"/>
                <w:b/>
                <w:bCs/>
                <w:color w:val="auto"/>
                <w:sz w:val="24"/>
                <w:szCs w:val="21"/>
                <w:lang w:eastAsia="zh-CN"/>
              </w:rPr>
              <w:t>五</w:t>
            </w:r>
            <w:r>
              <w:rPr>
                <w:rFonts w:hint="eastAsia" w:ascii="Calibri" w:hAnsi="Calibri" w:eastAsia="宋体"/>
                <w:b/>
                <w:bCs/>
                <w:color w:val="auto"/>
                <w:sz w:val="24"/>
                <w:szCs w:val="21"/>
              </w:rPr>
              <w:t>、土壤污染源</w:t>
            </w:r>
            <w:r>
              <w:rPr>
                <w:rFonts w:hint="eastAsia" w:ascii="Calibri" w:hAnsi="Calibri" w:eastAsia="宋体"/>
                <w:b/>
                <w:bCs/>
                <w:color w:val="auto"/>
                <w:sz w:val="24"/>
                <w:szCs w:val="21"/>
                <w:lang w:eastAsia="zh-CN"/>
              </w:rPr>
              <w:t>分析</w:t>
            </w:r>
          </w:p>
          <w:p>
            <w:pPr>
              <w:spacing w:line="360" w:lineRule="auto"/>
              <w:ind w:firstLine="480" w:firstLineChars="200"/>
              <w:rPr>
                <w:rFonts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rPr>
              <w:t>根据现场调查结果，通过对比背景值和评价标准对场地进行评估，分析场地及周边土壤主要的污染源。本项目</w:t>
            </w:r>
            <w:r>
              <w:rPr>
                <w:rFonts w:hint="eastAsia" w:ascii="Times New Roman" w:hAnsi="Times New Roman" w:cs="Times New Roman"/>
                <w:bCs/>
                <w:color w:val="auto"/>
                <w:sz w:val="24"/>
                <w:highlight w:val="none"/>
                <w:lang w:eastAsia="zh-CN"/>
              </w:rPr>
              <w:t>所在</w:t>
            </w:r>
            <w:r>
              <w:rPr>
                <w:rFonts w:hint="eastAsia" w:ascii="Times New Roman" w:hAnsi="Times New Roman" w:eastAsia="宋体" w:cs="Times New Roman"/>
                <w:bCs/>
                <w:color w:val="auto"/>
                <w:sz w:val="24"/>
                <w:highlight w:val="none"/>
              </w:rPr>
              <w:t>厂房</w:t>
            </w:r>
            <w:r>
              <w:rPr>
                <w:rFonts w:hint="eastAsia" w:ascii="Times New Roman" w:hAnsi="Times New Roman" w:cs="Times New Roman"/>
                <w:bCs/>
                <w:color w:val="auto"/>
                <w:sz w:val="24"/>
                <w:highlight w:val="none"/>
                <w:lang w:eastAsia="zh-CN"/>
              </w:rPr>
              <w:t>已建成</w:t>
            </w:r>
            <w:r>
              <w:rPr>
                <w:rFonts w:hint="eastAsia" w:ascii="Times New Roman" w:hAnsi="Times New Roman" w:eastAsia="宋体" w:cs="Times New Roman"/>
                <w:bCs/>
                <w:color w:val="auto"/>
                <w:sz w:val="24"/>
                <w:highlight w:val="none"/>
              </w:rPr>
              <w:t>，对土壤环境的影响主要发生在营运期，项目“土壤环境影响类型与影响途径、土壤环境影响源及影响因子识别”详见下表。</w:t>
            </w:r>
            <w:r>
              <w:rPr>
                <w:rFonts w:hint="eastAsia" w:ascii="Times New Roman" w:hAnsi="Times New Roman" w:cs="Times New Roman"/>
                <w:bCs/>
                <w:color w:val="auto"/>
                <w:sz w:val="24"/>
                <w:highlight w:val="none"/>
                <w:lang w:eastAsia="zh-CN"/>
              </w:rPr>
              <w:t>由</w:t>
            </w:r>
            <w:r>
              <w:rPr>
                <w:rFonts w:hint="eastAsia" w:ascii="Times New Roman" w:hAnsi="Times New Roman" w:eastAsia="宋体" w:cs="Times New Roman"/>
                <w:bCs/>
                <w:color w:val="auto"/>
                <w:sz w:val="24"/>
                <w:highlight w:val="none"/>
              </w:rPr>
              <w:t>项目土壤环境质量监测结果</w:t>
            </w:r>
            <w:r>
              <w:rPr>
                <w:rFonts w:hint="eastAsia" w:ascii="Times New Roman" w:hAnsi="Times New Roman" w:cs="Times New Roman"/>
                <w:bCs/>
                <w:color w:val="auto"/>
                <w:sz w:val="24"/>
                <w:highlight w:val="none"/>
                <w:lang w:eastAsia="zh-CN"/>
              </w:rPr>
              <w:t>可知</w:t>
            </w:r>
            <w:r>
              <w:rPr>
                <w:rFonts w:hint="eastAsia" w:ascii="Times New Roman" w:hAnsi="Times New Roman" w:eastAsia="宋体" w:cs="Times New Roman"/>
                <w:bCs/>
                <w:color w:val="auto"/>
                <w:sz w:val="24"/>
                <w:highlight w:val="none"/>
              </w:rPr>
              <w:t>，所有土壤监测因子均达到《土壤环境质量建设用地土壤污染风险管控标准》（</w:t>
            </w:r>
            <w:r>
              <w:rPr>
                <w:rFonts w:ascii="Times New Roman" w:hAnsi="Times New Roman" w:eastAsia="宋体" w:cs="Times New Roman"/>
                <w:bCs/>
                <w:color w:val="auto"/>
                <w:sz w:val="24"/>
                <w:highlight w:val="none"/>
              </w:rPr>
              <w:t>GB36600-2018</w:t>
            </w:r>
            <w:r>
              <w:rPr>
                <w:rFonts w:hint="eastAsia" w:ascii="Times New Roman" w:hAnsi="Times New Roman" w:eastAsia="宋体" w:cs="Times New Roman"/>
                <w:bCs/>
                <w:color w:val="auto"/>
                <w:sz w:val="24"/>
                <w:highlight w:val="none"/>
              </w:rPr>
              <w:t>）筛选值的第二类用地标准要求，土壤污染风险低，土壤环境现状良好，未受污染。</w:t>
            </w:r>
          </w:p>
          <w:p>
            <w:pPr>
              <w:widowControl/>
              <w:numPr>
                <w:ilvl w:val="0"/>
                <w:numId w:val="5"/>
              </w:numPr>
              <w:tabs>
                <w:tab w:val="left" w:pos="420"/>
              </w:tabs>
              <w:adjustRightInd w:val="0"/>
              <w:snapToGrid w:val="0"/>
              <w:spacing w:line="360" w:lineRule="auto"/>
              <w:ind w:left="0" w:firstLine="471"/>
              <w:jc w:val="center"/>
              <w:rPr>
                <w:rFonts w:hint="eastAsia" w:ascii="Times New Roman" w:hAnsi="Times New Roman" w:cs="Times New Roman"/>
                <w:b/>
                <w:color w:val="auto"/>
                <w:kern w:val="0"/>
                <w:szCs w:val="21"/>
                <w:highlight w:val="none"/>
                <w:lang w:val="en-US" w:eastAsia="zh-CN"/>
              </w:rPr>
            </w:pPr>
            <w:r>
              <w:rPr>
                <w:rFonts w:hint="eastAsia" w:ascii="Times New Roman" w:hAnsi="Times New Roman" w:cs="Times New Roman"/>
                <w:b/>
                <w:color w:val="auto"/>
                <w:kern w:val="0"/>
                <w:szCs w:val="21"/>
                <w:highlight w:val="none"/>
                <w:lang w:val="en-US" w:eastAsia="zh-CN"/>
              </w:rPr>
              <w:t>项目土壤环境影响类型与影响途径表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332"/>
              <w:gridCol w:w="1332"/>
              <w:gridCol w:w="1333"/>
              <w:gridCol w:w="804"/>
              <w:gridCol w:w="802"/>
              <w:gridCol w:w="802"/>
              <w:gridCol w:w="802"/>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不同时段</w:t>
                  </w:r>
                </w:p>
              </w:tc>
              <w:tc>
                <w:tcPr>
                  <w:tcW w:w="4801" w:type="dxa"/>
                  <w:gridSpan w:val="4"/>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污染影响型</w:t>
                  </w:r>
                </w:p>
              </w:tc>
              <w:tc>
                <w:tcPr>
                  <w:tcW w:w="3212" w:type="dxa"/>
                  <w:gridSpan w:val="4"/>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生态影响型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Times New Roman" w:hAnsi="Times New Roman" w:eastAsia="宋体" w:cs="Times New Roman"/>
                      <w:bCs/>
                      <w:color w:val="auto"/>
                      <w:szCs w:val="21"/>
                      <w:highlight w:val="none"/>
                    </w:rPr>
                  </w:pP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大气沉降</w:t>
                  </w: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地面漫流</w:t>
                  </w:r>
                </w:p>
              </w:tc>
              <w:tc>
                <w:tcPr>
                  <w:tcW w:w="133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垂直入渗</w:t>
                  </w:r>
                </w:p>
              </w:tc>
              <w:tc>
                <w:tcPr>
                  <w:tcW w:w="80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其他</w:t>
                  </w: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盐化</w:t>
                  </w: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碱化</w:t>
                  </w: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酸化</w:t>
                  </w:r>
                </w:p>
              </w:tc>
              <w:tc>
                <w:tcPr>
                  <w:tcW w:w="80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建设期</w:t>
                  </w: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133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运营期</w:t>
                  </w: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w:t>
                  </w: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133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服务期满后</w:t>
                  </w: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none"/>
                    </w:rPr>
                  </w:pPr>
                </w:p>
              </w:tc>
              <w:tc>
                <w:tcPr>
                  <w:tcW w:w="133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133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4"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2"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c>
                <w:tcPr>
                  <w:tcW w:w="806" w:type="dxa"/>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eastAsia="宋体" w:cs="Times New Roman"/>
                      <w:bCs/>
                      <w:color w:val="auto"/>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9345" w:type="dxa"/>
                  <w:gridSpan w:val="9"/>
                  <w:tcBorders>
                    <w:top w:val="single" w:color="auto" w:sz="4" w:space="0"/>
                    <w:left w:val="single" w:color="auto" w:sz="4" w:space="0"/>
                    <w:bottom w:val="single" w:color="auto" w:sz="4" w:space="0"/>
                    <w:right w:val="single" w:color="auto" w:sz="4" w:space="0"/>
                  </w:tcBorders>
                  <w:noWrap w:val="0"/>
                  <w:vAlign w:val="center"/>
                </w:tcPr>
                <w:p>
                  <w:pPr>
                    <w:ind w:firstLine="420" w:firstLineChars="200"/>
                    <w:rPr>
                      <w:rFonts w:ascii="Times New Roman" w:hAnsi="Times New Roman" w:eastAsia="宋体" w:cs="Times New Roman"/>
                      <w:bCs/>
                      <w:color w:val="auto"/>
                      <w:szCs w:val="21"/>
                      <w:highlight w:val="yellow"/>
                    </w:rPr>
                  </w:pPr>
                  <w:r>
                    <w:rPr>
                      <w:rFonts w:hint="eastAsia" w:ascii="Times New Roman" w:hAnsi="Times New Roman" w:eastAsia="宋体" w:cs="Times New Roman"/>
                      <w:bCs/>
                      <w:color w:val="auto"/>
                      <w:szCs w:val="21"/>
                      <w:highlight w:val="none"/>
                    </w:rPr>
                    <w:t>注：在可能的土壤环境影响类型处打“√”，列表未涵盖的可自行设计。</w:t>
                  </w:r>
                </w:p>
              </w:tc>
            </w:tr>
          </w:tbl>
          <w:p>
            <w:pPr>
              <w:widowControl/>
              <w:numPr>
                <w:ilvl w:val="0"/>
                <w:numId w:val="5"/>
              </w:numPr>
              <w:tabs>
                <w:tab w:val="left" w:pos="420"/>
              </w:tabs>
              <w:adjustRightInd w:val="0"/>
              <w:snapToGrid w:val="0"/>
              <w:spacing w:line="360" w:lineRule="auto"/>
              <w:ind w:left="0" w:firstLine="471"/>
              <w:jc w:val="center"/>
              <w:rPr>
                <w:rFonts w:hint="eastAsia" w:ascii="Times New Roman" w:hAnsi="Times New Roman" w:cs="Times New Roman"/>
                <w:b/>
                <w:color w:val="auto"/>
                <w:kern w:val="0"/>
                <w:szCs w:val="21"/>
                <w:highlight w:val="none"/>
                <w:lang w:val="en-US" w:eastAsia="zh-CN"/>
              </w:rPr>
            </w:pPr>
            <w:r>
              <w:rPr>
                <w:rFonts w:hint="eastAsia" w:ascii="Times New Roman" w:hAnsi="Times New Roman" w:cs="Times New Roman"/>
                <w:b/>
                <w:color w:val="auto"/>
                <w:kern w:val="0"/>
                <w:szCs w:val="21"/>
                <w:highlight w:val="none"/>
                <w:lang w:val="en-US" w:eastAsia="zh-CN"/>
              </w:rPr>
              <w:t>项目土壤环境影响源及影响因子识别表</w:t>
            </w:r>
          </w:p>
          <w:tbl>
            <w:tblPr>
              <w:tblStyle w:val="40"/>
              <w:tblW w:w="934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60"/>
              <w:gridCol w:w="1579"/>
              <w:gridCol w:w="1164"/>
              <w:gridCol w:w="1830"/>
              <w:gridCol w:w="1275"/>
              <w:gridCol w:w="15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960"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Times New Roman" w:eastAsia="Noto Sans Mono CJK JP Regular" w:cs="Times New Roman"/>
                      <w:b/>
                      <w:color w:val="auto"/>
                      <w:kern w:val="0"/>
                      <w:sz w:val="21"/>
                      <w:szCs w:val="22"/>
                      <w:highlight w:val="none"/>
                      <w:lang w:val="zh-CN" w:eastAsia="zh-CN" w:bidi="zh-CN"/>
                    </w:rPr>
                  </w:pPr>
                  <w:r>
                    <w:rPr>
                      <w:rFonts w:hint="eastAsia" w:ascii="Times New Roman" w:hAnsi="宋体" w:eastAsia="宋体" w:cs="Times New Roman"/>
                      <w:b/>
                      <w:color w:val="auto"/>
                      <w:kern w:val="0"/>
                      <w:sz w:val="21"/>
                      <w:szCs w:val="22"/>
                      <w:highlight w:val="none"/>
                      <w:lang w:val="zh-CN" w:eastAsia="zh-CN" w:bidi="zh-CN"/>
                    </w:rPr>
                    <w:t>污染源</w:t>
                  </w:r>
                </w:p>
              </w:tc>
              <w:tc>
                <w:tcPr>
                  <w:tcW w:w="1579"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Times New Roman" w:eastAsia="宋体" w:cs="Times New Roman"/>
                      <w:b/>
                      <w:color w:val="auto"/>
                      <w:kern w:val="0"/>
                      <w:sz w:val="21"/>
                      <w:szCs w:val="22"/>
                      <w:highlight w:val="none"/>
                      <w:lang w:val="zh-CN" w:eastAsia="zh-CN" w:bidi="zh-CN"/>
                    </w:rPr>
                  </w:pPr>
                  <w:r>
                    <w:rPr>
                      <w:rFonts w:hint="eastAsia" w:ascii="Times New Roman" w:hAnsi="宋体" w:eastAsia="宋体" w:cs="Times New Roman"/>
                      <w:b/>
                      <w:color w:val="auto"/>
                      <w:kern w:val="0"/>
                      <w:sz w:val="21"/>
                      <w:szCs w:val="22"/>
                      <w:highlight w:val="none"/>
                      <w:lang w:val="zh-CN" w:eastAsia="zh-CN" w:bidi="zh-CN"/>
                    </w:rPr>
                    <w:t>工艺流程</w:t>
                  </w:r>
                  <w:r>
                    <w:rPr>
                      <w:rFonts w:ascii="Times New Roman" w:hAnsi="Times New Roman" w:eastAsia="宋体" w:cs="Times New Roman"/>
                      <w:b/>
                      <w:color w:val="auto"/>
                      <w:kern w:val="0"/>
                      <w:sz w:val="21"/>
                      <w:szCs w:val="22"/>
                      <w:highlight w:val="none"/>
                      <w:lang w:val="zh-CN" w:eastAsia="zh-CN" w:bidi="zh-CN"/>
                    </w:rPr>
                    <w:t>/</w:t>
                  </w:r>
                  <w:r>
                    <w:rPr>
                      <w:rFonts w:hint="eastAsia" w:ascii="Times New Roman" w:hAnsi="宋体" w:eastAsia="宋体" w:cs="Times New Roman"/>
                      <w:b/>
                      <w:color w:val="auto"/>
                      <w:kern w:val="0"/>
                      <w:sz w:val="21"/>
                      <w:szCs w:val="22"/>
                      <w:highlight w:val="none"/>
                      <w:lang w:val="zh-CN" w:eastAsia="zh-CN" w:bidi="zh-CN"/>
                    </w:rPr>
                    <w:t>节点</w:t>
                  </w:r>
                </w:p>
              </w:tc>
              <w:tc>
                <w:tcPr>
                  <w:tcW w:w="1164"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Times New Roman" w:eastAsia="Noto Sans Mono CJK JP Regular" w:cs="Times New Roman"/>
                      <w:b/>
                      <w:color w:val="auto"/>
                      <w:kern w:val="0"/>
                      <w:sz w:val="21"/>
                      <w:szCs w:val="22"/>
                      <w:highlight w:val="none"/>
                      <w:lang w:val="zh-CN" w:eastAsia="zh-CN" w:bidi="zh-CN"/>
                    </w:rPr>
                  </w:pPr>
                  <w:r>
                    <w:rPr>
                      <w:rFonts w:hint="eastAsia" w:ascii="Times New Roman" w:hAnsi="宋体" w:eastAsia="宋体" w:cs="Times New Roman"/>
                      <w:b/>
                      <w:color w:val="auto"/>
                      <w:kern w:val="0"/>
                      <w:sz w:val="21"/>
                      <w:szCs w:val="22"/>
                      <w:highlight w:val="none"/>
                      <w:lang w:val="zh-CN" w:eastAsia="zh-CN" w:bidi="zh-CN"/>
                    </w:rPr>
                    <w:t>污染途径</w:t>
                  </w:r>
                </w:p>
              </w:tc>
              <w:tc>
                <w:tcPr>
                  <w:tcW w:w="1830"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Times New Roman" w:eastAsia="Noto Sans Mono CJK JP Regular" w:cs="Times New Roman"/>
                      <w:b/>
                      <w:color w:val="auto"/>
                      <w:kern w:val="0"/>
                      <w:sz w:val="21"/>
                      <w:szCs w:val="22"/>
                      <w:highlight w:val="none"/>
                      <w:lang w:val="zh-CN" w:eastAsia="zh-CN" w:bidi="zh-CN"/>
                    </w:rPr>
                  </w:pPr>
                  <w:r>
                    <w:rPr>
                      <w:rFonts w:hint="eastAsia" w:ascii="Times New Roman" w:hAnsi="宋体" w:eastAsia="宋体" w:cs="Times New Roman"/>
                      <w:b/>
                      <w:color w:val="auto"/>
                      <w:kern w:val="0"/>
                      <w:sz w:val="21"/>
                      <w:szCs w:val="22"/>
                      <w:highlight w:val="none"/>
                      <w:lang w:val="zh-CN" w:eastAsia="zh-CN" w:bidi="zh-CN"/>
                    </w:rPr>
                    <w:t>全部污染物指标</w:t>
                  </w:r>
                  <w:r>
                    <w:rPr>
                      <w:rFonts w:ascii="Times New Roman" w:hAnsi="Times New Roman" w:eastAsia="宋体" w:cs="Times New Roman"/>
                      <w:b/>
                      <w:color w:val="auto"/>
                      <w:kern w:val="0"/>
                      <w:sz w:val="21"/>
                      <w:szCs w:val="22"/>
                      <w:highlight w:val="none"/>
                      <w:vertAlign w:val="superscript"/>
                      <w:lang w:val="zh-CN" w:eastAsia="zh-CN" w:bidi="zh-CN"/>
                    </w:rPr>
                    <w:t>a</w:t>
                  </w:r>
                </w:p>
              </w:tc>
              <w:tc>
                <w:tcPr>
                  <w:tcW w:w="1275"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Times New Roman" w:eastAsia="Noto Sans Mono CJK JP Regular" w:cs="Times New Roman"/>
                      <w:b/>
                      <w:color w:val="auto"/>
                      <w:kern w:val="0"/>
                      <w:sz w:val="21"/>
                      <w:szCs w:val="22"/>
                      <w:highlight w:val="none"/>
                      <w:lang w:val="zh-CN" w:eastAsia="zh-CN" w:bidi="zh-CN"/>
                    </w:rPr>
                  </w:pPr>
                  <w:r>
                    <w:rPr>
                      <w:rFonts w:hint="eastAsia" w:ascii="Times New Roman" w:hAnsi="宋体" w:eastAsia="宋体" w:cs="Times New Roman"/>
                      <w:b/>
                      <w:color w:val="auto"/>
                      <w:kern w:val="0"/>
                      <w:sz w:val="21"/>
                      <w:szCs w:val="22"/>
                      <w:highlight w:val="none"/>
                      <w:lang w:val="zh-CN" w:eastAsia="zh-CN" w:bidi="zh-CN"/>
                    </w:rPr>
                    <w:t>特征因子</w:t>
                  </w:r>
                </w:p>
              </w:tc>
              <w:tc>
                <w:tcPr>
                  <w:tcW w:w="1537"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Times New Roman" w:eastAsia="Noto Sans Mono CJK JP Regular" w:cs="Times New Roman"/>
                      <w:b/>
                      <w:color w:val="auto"/>
                      <w:kern w:val="0"/>
                      <w:sz w:val="21"/>
                      <w:szCs w:val="22"/>
                      <w:highlight w:val="none"/>
                      <w:lang w:val="zh-CN" w:eastAsia="zh-CN" w:bidi="zh-CN"/>
                    </w:rPr>
                  </w:pPr>
                  <w:r>
                    <w:rPr>
                      <w:rFonts w:hint="eastAsia" w:ascii="Times New Roman" w:hAnsi="宋体" w:eastAsia="宋体" w:cs="Times New Roman"/>
                      <w:b/>
                      <w:color w:val="auto"/>
                      <w:kern w:val="0"/>
                      <w:sz w:val="21"/>
                      <w:szCs w:val="22"/>
                      <w:highlight w:val="none"/>
                      <w:lang w:val="zh-CN" w:eastAsia="zh-CN" w:bidi="zh-CN"/>
                    </w:rPr>
                    <w:t>备注</w:t>
                  </w:r>
                  <w:r>
                    <w:rPr>
                      <w:rFonts w:ascii="Times New Roman" w:hAnsi="Times New Roman" w:eastAsia="宋体" w:cs="Times New Roman"/>
                      <w:b/>
                      <w:color w:val="auto"/>
                      <w:kern w:val="0"/>
                      <w:sz w:val="21"/>
                      <w:szCs w:val="22"/>
                      <w:highlight w:val="none"/>
                      <w:vertAlign w:val="superscript"/>
                      <w:lang w:val="zh-CN" w:eastAsia="zh-CN" w:bidi="zh-CN"/>
                    </w:rPr>
                    <w:t>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5" w:hRule="atLeast"/>
                <w:jc w:val="center"/>
              </w:trPr>
              <w:tc>
                <w:tcPr>
                  <w:tcW w:w="1960"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宋体" w:eastAsia="宋体" w:cs="Times New Roman"/>
                      <w:color w:val="auto"/>
                      <w:kern w:val="0"/>
                      <w:sz w:val="21"/>
                      <w:szCs w:val="22"/>
                      <w:highlight w:val="none"/>
                      <w:lang w:val="zh-CN" w:eastAsia="zh-CN" w:bidi="zh-CN"/>
                    </w:rPr>
                  </w:pPr>
                  <w:r>
                    <w:rPr>
                      <w:rFonts w:hint="eastAsia" w:ascii="Times New Roman" w:hAnsi="宋体" w:cs="Times New Roman"/>
                      <w:color w:val="auto"/>
                      <w:kern w:val="0"/>
                      <w:sz w:val="21"/>
                      <w:szCs w:val="22"/>
                      <w:highlight w:val="none"/>
                      <w:lang w:val="zh-CN" w:eastAsia="zh-CN" w:bidi="zh-CN"/>
                    </w:rPr>
                    <w:t>排气筒</w:t>
                  </w:r>
                </w:p>
              </w:tc>
              <w:tc>
                <w:tcPr>
                  <w:tcW w:w="1579"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宋体" w:eastAsia="宋体" w:cs="Times New Roman"/>
                      <w:color w:val="auto"/>
                      <w:kern w:val="0"/>
                      <w:sz w:val="21"/>
                      <w:szCs w:val="22"/>
                      <w:highlight w:val="none"/>
                      <w:lang w:val="zh-CN" w:eastAsia="zh-CN" w:bidi="zh-CN"/>
                    </w:rPr>
                  </w:pPr>
                  <w:r>
                    <w:rPr>
                      <w:rFonts w:hint="eastAsia" w:ascii="Times New Roman" w:hAnsi="宋体" w:cs="Times New Roman"/>
                      <w:color w:val="auto"/>
                      <w:kern w:val="0"/>
                      <w:sz w:val="21"/>
                      <w:szCs w:val="22"/>
                      <w:highlight w:val="none"/>
                      <w:lang w:val="zh-CN" w:eastAsia="zh-CN" w:bidi="zh-CN"/>
                    </w:rPr>
                    <w:t>熔化、铸造、制芯、抛光</w:t>
                  </w:r>
                </w:p>
              </w:tc>
              <w:tc>
                <w:tcPr>
                  <w:tcW w:w="1164"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ascii="Times New Roman" w:hAnsi="宋体" w:eastAsia="宋体" w:cs="Times New Roman"/>
                      <w:color w:val="auto"/>
                      <w:kern w:val="0"/>
                      <w:sz w:val="21"/>
                      <w:szCs w:val="22"/>
                      <w:highlight w:val="none"/>
                      <w:lang w:val="zh-CN" w:eastAsia="zh-CN" w:bidi="zh-CN"/>
                    </w:rPr>
                  </w:pPr>
                  <w:r>
                    <w:rPr>
                      <w:rFonts w:hint="eastAsia" w:ascii="Noto Sans Mono CJK JP Regular" w:hAnsi="Noto Sans Mono CJK JP Regular" w:eastAsia="宋体" w:cs="Noto Sans Mono CJK JP Regular"/>
                      <w:bCs/>
                      <w:color w:val="auto"/>
                      <w:kern w:val="0"/>
                      <w:sz w:val="22"/>
                      <w:szCs w:val="21"/>
                      <w:highlight w:val="none"/>
                      <w:lang w:val="zh-CN" w:eastAsia="zh-CN" w:bidi="zh-CN"/>
                    </w:rPr>
                    <w:t>大气沉降</w:t>
                  </w:r>
                </w:p>
              </w:tc>
              <w:tc>
                <w:tcPr>
                  <w:tcW w:w="1830"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cs="Times New Roman"/>
                      <w:bCs/>
                      <w:color w:val="auto"/>
                      <w:kern w:val="0"/>
                      <w:sz w:val="21"/>
                      <w:szCs w:val="22"/>
                      <w:highlight w:val="none"/>
                      <w:lang w:val="en-US" w:eastAsia="zh-CN" w:bidi="zh-CN"/>
                    </w:rPr>
                  </w:pPr>
                  <w:r>
                    <w:rPr>
                      <w:rFonts w:hint="eastAsia" w:ascii="Times New Roman" w:hAnsi="宋体" w:cs="Times New Roman"/>
                      <w:bCs/>
                      <w:color w:val="auto"/>
                      <w:kern w:val="0"/>
                      <w:sz w:val="21"/>
                      <w:szCs w:val="22"/>
                      <w:highlight w:val="none"/>
                      <w:lang w:val="en-US" w:eastAsia="zh-CN" w:bidi="zh-CN"/>
                    </w:rPr>
                    <w:t>颗粒物</w:t>
                  </w:r>
                </w:p>
                <w:p>
                  <w:pPr>
                    <w:widowControl w:val="0"/>
                    <w:autoSpaceDE w:val="0"/>
                    <w:autoSpaceDN w:val="0"/>
                    <w:jc w:val="center"/>
                    <w:rPr>
                      <w:rFonts w:hint="default" w:ascii="Times New Roman" w:hAnsi="宋体" w:eastAsia="宋体" w:cs="Times New Roman"/>
                      <w:color w:val="auto"/>
                      <w:kern w:val="0"/>
                      <w:sz w:val="21"/>
                      <w:szCs w:val="22"/>
                      <w:highlight w:val="none"/>
                      <w:lang w:val="en-US" w:eastAsia="zh-CN" w:bidi="zh-CN"/>
                    </w:rPr>
                  </w:pPr>
                  <w:r>
                    <w:rPr>
                      <w:rFonts w:hint="eastAsia" w:hAnsi="宋体" w:cs="Times New Roman"/>
                      <w:bCs/>
                      <w:color w:val="auto"/>
                      <w:kern w:val="0"/>
                      <w:sz w:val="21"/>
                      <w:szCs w:val="22"/>
                      <w:highlight w:val="none"/>
                      <w:lang w:val="en-US" w:eastAsia="zh-CN" w:bidi="zh-CN"/>
                    </w:rPr>
                    <w:t>非甲烷总烃</w:t>
                  </w:r>
                </w:p>
              </w:tc>
              <w:tc>
                <w:tcPr>
                  <w:tcW w:w="1275"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cs="Times New Roman"/>
                      <w:bCs/>
                      <w:color w:val="auto"/>
                      <w:kern w:val="0"/>
                      <w:sz w:val="21"/>
                      <w:szCs w:val="22"/>
                      <w:highlight w:val="none"/>
                      <w:lang w:val="en-US" w:eastAsia="zh-CN" w:bidi="zh-CN"/>
                    </w:rPr>
                  </w:pPr>
                  <w:r>
                    <w:rPr>
                      <w:rFonts w:hint="eastAsia" w:ascii="Times New Roman" w:hAnsi="宋体" w:cs="Times New Roman"/>
                      <w:bCs/>
                      <w:color w:val="auto"/>
                      <w:kern w:val="0"/>
                      <w:sz w:val="21"/>
                      <w:szCs w:val="22"/>
                      <w:highlight w:val="none"/>
                      <w:lang w:val="en-US" w:eastAsia="zh-CN" w:bidi="zh-CN"/>
                    </w:rPr>
                    <w:t>颗粒物</w:t>
                  </w:r>
                </w:p>
                <w:p>
                  <w:pPr>
                    <w:widowControl w:val="0"/>
                    <w:autoSpaceDE w:val="0"/>
                    <w:autoSpaceDN w:val="0"/>
                    <w:jc w:val="center"/>
                    <w:rPr>
                      <w:rFonts w:ascii="Times New Roman" w:hAnsi="宋体" w:eastAsia="宋体" w:cs="Times New Roman"/>
                      <w:color w:val="auto"/>
                      <w:kern w:val="0"/>
                      <w:sz w:val="21"/>
                      <w:szCs w:val="22"/>
                      <w:highlight w:val="none"/>
                      <w:lang w:val="zh-CN" w:eastAsia="zh-CN" w:bidi="zh-CN"/>
                    </w:rPr>
                  </w:pPr>
                  <w:r>
                    <w:rPr>
                      <w:rFonts w:hint="eastAsia" w:hAnsi="宋体" w:cs="Times New Roman"/>
                      <w:bCs/>
                      <w:color w:val="auto"/>
                      <w:kern w:val="0"/>
                      <w:sz w:val="21"/>
                      <w:szCs w:val="22"/>
                      <w:highlight w:val="none"/>
                      <w:lang w:val="en-US" w:eastAsia="zh-CN" w:bidi="zh-CN"/>
                    </w:rPr>
                    <w:t>非甲烷总烃</w:t>
                  </w:r>
                </w:p>
              </w:tc>
              <w:tc>
                <w:tcPr>
                  <w:tcW w:w="1537"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default" w:ascii="Times New Roman" w:hAnsi="宋体" w:eastAsia="宋体" w:cs="Times New Roman"/>
                      <w:color w:val="auto"/>
                      <w:kern w:val="0"/>
                      <w:sz w:val="21"/>
                      <w:szCs w:val="22"/>
                      <w:highlight w:val="none"/>
                      <w:lang w:val="en-US" w:eastAsia="zh-CN" w:bidi="zh-CN"/>
                    </w:rPr>
                  </w:pPr>
                  <w:r>
                    <w:rPr>
                      <w:rFonts w:hint="eastAsia" w:ascii="Times New Roman" w:hAnsi="宋体" w:cs="Times New Roman"/>
                      <w:color w:val="auto"/>
                      <w:kern w:val="0"/>
                      <w:sz w:val="21"/>
                      <w:szCs w:val="22"/>
                      <w:highlight w:val="none"/>
                      <w:lang w:val="zh-CN" w:eastAsia="zh-CN" w:bidi="zh-CN"/>
                    </w:rPr>
                    <w:t>正常排放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0" w:hRule="atLeast"/>
                <w:jc w:val="center"/>
              </w:trPr>
              <w:tc>
                <w:tcPr>
                  <w:tcW w:w="1960"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eastAsia="宋体" w:cs="Times New Roman"/>
                      <w:color w:val="auto"/>
                      <w:kern w:val="0"/>
                      <w:sz w:val="21"/>
                      <w:szCs w:val="22"/>
                      <w:highlight w:val="none"/>
                      <w:lang w:val="zh-CN" w:eastAsia="zh-CN" w:bidi="zh-CN"/>
                    </w:rPr>
                  </w:pPr>
                  <w:r>
                    <w:rPr>
                      <w:rFonts w:hint="eastAsia" w:ascii="Times New Roman" w:hAnsi="宋体" w:cs="Times New Roman"/>
                      <w:color w:val="auto"/>
                      <w:kern w:val="0"/>
                      <w:sz w:val="21"/>
                      <w:szCs w:val="22"/>
                      <w:highlight w:val="none"/>
                      <w:lang w:val="zh-CN" w:eastAsia="zh-CN" w:bidi="zh-CN"/>
                    </w:rPr>
                    <w:t>生产车间</w:t>
                  </w:r>
                </w:p>
              </w:tc>
              <w:tc>
                <w:tcPr>
                  <w:tcW w:w="1579"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eastAsia="宋体" w:cs="Times New Roman"/>
                      <w:color w:val="auto"/>
                      <w:kern w:val="0"/>
                      <w:sz w:val="21"/>
                      <w:szCs w:val="22"/>
                      <w:highlight w:val="none"/>
                      <w:lang w:val="zh-CN" w:eastAsia="zh-CN" w:bidi="zh-CN"/>
                    </w:rPr>
                  </w:pPr>
                  <w:r>
                    <w:rPr>
                      <w:rFonts w:hint="eastAsia" w:ascii="Times New Roman" w:hAnsi="宋体" w:cs="Times New Roman"/>
                      <w:color w:val="auto"/>
                      <w:kern w:val="0"/>
                      <w:sz w:val="21"/>
                      <w:szCs w:val="22"/>
                      <w:highlight w:val="none"/>
                      <w:lang w:val="zh-CN" w:eastAsia="zh-CN" w:bidi="zh-CN"/>
                    </w:rPr>
                    <w:t>熔化、铸造、制芯、滚砂、机加工、抛光</w:t>
                  </w:r>
                </w:p>
              </w:tc>
              <w:tc>
                <w:tcPr>
                  <w:tcW w:w="1164"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Noto Sans Mono CJK JP Regular" w:hAnsi="Noto Sans Mono CJK JP Regular" w:eastAsia="宋体" w:cs="Noto Sans Mono CJK JP Regular"/>
                      <w:bCs/>
                      <w:color w:val="auto"/>
                      <w:kern w:val="0"/>
                      <w:sz w:val="22"/>
                      <w:szCs w:val="21"/>
                      <w:highlight w:val="none"/>
                      <w:lang w:val="zh-CN" w:eastAsia="zh-CN" w:bidi="zh-CN"/>
                    </w:rPr>
                  </w:pPr>
                  <w:r>
                    <w:rPr>
                      <w:rFonts w:hint="eastAsia" w:ascii="Noto Sans Mono CJK JP Regular" w:hAnsi="Noto Sans Mono CJK JP Regular" w:eastAsia="宋体" w:cs="Noto Sans Mono CJK JP Regular"/>
                      <w:bCs/>
                      <w:color w:val="auto"/>
                      <w:kern w:val="0"/>
                      <w:sz w:val="22"/>
                      <w:szCs w:val="21"/>
                      <w:highlight w:val="none"/>
                      <w:lang w:val="zh-CN" w:eastAsia="zh-CN" w:bidi="zh-CN"/>
                    </w:rPr>
                    <w:t>大气沉降</w:t>
                  </w:r>
                </w:p>
              </w:tc>
              <w:tc>
                <w:tcPr>
                  <w:tcW w:w="1830"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cs="Times New Roman"/>
                      <w:bCs/>
                      <w:color w:val="auto"/>
                      <w:kern w:val="0"/>
                      <w:sz w:val="21"/>
                      <w:szCs w:val="22"/>
                      <w:highlight w:val="none"/>
                      <w:lang w:val="en-US" w:eastAsia="zh-CN" w:bidi="zh-CN"/>
                    </w:rPr>
                  </w:pPr>
                  <w:r>
                    <w:rPr>
                      <w:rFonts w:hint="eastAsia" w:ascii="Times New Roman" w:hAnsi="宋体" w:cs="Times New Roman"/>
                      <w:bCs/>
                      <w:color w:val="auto"/>
                      <w:kern w:val="0"/>
                      <w:sz w:val="21"/>
                      <w:szCs w:val="22"/>
                      <w:highlight w:val="none"/>
                      <w:lang w:val="en-US" w:eastAsia="zh-CN" w:bidi="zh-CN"/>
                    </w:rPr>
                    <w:t>颗粒物</w:t>
                  </w:r>
                </w:p>
                <w:p>
                  <w:pPr>
                    <w:widowControl w:val="0"/>
                    <w:autoSpaceDE w:val="0"/>
                    <w:autoSpaceDN w:val="0"/>
                    <w:jc w:val="center"/>
                    <w:rPr>
                      <w:rFonts w:hint="eastAsia" w:ascii="Times New Roman" w:hAnsi="宋体" w:eastAsia="宋体" w:cs="Times New Roman"/>
                      <w:bCs/>
                      <w:color w:val="auto"/>
                      <w:kern w:val="0"/>
                      <w:sz w:val="21"/>
                      <w:szCs w:val="22"/>
                      <w:highlight w:val="none"/>
                      <w:lang w:val="en-US" w:eastAsia="zh-CN" w:bidi="zh-CN"/>
                    </w:rPr>
                  </w:pPr>
                  <w:r>
                    <w:rPr>
                      <w:rFonts w:hint="eastAsia" w:hAnsi="宋体" w:cs="Times New Roman"/>
                      <w:bCs/>
                      <w:color w:val="auto"/>
                      <w:kern w:val="0"/>
                      <w:sz w:val="21"/>
                      <w:szCs w:val="22"/>
                      <w:highlight w:val="none"/>
                      <w:lang w:val="en-US" w:eastAsia="zh-CN" w:bidi="zh-CN"/>
                    </w:rPr>
                    <w:t>非甲烷总烃</w:t>
                  </w:r>
                </w:p>
              </w:tc>
              <w:tc>
                <w:tcPr>
                  <w:tcW w:w="1275"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cs="Times New Roman"/>
                      <w:bCs/>
                      <w:color w:val="auto"/>
                      <w:kern w:val="0"/>
                      <w:sz w:val="21"/>
                      <w:szCs w:val="22"/>
                      <w:highlight w:val="none"/>
                      <w:lang w:val="en-US" w:eastAsia="zh-CN" w:bidi="zh-CN"/>
                    </w:rPr>
                  </w:pPr>
                  <w:r>
                    <w:rPr>
                      <w:rFonts w:hint="eastAsia" w:ascii="Times New Roman" w:hAnsi="宋体" w:cs="Times New Roman"/>
                      <w:bCs/>
                      <w:color w:val="auto"/>
                      <w:kern w:val="0"/>
                      <w:sz w:val="21"/>
                      <w:szCs w:val="22"/>
                      <w:highlight w:val="none"/>
                      <w:lang w:val="en-US" w:eastAsia="zh-CN" w:bidi="zh-CN"/>
                    </w:rPr>
                    <w:t>颗粒物</w:t>
                  </w:r>
                </w:p>
                <w:p>
                  <w:pPr>
                    <w:widowControl w:val="0"/>
                    <w:autoSpaceDE w:val="0"/>
                    <w:autoSpaceDN w:val="0"/>
                    <w:jc w:val="center"/>
                    <w:rPr>
                      <w:rFonts w:hint="eastAsia" w:ascii="Times New Roman" w:hAnsi="宋体" w:eastAsia="宋体" w:cs="Times New Roman"/>
                      <w:bCs/>
                      <w:color w:val="auto"/>
                      <w:kern w:val="0"/>
                      <w:sz w:val="21"/>
                      <w:szCs w:val="22"/>
                      <w:highlight w:val="none"/>
                      <w:lang w:val="en-US" w:eastAsia="zh-CN" w:bidi="zh-CN"/>
                    </w:rPr>
                  </w:pPr>
                  <w:r>
                    <w:rPr>
                      <w:rFonts w:hint="eastAsia" w:hAnsi="宋体" w:cs="Times New Roman"/>
                      <w:bCs/>
                      <w:color w:val="auto"/>
                      <w:kern w:val="0"/>
                      <w:sz w:val="21"/>
                      <w:szCs w:val="22"/>
                      <w:highlight w:val="none"/>
                      <w:lang w:val="en-US" w:eastAsia="zh-CN" w:bidi="zh-CN"/>
                    </w:rPr>
                    <w:t>非甲烷总烃</w:t>
                  </w:r>
                </w:p>
              </w:tc>
              <w:tc>
                <w:tcPr>
                  <w:tcW w:w="1537" w:type="dxa"/>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jc w:val="center"/>
                    <w:rPr>
                      <w:rFonts w:hint="eastAsia" w:ascii="Times New Roman" w:hAnsi="宋体" w:eastAsia="宋体" w:cs="Times New Roman"/>
                      <w:color w:val="auto"/>
                      <w:kern w:val="0"/>
                      <w:sz w:val="21"/>
                      <w:szCs w:val="22"/>
                      <w:highlight w:val="none"/>
                      <w:lang w:val="zh-CN" w:eastAsia="zh-CN" w:bidi="zh-CN"/>
                    </w:rPr>
                  </w:pPr>
                  <w:r>
                    <w:rPr>
                      <w:rFonts w:hint="eastAsia" w:ascii="Times New Roman" w:hAnsi="宋体" w:cs="Times New Roman"/>
                      <w:color w:val="auto"/>
                      <w:kern w:val="0"/>
                      <w:sz w:val="21"/>
                      <w:szCs w:val="22"/>
                      <w:highlight w:val="none"/>
                      <w:lang w:val="zh-CN" w:eastAsia="zh-CN" w:bidi="zh-CN"/>
                    </w:rPr>
                    <w:t>正常排放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9345" w:type="dxa"/>
                  <w:gridSpan w:val="6"/>
                  <w:tcBorders>
                    <w:top w:val="single" w:color="000000" w:sz="4" w:space="0"/>
                    <w:left w:val="single" w:color="000000" w:sz="4" w:space="0"/>
                    <w:bottom w:val="single" w:color="000000" w:sz="4" w:space="0"/>
                    <w:right w:val="single" w:color="000000" w:sz="4" w:space="0"/>
                  </w:tcBorders>
                  <w:noWrap w:val="0"/>
                  <w:vAlign w:val="center"/>
                </w:tcPr>
                <w:p>
                  <w:pPr>
                    <w:widowControl w:val="0"/>
                    <w:autoSpaceDE w:val="0"/>
                    <w:autoSpaceDN w:val="0"/>
                    <w:ind w:firstLine="420" w:firstLineChars="200"/>
                    <w:jc w:val="both"/>
                    <w:rPr>
                      <w:rFonts w:ascii="Times New Roman" w:hAnsi="Times New Roman" w:eastAsia="宋体" w:cs="Times New Roman"/>
                      <w:color w:val="auto"/>
                      <w:kern w:val="0"/>
                      <w:sz w:val="21"/>
                      <w:szCs w:val="22"/>
                      <w:highlight w:val="none"/>
                      <w:lang w:val="zh-CN" w:eastAsia="zh-CN" w:bidi="zh-CN"/>
                    </w:rPr>
                  </w:pPr>
                  <w:r>
                    <w:rPr>
                      <w:rFonts w:ascii="Times New Roman" w:hAnsi="Times New Roman" w:eastAsia="宋体" w:cs="Times New Roman"/>
                      <w:color w:val="auto"/>
                      <w:kern w:val="0"/>
                      <w:sz w:val="21"/>
                      <w:szCs w:val="22"/>
                      <w:highlight w:val="none"/>
                      <w:lang w:val="zh-CN" w:eastAsia="zh-CN" w:bidi="zh-CN"/>
                    </w:rPr>
                    <w:t>a</w:t>
                  </w:r>
                  <w:r>
                    <w:rPr>
                      <w:rFonts w:hint="eastAsia" w:ascii="Times New Roman" w:hAnsi="宋体" w:eastAsia="宋体" w:cs="Times New Roman"/>
                      <w:color w:val="auto"/>
                      <w:kern w:val="0"/>
                      <w:sz w:val="21"/>
                      <w:szCs w:val="22"/>
                      <w:highlight w:val="none"/>
                      <w:lang w:val="zh-CN" w:eastAsia="zh-CN" w:bidi="zh-CN"/>
                    </w:rPr>
                    <w:t>根据工程分析结果填写。</w:t>
                  </w:r>
                </w:p>
                <w:p>
                  <w:pPr>
                    <w:widowControl w:val="0"/>
                    <w:autoSpaceDE w:val="0"/>
                    <w:autoSpaceDN w:val="0"/>
                    <w:ind w:left="210" w:leftChars="100" w:firstLine="210" w:firstLineChars="100"/>
                    <w:jc w:val="both"/>
                    <w:rPr>
                      <w:rFonts w:ascii="Times New Roman" w:hAnsi="Times New Roman" w:eastAsia="宋体" w:cs="Times New Roman"/>
                      <w:color w:val="auto"/>
                      <w:kern w:val="0"/>
                      <w:sz w:val="21"/>
                      <w:szCs w:val="22"/>
                      <w:highlight w:val="none"/>
                      <w:lang w:val="zh-CN" w:eastAsia="zh-CN" w:bidi="zh-CN"/>
                    </w:rPr>
                  </w:pPr>
                  <w:r>
                    <w:rPr>
                      <w:rFonts w:ascii="Times New Roman" w:hAnsi="Times New Roman" w:eastAsia="宋体" w:cs="Times New Roman"/>
                      <w:color w:val="auto"/>
                      <w:kern w:val="0"/>
                      <w:sz w:val="21"/>
                      <w:szCs w:val="22"/>
                      <w:highlight w:val="none"/>
                      <w:lang w:val="zh-CN" w:eastAsia="zh-CN" w:bidi="zh-CN"/>
                    </w:rPr>
                    <w:t>b</w:t>
                  </w:r>
                  <w:r>
                    <w:rPr>
                      <w:rFonts w:hint="eastAsia" w:ascii="Times New Roman" w:hAnsi="Times New Roman" w:eastAsia="宋体" w:cs="Times New Roman"/>
                      <w:color w:val="auto"/>
                      <w:kern w:val="0"/>
                      <w:sz w:val="21"/>
                      <w:szCs w:val="22"/>
                      <w:highlight w:val="none"/>
                      <w:lang w:val="zh-CN" w:eastAsia="zh-CN" w:bidi="zh-CN"/>
                    </w:rPr>
                    <w:t>应描述污染源特征，如连续、间断、正常、事故等；涉及大气沉降途径的，应识别建设项目周边的土壤环境目标。</w:t>
                  </w:r>
                </w:p>
              </w:tc>
            </w:tr>
          </w:tbl>
          <w:p>
            <w:pPr>
              <w:adjustRightInd w:val="0"/>
              <w:snapToGrid w:val="0"/>
              <w:spacing w:line="360" w:lineRule="auto"/>
              <w:rPr>
                <w:color w:val="auto"/>
                <w:sz w:val="24"/>
                <w:shd w:val="clear" w:color="auto" w:fill="auto"/>
              </w:rPr>
            </w:pPr>
          </w:p>
        </w:tc>
      </w:tr>
    </w:tbl>
    <w:p>
      <w:pPr>
        <w:spacing w:line="300" w:lineRule="auto"/>
        <w:ind w:firstLine="454"/>
        <w:rPr>
          <w:color w:val="auto"/>
          <w:sz w:val="28"/>
          <w:shd w:val="clear" w:color="auto" w:fill="auto"/>
        </w:rPr>
        <w:sectPr>
          <w:footerReference r:id="rId13" w:type="default"/>
          <w:pgSz w:w="11907" w:h="16840"/>
          <w:pgMar w:top="1531" w:right="1134" w:bottom="1134" w:left="1418" w:header="0" w:footer="898" w:gutter="0"/>
          <w:pgBorders>
            <w:top w:val="none" w:sz="0" w:space="0"/>
            <w:left w:val="none" w:sz="0" w:space="0"/>
            <w:bottom w:val="none" w:sz="0" w:space="0"/>
            <w:right w:val="none" w:sz="0" w:space="0"/>
          </w:pgBorders>
          <w:cols w:space="720" w:num="1"/>
          <w:docGrid w:linePitch="326" w:charSpace="-4916"/>
        </w:sectPr>
      </w:pPr>
    </w:p>
    <w:p>
      <w:pPr>
        <w:pStyle w:val="38"/>
        <w:jc w:val="left"/>
        <w:rPr>
          <w:color w:val="auto"/>
          <w:sz w:val="28"/>
          <w:shd w:val="clear" w:color="auto" w:fill="auto"/>
        </w:rPr>
      </w:pPr>
      <w:r>
        <w:rPr>
          <w:rFonts w:hint="eastAsia" w:ascii="Times New Roman" w:hAnsi="Times New Roman"/>
          <w:color w:val="auto"/>
          <w:shd w:val="clear" w:color="auto" w:fill="auto"/>
        </w:rPr>
        <w:t>项目主要污染物产生及预计排放情况</w:t>
      </w:r>
    </w:p>
    <w:tbl>
      <w:tblPr>
        <w:tblStyle w:val="40"/>
        <w:tblW w:w="984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55"/>
        <w:gridCol w:w="1766"/>
        <w:gridCol w:w="1013"/>
        <w:gridCol w:w="915"/>
        <w:gridCol w:w="1380"/>
        <w:gridCol w:w="1065"/>
        <w:gridCol w:w="1578"/>
        <w:gridCol w:w="136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tcBorders>
              <w:bottom w:val="single" w:color="auto" w:sz="4" w:space="0"/>
              <w:tl2br w:val="single" w:color="000000" w:sz="6" w:space="0"/>
            </w:tcBorders>
          </w:tcPr>
          <w:p>
            <w:pPr>
              <w:pStyle w:val="56"/>
              <w:topLinePunct w:val="0"/>
              <w:autoSpaceDE/>
              <w:autoSpaceDN/>
              <w:adjustRightInd/>
              <w:jc w:val="right"/>
              <w:textAlignment w:val="auto"/>
              <w:rPr>
                <w:rFonts w:ascii="Times New Roman" w:hAnsi="Times New Roman"/>
                <w:color w:val="auto"/>
                <w:kern w:val="2"/>
                <w:position w:val="0"/>
                <w:sz w:val="21"/>
                <w:szCs w:val="21"/>
                <w:shd w:val="clear" w:color="auto" w:fill="auto"/>
              </w:rPr>
            </w:pPr>
            <w:r>
              <w:rPr>
                <w:rFonts w:ascii="Times New Roman" w:hAnsi="Times New Roman"/>
                <w:color w:val="auto"/>
                <w:kern w:val="2"/>
                <w:position w:val="0"/>
                <w:sz w:val="21"/>
                <w:szCs w:val="21"/>
                <w:shd w:val="clear" w:color="auto" w:fill="auto"/>
              </w:rPr>
              <w:t>内容</w:t>
            </w:r>
          </w:p>
          <w:p>
            <w:pPr>
              <w:rPr>
                <w:color w:val="auto"/>
                <w:sz w:val="21"/>
                <w:szCs w:val="21"/>
                <w:shd w:val="clear" w:color="auto" w:fill="auto"/>
              </w:rPr>
            </w:pPr>
            <w:r>
              <w:rPr>
                <w:color w:val="auto"/>
                <w:sz w:val="21"/>
                <w:szCs w:val="21"/>
                <w:shd w:val="clear" w:color="auto" w:fill="auto"/>
              </w:rPr>
              <w:t>类型</w:t>
            </w:r>
          </w:p>
        </w:tc>
        <w:tc>
          <w:tcPr>
            <w:tcW w:w="1766" w:type="dxa"/>
            <w:vAlign w:val="center"/>
          </w:tcPr>
          <w:p>
            <w:pPr>
              <w:jc w:val="center"/>
              <w:rPr>
                <w:color w:val="auto"/>
                <w:sz w:val="21"/>
                <w:szCs w:val="21"/>
                <w:shd w:val="clear" w:color="auto" w:fill="auto"/>
              </w:rPr>
            </w:pPr>
            <w:r>
              <w:rPr>
                <w:color w:val="auto"/>
                <w:sz w:val="21"/>
                <w:szCs w:val="21"/>
                <w:shd w:val="clear" w:color="auto" w:fill="auto"/>
              </w:rPr>
              <w:t>排放源</w:t>
            </w:r>
          </w:p>
          <w:p>
            <w:pPr>
              <w:jc w:val="center"/>
              <w:rPr>
                <w:color w:val="auto"/>
                <w:sz w:val="21"/>
                <w:szCs w:val="21"/>
                <w:shd w:val="clear" w:color="auto" w:fill="auto"/>
              </w:rPr>
            </w:pPr>
            <w:r>
              <w:rPr>
                <w:color w:val="auto"/>
                <w:sz w:val="21"/>
                <w:szCs w:val="21"/>
                <w:shd w:val="clear" w:color="auto" w:fill="auto"/>
              </w:rPr>
              <w:t>(编号)</w:t>
            </w:r>
          </w:p>
        </w:tc>
        <w:tc>
          <w:tcPr>
            <w:tcW w:w="1928" w:type="dxa"/>
            <w:gridSpan w:val="2"/>
            <w:tcBorders>
              <w:right w:val="single" w:color="auto" w:sz="4" w:space="0"/>
            </w:tcBorders>
            <w:vAlign w:val="center"/>
          </w:tcPr>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污染物名称</w:t>
            </w:r>
          </w:p>
        </w:tc>
        <w:tc>
          <w:tcPr>
            <w:tcW w:w="2445" w:type="dxa"/>
            <w:gridSpan w:val="2"/>
            <w:tcBorders>
              <w:left w:val="single" w:color="auto" w:sz="4" w:space="0"/>
            </w:tcBorders>
            <w:vAlign w:val="center"/>
          </w:tcPr>
          <w:p>
            <w:pPr>
              <w:jc w:val="center"/>
              <w:rPr>
                <w:color w:val="auto"/>
                <w:sz w:val="21"/>
                <w:szCs w:val="21"/>
                <w:shd w:val="clear" w:color="auto" w:fill="auto"/>
              </w:rPr>
            </w:pPr>
            <w:r>
              <w:rPr>
                <w:color w:val="auto"/>
                <w:sz w:val="21"/>
                <w:szCs w:val="21"/>
                <w:shd w:val="clear" w:color="auto" w:fill="auto"/>
              </w:rPr>
              <w:t>处理前产生浓度及</w:t>
            </w:r>
          </w:p>
          <w:p>
            <w:pPr>
              <w:jc w:val="center"/>
              <w:rPr>
                <w:color w:val="auto"/>
                <w:sz w:val="21"/>
                <w:szCs w:val="21"/>
                <w:shd w:val="clear" w:color="auto" w:fill="auto"/>
              </w:rPr>
            </w:pPr>
            <w:r>
              <w:rPr>
                <w:color w:val="auto"/>
                <w:sz w:val="21"/>
                <w:szCs w:val="21"/>
                <w:shd w:val="clear" w:color="auto" w:fill="auto"/>
              </w:rPr>
              <w:t>产生量(单位)</w:t>
            </w:r>
          </w:p>
        </w:tc>
        <w:tc>
          <w:tcPr>
            <w:tcW w:w="2947" w:type="dxa"/>
            <w:gridSpan w:val="2"/>
            <w:vAlign w:val="center"/>
          </w:tcPr>
          <w:p>
            <w:pPr>
              <w:jc w:val="center"/>
              <w:rPr>
                <w:color w:val="auto"/>
                <w:sz w:val="21"/>
                <w:szCs w:val="21"/>
                <w:shd w:val="clear" w:color="auto" w:fill="auto"/>
              </w:rPr>
            </w:pPr>
            <w:r>
              <w:rPr>
                <w:color w:val="auto"/>
                <w:sz w:val="21"/>
                <w:szCs w:val="21"/>
                <w:shd w:val="clear" w:color="auto" w:fill="auto"/>
              </w:rPr>
              <w:t>排放浓度及排放量</w:t>
            </w:r>
          </w:p>
          <w:p>
            <w:pPr>
              <w:jc w:val="center"/>
              <w:rPr>
                <w:color w:val="auto"/>
                <w:sz w:val="21"/>
                <w:szCs w:val="21"/>
                <w:shd w:val="clear" w:color="auto" w:fill="auto"/>
              </w:rPr>
            </w:pPr>
            <w:r>
              <w:rPr>
                <w:color w:val="auto"/>
                <w:sz w:val="21"/>
                <w:szCs w:val="21"/>
                <w:shd w:val="clear" w:color="auto" w:fill="auto"/>
              </w:rPr>
              <w:t>(单位)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86" w:hRule="atLeast"/>
          <w:jc w:val="center"/>
        </w:trPr>
        <w:tc>
          <w:tcPr>
            <w:tcW w:w="755" w:type="dxa"/>
            <w:vMerge w:val="restart"/>
            <w:tcBorders>
              <w:top w:val="single" w:color="auto" w:sz="4" w:space="0"/>
            </w:tcBorders>
            <w:vAlign w:val="center"/>
          </w:tcPr>
          <w:p>
            <w:pPr>
              <w:jc w:val="center"/>
              <w:rPr>
                <w:color w:val="auto"/>
                <w:sz w:val="21"/>
                <w:szCs w:val="21"/>
                <w:shd w:val="clear" w:color="auto" w:fill="auto"/>
              </w:rPr>
            </w:pPr>
            <w:r>
              <w:rPr>
                <w:color w:val="auto"/>
                <w:sz w:val="21"/>
                <w:szCs w:val="21"/>
                <w:shd w:val="clear" w:color="auto" w:fill="auto"/>
              </w:rPr>
              <w:t>大</w:t>
            </w:r>
          </w:p>
          <w:p>
            <w:pPr>
              <w:jc w:val="center"/>
              <w:rPr>
                <w:color w:val="auto"/>
                <w:sz w:val="21"/>
                <w:szCs w:val="21"/>
                <w:shd w:val="clear" w:color="auto" w:fill="auto"/>
              </w:rPr>
            </w:pPr>
            <w:r>
              <w:rPr>
                <w:color w:val="auto"/>
                <w:sz w:val="21"/>
                <w:szCs w:val="21"/>
                <w:shd w:val="clear" w:color="auto" w:fill="auto"/>
              </w:rPr>
              <w:t>气</w:t>
            </w:r>
          </w:p>
          <w:p>
            <w:pPr>
              <w:jc w:val="center"/>
              <w:rPr>
                <w:color w:val="auto"/>
                <w:sz w:val="21"/>
                <w:szCs w:val="21"/>
                <w:shd w:val="clear" w:color="auto" w:fill="auto"/>
              </w:rPr>
            </w:pPr>
            <w:r>
              <w:rPr>
                <w:color w:val="auto"/>
                <w:sz w:val="21"/>
                <w:szCs w:val="21"/>
                <w:shd w:val="clear" w:color="auto" w:fill="auto"/>
              </w:rPr>
              <w:t>污</w:t>
            </w:r>
          </w:p>
          <w:p>
            <w:pPr>
              <w:jc w:val="center"/>
              <w:rPr>
                <w:color w:val="auto"/>
                <w:sz w:val="21"/>
                <w:szCs w:val="21"/>
                <w:shd w:val="clear" w:color="auto" w:fill="auto"/>
              </w:rPr>
            </w:pPr>
            <w:r>
              <w:rPr>
                <w:color w:val="auto"/>
                <w:sz w:val="21"/>
                <w:szCs w:val="21"/>
                <w:shd w:val="clear" w:color="auto" w:fill="auto"/>
              </w:rPr>
              <w:t>染</w:t>
            </w:r>
          </w:p>
          <w:p>
            <w:pPr>
              <w:jc w:val="center"/>
              <w:rPr>
                <w:color w:val="auto"/>
                <w:sz w:val="21"/>
                <w:szCs w:val="21"/>
                <w:shd w:val="clear" w:color="auto" w:fill="auto"/>
              </w:rPr>
            </w:pPr>
            <w:r>
              <w:rPr>
                <w:color w:val="auto"/>
                <w:sz w:val="21"/>
                <w:szCs w:val="21"/>
                <w:shd w:val="clear" w:color="auto" w:fill="auto"/>
              </w:rPr>
              <w:t>物</w:t>
            </w:r>
          </w:p>
        </w:tc>
        <w:tc>
          <w:tcPr>
            <w:tcW w:w="1766" w:type="dxa"/>
            <w:vMerge w:val="restart"/>
            <w:tcBorders>
              <w:right w:val="single" w:color="auto" w:sz="4" w:space="0"/>
            </w:tcBorders>
            <w:shd w:val="clear" w:color="auto" w:fill="auto"/>
            <w:vAlign w:val="center"/>
          </w:tcPr>
          <w:p>
            <w:pPr>
              <w:widowControl/>
              <w:autoSpaceDE w:val="0"/>
              <w:autoSpaceDN w:val="0"/>
              <w:adjustRightInd w:val="0"/>
              <w:jc w:val="center"/>
              <w:textAlignment w:val="baseline"/>
              <w:rPr>
                <w:rFonts w:hint="default" w:ascii="Times New Roman" w:hAnsi="Times New Roman" w:cs="Times New Roman"/>
                <w:color w:val="auto"/>
                <w:kern w:val="2"/>
                <w:sz w:val="21"/>
                <w:szCs w:val="21"/>
                <w:shd w:val="clear" w:color="auto" w:fill="auto"/>
              </w:rPr>
            </w:pPr>
            <w:r>
              <w:rPr>
                <w:rFonts w:hint="eastAsia" w:ascii="宋体" w:hAnsi="Impact"/>
                <w:bCs/>
                <w:color w:val="auto"/>
                <w:kern w:val="24"/>
                <w:sz w:val="21"/>
                <w:szCs w:val="21"/>
                <w:lang w:val="en-US" w:eastAsia="zh-CN"/>
              </w:rPr>
              <w:t>熔化、</w:t>
            </w:r>
            <w:r>
              <w:rPr>
                <w:rFonts w:hint="eastAsia" w:ascii="Times New Roman" w:hAnsi="Times New Roman" w:cs="Times New Roman"/>
                <w:color w:val="auto"/>
                <w:kern w:val="2"/>
                <w:sz w:val="21"/>
                <w:szCs w:val="21"/>
                <w:lang w:val="en-US" w:eastAsia="zh-CN"/>
              </w:rPr>
              <w:t>铸造</w:t>
            </w:r>
            <w:r>
              <w:rPr>
                <w:rFonts w:hint="eastAsia" w:cs="Times New Roman"/>
                <w:color w:val="auto"/>
                <w:kern w:val="2"/>
                <w:sz w:val="21"/>
                <w:szCs w:val="21"/>
                <w:lang w:val="en-US" w:eastAsia="zh-CN"/>
              </w:rPr>
              <w:t>工序</w:t>
            </w:r>
          </w:p>
        </w:tc>
        <w:tc>
          <w:tcPr>
            <w:tcW w:w="1013" w:type="dxa"/>
            <w:vMerge w:val="restart"/>
            <w:tcBorders>
              <w:left w:val="single" w:color="auto" w:sz="4" w:space="0"/>
              <w:right w:val="single" w:color="auto" w:sz="4" w:space="0"/>
            </w:tcBorders>
            <w:vAlign w:val="center"/>
          </w:tcPr>
          <w:p>
            <w:pPr>
              <w:widowControl/>
              <w:jc w:val="center"/>
              <w:rPr>
                <w:rFonts w:hint="eastAsia"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烟尘</w:t>
            </w:r>
          </w:p>
        </w:tc>
        <w:tc>
          <w:tcPr>
            <w:tcW w:w="915" w:type="dxa"/>
            <w:tcBorders>
              <w:left w:val="single" w:color="auto" w:sz="4" w:space="0"/>
              <w:bottom w:val="single" w:color="auto" w:sz="4" w:space="0"/>
              <w:right w:val="single" w:color="auto" w:sz="4" w:space="0"/>
            </w:tcBorders>
            <w:vAlign w:val="center"/>
          </w:tcPr>
          <w:p>
            <w:pPr>
              <w:adjustRightInd w:val="0"/>
              <w:snapToGrid w:val="0"/>
              <w:jc w:val="center"/>
              <w:rPr>
                <w:rFonts w:hint="eastAsia" w:cs="Times New Roman"/>
                <w:bCs/>
                <w:color w:val="auto"/>
                <w:sz w:val="21"/>
                <w:szCs w:val="21"/>
                <w:lang w:val="en-US" w:eastAsia="zh-CN"/>
              </w:rPr>
            </w:pPr>
            <w:r>
              <w:rPr>
                <w:rFonts w:hint="eastAsia"/>
                <w:color w:val="auto"/>
                <w:sz w:val="21"/>
                <w:szCs w:val="21"/>
                <w:shd w:val="clear" w:color="auto" w:fill="auto"/>
                <w:lang w:eastAsia="zh-CN"/>
              </w:rPr>
              <w:t>有组织</w:t>
            </w:r>
          </w:p>
        </w:tc>
        <w:tc>
          <w:tcPr>
            <w:tcW w:w="1380"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olor w:val="auto"/>
                <w:sz w:val="21"/>
                <w:szCs w:val="21"/>
                <w:shd w:val="clear" w:color="auto" w:fill="auto"/>
                <w:vertAlign w:val="superscript"/>
                <w:lang w:val="en-US" w:eastAsia="zh-CN"/>
              </w:rPr>
            </w:pPr>
            <w:r>
              <w:rPr>
                <w:rFonts w:hint="eastAsia" w:ascii="Times New Roman" w:hAnsi="Times New Roman" w:cs="Times New Roman"/>
                <w:color w:val="auto"/>
                <w:sz w:val="21"/>
                <w:szCs w:val="21"/>
                <w:lang w:val="en-US" w:eastAsia="zh-CN"/>
              </w:rPr>
              <w:t>1.361</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106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lang w:val="en-US" w:eastAsia="zh-CN"/>
              </w:rPr>
              <w:t>0.08</w:t>
            </w:r>
            <w:r>
              <w:rPr>
                <w:rFonts w:hint="default" w:ascii="Times New Roman" w:hAnsi="Times New Roman" w:cs="Times New Roman"/>
                <w:color w:val="auto"/>
                <w:sz w:val="21"/>
                <w:szCs w:val="21"/>
                <w:shd w:val="clear" w:color="auto" w:fill="auto"/>
              </w:rPr>
              <w:t>t/a</w:t>
            </w:r>
          </w:p>
        </w:tc>
        <w:tc>
          <w:tcPr>
            <w:tcW w:w="1578"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olor w:val="auto"/>
                <w:sz w:val="21"/>
                <w:szCs w:val="21"/>
                <w:shd w:val="clear" w:color="auto" w:fill="auto"/>
                <w:lang w:val="en-US" w:eastAsia="zh-CN"/>
              </w:rPr>
            </w:pPr>
            <w:r>
              <w:rPr>
                <w:rFonts w:hint="eastAsia" w:ascii="Times New Roman" w:hAnsi="Times New Roman" w:cs="Times New Roman"/>
                <w:color w:val="auto"/>
                <w:sz w:val="21"/>
                <w:szCs w:val="21"/>
                <w:lang w:val="en-US" w:eastAsia="zh-CN"/>
              </w:rPr>
              <w:t>0.177</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1369"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lang w:val="en-US" w:eastAsia="zh-CN"/>
              </w:rPr>
              <w:t>0.01</w:t>
            </w:r>
            <w:r>
              <w:rPr>
                <w:rFonts w:hint="default" w:ascii="Times New Roman" w:hAnsi="Times New Roman" w:cs="Times New Roman"/>
                <w:color w:val="auto"/>
                <w:sz w:val="21"/>
                <w:szCs w:val="21"/>
                <w:shd w:val="clear" w:color="auto" w:fill="auto"/>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tcBorders>
              <w:bottom w:val="single" w:color="auto" w:sz="4" w:space="0"/>
              <w:right w:val="single" w:color="auto" w:sz="4" w:space="0"/>
            </w:tcBorders>
            <w:shd w:val="clear" w:color="auto" w:fill="auto"/>
            <w:vAlign w:val="center"/>
          </w:tcPr>
          <w:p>
            <w:pPr>
              <w:widowControl/>
              <w:autoSpaceDE w:val="0"/>
              <w:autoSpaceDN w:val="0"/>
              <w:adjustRightInd w:val="0"/>
              <w:jc w:val="center"/>
              <w:textAlignment w:val="baseline"/>
              <w:rPr>
                <w:rFonts w:hint="eastAsia" w:ascii="宋体" w:hAnsi="Impact"/>
                <w:bCs/>
                <w:color w:val="auto"/>
                <w:kern w:val="24"/>
                <w:sz w:val="21"/>
                <w:szCs w:val="21"/>
                <w:lang w:val="en-US" w:eastAsia="zh-CN"/>
              </w:rPr>
            </w:pPr>
          </w:p>
        </w:tc>
        <w:tc>
          <w:tcPr>
            <w:tcW w:w="1013" w:type="dxa"/>
            <w:vMerge w:val="continue"/>
            <w:tcBorders>
              <w:left w:val="single" w:color="auto" w:sz="4" w:space="0"/>
              <w:right w:val="single" w:color="auto" w:sz="4" w:space="0"/>
            </w:tcBorders>
            <w:vAlign w:val="center"/>
          </w:tcPr>
          <w:p>
            <w:pPr>
              <w:widowControl/>
              <w:jc w:val="center"/>
              <w:rPr>
                <w:rFonts w:hint="eastAsia" w:cs="Times New Roman"/>
                <w:bCs/>
                <w:color w:val="auto"/>
                <w:sz w:val="21"/>
                <w:szCs w:val="21"/>
                <w:lang w:val="en-US" w:eastAsia="zh-CN"/>
              </w:rPr>
            </w:pPr>
          </w:p>
        </w:tc>
        <w:tc>
          <w:tcPr>
            <w:tcW w:w="915" w:type="dxa"/>
            <w:tcBorders>
              <w:top w:val="single" w:color="auto" w:sz="4" w:space="0"/>
              <w:left w:val="single" w:color="auto" w:sz="4" w:space="0"/>
              <w:right w:val="single" w:color="auto" w:sz="4" w:space="0"/>
            </w:tcBorders>
            <w:vAlign w:val="center"/>
          </w:tcPr>
          <w:p>
            <w:pPr>
              <w:adjustRightInd w:val="0"/>
              <w:snapToGrid w:val="0"/>
              <w:jc w:val="center"/>
              <w:rPr>
                <w:rFonts w:hint="eastAsia" w:cs="Times New Roman"/>
                <w:bCs/>
                <w:color w:val="auto"/>
                <w:sz w:val="21"/>
                <w:szCs w:val="21"/>
                <w:lang w:val="en-US" w:eastAsia="zh-CN"/>
              </w:rPr>
            </w:pPr>
            <w:r>
              <w:rPr>
                <w:rFonts w:hint="eastAsia"/>
                <w:color w:val="auto"/>
                <w:sz w:val="21"/>
                <w:szCs w:val="21"/>
                <w:shd w:val="clear" w:color="auto" w:fill="auto"/>
                <w:lang w:eastAsia="zh-CN"/>
              </w:rPr>
              <w:t>无组织</w:t>
            </w:r>
          </w:p>
        </w:tc>
        <w:tc>
          <w:tcPr>
            <w:tcW w:w="1380" w:type="dxa"/>
            <w:tcBorders>
              <w:top w:val="single" w:color="auto" w:sz="4" w:space="0"/>
              <w:left w:val="single" w:color="auto" w:sz="4" w:space="0"/>
              <w:bottom w:val="single" w:color="auto" w:sz="4" w:space="0"/>
              <w:right w:val="single" w:color="auto" w:sz="4" w:space="0"/>
            </w:tcBorders>
            <w:vAlign w:val="center"/>
          </w:tcPr>
          <w:p>
            <w:pPr>
              <w:widowControl/>
              <w:topLinePunct/>
              <w:autoSpaceDE w:val="0"/>
              <w:autoSpaceDN w:val="0"/>
              <w:adjustRightInd w:val="0"/>
              <w:snapToGrid w:val="0"/>
              <w:jc w:val="center"/>
              <w:textAlignment w:val="baseline"/>
              <w:rPr>
                <w:rFonts w:hint="eastAsia" w:ascii="Times New Roman" w:hAnsi="Times New Roman"/>
                <w:color w:val="auto"/>
                <w:sz w:val="21"/>
                <w:szCs w:val="21"/>
                <w:shd w:val="clear" w:color="auto" w:fill="auto"/>
                <w:vertAlign w:val="superscript"/>
                <w:lang w:val="en-US" w:eastAsia="zh-CN"/>
              </w:rPr>
            </w:pPr>
            <w:r>
              <w:rPr>
                <w:rFonts w:hint="eastAsia" w:ascii="Times New Roman" w:hAnsi="Times New Roman"/>
                <w:color w:val="auto"/>
                <w:sz w:val="21"/>
                <w:szCs w:val="21"/>
                <w:shd w:val="clear" w:color="auto" w:fill="auto"/>
                <w:lang w:eastAsia="zh-CN"/>
              </w:rPr>
              <w:t>——</w:t>
            </w:r>
          </w:p>
        </w:tc>
        <w:tc>
          <w:tcPr>
            <w:tcW w:w="106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0.02</w:t>
            </w:r>
            <w:r>
              <w:rPr>
                <w:rFonts w:hint="default" w:ascii="Times New Roman" w:hAnsi="Times New Roman" w:cs="Times New Roman"/>
                <w:color w:val="auto"/>
                <w:sz w:val="21"/>
                <w:szCs w:val="21"/>
                <w:shd w:val="clear" w:color="auto" w:fill="auto"/>
              </w:rPr>
              <w:t>t/a</w:t>
            </w:r>
          </w:p>
        </w:tc>
        <w:tc>
          <w:tcPr>
            <w:tcW w:w="1578" w:type="dxa"/>
            <w:tcBorders>
              <w:top w:val="single" w:color="auto" w:sz="4" w:space="0"/>
              <w:left w:val="single" w:color="auto" w:sz="4" w:space="0"/>
              <w:bottom w:val="single" w:color="auto" w:sz="4" w:space="0"/>
              <w:right w:val="single" w:color="auto" w:sz="4" w:space="0"/>
            </w:tcBorders>
            <w:vAlign w:val="center"/>
          </w:tcPr>
          <w:p>
            <w:pPr>
              <w:widowControl/>
              <w:topLinePunct/>
              <w:autoSpaceDE w:val="0"/>
              <w:autoSpaceDN w:val="0"/>
              <w:adjustRightInd w:val="0"/>
              <w:snapToGrid w:val="0"/>
              <w:jc w:val="center"/>
              <w:textAlignment w:val="baseline"/>
              <w:rPr>
                <w:rFonts w:hint="eastAsia" w:ascii="Times New Roman" w:hAnsi="Times New Roman"/>
                <w:color w:val="auto"/>
                <w:sz w:val="21"/>
                <w:szCs w:val="21"/>
                <w:shd w:val="clear" w:color="auto" w:fill="auto"/>
                <w:lang w:val="en-US" w:eastAsia="zh-CN"/>
              </w:rPr>
            </w:pPr>
            <w:r>
              <w:rPr>
                <w:rFonts w:hint="eastAsia" w:ascii="Times New Roman" w:hAnsi="Times New Roman"/>
                <w:color w:val="auto"/>
                <w:sz w:val="21"/>
                <w:szCs w:val="21"/>
                <w:shd w:val="clear" w:color="auto" w:fill="auto"/>
                <w:lang w:eastAsia="zh-CN"/>
              </w:rPr>
              <w:t>——</w:t>
            </w:r>
          </w:p>
        </w:tc>
        <w:tc>
          <w:tcPr>
            <w:tcW w:w="1369"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lang w:val="en-US" w:eastAsia="zh-CN"/>
              </w:rPr>
              <w:t>0.02</w:t>
            </w:r>
            <w:r>
              <w:rPr>
                <w:rFonts w:hint="default" w:ascii="Times New Roman" w:hAnsi="Times New Roman" w:cs="Times New Roman"/>
                <w:color w:val="auto"/>
                <w:sz w:val="21"/>
                <w:szCs w:val="21"/>
                <w:shd w:val="clear" w:color="auto" w:fill="auto"/>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57" w:hRule="atLeast"/>
          <w:jc w:val="center"/>
        </w:trPr>
        <w:tc>
          <w:tcPr>
            <w:tcW w:w="755" w:type="dxa"/>
            <w:vMerge w:val="continue"/>
            <w:vAlign w:val="center"/>
          </w:tcPr>
          <w:p>
            <w:pPr>
              <w:jc w:val="center"/>
              <w:rPr>
                <w:color w:val="auto"/>
                <w:sz w:val="21"/>
                <w:szCs w:val="21"/>
                <w:shd w:val="clear" w:color="auto" w:fill="auto"/>
              </w:rPr>
            </w:pPr>
          </w:p>
        </w:tc>
        <w:tc>
          <w:tcPr>
            <w:tcW w:w="1766" w:type="dxa"/>
            <w:vMerge w:val="restart"/>
            <w:tcBorders>
              <w:top w:val="single" w:color="auto" w:sz="4" w:space="0"/>
              <w:right w:val="single" w:color="auto" w:sz="4" w:space="0"/>
            </w:tcBorders>
            <w:shd w:val="clear" w:color="auto" w:fill="auto"/>
            <w:vAlign w:val="center"/>
          </w:tcPr>
          <w:p>
            <w:pPr>
              <w:pStyle w:val="57"/>
              <w:rPr>
                <w:rFonts w:hint="default" w:ascii="Times New Roman" w:hAnsi="Times New Roman" w:cs="Times New Roman"/>
                <w:color w:val="auto"/>
                <w:kern w:val="2"/>
                <w:sz w:val="21"/>
                <w:szCs w:val="21"/>
                <w:shd w:val="clear" w:color="auto" w:fill="auto"/>
              </w:rPr>
            </w:pPr>
            <w:r>
              <w:rPr>
                <w:rFonts w:hint="eastAsia" w:ascii="Times New Roman" w:hAnsi="Times New Roman" w:cs="Times New Roman"/>
                <w:color w:val="auto"/>
                <w:kern w:val="2"/>
                <w:sz w:val="21"/>
                <w:szCs w:val="21"/>
                <w:lang w:val="en-US" w:eastAsia="zh-CN"/>
              </w:rPr>
              <w:t>制芯、铸造</w:t>
            </w:r>
            <w:r>
              <w:rPr>
                <w:rFonts w:hint="default" w:ascii="Times New Roman" w:hAnsi="Times New Roman" w:eastAsia="宋体" w:cs="Times New Roman"/>
                <w:color w:val="auto"/>
                <w:kern w:val="2"/>
                <w:sz w:val="21"/>
                <w:szCs w:val="21"/>
              </w:rPr>
              <w:t>工序</w:t>
            </w:r>
          </w:p>
        </w:tc>
        <w:tc>
          <w:tcPr>
            <w:tcW w:w="1013" w:type="dxa"/>
            <w:vMerge w:val="restart"/>
            <w:tcBorders>
              <w:top w:val="single" w:color="auto" w:sz="4" w:space="0"/>
              <w:left w:val="single" w:color="auto" w:sz="4" w:space="0"/>
              <w:right w:val="single" w:color="auto" w:sz="4" w:space="0"/>
            </w:tcBorders>
            <w:vAlign w:val="center"/>
          </w:tcPr>
          <w:p>
            <w:pPr>
              <w:adjustRightInd w:val="0"/>
              <w:snapToGrid w:val="0"/>
              <w:jc w:val="center"/>
              <w:rPr>
                <w:rFonts w:hint="default" w:ascii="Times New Roman" w:hAnsi="Times New Roman" w:eastAsia="宋体" w:cs="Times New Roman"/>
                <w:color w:val="auto"/>
                <w:sz w:val="21"/>
                <w:szCs w:val="21"/>
                <w:shd w:val="clear" w:color="auto" w:fill="auto"/>
                <w:lang w:eastAsia="zh-CN"/>
              </w:rPr>
            </w:pPr>
            <w:r>
              <w:rPr>
                <w:rFonts w:hint="eastAsia" w:hAnsi="宋体" w:cs="Times New Roman"/>
                <w:bCs/>
                <w:color w:val="auto"/>
                <w:kern w:val="0"/>
                <w:sz w:val="21"/>
                <w:szCs w:val="22"/>
                <w:highlight w:val="none"/>
                <w:lang w:val="en-US" w:eastAsia="zh-CN" w:bidi="zh-CN"/>
              </w:rPr>
              <w:t>非甲烷总烃</w:t>
            </w:r>
          </w:p>
        </w:tc>
        <w:tc>
          <w:tcPr>
            <w:tcW w:w="91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Ansi="宋体"/>
                <w:color w:val="auto"/>
                <w:sz w:val="21"/>
                <w:szCs w:val="21"/>
                <w:shd w:val="clear" w:color="auto" w:fill="auto"/>
              </w:rPr>
            </w:pPr>
            <w:r>
              <w:rPr>
                <w:rFonts w:hint="eastAsia"/>
                <w:color w:val="auto"/>
                <w:sz w:val="21"/>
                <w:szCs w:val="21"/>
                <w:shd w:val="clear" w:color="auto" w:fill="auto"/>
                <w:lang w:eastAsia="zh-CN"/>
              </w:rPr>
              <w:t>有组织</w:t>
            </w:r>
          </w:p>
        </w:tc>
        <w:tc>
          <w:tcPr>
            <w:tcW w:w="1380"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lang w:val="en-US" w:eastAsia="zh-CN"/>
              </w:rPr>
              <w:t>0.17</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106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lang w:val="en-US" w:eastAsia="zh-CN"/>
              </w:rPr>
              <w:t>0.01</w:t>
            </w:r>
            <w:r>
              <w:rPr>
                <w:rFonts w:hint="default" w:ascii="Times New Roman" w:hAnsi="Times New Roman" w:cs="Times New Roman"/>
                <w:color w:val="auto"/>
                <w:sz w:val="21"/>
                <w:szCs w:val="21"/>
                <w:shd w:val="clear" w:color="auto" w:fill="auto"/>
              </w:rPr>
              <w:t>t/a</w:t>
            </w:r>
          </w:p>
        </w:tc>
        <w:tc>
          <w:tcPr>
            <w:tcW w:w="1578" w:type="dxa"/>
            <w:tcBorders>
              <w:top w:val="single" w:color="auto" w:sz="4" w:space="0"/>
              <w:left w:val="single" w:color="auto" w:sz="4" w:space="0"/>
              <w:bottom w:val="single" w:color="auto" w:sz="4" w:space="0"/>
            </w:tcBorders>
            <w:vAlign w:val="center"/>
          </w:tcPr>
          <w:p>
            <w:pPr>
              <w:pStyle w:val="56"/>
              <w:snapToGrid w:val="0"/>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lang w:val="en-US" w:eastAsia="zh-CN"/>
              </w:rPr>
              <w:t>0.102</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p>
        </w:tc>
        <w:tc>
          <w:tcPr>
            <w:tcW w:w="1369" w:type="dxa"/>
            <w:tcBorders>
              <w:top w:val="single" w:color="auto" w:sz="4" w:space="0"/>
              <w:left w:val="single" w:color="auto" w:sz="4" w:space="0"/>
              <w:bottom w:val="single" w:color="auto" w:sz="4" w:space="0"/>
            </w:tcBorders>
            <w:vAlign w:val="center"/>
          </w:tcPr>
          <w:p>
            <w:pPr>
              <w:pStyle w:val="56"/>
              <w:snapToGrid w:val="0"/>
              <w:rPr>
                <w:rFonts w:hint="default" w:ascii="Times New Roman" w:hAnsi="Times New Roman" w:cs="Times New Roman"/>
                <w:color w:val="auto"/>
                <w:sz w:val="21"/>
                <w:szCs w:val="21"/>
                <w:shd w:val="clear" w:color="auto" w:fill="auto"/>
              </w:rPr>
            </w:pPr>
            <w:r>
              <w:rPr>
                <w:rFonts w:hint="eastAsia" w:ascii="Times New Roman" w:hAnsi="Times New Roman" w:cs="Times New Roman"/>
                <w:color w:val="auto"/>
                <w:sz w:val="21"/>
                <w:szCs w:val="21"/>
                <w:shd w:val="clear" w:color="auto" w:fill="auto"/>
                <w:lang w:val="en-US" w:eastAsia="zh-CN"/>
              </w:rPr>
              <w:t>0.006</w:t>
            </w:r>
            <w:r>
              <w:rPr>
                <w:rFonts w:hint="default" w:ascii="Times New Roman" w:hAnsi="Times New Roman" w:cs="Times New Roman"/>
                <w:color w:val="auto"/>
                <w:sz w:val="21"/>
                <w:szCs w:val="21"/>
                <w:shd w:val="clear" w:color="auto" w:fill="auto"/>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8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tcBorders>
              <w:right w:val="single" w:color="auto" w:sz="4" w:space="0"/>
            </w:tcBorders>
            <w:shd w:val="clear" w:color="auto" w:fill="auto"/>
            <w:vAlign w:val="center"/>
          </w:tcPr>
          <w:p>
            <w:pPr>
              <w:pStyle w:val="57"/>
              <w:rPr>
                <w:rFonts w:hint="default" w:ascii="Times New Roman" w:hAnsi="Times New Roman" w:cs="Times New Roman"/>
                <w:color w:val="auto"/>
                <w:kern w:val="2"/>
                <w:sz w:val="21"/>
                <w:szCs w:val="21"/>
                <w:shd w:val="clear" w:color="auto" w:fill="auto"/>
              </w:rPr>
            </w:pPr>
          </w:p>
        </w:tc>
        <w:tc>
          <w:tcPr>
            <w:tcW w:w="1013" w:type="dxa"/>
            <w:vMerge w:val="continue"/>
            <w:tcBorders>
              <w:left w:val="single" w:color="auto" w:sz="4" w:space="0"/>
              <w:bottom w:val="single" w:color="auto" w:sz="4" w:space="0"/>
              <w:right w:val="single" w:color="auto" w:sz="4" w:space="0"/>
            </w:tcBorders>
            <w:vAlign w:val="center"/>
          </w:tcPr>
          <w:p>
            <w:pPr>
              <w:adjustRightInd w:val="0"/>
              <w:snapToGrid w:val="0"/>
              <w:jc w:val="center"/>
              <w:rPr>
                <w:rFonts w:hAnsi="宋体"/>
                <w:color w:val="auto"/>
                <w:sz w:val="21"/>
                <w:szCs w:val="21"/>
                <w:shd w:val="clear" w:color="auto" w:fill="auto"/>
              </w:rPr>
            </w:pPr>
          </w:p>
        </w:tc>
        <w:tc>
          <w:tcPr>
            <w:tcW w:w="915"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Ansi="宋体"/>
                <w:color w:val="auto"/>
                <w:sz w:val="21"/>
                <w:szCs w:val="21"/>
                <w:shd w:val="clear" w:color="auto" w:fill="auto"/>
              </w:rPr>
            </w:pPr>
            <w:r>
              <w:rPr>
                <w:rFonts w:hint="eastAsia"/>
                <w:color w:val="auto"/>
                <w:sz w:val="21"/>
                <w:szCs w:val="21"/>
                <w:shd w:val="clear" w:color="auto" w:fill="auto"/>
                <w:lang w:eastAsia="zh-CN"/>
              </w:rPr>
              <w:t>无组织</w:t>
            </w:r>
          </w:p>
        </w:tc>
        <w:tc>
          <w:tcPr>
            <w:tcW w:w="1380"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s="Times New Roman"/>
                <w:color w:val="auto"/>
                <w:sz w:val="21"/>
                <w:szCs w:val="21"/>
                <w:lang w:val="en-US" w:eastAsia="zh-CN"/>
              </w:rPr>
            </w:pPr>
            <w:r>
              <w:rPr>
                <w:rFonts w:hint="eastAsia" w:ascii="Times New Roman" w:hAnsi="Times New Roman"/>
                <w:color w:val="auto"/>
                <w:sz w:val="21"/>
                <w:szCs w:val="21"/>
                <w:shd w:val="clear" w:color="auto" w:fill="auto"/>
                <w:lang w:eastAsia="zh-CN"/>
              </w:rPr>
              <w:t>——</w:t>
            </w:r>
          </w:p>
        </w:tc>
        <w:tc>
          <w:tcPr>
            <w:tcW w:w="106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0.002</w:t>
            </w:r>
            <w:r>
              <w:rPr>
                <w:rFonts w:hint="default" w:ascii="Times New Roman" w:hAnsi="Times New Roman" w:cs="Times New Roman"/>
                <w:color w:val="auto"/>
                <w:sz w:val="21"/>
                <w:szCs w:val="21"/>
                <w:shd w:val="clear" w:color="auto" w:fill="auto"/>
              </w:rPr>
              <w:t>t/a</w:t>
            </w:r>
          </w:p>
        </w:tc>
        <w:tc>
          <w:tcPr>
            <w:tcW w:w="1578"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eastAsia="zh-CN"/>
              </w:rPr>
              <w:t>——</w:t>
            </w:r>
          </w:p>
        </w:tc>
        <w:tc>
          <w:tcPr>
            <w:tcW w:w="1369"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s="Times New Roman"/>
                <w:color w:val="auto"/>
                <w:sz w:val="21"/>
                <w:szCs w:val="21"/>
                <w:shd w:val="clear" w:color="auto" w:fill="auto"/>
                <w:lang w:val="en-US" w:eastAsia="zh-CN"/>
              </w:rPr>
              <w:t>0.002</w:t>
            </w:r>
            <w:r>
              <w:rPr>
                <w:rFonts w:hint="default" w:ascii="Times New Roman" w:hAnsi="Times New Roman" w:cs="Times New Roman"/>
                <w:color w:val="auto"/>
                <w:sz w:val="21"/>
                <w:szCs w:val="21"/>
                <w:shd w:val="clear" w:color="auto" w:fill="auto"/>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3"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tcBorders>
              <w:right w:val="single" w:color="auto" w:sz="4" w:space="0"/>
            </w:tcBorders>
            <w:shd w:val="clear" w:color="auto" w:fill="auto"/>
            <w:vAlign w:val="center"/>
          </w:tcPr>
          <w:p>
            <w:pPr>
              <w:pStyle w:val="57"/>
              <w:rPr>
                <w:rFonts w:hint="default" w:ascii="Times New Roman" w:hAnsi="Times New Roman" w:cs="Times New Roman"/>
                <w:color w:val="auto"/>
                <w:kern w:val="2"/>
                <w:sz w:val="21"/>
                <w:szCs w:val="21"/>
                <w:shd w:val="clear" w:color="auto" w:fill="auto"/>
              </w:rPr>
            </w:pPr>
          </w:p>
        </w:tc>
        <w:tc>
          <w:tcPr>
            <w:tcW w:w="1013" w:type="dxa"/>
            <w:vMerge w:val="restart"/>
            <w:tcBorders>
              <w:top w:val="single" w:color="auto" w:sz="4" w:space="0"/>
              <w:left w:val="single" w:color="auto" w:sz="4" w:space="0"/>
              <w:right w:val="single" w:color="auto" w:sz="4" w:space="0"/>
            </w:tcBorders>
            <w:vAlign w:val="center"/>
          </w:tcPr>
          <w:p>
            <w:pPr>
              <w:pStyle w:val="56"/>
              <w:snapToGrid w:val="0"/>
              <w:rPr>
                <w:rFonts w:hint="eastAsia"/>
                <w:color w:val="auto"/>
                <w:sz w:val="21"/>
                <w:szCs w:val="21"/>
                <w:shd w:val="clear" w:color="auto" w:fill="auto"/>
                <w:lang w:eastAsia="zh-CN"/>
              </w:rPr>
            </w:pPr>
            <w:r>
              <w:rPr>
                <w:rFonts w:hint="eastAsia" w:ascii="Times New Roman" w:hAnsi="Times New Roman"/>
                <w:color w:val="auto"/>
                <w:sz w:val="21"/>
                <w:szCs w:val="21"/>
                <w:lang w:val="en-US" w:eastAsia="zh-CN"/>
              </w:rPr>
              <w:t>臭气浓度</w:t>
            </w:r>
          </w:p>
        </w:tc>
        <w:tc>
          <w:tcPr>
            <w:tcW w:w="91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color w:val="auto"/>
                <w:sz w:val="21"/>
                <w:szCs w:val="21"/>
                <w:shd w:val="clear" w:color="auto" w:fill="auto"/>
                <w:lang w:eastAsia="zh-CN"/>
              </w:rPr>
            </w:pPr>
            <w:r>
              <w:rPr>
                <w:rFonts w:hint="eastAsia"/>
                <w:color w:val="auto"/>
                <w:sz w:val="21"/>
                <w:szCs w:val="21"/>
                <w:shd w:val="clear" w:color="auto" w:fill="auto"/>
                <w:lang w:eastAsia="zh-CN"/>
              </w:rPr>
              <w:t>有组织</w:t>
            </w:r>
          </w:p>
        </w:tc>
        <w:tc>
          <w:tcPr>
            <w:tcW w:w="2445" w:type="dxa"/>
            <w:gridSpan w:val="2"/>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olor w:val="auto"/>
                <w:sz w:val="21"/>
                <w:szCs w:val="21"/>
                <w:lang w:val="en-US" w:eastAsia="zh-CN"/>
              </w:rPr>
              <w:t>&lt;2</w:t>
            </w:r>
            <w:r>
              <w:rPr>
                <w:rFonts w:hint="eastAsia" w:ascii="Times New Roman" w:hAnsi="Times New Roman" w:cs="Times New Roman"/>
                <w:color w:val="auto"/>
                <w:sz w:val="21"/>
                <w:szCs w:val="21"/>
                <w:shd w:val="clear" w:color="auto" w:fill="auto"/>
                <w:lang w:val="en-US" w:eastAsia="zh-CN"/>
              </w:rPr>
              <w:t>2000</w:t>
            </w:r>
            <w:r>
              <w:rPr>
                <w:rFonts w:hint="eastAsia" w:ascii="Times New Roman" w:hAnsi="Times New Roman"/>
                <w:color w:val="auto"/>
                <w:sz w:val="21"/>
                <w:szCs w:val="21"/>
                <w:lang w:eastAsia="zh-CN"/>
              </w:rPr>
              <w:t>（</w:t>
            </w:r>
            <w:r>
              <w:rPr>
                <w:rFonts w:hint="eastAsia" w:ascii="Times New Roman" w:hAnsi="Times New Roman"/>
                <w:color w:val="auto"/>
                <w:sz w:val="21"/>
                <w:szCs w:val="21"/>
                <w:lang w:val="en-US" w:eastAsia="zh-CN"/>
              </w:rPr>
              <w:t>无纲量</w:t>
            </w:r>
            <w:r>
              <w:rPr>
                <w:rFonts w:hint="eastAsia" w:ascii="Times New Roman" w:hAnsi="Times New Roman"/>
                <w:color w:val="auto"/>
                <w:sz w:val="21"/>
                <w:szCs w:val="21"/>
                <w:lang w:eastAsia="zh-CN"/>
              </w:rPr>
              <w:t>）</w:t>
            </w:r>
          </w:p>
        </w:tc>
        <w:tc>
          <w:tcPr>
            <w:tcW w:w="2947" w:type="dxa"/>
            <w:gridSpan w:val="2"/>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shd w:val="clear" w:color="auto" w:fill="auto"/>
                <w:lang w:val="en-US" w:eastAsia="zh-CN"/>
              </w:rPr>
            </w:pPr>
            <w:r>
              <w:rPr>
                <w:rFonts w:hint="eastAsia" w:ascii="Times New Roman" w:hAnsi="Times New Roman"/>
                <w:color w:val="auto"/>
                <w:sz w:val="21"/>
                <w:szCs w:val="21"/>
                <w:lang w:val="en-US" w:eastAsia="zh-CN"/>
              </w:rPr>
              <w:t>&lt;2</w:t>
            </w:r>
            <w:r>
              <w:rPr>
                <w:rFonts w:hint="eastAsia" w:ascii="Times New Roman" w:hAnsi="Times New Roman" w:cs="Times New Roman"/>
                <w:color w:val="auto"/>
                <w:sz w:val="21"/>
                <w:szCs w:val="21"/>
                <w:shd w:val="clear" w:color="auto" w:fill="auto"/>
                <w:lang w:val="en-US" w:eastAsia="zh-CN"/>
              </w:rPr>
              <w:t>2000</w:t>
            </w:r>
            <w:r>
              <w:rPr>
                <w:rFonts w:hint="eastAsia" w:ascii="Times New Roman" w:hAnsi="Times New Roman"/>
                <w:color w:val="auto"/>
                <w:sz w:val="21"/>
                <w:szCs w:val="21"/>
                <w:lang w:eastAsia="zh-CN"/>
              </w:rPr>
              <w:t>（</w:t>
            </w:r>
            <w:r>
              <w:rPr>
                <w:rFonts w:hint="eastAsia" w:ascii="Times New Roman" w:hAnsi="Times New Roman"/>
                <w:color w:val="auto"/>
                <w:sz w:val="21"/>
                <w:szCs w:val="21"/>
                <w:lang w:val="en-US" w:eastAsia="zh-CN"/>
              </w:rPr>
              <w:t>无纲量</w:t>
            </w:r>
            <w:r>
              <w:rPr>
                <w:rFonts w:hint="eastAsia" w:ascii="Times New Roman" w:hAnsi="Times New Roman"/>
                <w:color w:val="auto"/>
                <w:sz w:val="21"/>
                <w:szCs w:val="21"/>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62"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tcBorders>
              <w:right w:val="single" w:color="auto" w:sz="4" w:space="0"/>
            </w:tcBorders>
            <w:shd w:val="clear" w:color="auto" w:fill="auto"/>
            <w:vAlign w:val="center"/>
          </w:tcPr>
          <w:p>
            <w:pPr>
              <w:pStyle w:val="57"/>
              <w:rPr>
                <w:rFonts w:hint="default" w:ascii="Times New Roman" w:hAnsi="Times New Roman" w:cs="Times New Roman"/>
                <w:color w:val="auto"/>
                <w:kern w:val="2"/>
                <w:sz w:val="21"/>
                <w:szCs w:val="21"/>
                <w:shd w:val="clear" w:color="auto" w:fill="auto"/>
              </w:rPr>
            </w:pPr>
          </w:p>
        </w:tc>
        <w:tc>
          <w:tcPr>
            <w:tcW w:w="1013" w:type="dxa"/>
            <w:vMerge w:val="continue"/>
            <w:tcBorders>
              <w:left w:val="single" w:color="auto" w:sz="4" w:space="0"/>
              <w:right w:val="single" w:color="auto" w:sz="4" w:space="0"/>
            </w:tcBorders>
            <w:vAlign w:val="center"/>
          </w:tcPr>
          <w:p>
            <w:pPr>
              <w:pStyle w:val="56"/>
              <w:snapToGrid w:val="0"/>
              <w:rPr>
                <w:rFonts w:hint="eastAsia" w:ascii="Times New Roman" w:hAnsi="Times New Roman"/>
                <w:color w:val="auto"/>
                <w:sz w:val="21"/>
                <w:szCs w:val="21"/>
                <w:lang w:val="en-US" w:eastAsia="zh-CN"/>
              </w:rPr>
            </w:pPr>
          </w:p>
        </w:tc>
        <w:tc>
          <w:tcPr>
            <w:tcW w:w="915" w:type="dxa"/>
            <w:tcBorders>
              <w:top w:val="single" w:color="auto" w:sz="4" w:space="0"/>
              <w:left w:val="single" w:color="auto" w:sz="4" w:space="0"/>
              <w:right w:val="single" w:color="auto" w:sz="4" w:space="0"/>
            </w:tcBorders>
            <w:vAlign w:val="center"/>
          </w:tcPr>
          <w:p>
            <w:pPr>
              <w:pStyle w:val="56"/>
              <w:snapToGrid w:val="0"/>
              <w:rPr>
                <w:rFonts w:ascii="Times New Roman" w:hAnsi="Times New Roman"/>
                <w:color w:val="auto"/>
                <w:sz w:val="21"/>
                <w:szCs w:val="21"/>
              </w:rPr>
            </w:pPr>
            <w:r>
              <w:rPr>
                <w:rFonts w:ascii="Times New Roman" w:hAnsi="Times New Roman"/>
                <w:color w:val="auto"/>
                <w:sz w:val="21"/>
                <w:szCs w:val="21"/>
              </w:rPr>
              <w:t>无组织</w:t>
            </w:r>
          </w:p>
        </w:tc>
        <w:tc>
          <w:tcPr>
            <w:tcW w:w="2445" w:type="dxa"/>
            <w:gridSpan w:val="2"/>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&lt;20</w:t>
            </w:r>
            <w:r>
              <w:rPr>
                <w:rFonts w:hint="eastAsia" w:ascii="Times New Roman" w:hAnsi="Times New Roman"/>
                <w:color w:val="auto"/>
                <w:sz w:val="21"/>
                <w:szCs w:val="21"/>
                <w:lang w:eastAsia="zh-CN"/>
              </w:rPr>
              <w:t>（</w:t>
            </w:r>
            <w:r>
              <w:rPr>
                <w:rFonts w:hint="eastAsia" w:ascii="Times New Roman" w:hAnsi="Times New Roman"/>
                <w:color w:val="auto"/>
                <w:sz w:val="21"/>
                <w:szCs w:val="21"/>
                <w:lang w:val="en-US" w:eastAsia="zh-CN"/>
              </w:rPr>
              <w:t>无纲量</w:t>
            </w:r>
            <w:r>
              <w:rPr>
                <w:rFonts w:hint="eastAsia" w:ascii="Times New Roman" w:hAnsi="Times New Roman"/>
                <w:color w:val="auto"/>
                <w:sz w:val="21"/>
                <w:szCs w:val="21"/>
                <w:lang w:eastAsia="zh-CN"/>
              </w:rPr>
              <w:t>）</w:t>
            </w:r>
          </w:p>
        </w:tc>
        <w:tc>
          <w:tcPr>
            <w:tcW w:w="2947" w:type="dxa"/>
            <w:gridSpan w:val="2"/>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olor w:val="auto"/>
                <w:sz w:val="21"/>
                <w:szCs w:val="21"/>
                <w:lang w:val="en-US" w:eastAsia="zh-CN"/>
              </w:rPr>
            </w:pPr>
            <w:r>
              <w:rPr>
                <w:rFonts w:hint="eastAsia" w:ascii="Times New Roman" w:hAnsi="Times New Roman"/>
                <w:color w:val="auto"/>
                <w:sz w:val="21"/>
                <w:szCs w:val="21"/>
                <w:lang w:val="en-US" w:eastAsia="zh-CN"/>
              </w:rPr>
              <w:t>&lt;20</w:t>
            </w:r>
            <w:r>
              <w:rPr>
                <w:rFonts w:hint="eastAsia" w:ascii="Times New Roman" w:hAnsi="Times New Roman"/>
                <w:color w:val="auto"/>
                <w:sz w:val="21"/>
                <w:szCs w:val="21"/>
                <w:lang w:eastAsia="zh-CN"/>
              </w:rPr>
              <w:t>（</w:t>
            </w:r>
            <w:r>
              <w:rPr>
                <w:rFonts w:hint="eastAsia" w:ascii="Times New Roman" w:hAnsi="Times New Roman"/>
                <w:color w:val="auto"/>
                <w:sz w:val="21"/>
                <w:szCs w:val="21"/>
                <w:lang w:val="en-US" w:eastAsia="zh-CN"/>
              </w:rPr>
              <w:t>无纲量</w:t>
            </w:r>
            <w:r>
              <w:rPr>
                <w:rFonts w:hint="eastAsia" w:ascii="Times New Roman" w:hAnsi="Times New Roman"/>
                <w:color w:val="auto"/>
                <w:sz w:val="21"/>
                <w:szCs w:val="21"/>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79" w:hRule="atLeast"/>
          <w:jc w:val="center"/>
        </w:trPr>
        <w:tc>
          <w:tcPr>
            <w:tcW w:w="755" w:type="dxa"/>
            <w:vMerge w:val="continue"/>
            <w:vAlign w:val="center"/>
          </w:tcPr>
          <w:p>
            <w:pPr>
              <w:jc w:val="center"/>
              <w:rPr>
                <w:color w:val="auto"/>
                <w:sz w:val="21"/>
                <w:szCs w:val="21"/>
                <w:shd w:val="clear" w:color="auto" w:fill="auto"/>
              </w:rPr>
            </w:pPr>
          </w:p>
        </w:tc>
        <w:tc>
          <w:tcPr>
            <w:tcW w:w="1766" w:type="dxa"/>
            <w:tcBorders>
              <w:top w:val="single" w:color="auto" w:sz="4" w:space="0"/>
              <w:right w:val="single" w:color="auto" w:sz="4" w:space="0"/>
            </w:tcBorders>
            <w:shd w:val="clear" w:color="auto" w:fill="auto"/>
            <w:vAlign w:val="center"/>
          </w:tcPr>
          <w:p>
            <w:pPr>
              <w:pStyle w:val="57"/>
              <w:rPr>
                <w:rFonts w:hint="eastAsia"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滚砂、机加工工序</w:t>
            </w:r>
          </w:p>
        </w:tc>
        <w:tc>
          <w:tcPr>
            <w:tcW w:w="1928" w:type="dxa"/>
            <w:gridSpan w:val="2"/>
            <w:tcBorders>
              <w:top w:val="single" w:color="auto" w:sz="4" w:space="0"/>
              <w:left w:val="single" w:color="auto" w:sz="4" w:space="0"/>
              <w:right w:val="single" w:color="auto" w:sz="4" w:space="0"/>
            </w:tcBorders>
            <w:vAlign w:val="center"/>
          </w:tcPr>
          <w:p>
            <w:pPr>
              <w:widowControl/>
              <w:jc w:val="center"/>
              <w:rPr>
                <w:rFonts w:hint="eastAsia" w:ascii="Times New Roman" w:hAnsi="Times New Roman" w:eastAsia="宋体" w:cs="Times New Roman"/>
                <w:color w:val="auto"/>
                <w:sz w:val="21"/>
                <w:szCs w:val="21"/>
                <w:lang w:eastAsia="zh-CN"/>
              </w:rPr>
            </w:pPr>
            <w:r>
              <w:rPr>
                <w:rFonts w:hint="eastAsia"/>
                <w:color w:val="auto"/>
                <w:kern w:val="24"/>
                <w:sz w:val="21"/>
                <w:szCs w:val="21"/>
                <w:lang w:eastAsia="zh-CN"/>
              </w:rPr>
              <w:t>粉尘</w:t>
            </w:r>
          </w:p>
        </w:tc>
        <w:tc>
          <w:tcPr>
            <w:tcW w:w="2445" w:type="dxa"/>
            <w:gridSpan w:val="2"/>
            <w:tcBorders>
              <w:top w:val="single" w:color="auto" w:sz="4" w:space="0"/>
              <w:left w:val="single" w:color="auto" w:sz="4" w:space="0"/>
              <w:bottom w:val="single" w:color="auto" w:sz="4" w:space="0"/>
              <w:right w:val="single" w:color="auto" w:sz="4" w:space="0"/>
            </w:tcBorders>
            <w:vAlign w:val="center"/>
          </w:tcPr>
          <w:p>
            <w:pPr>
              <w:widowControl/>
              <w:topLinePunct/>
              <w:autoSpaceDE w:val="0"/>
              <w:autoSpaceDN w:val="0"/>
              <w:adjustRightInd w:val="0"/>
              <w:snapToGrid w:val="0"/>
              <w:jc w:val="center"/>
              <w:textAlignment w:val="baseline"/>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无组织排放</w:t>
            </w:r>
            <w:r>
              <w:rPr>
                <w:rFonts w:hint="eastAsia" w:cs="Times New Roman"/>
                <w:color w:val="auto"/>
                <w:sz w:val="21"/>
                <w:szCs w:val="21"/>
                <w:lang w:val="en-US" w:eastAsia="zh-CN"/>
              </w:rPr>
              <w:t>，</w:t>
            </w:r>
            <w:r>
              <w:rPr>
                <w:rFonts w:hint="eastAsia" w:ascii="Times New Roman" w:hAnsi="Times New Roman" w:cs="Times New Roman"/>
                <w:color w:val="auto"/>
                <w:sz w:val="21"/>
                <w:szCs w:val="21"/>
                <w:lang w:val="en-US" w:eastAsia="zh-CN"/>
              </w:rPr>
              <w:t>0.012t/a</w:t>
            </w:r>
          </w:p>
        </w:tc>
        <w:tc>
          <w:tcPr>
            <w:tcW w:w="2947" w:type="dxa"/>
            <w:gridSpan w:val="2"/>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无组织排放</w:t>
            </w:r>
            <w:r>
              <w:rPr>
                <w:rFonts w:hint="eastAsia" w:cs="Times New Roman"/>
                <w:color w:val="auto"/>
                <w:sz w:val="21"/>
                <w:szCs w:val="21"/>
                <w:lang w:val="en-US" w:eastAsia="zh-CN"/>
              </w:rPr>
              <w:t>，</w:t>
            </w:r>
            <w:r>
              <w:rPr>
                <w:rFonts w:hint="eastAsia" w:ascii="Times New Roman" w:hAnsi="Times New Roman" w:cs="Times New Roman"/>
                <w:color w:val="auto"/>
                <w:sz w:val="21"/>
                <w:szCs w:val="21"/>
                <w:lang w:val="en-US" w:eastAsia="zh-CN"/>
              </w:rPr>
              <w:t>0.012t/a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24" w:hRule="atLeast"/>
          <w:jc w:val="center"/>
        </w:trPr>
        <w:tc>
          <w:tcPr>
            <w:tcW w:w="755" w:type="dxa"/>
            <w:vMerge w:val="continue"/>
            <w:vAlign w:val="center"/>
          </w:tcPr>
          <w:p>
            <w:pPr>
              <w:jc w:val="center"/>
              <w:rPr>
                <w:color w:val="auto"/>
                <w:sz w:val="21"/>
                <w:szCs w:val="21"/>
                <w:shd w:val="clear" w:color="auto" w:fill="auto"/>
              </w:rPr>
            </w:pPr>
          </w:p>
        </w:tc>
        <w:tc>
          <w:tcPr>
            <w:tcW w:w="1766" w:type="dxa"/>
            <w:vMerge w:val="restart"/>
            <w:tcBorders>
              <w:right w:val="single" w:color="auto" w:sz="4" w:space="0"/>
            </w:tcBorders>
            <w:shd w:val="clear" w:color="auto" w:fill="auto"/>
            <w:vAlign w:val="center"/>
          </w:tcPr>
          <w:p>
            <w:pPr>
              <w:pStyle w:val="57"/>
              <w:rPr>
                <w:rFonts w:hint="eastAsia" w:ascii="Times New Roman" w:hAnsi="Times New Roman"/>
                <w:color w:val="auto"/>
                <w:kern w:val="2"/>
                <w:sz w:val="21"/>
                <w:szCs w:val="21"/>
                <w:shd w:val="clear" w:color="auto" w:fill="auto"/>
              </w:rPr>
            </w:pPr>
            <w:r>
              <w:rPr>
                <w:rFonts w:hint="eastAsia" w:ascii="Times New Roman" w:hAnsi="Times New Roman"/>
                <w:color w:val="auto"/>
                <w:kern w:val="2"/>
                <w:sz w:val="21"/>
                <w:szCs w:val="21"/>
                <w:shd w:val="clear" w:color="auto" w:fill="auto"/>
                <w:lang w:eastAsia="zh-CN"/>
              </w:rPr>
              <w:t>抛光工序</w:t>
            </w:r>
          </w:p>
        </w:tc>
        <w:tc>
          <w:tcPr>
            <w:tcW w:w="1013" w:type="dxa"/>
            <w:vMerge w:val="restart"/>
            <w:tcBorders>
              <w:left w:val="single" w:color="auto" w:sz="4" w:space="0"/>
              <w:right w:val="single" w:color="auto" w:sz="4" w:space="0"/>
            </w:tcBorders>
            <w:vAlign w:val="center"/>
          </w:tcPr>
          <w:p>
            <w:pPr>
              <w:adjustRightInd w:val="0"/>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粉尘</w:t>
            </w:r>
          </w:p>
        </w:tc>
        <w:tc>
          <w:tcPr>
            <w:tcW w:w="915" w:type="dxa"/>
            <w:tcBorders>
              <w:left w:val="single" w:color="auto" w:sz="4" w:space="0"/>
              <w:bottom w:val="single" w:color="auto" w:sz="4" w:space="0"/>
              <w:right w:val="single" w:color="auto" w:sz="4" w:space="0"/>
            </w:tcBorders>
            <w:vAlign w:val="center"/>
          </w:tcPr>
          <w:p>
            <w:pPr>
              <w:adjustRightInd w:val="0"/>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有组织</w:t>
            </w:r>
          </w:p>
        </w:tc>
        <w:tc>
          <w:tcPr>
            <w:tcW w:w="1380"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olor w:val="auto"/>
                <w:sz w:val="21"/>
                <w:szCs w:val="21"/>
                <w:shd w:val="clear" w:color="auto" w:fill="auto"/>
                <w:lang w:eastAsia="zh-CN"/>
              </w:rPr>
            </w:pPr>
            <w:r>
              <w:rPr>
                <w:rFonts w:hint="eastAsia" w:ascii="Times New Roman" w:hAnsi="Times New Roman"/>
                <w:color w:val="auto"/>
                <w:sz w:val="21"/>
                <w:szCs w:val="21"/>
                <w:shd w:val="clear" w:color="auto" w:fill="auto"/>
                <w:lang w:val="en-US" w:eastAsia="zh-CN"/>
              </w:rPr>
              <w:t>0.617</w:t>
            </w:r>
            <w:r>
              <w:rPr>
                <w:rFonts w:ascii="Times New Roman" w:hAnsi="Times New Roman"/>
                <w:color w:val="auto"/>
                <w:sz w:val="21"/>
                <w:szCs w:val="21"/>
                <w:shd w:val="clear" w:color="auto" w:fill="auto"/>
              </w:rPr>
              <w:t>mg/m</w:t>
            </w:r>
            <w:r>
              <w:rPr>
                <w:rFonts w:ascii="Times New Roman" w:hAnsi="Times New Roman"/>
                <w:color w:val="auto"/>
                <w:sz w:val="21"/>
                <w:szCs w:val="21"/>
                <w:shd w:val="clear" w:color="auto" w:fill="auto"/>
                <w:vertAlign w:val="superscript"/>
              </w:rPr>
              <w:t>3</w:t>
            </w:r>
          </w:p>
        </w:tc>
        <w:tc>
          <w:tcPr>
            <w:tcW w:w="106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olor w:val="auto"/>
                <w:sz w:val="21"/>
                <w:szCs w:val="21"/>
                <w:shd w:val="clear" w:color="auto" w:fill="auto"/>
                <w:lang w:val="en-US" w:eastAsia="zh-CN"/>
              </w:rPr>
            </w:pPr>
            <w:r>
              <w:rPr>
                <w:rFonts w:hint="eastAsia" w:ascii="Times New Roman" w:hAnsi="Times New Roman" w:cs="Times New Roman"/>
                <w:color w:val="auto"/>
                <w:sz w:val="21"/>
                <w:szCs w:val="21"/>
                <w:lang w:val="en-US" w:eastAsia="zh-CN"/>
              </w:rPr>
              <w:t>0.096</w:t>
            </w:r>
            <w:r>
              <w:rPr>
                <w:rFonts w:hint="default" w:ascii="Times New Roman" w:hAnsi="Times New Roman" w:cs="Times New Roman"/>
                <w:color w:val="auto"/>
                <w:sz w:val="21"/>
                <w:szCs w:val="21"/>
              </w:rPr>
              <w:t>t/a</w:t>
            </w:r>
          </w:p>
        </w:tc>
        <w:tc>
          <w:tcPr>
            <w:tcW w:w="1578"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olor w:val="auto"/>
                <w:sz w:val="21"/>
                <w:szCs w:val="21"/>
                <w:shd w:val="clear" w:color="auto" w:fill="auto"/>
                <w:lang w:eastAsia="zh-CN"/>
              </w:rPr>
            </w:pPr>
            <w:r>
              <w:rPr>
                <w:rFonts w:hint="eastAsia" w:ascii="Times New Roman" w:hAnsi="Times New Roman"/>
                <w:color w:val="auto"/>
                <w:sz w:val="21"/>
                <w:szCs w:val="21"/>
                <w:shd w:val="clear" w:color="auto" w:fill="auto"/>
              </w:rPr>
              <w:t>0.006</w:t>
            </w:r>
            <w:r>
              <w:rPr>
                <w:rFonts w:ascii="Times New Roman" w:hAnsi="Times New Roman"/>
                <w:color w:val="auto"/>
                <w:sz w:val="21"/>
                <w:szCs w:val="21"/>
                <w:shd w:val="clear" w:color="auto" w:fill="auto"/>
              </w:rPr>
              <w:t>mg/m</w:t>
            </w:r>
            <w:r>
              <w:rPr>
                <w:rFonts w:ascii="Times New Roman" w:hAnsi="Times New Roman"/>
                <w:color w:val="auto"/>
                <w:sz w:val="21"/>
                <w:szCs w:val="21"/>
                <w:shd w:val="clear" w:color="auto" w:fill="auto"/>
                <w:vertAlign w:val="superscript"/>
              </w:rPr>
              <w:t>3</w:t>
            </w:r>
          </w:p>
        </w:tc>
        <w:tc>
          <w:tcPr>
            <w:tcW w:w="1369"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olor w:val="auto"/>
                <w:sz w:val="21"/>
                <w:szCs w:val="21"/>
                <w:shd w:val="clear" w:color="auto" w:fill="auto"/>
                <w:lang w:val="en-US" w:eastAsia="zh-CN"/>
              </w:rPr>
            </w:pPr>
            <w:r>
              <w:rPr>
                <w:rFonts w:hint="eastAsia" w:ascii="Times New Roman" w:hAnsi="Times New Roman" w:cs="Times New Roman"/>
                <w:color w:val="auto"/>
                <w:sz w:val="21"/>
                <w:szCs w:val="21"/>
                <w:lang w:val="en-US" w:eastAsia="zh-CN"/>
              </w:rPr>
              <w:t>0.001</w:t>
            </w:r>
            <w:r>
              <w:rPr>
                <w:rFonts w:hint="default" w:ascii="Times New Roman" w:hAnsi="Times New Roman" w:cs="Times New Roman"/>
                <w:color w:val="auto"/>
                <w:sz w:val="21"/>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79" w:hRule="atLeast"/>
          <w:jc w:val="center"/>
        </w:trPr>
        <w:tc>
          <w:tcPr>
            <w:tcW w:w="755" w:type="dxa"/>
            <w:vMerge w:val="continue"/>
            <w:tcBorders>
              <w:bottom w:val="single" w:color="auto" w:sz="4" w:space="0"/>
            </w:tcBorders>
            <w:vAlign w:val="center"/>
          </w:tcPr>
          <w:p>
            <w:pPr>
              <w:jc w:val="center"/>
              <w:rPr>
                <w:color w:val="auto"/>
                <w:sz w:val="21"/>
                <w:szCs w:val="21"/>
                <w:shd w:val="clear" w:color="auto" w:fill="auto"/>
              </w:rPr>
            </w:pPr>
          </w:p>
        </w:tc>
        <w:tc>
          <w:tcPr>
            <w:tcW w:w="1766" w:type="dxa"/>
            <w:vMerge w:val="continue"/>
            <w:tcBorders>
              <w:right w:val="single" w:color="auto" w:sz="4" w:space="0"/>
            </w:tcBorders>
            <w:shd w:val="clear" w:color="auto" w:fill="auto"/>
            <w:vAlign w:val="center"/>
          </w:tcPr>
          <w:p>
            <w:pPr>
              <w:pStyle w:val="57"/>
              <w:rPr>
                <w:rFonts w:hint="eastAsia" w:ascii="Times New Roman" w:hAnsi="Times New Roman"/>
                <w:color w:val="auto"/>
                <w:kern w:val="2"/>
                <w:sz w:val="21"/>
                <w:szCs w:val="21"/>
                <w:shd w:val="clear" w:color="auto" w:fill="auto"/>
                <w:lang w:eastAsia="zh-CN"/>
              </w:rPr>
            </w:pPr>
          </w:p>
        </w:tc>
        <w:tc>
          <w:tcPr>
            <w:tcW w:w="1013" w:type="dxa"/>
            <w:vMerge w:val="continue"/>
            <w:tcBorders>
              <w:left w:val="single" w:color="auto" w:sz="4" w:space="0"/>
              <w:bottom w:val="single" w:color="auto" w:sz="4" w:space="0"/>
              <w:right w:val="single" w:color="auto" w:sz="4" w:space="0"/>
            </w:tcBorders>
            <w:vAlign w:val="center"/>
          </w:tcPr>
          <w:p>
            <w:pPr>
              <w:adjustRightInd w:val="0"/>
              <w:snapToGrid w:val="0"/>
              <w:jc w:val="center"/>
              <w:rPr>
                <w:rFonts w:hint="eastAsia"/>
                <w:color w:val="auto"/>
                <w:sz w:val="21"/>
                <w:szCs w:val="21"/>
                <w:shd w:val="clear" w:color="auto" w:fill="auto"/>
                <w:lang w:eastAsia="zh-CN"/>
              </w:rPr>
            </w:pPr>
          </w:p>
        </w:tc>
        <w:tc>
          <w:tcPr>
            <w:tcW w:w="915" w:type="dxa"/>
            <w:tcBorders>
              <w:left w:val="single" w:color="auto" w:sz="4" w:space="0"/>
              <w:bottom w:val="single" w:color="auto" w:sz="4" w:space="0"/>
              <w:right w:val="single" w:color="auto" w:sz="4" w:space="0"/>
            </w:tcBorders>
            <w:vAlign w:val="center"/>
          </w:tcPr>
          <w:p>
            <w:pPr>
              <w:adjustRightInd w:val="0"/>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无组织</w:t>
            </w:r>
          </w:p>
        </w:tc>
        <w:tc>
          <w:tcPr>
            <w:tcW w:w="1380"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olor w:val="auto"/>
                <w:sz w:val="21"/>
                <w:szCs w:val="21"/>
                <w:shd w:val="clear" w:color="auto" w:fill="auto"/>
                <w:lang w:val="en-US" w:eastAsia="zh-CN"/>
              </w:rPr>
            </w:pPr>
            <w:r>
              <w:rPr>
                <w:rFonts w:hint="eastAsia" w:ascii="Times New Roman" w:hAnsi="Times New Roman"/>
                <w:color w:val="auto"/>
                <w:sz w:val="21"/>
                <w:szCs w:val="21"/>
                <w:shd w:val="clear" w:color="auto" w:fill="auto"/>
                <w:lang w:eastAsia="zh-CN"/>
              </w:rPr>
              <w:t>——</w:t>
            </w:r>
          </w:p>
        </w:tc>
        <w:tc>
          <w:tcPr>
            <w:tcW w:w="1065" w:type="dxa"/>
            <w:tcBorders>
              <w:top w:val="single" w:color="auto" w:sz="4" w:space="0"/>
              <w:left w:val="single" w:color="auto" w:sz="4" w:space="0"/>
              <w:bottom w:val="single" w:color="auto" w:sz="4" w:space="0"/>
              <w:right w:val="single" w:color="auto" w:sz="4" w:space="0"/>
            </w:tcBorders>
            <w:vAlign w:val="center"/>
          </w:tcPr>
          <w:p>
            <w:pPr>
              <w:pStyle w:val="56"/>
              <w:snapToGrid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0.024</w:t>
            </w:r>
            <w:r>
              <w:rPr>
                <w:rFonts w:hint="default" w:ascii="Times New Roman" w:hAnsi="Times New Roman" w:cs="Times New Roman"/>
                <w:color w:val="auto"/>
                <w:sz w:val="21"/>
                <w:szCs w:val="21"/>
              </w:rPr>
              <w:t>t/a</w:t>
            </w:r>
          </w:p>
        </w:tc>
        <w:tc>
          <w:tcPr>
            <w:tcW w:w="1578"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olor w:val="auto"/>
                <w:sz w:val="21"/>
                <w:szCs w:val="21"/>
                <w:shd w:val="clear" w:color="auto" w:fill="auto"/>
                <w:lang w:val="en-US" w:eastAsia="zh-CN"/>
              </w:rPr>
            </w:pPr>
            <w:r>
              <w:rPr>
                <w:rFonts w:hint="eastAsia" w:ascii="Times New Roman" w:hAnsi="Times New Roman"/>
                <w:color w:val="auto"/>
                <w:sz w:val="21"/>
                <w:szCs w:val="21"/>
                <w:shd w:val="clear" w:color="auto" w:fill="auto"/>
                <w:lang w:eastAsia="zh-CN"/>
              </w:rPr>
              <w:t>——</w:t>
            </w:r>
          </w:p>
        </w:tc>
        <w:tc>
          <w:tcPr>
            <w:tcW w:w="1369" w:type="dxa"/>
            <w:tcBorders>
              <w:top w:val="single" w:color="auto" w:sz="4" w:space="0"/>
              <w:left w:val="single" w:color="auto" w:sz="4" w:space="0"/>
              <w:bottom w:val="single" w:color="auto" w:sz="4" w:space="0"/>
            </w:tcBorders>
            <w:vAlign w:val="center"/>
          </w:tcPr>
          <w:p>
            <w:pPr>
              <w:pStyle w:val="56"/>
              <w:snapToGrid w:val="0"/>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0.024</w:t>
            </w:r>
            <w:r>
              <w:rPr>
                <w:rFonts w:hint="default" w:ascii="Times New Roman" w:hAnsi="Times New Roman" w:cs="Times New Roman"/>
                <w:color w:val="auto"/>
                <w:sz w:val="21"/>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99" w:hRule="atLeast"/>
          <w:jc w:val="center"/>
        </w:trPr>
        <w:tc>
          <w:tcPr>
            <w:tcW w:w="755" w:type="dxa"/>
            <w:vMerge w:val="restart"/>
            <w:vAlign w:val="center"/>
          </w:tcPr>
          <w:p>
            <w:pPr>
              <w:jc w:val="center"/>
              <w:rPr>
                <w:color w:val="auto"/>
                <w:sz w:val="21"/>
                <w:szCs w:val="21"/>
                <w:shd w:val="clear" w:color="auto" w:fill="auto"/>
              </w:rPr>
            </w:pPr>
            <w:r>
              <w:rPr>
                <w:color w:val="auto"/>
                <w:sz w:val="21"/>
                <w:szCs w:val="21"/>
                <w:shd w:val="clear" w:color="auto" w:fill="auto"/>
              </w:rPr>
              <w:t>水</w:t>
            </w:r>
          </w:p>
          <w:p>
            <w:pPr>
              <w:jc w:val="center"/>
              <w:rPr>
                <w:color w:val="auto"/>
                <w:sz w:val="21"/>
                <w:szCs w:val="21"/>
                <w:shd w:val="clear" w:color="auto" w:fill="auto"/>
              </w:rPr>
            </w:pPr>
            <w:r>
              <w:rPr>
                <w:color w:val="auto"/>
                <w:sz w:val="21"/>
                <w:szCs w:val="21"/>
                <w:shd w:val="clear" w:color="auto" w:fill="auto"/>
              </w:rPr>
              <w:t>污</w:t>
            </w:r>
          </w:p>
          <w:p>
            <w:pPr>
              <w:jc w:val="center"/>
              <w:rPr>
                <w:color w:val="auto"/>
                <w:sz w:val="21"/>
                <w:szCs w:val="21"/>
                <w:shd w:val="clear" w:color="auto" w:fill="auto"/>
              </w:rPr>
            </w:pPr>
            <w:r>
              <w:rPr>
                <w:color w:val="auto"/>
                <w:sz w:val="21"/>
                <w:szCs w:val="21"/>
                <w:shd w:val="clear" w:color="auto" w:fill="auto"/>
              </w:rPr>
              <w:t>染</w:t>
            </w:r>
          </w:p>
          <w:p>
            <w:pPr>
              <w:jc w:val="center"/>
              <w:rPr>
                <w:color w:val="auto"/>
                <w:sz w:val="21"/>
                <w:szCs w:val="21"/>
                <w:shd w:val="clear" w:color="auto" w:fill="auto"/>
              </w:rPr>
            </w:pPr>
            <w:r>
              <w:rPr>
                <w:color w:val="auto"/>
                <w:sz w:val="21"/>
                <w:szCs w:val="21"/>
                <w:shd w:val="clear" w:color="auto" w:fill="auto"/>
              </w:rPr>
              <w:t>物</w:t>
            </w:r>
          </w:p>
        </w:tc>
        <w:tc>
          <w:tcPr>
            <w:tcW w:w="1766" w:type="dxa"/>
            <w:tcBorders>
              <w:right w:val="single" w:color="auto" w:sz="4" w:space="0"/>
            </w:tcBorders>
            <w:shd w:val="clear" w:color="auto" w:fill="auto"/>
            <w:vAlign w:val="center"/>
          </w:tcPr>
          <w:p>
            <w:pPr>
              <w:jc w:val="center"/>
              <w:rPr>
                <w:rFonts w:hint="eastAsia" w:ascii="Times New Roman" w:hAnsi="Times New Roman"/>
                <w:color w:val="auto"/>
                <w:kern w:val="2"/>
                <w:sz w:val="21"/>
                <w:szCs w:val="21"/>
                <w:shd w:val="clear" w:color="auto" w:fill="auto"/>
                <w:lang w:eastAsia="zh-CN"/>
              </w:rPr>
            </w:pPr>
            <w:r>
              <w:rPr>
                <w:rFonts w:hint="eastAsia" w:hAnsi="宋体"/>
                <w:color w:val="auto"/>
                <w:sz w:val="21"/>
                <w:szCs w:val="21"/>
                <w:shd w:val="clear" w:color="auto" w:fill="auto"/>
              </w:rPr>
              <w:t>冷却用水</w:t>
            </w:r>
          </w:p>
        </w:tc>
        <w:tc>
          <w:tcPr>
            <w:tcW w:w="7320" w:type="dxa"/>
            <w:gridSpan w:val="6"/>
            <w:tcBorders>
              <w:left w:val="single" w:color="auto" w:sz="4" w:space="0"/>
              <w:bottom w:val="single" w:color="auto" w:sz="4" w:space="0"/>
            </w:tcBorders>
            <w:vAlign w:val="center"/>
          </w:tcPr>
          <w:p>
            <w:pPr>
              <w:adjustRightInd w:val="0"/>
              <w:rPr>
                <w:rFonts w:hint="eastAsia" w:ascii="Times New Roman" w:hAnsi="Times New Roman" w:cs="Times New Roman"/>
                <w:color w:val="auto"/>
                <w:sz w:val="21"/>
                <w:szCs w:val="21"/>
                <w:lang w:val="en-US" w:eastAsia="zh-CN"/>
              </w:rPr>
            </w:pPr>
            <w:r>
              <w:rPr>
                <w:rFonts w:hAnsi="宋体"/>
                <w:color w:val="auto"/>
                <w:sz w:val="21"/>
                <w:szCs w:val="21"/>
              </w:rPr>
              <w:t>循环使用，不外排，</w:t>
            </w:r>
            <w:r>
              <w:rPr>
                <w:rFonts w:hint="eastAsia" w:hAnsi="宋体"/>
                <w:color w:val="auto"/>
                <w:sz w:val="21"/>
                <w:szCs w:val="21"/>
              </w:rPr>
              <w:t>循环水量为</w:t>
            </w:r>
            <w:r>
              <w:rPr>
                <w:rFonts w:hint="eastAsia" w:hAnsi="宋体"/>
                <w:color w:val="auto"/>
                <w:sz w:val="21"/>
                <w:szCs w:val="21"/>
                <w:lang w:val="en-US" w:eastAsia="zh-CN"/>
              </w:rPr>
              <w:t>2</w:t>
            </w:r>
            <w:r>
              <w:rPr>
                <w:rFonts w:hint="eastAsia" w:hAnsi="宋体"/>
                <w:color w:val="auto"/>
                <w:sz w:val="21"/>
                <w:szCs w:val="21"/>
              </w:rPr>
              <w:t>t</w:t>
            </w:r>
            <w:r>
              <w:rPr>
                <w:rFonts w:hint="eastAsia" w:hAnsi="宋体"/>
                <w:color w:val="auto"/>
                <w:sz w:val="21"/>
                <w:szCs w:val="21"/>
                <w:lang w:val="en-US" w:eastAsia="zh-CN"/>
              </w:rPr>
              <w:t>/h</w:t>
            </w:r>
            <w:r>
              <w:rPr>
                <w:rFonts w:hint="eastAsia" w:hAnsi="宋体"/>
                <w:color w:val="auto"/>
                <w:sz w:val="21"/>
                <w:szCs w:val="21"/>
              </w:rPr>
              <w:t>，</w:t>
            </w:r>
            <w:r>
              <w:rPr>
                <w:rFonts w:hAnsi="宋体"/>
                <w:color w:val="auto"/>
                <w:sz w:val="21"/>
                <w:szCs w:val="21"/>
              </w:rPr>
              <w:t>因受热等因素损失，</w:t>
            </w:r>
            <w:r>
              <w:rPr>
                <w:rFonts w:hint="eastAsia" w:hAnsi="宋体"/>
                <w:color w:val="auto"/>
                <w:sz w:val="21"/>
                <w:szCs w:val="21"/>
              </w:rPr>
              <w:t>需定期补充新鲜水，损耗补充用水约占循环水量的2%，即补充用水量为</w:t>
            </w:r>
            <w:r>
              <w:rPr>
                <w:rFonts w:hint="eastAsia"/>
                <w:color w:val="auto"/>
                <w:sz w:val="21"/>
                <w:szCs w:val="21"/>
                <w:highlight w:val="none"/>
                <w:lang w:val="en-US" w:eastAsia="zh-CN"/>
              </w:rPr>
              <w:t>0.04t</w:t>
            </w:r>
            <w:r>
              <w:rPr>
                <w:rFonts w:hint="eastAsia"/>
                <w:color w:val="auto"/>
                <w:sz w:val="21"/>
                <w:szCs w:val="21"/>
                <w:highlight w:val="none"/>
              </w:rPr>
              <w:t>/</w:t>
            </w:r>
            <w:r>
              <w:rPr>
                <w:rFonts w:hint="eastAsia"/>
                <w:color w:val="auto"/>
                <w:sz w:val="21"/>
                <w:szCs w:val="21"/>
                <w:highlight w:val="none"/>
                <w:lang w:val="en-US" w:eastAsia="zh-CN"/>
              </w:rPr>
              <w:t>h</w:t>
            </w:r>
            <w:r>
              <w:rPr>
                <w:rFonts w:hint="eastAsia"/>
                <w:color w:val="auto"/>
                <w:sz w:val="21"/>
                <w:szCs w:val="21"/>
                <w:highlight w:val="none"/>
              </w:rPr>
              <w:t>（</w:t>
            </w:r>
            <w:r>
              <w:rPr>
                <w:rFonts w:hint="eastAsia"/>
                <w:color w:val="auto"/>
                <w:sz w:val="21"/>
                <w:szCs w:val="21"/>
                <w:highlight w:val="none"/>
                <w:lang w:val="en-US" w:eastAsia="zh-CN"/>
              </w:rPr>
              <w:t>96t</w:t>
            </w:r>
            <w:r>
              <w:rPr>
                <w:rFonts w:hint="eastAsia"/>
                <w:color w:val="auto"/>
                <w:sz w:val="21"/>
                <w:szCs w:val="21"/>
                <w:highlight w:val="none"/>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34" w:hRule="atLeast"/>
          <w:jc w:val="center"/>
        </w:trPr>
        <w:tc>
          <w:tcPr>
            <w:tcW w:w="755" w:type="dxa"/>
            <w:vMerge w:val="continue"/>
            <w:vAlign w:val="center"/>
          </w:tcPr>
          <w:p>
            <w:pPr>
              <w:jc w:val="center"/>
              <w:rPr>
                <w:color w:val="auto"/>
                <w:sz w:val="21"/>
                <w:szCs w:val="21"/>
                <w:shd w:val="clear" w:color="auto" w:fill="auto"/>
              </w:rPr>
            </w:pPr>
          </w:p>
        </w:tc>
        <w:tc>
          <w:tcPr>
            <w:tcW w:w="1766" w:type="dxa"/>
            <w:tcBorders>
              <w:right w:val="single" w:color="auto" w:sz="4" w:space="0"/>
            </w:tcBorders>
            <w:shd w:val="clear" w:color="auto" w:fill="auto"/>
            <w:vAlign w:val="center"/>
          </w:tcPr>
          <w:p>
            <w:pPr>
              <w:jc w:val="center"/>
              <w:rPr>
                <w:rFonts w:hint="eastAsia" w:ascii="Times New Roman" w:hAnsi="Times New Roman"/>
                <w:color w:val="auto"/>
                <w:kern w:val="2"/>
                <w:sz w:val="21"/>
                <w:szCs w:val="21"/>
                <w:shd w:val="clear" w:color="auto" w:fill="auto"/>
                <w:lang w:eastAsia="zh-CN"/>
              </w:rPr>
            </w:pPr>
            <w:r>
              <w:rPr>
                <w:rFonts w:hint="eastAsia" w:hAnsi="宋体"/>
                <w:color w:val="auto"/>
                <w:sz w:val="21"/>
                <w:szCs w:val="21"/>
                <w:shd w:val="clear" w:color="auto" w:fill="auto"/>
                <w:lang w:eastAsia="zh-CN"/>
              </w:rPr>
              <w:t>测试用水</w:t>
            </w:r>
          </w:p>
        </w:tc>
        <w:tc>
          <w:tcPr>
            <w:tcW w:w="7320" w:type="dxa"/>
            <w:gridSpan w:val="6"/>
            <w:tcBorders>
              <w:left w:val="single" w:color="auto" w:sz="4" w:space="0"/>
              <w:bottom w:val="single" w:color="auto" w:sz="4" w:space="0"/>
            </w:tcBorders>
            <w:vAlign w:val="center"/>
          </w:tcPr>
          <w:p>
            <w:pPr>
              <w:adjustRightInd w:val="0"/>
              <w:rPr>
                <w:rFonts w:hint="eastAsia" w:ascii="Times New Roman" w:hAnsi="Times New Roman" w:cs="Times New Roman"/>
                <w:color w:val="auto"/>
                <w:sz w:val="21"/>
                <w:szCs w:val="21"/>
                <w:lang w:val="en-US" w:eastAsia="zh-CN"/>
              </w:rPr>
            </w:pPr>
            <w:r>
              <w:rPr>
                <w:rFonts w:hint="eastAsia" w:hAnsi="宋体"/>
                <w:b w:val="0"/>
                <w:bCs w:val="0"/>
                <w:color w:val="auto"/>
                <w:sz w:val="21"/>
                <w:szCs w:val="21"/>
                <w:shd w:val="clear" w:color="auto" w:fill="auto"/>
                <w:lang w:eastAsia="zh-CN"/>
              </w:rPr>
              <w:t>循环使用，定期补充，不外排，年用量约3t/a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04" w:hRule="atLeast"/>
          <w:jc w:val="center"/>
        </w:trPr>
        <w:tc>
          <w:tcPr>
            <w:tcW w:w="755" w:type="dxa"/>
            <w:vMerge w:val="continue"/>
            <w:vAlign w:val="center"/>
          </w:tcPr>
          <w:p>
            <w:pPr>
              <w:jc w:val="center"/>
              <w:rPr>
                <w:color w:val="auto"/>
                <w:sz w:val="21"/>
                <w:szCs w:val="21"/>
                <w:shd w:val="clear" w:color="auto" w:fill="auto"/>
              </w:rPr>
            </w:pPr>
          </w:p>
        </w:tc>
        <w:tc>
          <w:tcPr>
            <w:tcW w:w="1766" w:type="dxa"/>
            <w:tcBorders>
              <w:right w:val="single" w:color="auto" w:sz="4" w:space="0"/>
            </w:tcBorders>
            <w:shd w:val="clear" w:color="auto" w:fill="auto"/>
            <w:vAlign w:val="center"/>
          </w:tcPr>
          <w:p>
            <w:pPr>
              <w:spacing w:line="240" w:lineRule="auto"/>
              <w:jc w:val="center"/>
              <w:rPr>
                <w:rFonts w:hint="eastAsia" w:ascii="Times New Roman" w:hAnsi="Times New Roman"/>
                <w:color w:val="auto"/>
                <w:kern w:val="2"/>
                <w:sz w:val="21"/>
                <w:szCs w:val="21"/>
                <w:shd w:val="clear" w:color="auto" w:fill="auto"/>
                <w:lang w:eastAsia="zh-CN"/>
              </w:rPr>
            </w:pPr>
            <w:r>
              <w:rPr>
                <w:rFonts w:hint="eastAsia"/>
                <w:color w:val="auto"/>
                <w:sz w:val="21"/>
                <w:szCs w:val="21"/>
                <w:highlight w:val="none"/>
                <w:lang w:eastAsia="zh-CN"/>
              </w:rPr>
              <w:t>喷淋废水</w:t>
            </w:r>
          </w:p>
        </w:tc>
        <w:tc>
          <w:tcPr>
            <w:tcW w:w="7320" w:type="dxa"/>
            <w:gridSpan w:val="6"/>
            <w:tcBorders>
              <w:left w:val="single" w:color="auto" w:sz="4" w:space="0"/>
              <w:bottom w:val="single" w:color="auto" w:sz="4" w:space="0"/>
            </w:tcBorders>
            <w:vAlign w:val="center"/>
          </w:tcPr>
          <w:p>
            <w:pPr>
              <w:widowControl/>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kern w:val="0"/>
                <w:sz w:val="21"/>
                <w:szCs w:val="21"/>
                <w:lang w:val="en-US" w:eastAsia="zh-CN"/>
              </w:rPr>
              <w:t>产生量为</w:t>
            </w:r>
            <w:r>
              <w:rPr>
                <w:rFonts w:hint="eastAsia" w:cs="Times New Roman"/>
                <w:color w:val="auto"/>
                <w:kern w:val="0"/>
                <w:sz w:val="21"/>
                <w:szCs w:val="21"/>
                <w:lang w:val="en-US" w:eastAsia="zh-CN"/>
              </w:rPr>
              <w:t>6</w:t>
            </w:r>
            <w:r>
              <w:rPr>
                <w:rFonts w:hint="default" w:ascii="Times New Roman" w:hAnsi="Times New Roman" w:cs="Times New Roman"/>
                <w:color w:val="auto"/>
                <w:kern w:val="0"/>
                <w:sz w:val="21"/>
                <w:szCs w:val="21"/>
                <w:lang w:val="en-US" w:eastAsia="zh-CN"/>
              </w:rPr>
              <w:t>t/a，经收集后</w:t>
            </w:r>
            <w:r>
              <w:rPr>
                <w:rFonts w:hint="eastAsia" w:cs="Times New Roman"/>
                <w:color w:val="auto"/>
                <w:kern w:val="0"/>
                <w:sz w:val="21"/>
                <w:szCs w:val="21"/>
                <w:lang w:val="en-US" w:eastAsia="zh-CN"/>
              </w:rPr>
              <w:t>定期交具有零星废水处理资质的单位处理，不外排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vAlign w:val="center"/>
          </w:tcPr>
          <w:p>
            <w:pPr>
              <w:jc w:val="center"/>
              <w:rPr>
                <w:color w:val="auto"/>
                <w:sz w:val="21"/>
                <w:szCs w:val="21"/>
                <w:shd w:val="clear" w:color="auto" w:fill="auto"/>
              </w:rPr>
            </w:pPr>
          </w:p>
        </w:tc>
        <w:tc>
          <w:tcPr>
            <w:tcW w:w="1766" w:type="dxa"/>
            <w:vMerge w:val="restart"/>
            <w:tcBorders>
              <w:top w:val="single" w:color="auto" w:sz="4" w:space="0"/>
              <w:right w:val="single" w:color="auto" w:sz="4" w:space="0"/>
            </w:tcBorders>
            <w:vAlign w:val="center"/>
          </w:tcPr>
          <w:p>
            <w:pPr>
              <w:jc w:val="center"/>
              <w:rPr>
                <w:color w:val="auto"/>
                <w:sz w:val="21"/>
                <w:szCs w:val="21"/>
                <w:shd w:val="clear" w:color="auto" w:fill="auto"/>
              </w:rPr>
            </w:pPr>
            <w:r>
              <w:rPr>
                <w:color w:val="auto"/>
                <w:sz w:val="21"/>
                <w:szCs w:val="21"/>
                <w:shd w:val="clear" w:color="auto" w:fill="auto"/>
              </w:rPr>
              <w:t>生活污水</w:t>
            </w:r>
          </w:p>
          <w:p>
            <w:pPr>
              <w:jc w:val="center"/>
              <w:rPr>
                <w:color w:val="auto"/>
                <w:sz w:val="21"/>
                <w:szCs w:val="21"/>
                <w:shd w:val="clear" w:color="auto" w:fill="auto"/>
              </w:rPr>
            </w:pPr>
            <w:r>
              <w:rPr>
                <w:color w:val="auto"/>
                <w:sz w:val="21"/>
                <w:szCs w:val="21"/>
                <w:shd w:val="clear" w:color="auto" w:fill="auto"/>
              </w:rPr>
              <w:t>（</w:t>
            </w:r>
            <w:r>
              <w:rPr>
                <w:rFonts w:hint="eastAsia"/>
                <w:color w:val="auto"/>
                <w:sz w:val="21"/>
                <w:szCs w:val="21"/>
                <w:shd w:val="clear" w:color="auto" w:fill="auto"/>
                <w:lang w:val="en-US" w:eastAsia="zh-CN"/>
              </w:rPr>
              <w:t>756</w:t>
            </w:r>
            <w:r>
              <w:rPr>
                <w:color w:val="auto"/>
                <w:sz w:val="21"/>
                <w:szCs w:val="21"/>
                <w:shd w:val="clear" w:color="auto" w:fill="auto"/>
              </w:rPr>
              <w:t>t/a）</w:t>
            </w:r>
          </w:p>
        </w:tc>
        <w:tc>
          <w:tcPr>
            <w:tcW w:w="1928" w:type="dxa"/>
            <w:gridSpan w:val="2"/>
            <w:tcBorders>
              <w:top w:val="single" w:color="auto" w:sz="4" w:space="0"/>
              <w:left w:val="single" w:color="auto" w:sz="4" w:space="0"/>
              <w:bottom w:val="single" w:color="auto" w:sz="4" w:space="0"/>
              <w:right w:val="single" w:color="auto" w:sz="4" w:space="0"/>
            </w:tcBorders>
            <w:vAlign w:val="center"/>
          </w:tcPr>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CODc</w:t>
            </w:r>
            <w:r>
              <w:rPr>
                <w:rFonts w:ascii="Times New Roman" w:hAnsi="Times New Roman"/>
                <w:color w:val="auto"/>
                <w:position w:val="0"/>
                <w:sz w:val="21"/>
                <w:szCs w:val="21"/>
                <w:shd w:val="clear" w:color="auto" w:fill="auto"/>
                <w:vertAlign w:val="subscript"/>
              </w:rPr>
              <w:t>r</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sz w:val="21"/>
                <w:szCs w:val="21"/>
              </w:rPr>
              <w:t>250</w:t>
            </w:r>
            <w:r>
              <w:rPr>
                <w:rFonts w:hint="default" w:ascii="Times New Roman" w:hAnsi="Times New Roman" w:cs="Times New Roman"/>
                <w:bCs/>
                <w:color w:val="auto"/>
                <w:kern w:val="0"/>
                <w:sz w:val="21"/>
                <w:szCs w:val="21"/>
              </w:rPr>
              <w:t>mg/L</w:t>
            </w:r>
          </w:p>
        </w:tc>
        <w:tc>
          <w:tcPr>
            <w:tcW w:w="106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0.189</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7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kern w:val="0"/>
                <w:sz w:val="21"/>
                <w:szCs w:val="21"/>
              </w:rPr>
              <w:t>200mg/L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0.151</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tcBorders>
              <w:right w:val="single" w:color="auto" w:sz="4" w:space="0"/>
            </w:tcBorders>
            <w:vAlign w:val="center"/>
          </w:tcPr>
          <w:p>
            <w:pPr>
              <w:pStyle w:val="37"/>
              <w:jc w:val="center"/>
              <w:rPr>
                <w:rFonts w:ascii="Times New Roman" w:hAnsi="Times New Roman" w:cs="Times New Roman"/>
                <w:color w:val="auto"/>
                <w:sz w:val="21"/>
                <w:szCs w:val="21"/>
                <w:shd w:val="clear" w:color="auto" w:fill="auto"/>
              </w:rPr>
            </w:pPr>
          </w:p>
        </w:tc>
        <w:tc>
          <w:tcPr>
            <w:tcW w:w="1928" w:type="dxa"/>
            <w:gridSpan w:val="2"/>
            <w:tcBorders>
              <w:top w:val="single" w:color="auto" w:sz="4" w:space="0"/>
              <w:left w:val="single" w:color="auto" w:sz="4" w:space="0"/>
              <w:bottom w:val="single" w:color="auto" w:sz="4" w:space="0"/>
              <w:right w:val="single" w:color="auto" w:sz="4" w:space="0"/>
            </w:tcBorders>
            <w:vAlign w:val="center"/>
          </w:tcPr>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BOD</w:t>
            </w:r>
            <w:r>
              <w:rPr>
                <w:rFonts w:ascii="Times New Roman" w:hAnsi="Times New Roman"/>
                <w:color w:val="auto"/>
                <w:position w:val="0"/>
                <w:sz w:val="21"/>
                <w:szCs w:val="21"/>
                <w:shd w:val="clear" w:color="auto" w:fill="auto"/>
                <w:vertAlign w:val="subscript"/>
              </w:rPr>
              <w:t>5</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sz w:val="21"/>
                <w:szCs w:val="21"/>
              </w:rPr>
              <w:t>150</w:t>
            </w:r>
            <w:r>
              <w:rPr>
                <w:rFonts w:hint="default" w:ascii="Times New Roman" w:hAnsi="Times New Roman" w:cs="Times New Roman"/>
                <w:bCs/>
                <w:color w:val="auto"/>
                <w:kern w:val="0"/>
                <w:sz w:val="21"/>
                <w:szCs w:val="21"/>
              </w:rPr>
              <w:t>mg/L</w:t>
            </w:r>
          </w:p>
        </w:tc>
        <w:tc>
          <w:tcPr>
            <w:tcW w:w="106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0.113</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7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kern w:val="0"/>
                <w:sz w:val="21"/>
                <w:szCs w:val="21"/>
              </w:rPr>
              <w:t>120mg/L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0.091</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tcBorders>
              <w:right w:val="single" w:color="auto" w:sz="4" w:space="0"/>
            </w:tcBorders>
            <w:vAlign w:val="center"/>
          </w:tcPr>
          <w:p>
            <w:pPr>
              <w:pStyle w:val="37"/>
              <w:jc w:val="center"/>
              <w:rPr>
                <w:rFonts w:ascii="Times New Roman" w:hAnsi="Times New Roman" w:cs="Times New Roman"/>
                <w:color w:val="auto"/>
                <w:sz w:val="21"/>
                <w:szCs w:val="21"/>
                <w:shd w:val="clear" w:color="auto" w:fill="auto"/>
              </w:rPr>
            </w:pPr>
          </w:p>
        </w:tc>
        <w:tc>
          <w:tcPr>
            <w:tcW w:w="1928" w:type="dxa"/>
            <w:gridSpan w:val="2"/>
            <w:tcBorders>
              <w:top w:val="single" w:color="auto" w:sz="4" w:space="0"/>
              <w:left w:val="single" w:color="auto" w:sz="4" w:space="0"/>
              <w:bottom w:val="single" w:color="auto" w:sz="4" w:space="0"/>
              <w:right w:val="single" w:color="auto" w:sz="4" w:space="0"/>
            </w:tcBorders>
            <w:vAlign w:val="center"/>
          </w:tcPr>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SS</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sz w:val="21"/>
                <w:szCs w:val="21"/>
              </w:rPr>
              <w:t>150</w:t>
            </w:r>
            <w:r>
              <w:rPr>
                <w:rFonts w:hint="default" w:ascii="Times New Roman" w:hAnsi="Times New Roman" w:cs="Times New Roman"/>
                <w:bCs/>
                <w:color w:val="auto"/>
                <w:kern w:val="0"/>
                <w:sz w:val="21"/>
                <w:szCs w:val="21"/>
              </w:rPr>
              <w:t>mg/L</w:t>
            </w:r>
          </w:p>
        </w:tc>
        <w:tc>
          <w:tcPr>
            <w:tcW w:w="106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0.113</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7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kern w:val="0"/>
                <w:sz w:val="21"/>
                <w:szCs w:val="21"/>
              </w:rPr>
              <w:t>120mg/L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0.091</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tcBorders>
              <w:bottom w:val="single" w:color="auto" w:sz="4" w:space="0"/>
            </w:tcBorders>
            <w:vAlign w:val="center"/>
          </w:tcPr>
          <w:p>
            <w:pPr>
              <w:jc w:val="center"/>
              <w:rPr>
                <w:color w:val="auto"/>
                <w:sz w:val="21"/>
                <w:szCs w:val="21"/>
                <w:shd w:val="clear" w:color="auto" w:fill="auto"/>
              </w:rPr>
            </w:pPr>
          </w:p>
        </w:tc>
        <w:tc>
          <w:tcPr>
            <w:tcW w:w="1766" w:type="dxa"/>
            <w:vMerge w:val="continue"/>
            <w:tcBorders>
              <w:right w:val="single" w:color="auto" w:sz="4" w:space="0"/>
            </w:tcBorders>
            <w:vAlign w:val="center"/>
          </w:tcPr>
          <w:p>
            <w:pPr>
              <w:pStyle w:val="37"/>
              <w:jc w:val="center"/>
              <w:rPr>
                <w:rFonts w:ascii="Times New Roman" w:hAnsi="Times New Roman" w:cs="Times New Roman"/>
                <w:color w:val="auto"/>
                <w:sz w:val="21"/>
                <w:szCs w:val="21"/>
                <w:shd w:val="clear" w:color="auto" w:fill="auto"/>
              </w:rPr>
            </w:pPr>
          </w:p>
        </w:tc>
        <w:tc>
          <w:tcPr>
            <w:tcW w:w="1928" w:type="dxa"/>
            <w:gridSpan w:val="2"/>
            <w:tcBorders>
              <w:top w:val="single" w:color="auto" w:sz="4" w:space="0"/>
              <w:left w:val="single" w:color="auto" w:sz="4" w:space="0"/>
              <w:bottom w:val="single" w:color="auto" w:sz="4" w:space="0"/>
              <w:right w:val="single" w:color="auto" w:sz="4" w:space="0"/>
            </w:tcBorders>
            <w:vAlign w:val="center"/>
          </w:tcPr>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NH</w:t>
            </w:r>
            <w:r>
              <w:rPr>
                <w:rFonts w:ascii="Times New Roman" w:hAnsi="Times New Roman"/>
                <w:color w:val="auto"/>
                <w:position w:val="0"/>
                <w:sz w:val="21"/>
                <w:szCs w:val="21"/>
                <w:shd w:val="clear" w:color="auto" w:fill="auto"/>
                <w:vertAlign w:val="subscript"/>
              </w:rPr>
              <w:t>3</w:t>
            </w:r>
            <w:r>
              <w:rPr>
                <w:rFonts w:ascii="Times New Roman" w:hAnsi="Times New Roman"/>
                <w:color w:val="auto"/>
                <w:position w:val="0"/>
                <w:sz w:val="21"/>
                <w:szCs w:val="21"/>
                <w:shd w:val="clear" w:color="auto" w:fill="auto"/>
              </w:rPr>
              <w:t>-N</w:t>
            </w:r>
          </w:p>
        </w:tc>
        <w:tc>
          <w:tcPr>
            <w:tcW w:w="1380"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sz w:val="21"/>
                <w:szCs w:val="21"/>
              </w:rPr>
              <w:t>25</w:t>
            </w:r>
            <w:r>
              <w:rPr>
                <w:rFonts w:hint="default" w:ascii="Times New Roman" w:hAnsi="Times New Roman" w:cs="Times New Roman"/>
                <w:bCs/>
                <w:color w:val="auto"/>
                <w:kern w:val="0"/>
                <w:sz w:val="21"/>
                <w:szCs w:val="21"/>
              </w:rPr>
              <w:t>mg/L</w:t>
            </w:r>
          </w:p>
        </w:tc>
        <w:tc>
          <w:tcPr>
            <w:tcW w:w="106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0.019</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578"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position w:val="0"/>
                <w:sz w:val="21"/>
                <w:szCs w:val="21"/>
                <w:shd w:val="clear" w:color="auto" w:fill="auto"/>
              </w:rPr>
            </w:pPr>
            <w:r>
              <w:rPr>
                <w:rFonts w:hint="default" w:ascii="Times New Roman" w:hAnsi="Times New Roman" w:cs="Times New Roman"/>
                <w:color w:val="auto"/>
                <w:kern w:val="0"/>
                <w:sz w:val="21"/>
                <w:szCs w:val="21"/>
              </w:rPr>
              <w:t>20mg/L</w:t>
            </w:r>
          </w:p>
        </w:tc>
        <w:tc>
          <w:tcPr>
            <w:tcW w:w="1369" w:type="dxa"/>
            <w:tcBorders>
              <w:top w:val="single" w:color="auto" w:sz="4" w:space="0"/>
              <w:left w:val="single" w:color="auto" w:sz="4" w:space="0"/>
              <w:bottom w:val="single" w:color="auto" w:sz="4" w:space="0"/>
            </w:tcBorders>
            <w:vAlign w:val="center"/>
          </w:tcPr>
          <w:p>
            <w:pPr>
              <w:keepNext w:val="0"/>
              <w:keepLines w:val="0"/>
              <w:widowControl/>
              <w:suppressLineNumbers w:val="0"/>
              <w:jc w:val="center"/>
              <w:textAlignment w:val="center"/>
              <w:rPr>
                <w:rFonts w:hint="default" w:ascii="Times New Roman" w:hAnsi="Times New Roman" w:cs="Times New Roman"/>
                <w:color w:val="auto"/>
                <w:position w:val="0"/>
                <w:sz w:val="21"/>
                <w:szCs w:val="21"/>
                <w:shd w:val="clear" w:color="auto" w:fill="auto"/>
              </w:rPr>
            </w:pPr>
            <w:r>
              <w:rPr>
                <w:rFonts w:hint="default" w:ascii="Times New Roman" w:hAnsi="Times New Roman" w:eastAsia="宋体" w:cs="Times New Roman"/>
                <w:i w:val="0"/>
                <w:color w:val="auto"/>
                <w:kern w:val="0"/>
                <w:sz w:val="21"/>
                <w:szCs w:val="21"/>
                <w:u w:val="none"/>
                <w:lang w:val="en-US" w:eastAsia="zh-CN" w:bidi="ar"/>
              </w:rPr>
              <w:t>0.015</w:t>
            </w:r>
            <w:r>
              <w:rPr>
                <w:rFonts w:hint="default" w:ascii="Times New Roman" w:hAnsi="Times New Roman" w:cs="Times New Roman"/>
                <w:color w:val="auto"/>
                <w:sz w:val="21"/>
                <w:szCs w:val="21"/>
                <w:shd w:val="clear" w:color="auto" w:fill="auto"/>
              </w:rPr>
              <w:t>t/a</w:t>
            </w:r>
            <w:r>
              <w:rPr>
                <w:rFonts w:hint="default" w:ascii="Times New Roman" w:hAnsi="Times New Roman" w:eastAsia="宋体" w:cs="Times New Roman"/>
                <w:i w:val="0"/>
                <w:color w:val="auto"/>
                <w:kern w:val="0"/>
                <w:sz w:val="21"/>
                <w:szCs w:val="21"/>
                <w:u w:val="none"/>
                <w:lang w:val="en-US" w:eastAsia="zh-CN" w:bidi="ar"/>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restart"/>
            <w:tcBorders>
              <w:top w:val="single" w:color="auto" w:sz="4" w:space="0"/>
            </w:tcBorders>
            <w:vAlign w:val="center"/>
          </w:tcPr>
          <w:p>
            <w:pPr>
              <w:jc w:val="center"/>
              <w:rPr>
                <w:color w:val="auto"/>
                <w:sz w:val="21"/>
                <w:szCs w:val="21"/>
                <w:shd w:val="clear" w:color="auto" w:fill="auto"/>
              </w:rPr>
            </w:pPr>
            <w:r>
              <w:rPr>
                <w:color w:val="auto"/>
                <w:sz w:val="21"/>
                <w:szCs w:val="21"/>
                <w:shd w:val="clear" w:color="auto" w:fill="auto"/>
              </w:rPr>
              <w:t>固</w:t>
            </w:r>
          </w:p>
          <w:p>
            <w:pPr>
              <w:jc w:val="center"/>
              <w:rPr>
                <w:color w:val="auto"/>
                <w:sz w:val="21"/>
                <w:szCs w:val="21"/>
                <w:shd w:val="clear" w:color="auto" w:fill="auto"/>
              </w:rPr>
            </w:pPr>
            <w:r>
              <w:rPr>
                <w:color w:val="auto"/>
                <w:sz w:val="21"/>
                <w:szCs w:val="21"/>
                <w:shd w:val="clear" w:color="auto" w:fill="auto"/>
              </w:rPr>
              <w:t>体</w:t>
            </w:r>
          </w:p>
          <w:p>
            <w:pPr>
              <w:jc w:val="center"/>
              <w:rPr>
                <w:color w:val="auto"/>
                <w:sz w:val="21"/>
                <w:szCs w:val="21"/>
                <w:shd w:val="clear" w:color="auto" w:fill="auto"/>
              </w:rPr>
            </w:pPr>
            <w:r>
              <w:rPr>
                <w:color w:val="auto"/>
                <w:sz w:val="21"/>
                <w:szCs w:val="21"/>
                <w:shd w:val="clear" w:color="auto" w:fill="auto"/>
              </w:rPr>
              <w:t>废</w:t>
            </w:r>
          </w:p>
          <w:p>
            <w:pPr>
              <w:jc w:val="center"/>
              <w:rPr>
                <w:color w:val="auto"/>
                <w:sz w:val="21"/>
                <w:szCs w:val="21"/>
                <w:shd w:val="clear" w:color="auto" w:fill="auto"/>
              </w:rPr>
            </w:pPr>
            <w:r>
              <w:rPr>
                <w:color w:val="auto"/>
                <w:sz w:val="21"/>
                <w:szCs w:val="21"/>
                <w:shd w:val="clear" w:color="auto" w:fill="auto"/>
              </w:rPr>
              <w:t>物</w:t>
            </w:r>
          </w:p>
        </w:tc>
        <w:tc>
          <w:tcPr>
            <w:tcW w:w="1766" w:type="dxa"/>
            <w:tcBorders>
              <w:top w:val="single" w:color="auto" w:sz="8" w:space="0"/>
            </w:tcBorders>
            <w:vAlign w:val="center"/>
          </w:tcPr>
          <w:p>
            <w:pPr>
              <w:jc w:val="center"/>
              <w:rPr>
                <w:color w:val="auto"/>
                <w:sz w:val="21"/>
                <w:szCs w:val="21"/>
                <w:shd w:val="clear" w:color="auto" w:fill="auto"/>
              </w:rPr>
            </w:pPr>
            <w:r>
              <w:rPr>
                <w:color w:val="auto"/>
                <w:sz w:val="21"/>
                <w:szCs w:val="21"/>
                <w:shd w:val="clear" w:color="auto" w:fill="auto"/>
              </w:rPr>
              <w:t>生活垃圾</w:t>
            </w:r>
          </w:p>
        </w:tc>
        <w:tc>
          <w:tcPr>
            <w:tcW w:w="1928" w:type="dxa"/>
            <w:gridSpan w:val="2"/>
            <w:tcBorders>
              <w:top w:val="single" w:color="auto" w:sz="8" w:space="0"/>
              <w:bottom w:val="single" w:color="auto" w:sz="4" w:space="0"/>
            </w:tcBorders>
            <w:vAlign w:val="center"/>
          </w:tcPr>
          <w:p>
            <w:pPr>
              <w:jc w:val="center"/>
              <w:rPr>
                <w:color w:val="auto"/>
                <w:sz w:val="21"/>
                <w:szCs w:val="21"/>
                <w:shd w:val="clear" w:color="auto" w:fill="auto"/>
              </w:rPr>
            </w:pPr>
            <w:r>
              <w:rPr>
                <w:color w:val="auto"/>
                <w:sz w:val="21"/>
                <w:szCs w:val="21"/>
                <w:shd w:val="clear" w:color="auto" w:fill="auto"/>
              </w:rPr>
              <w:t>生活垃圾</w:t>
            </w:r>
          </w:p>
        </w:tc>
        <w:tc>
          <w:tcPr>
            <w:tcW w:w="2445" w:type="dxa"/>
            <w:gridSpan w:val="2"/>
            <w:tcBorders>
              <w:top w:val="single" w:color="auto" w:sz="8" w:space="0"/>
              <w:bottom w:val="single" w:color="auto" w:sz="4" w:space="0"/>
            </w:tcBorders>
            <w:vAlign w:val="center"/>
          </w:tcPr>
          <w:p>
            <w:pPr>
              <w:pStyle w:val="56"/>
              <w:rPr>
                <w:rFonts w:ascii="Times New Roman" w:hAnsi="Times New Roman"/>
                <w:color w:val="auto"/>
                <w:position w:val="0"/>
                <w:sz w:val="21"/>
                <w:szCs w:val="21"/>
                <w:shd w:val="clear" w:color="auto" w:fill="auto"/>
              </w:rPr>
            </w:pPr>
            <w:r>
              <w:rPr>
                <w:rFonts w:hint="eastAsia" w:ascii="Times New Roman" w:hAnsi="Times New Roman"/>
                <w:color w:val="auto"/>
                <w:position w:val="0"/>
                <w:sz w:val="21"/>
                <w:szCs w:val="21"/>
                <w:shd w:val="clear" w:color="auto" w:fill="auto"/>
                <w:lang w:val="en-US" w:eastAsia="zh-CN"/>
              </w:rPr>
              <w:t>10.5</w:t>
            </w:r>
            <w:r>
              <w:rPr>
                <w:rFonts w:ascii="Times New Roman" w:hAnsi="Times New Roman"/>
                <w:color w:val="auto"/>
                <w:position w:val="0"/>
                <w:sz w:val="21"/>
                <w:szCs w:val="21"/>
                <w:shd w:val="clear" w:color="auto" w:fill="auto"/>
              </w:rPr>
              <w:t>t/a</w:t>
            </w:r>
          </w:p>
        </w:tc>
        <w:tc>
          <w:tcPr>
            <w:tcW w:w="2947" w:type="dxa"/>
            <w:gridSpan w:val="2"/>
            <w:tcBorders>
              <w:top w:val="single" w:color="auto" w:sz="8" w:space="0"/>
              <w:bottom w:val="single" w:color="auto" w:sz="4" w:space="0"/>
            </w:tcBorders>
            <w:vAlign w:val="center"/>
          </w:tcPr>
          <w:p>
            <w:pPr>
              <w:jc w:val="center"/>
              <w:rPr>
                <w:color w:val="auto"/>
                <w:sz w:val="21"/>
                <w:szCs w:val="21"/>
                <w:shd w:val="clear" w:color="auto" w:fill="auto"/>
              </w:rPr>
            </w:pPr>
            <w:r>
              <w:rPr>
                <w:color w:val="auto"/>
                <w:sz w:val="21"/>
                <w:szCs w:val="21"/>
                <w:shd w:val="clear" w:color="auto" w:fill="auto"/>
              </w:rPr>
              <w:t>分类收集后交予环卫部门处理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84" w:hRule="atLeast"/>
          <w:jc w:val="center"/>
        </w:trPr>
        <w:tc>
          <w:tcPr>
            <w:tcW w:w="755" w:type="dxa"/>
            <w:vMerge w:val="continue"/>
            <w:vAlign w:val="center"/>
          </w:tcPr>
          <w:p>
            <w:pPr>
              <w:jc w:val="center"/>
              <w:rPr>
                <w:color w:val="auto"/>
                <w:sz w:val="21"/>
                <w:szCs w:val="21"/>
                <w:shd w:val="clear" w:color="auto" w:fill="auto"/>
              </w:rPr>
            </w:pPr>
          </w:p>
        </w:tc>
        <w:tc>
          <w:tcPr>
            <w:tcW w:w="1766" w:type="dxa"/>
            <w:vMerge w:val="restart"/>
            <w:tcBorders>
              <w:top w:val="single" w:color="auto" w:sz="8" w:space="0"/>
            </w:tcBorders>
            <w:vAlign w:val="center"/>
          </w:tcPr>
          <w:p>
            <w:pPr>
              <w:jc w:val="center"/>
              <w:rPr>
                <w:color w:val="auto"/>
                <w:sz w:val="21"/>
                <w:szCs w:val="21"/>
                <w:shd w:val="clear" w:color="auto" w:fill="auto"/>
              </w:rPr>
            </w:pPr>
            <w:r>
              <w:rPr>
                <w:color w:val="auto"/>
                <w:sz w:val="21"/>
                <w:szCs w:val="21"/>
                <w:shd w:val="clear" w:color="auto" w:fill="auto"/>
              </w:rPr>
              <w:t>一般</w:t>
            </w:r>
            <w:r>
              <w:rPr>
                <w:rFonts w:hint="eastAsia"/>
                <w:color w:val="auto"/>
                <w:sz w:val="21"/>
                <w:szCs w:val="21"/>
                <w:shd w:val="clear" w:color="auto" w:fill="auto"/>
              </w:rPr>
              <w:t>工业固废</w:t>
            </w:r>
          </w:p>
        </w:tc>
        <w:tc>
          <w:tcPr>
            <w:tcW w:w="1928" w:type="dxa"/>
            <w:gridSpan w:val="2"/>
            <w:tcBorders>
              <w:top w:val="single" w:color="auto" w:sz="8" w:space="0"/>
              <w:bottom w:val="single" w:color="auto" w:sz="4" w:space="0"/>
            </w:tcBorders>
            <w:vAlign w:val="center"/>
          </w:tcPr>
          <w:p>
            <w:pPr>
              <w:pStyle w:val="133"/>
              <w:rPr>
                <w:color w:val="auto"/>
                <w:sz w:val="21"/>
                <w:szCs w:val="21"/>
                <w:shd w:val="clear" w:color="auto" w:fill="auto"/>
              </w:rPr>
            </w:pPr>
            <w:r>
              <w:rPr>
                <w:rFonts w:hint="eastAsia"/>
                <w:color w:val="auto"/>
                <w:spacing w:val="-2"/>
                <w:sz w:val="21"/>
                <w:szCs w:val="21"/>
                <w:shd w:val="clear" w:color="auto" w:fill="auto"/>
                <w:lang w:eastAsia="zh-CN"/>
              </w:rPr>
              <w:t>炉渣</w:t>
            </w:r>
          </w:p>
        </w:tc>
        <w:tc>
          <w:tcPr>
            <w:tcW w:w="2445" w:type="dxa"/>
            <w:gridSpan w:val="2"/>
            <w:tcBorders>
              <w:top w:val="single" w:color="auto" w:sz="8" w:space="0"/>
              <w:bottom w:val="single" w:color="auto" w:sz="4" w:space="0"/>
            </w:tcBorders>
            <w:vAlign w:val="center"/>
          </w:tcPr>
          <w:p>
            <w:pPr>
              <w:pStyle w:val="56"/>
              <w:rPr>
                <w:rFonts w:ascii="Times New Roman" w:hAnsi="Times New Roman"/>
                <w:color w:val="auto"/>
                <w:position w:val="0"/>
                <w:sz w:val="21"/>
                <w:szCs w:val="21"/>
                <w:shd w:val="clear" w:color="auto" w:fill="auto"/>
              </w:rPr>
            </w:pPr>
            <w:r>
              <w:rPr>
                <w:rFonts w:hint="eastAsia" w:ascii="Times New Roman" w:hAnsi="Times New Roman"/>
                <w:color w:val="auto"/>
                <w:position w:val="0"/>
                <w:sz w:val="21"/>
                <w:szCs w:val="21"/>
                <w:shd w:val="clear" w:color="auto" w:fill="auto"/>
                <w:lang w:val="en-US" w:eastAsia="zh-CN"/>
              </w:rPr>
              <w:t>1</w:t>
            </w:r>
            <w:r>
              <w:rPr>
                <w:rFonts w:ascii="Times New Roman" w:hAnsi="Times New Roman"/>
                <w:color w:val="auto"/>
                <w:position w:val="0"/>
                <w:sz w:val="21"/>
                <w:szCs w:val="21"/>
                <w:shd w:val="clear" w:color="auto" w:fill="auto"/>
              </w:rPr>
              <w:t>t/a</w:t>
            </w:r>
          </w:p>
        </w:tc>
        <w:tc>
          <w:tcPr>
            <w:tcW w:w="2947" w:type="dxa"/>
            <w:gridSpan w:val="2"/>
            <w:vMerge w:val="restart"/>
            <w:tcBorders>
              <w:top w:val="single" w:color="auto" w:sz="8" w:space="0"/>
            </w:tcBorders>
            <w:vAlign w:val="center"/>
          </w:tcPr>
          <w:p>
            <w:pPr>
              <w:jc w:val="center"/>
              <w:rPr>
                <w:color w:val="auto"/>
                <w:sz w:val="21"/>
                <w:szCs w:val="21"/>
                <w:shd w:val="clear" w:color="auto" w:fill="auto"/>
              </w:rPr>
            </w:pPr>
            <w:r>
              <w:rPr>
                <w:color w:val="auto"/>
                <w:sz w:val="21"/>
                <w:szCs w:val="21"/>
                <w:shd w:val="clear" w:color="auto" w:fill="auto"/>
              </w:rPr>
              <w:t>交专业公司回收处理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pStyle w:val="133"/>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废砂</w:t>
            </w:r>
          </w:p>
        </w:tc>
        <w:tc>
          <w:tcPr>
            <w:tcW w:w="2445" w:type="dxa"/>
            <w:gridSpan w:val="2"/>
            <w:tcBorders>
              <w:top w:val="single" w:color="auto" w:sz="4" w:space="0"/>
              <w:bottom w:val="single" w:color="auto" w:sz="4" w:space="0"/>
            </w:tcBorders>
            <w:vAlign w:val="center"/>
          </w:tcPr>
          <w:p>
            <w:pPr>
              <w:pStyle w:val="56"/>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91.8</w:t>
            </w:r>
            <w:r>
              <w:rPr>
                <w:rFonts w:ascii="Times New Roman" w:hAnsi="Times New Roman"/>
                <w:color w:val="auto"/>
                <w:position w:val="0"/>
                <w:sz w:val="21"/>
                <w:szCs w:val="21"/>
                <w:shd w:val="clear" w:color="auto" w:fill="auto"/>
              </w:rPr>
              <w:t>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pStyle w:val="133"/>
              <w:rPr>
                <w:rFonts w:hint="eastAsia"/>
                <w:color w:val="auto"/>
                <w:spacing w:val="-2"/>
                <w:sz w:val="21"/>
                <w:szCs w:val="21"/>
                <w:shd w:val="clear" w:color="auto" w:fill="auto"/>
                <w:lang w:eastAsia="zh-CN"/>
              </w:rPr>
            </w:pPr>
            <w:r>
              <w:rPr>
                <w:rFonts w:hint="eastAsia"/>
                <w:color w:val="auto"/>
                <w:spacing w:val="-2"/>
                <w:sz w:val="21"/>
                <w:szCs w:val="21"/>
                <w:shd w:val="clear" w:color="auto" w:fill="auto"/>
                <w:lang w:eastAsia="zh-CN"/>
              </w:rPr>
              <w:t>金属边角料</w:t>
            </w:r>
          </w:p>
        </w:tc>
        <w:tc>
          <w:tcPr>
            <w:tcW w:w="2445" w:type="dxa"/>
            <w:gridSpan w:val="2"/>
            <w:tcBorders>
              <w:top w:val="single" w:color="auto" w:sz="4" w:space="0"/>
              <w:bottom w:val="single" w:color="auto" w:sz="4" w:space="0"/>
            </w:tcBorders>
            <w:vAlign w:val="center"/>
          </w:tcPr>
          <w:p>
            <w:pPr>
              <w:pStyle w:val="56"/>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2</w:t>
            </w:r>
            <w:r>
              <w:rPr>
                <w:rFonts w:ascii="Times New Roman" w:hAnsi="Times New Roman"/>
                <w:color w:val="auto"/>
                <w:position w:val="0"/>
                <w:sz w:val="21"/>
                <w:szCs w:val="21"/>
                <w:shd w:val="clear" w:color="auto" w:fill="auto"/>
              </w:rPr>
              <w:t>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pStyle w:val="133"/>
              <w:rPr>
                <w:rFonts w:hint="default"/>
                <w:color w:val="auto"/>
                <w:spacing w:val="-2"/>
                <w:sz w:val="21"/>
                <w:szCs w:val="21"/>
                <w:shd w:val="clear" w:color="auto" w:fill="auto"/>
                <w:lang w:val="en-US" w:eastAsia="zh-CN"/>
              </w:rPr>
            </w:pPr>
            <w:r>
              <w:rPr>
                <w:rFonts w:hint="eastAsia"/>
                <w:color w:val="auto"/>
                <w:spacing w:val="-2"/>
                <w:sz w:val="21"/>
                <w:szCs w:val="21"/>
                <w:shd w:val="clear" w:color="auto" w:fill="auto"/>
                <w:lang w:eastAsia="zh-CN"/>
              </w:rPr>
              <w:t>废抛光轮</w:t>
            </w:r>
          </w:p>
        </w:tc>
        <w:tc>
          <w:tcPr>
            <w:tcW w:w="2445" w:type="dxa"/>
            <w:gridSpan w:val="2"/>
            <w:tcBorders>
              <w:top w:val="single" w:color="auto" w:sz="4" w:space="0"/>
              <w:bottom w:val="single" w:color="auto" w:sz="4" w:space="0"/>
            </w:tcBorders>
            <w:vAlign w:val="center"/>
          </w:tcPr>
          <w:p>
            <w:pPr>
              <w:pStyle w:val="56"/>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0.3</w:t>
            </w:r>
            <w:r>
              <w:rPr>
                <w:rFonts w:ascii="Times New Roman" w:hAnsi="Times New Roman"/>
                <w:color w:val="auto"/>
                <w:position w:val="0"/>
                <w:sz w:val="21"/>
                <w:szCs w:val="21"/>
                <w:shd w:val="clear" w:color="auto" w:fill="auto"/>
              </w:rPr>
              <w:t>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75"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pStyle w:val="133"/>
              <w:rPr>
                <w:color w:val="auto"/>
                <w:sz w:val="21"/>
                <w:szCs w:val="21"/>
                <w:shd w:val="clear" w:color="auto" w:fill="auto"/>
              </w:rPr>
            </w:pPr>
            <w:r>
              <w:rPr>
                <w:rFonts w:hint="eastAsia"/>
                <w:color w:val="auto"/>
                <w:spacing w:val="-2"/>
                <w:sz w:val="21"/>
                <w:szCs w:val="21"/>
                <w:shd w:val="clear" w:color="auto" w:fill="auto"/>
                <w:lang w:eastAsia="zh-CN"/>
              </w:rPr>
              <w:t>不合格品</w:t>
            </w:r>
          </w:p>
        </w:tc>
        <w:tc>
          <w:tcPr>
            <w:tcW w:w="2445" w:type="dxa"/>
            <w:gridSpan w:val="2"/>
            <w:tcBorders>
              <w:top w:val="single" w:color="auto" w:sz="4" w:space="0"/>
              <w:bottom w:val="single" w:color="auto" w:sz="4" w:space="0"/>
            </w:tcBorders>
            <w:vAlign w:val="center"/>
          </w:tcPr>
          <w:p>
            <w:pPr>
              <w:pStyle w:val="56"/>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2</w:t>
            </w:r>
            <w:r>
              <w:rPr>
                <w:rFonts w:ascii="Times New Roman" w:hAnsi="Times New Roman"/>
                <w:color w:val="auto"/>
                <w:position w:val="0"/>
                <w:sz w:val="21"/>
                <w:szCs w:val="21"/>
                <w:shd w:val="clear" w:color="auto" w:fill="auto"/>
              </w:rPr>
              <w:t>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40"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pStyle w:val="133"/>
              <w:rPr>
                <w:color w:val="auto"/>
                <w:sz w:val="21"/>
                <w:szCs w:val="21"/>
                <w:shd w:val="clear" w:color="auto" w:fill="auto"/>
              </w:rPr>
            </w:pPr>
            <w:r>
              <w:rPr>
                <w:rFonts w:hint="eastAsia"/>
                <w:color w:val="auto"/>
                <w:spacing w:val="-2"/>
                <w:sz w:val="21"/>
                <w:szCs w:val="21"/>
                <w:shd w:val="clear" w:color="auto" w:fill="auto"/>
                <w:lang w:eastAsia="zh-CN"/>
              </w:rPr>
              <w:t>废包装材料</w:t>
            </w:r>
          </w:p>
        </w:tc>
        <w:tc>
          <w:tcPr>
            <w:tcW w:w="2445" w:type="dxa"/>
            <w:gridSpan w:val="2"/>
            <w:tcBorders>
              <w:top w:val="single" w:color="auto" w:sz="4" w:space="0"/>
              <w:bottom w:val="single" w:color="auto" w:sz="4" w:space="0"/>
            </w:tcBorders>
            <w:vAlign w:val="center"/>
          </w:tcPr>
          <w:p>
            <w:pPr>
              <w:pStyle w:val="56"/>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0.1</w:t>
            </w:r>
            <w:r>
              <w:rPr>
                <w:rFonts w:ascii="Times New Roman" w:hAnsi="Times New Roman"/>
                <w:color w:val="auto"/>
                <w:position w:val="0"/>
                <w:sz w:val="21"/>
                <w:szCs w:val="21"/>
                <w:shd w:val="clear" w:color="auto" w:fill="auto"/>
              </w:rPr>
              <w:t>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82"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pStyle w:val="133"/>
              <w:rPr>
                <w:color w:val="auto"/>
                <w:sz w:val="21"/>
                <w:szCs w:val="21"/>
                <w:shd w:val="clear" w:color="auto" w:fill="auto"/>
              </w:rPr>
            </w:pPr>
            <w:r>
              <w:rPr>
                <w:rFonts w:hint="eastAsia"/>
                <w:color w:val="auto"/>
                <w:spacing w:val="-2"/>
                <w:sz w:val="21"/>
                <w:szCs w:val="21"/>
                <w:shd w:val="clear" w:color="auto" w:fill="auto"/>
                <w:lang w:eastAsia="zh-CN"/>
              </w:rPr>
              <w:t>布袋除尘装置收集的粉尘</w:t>
            </w:r>
          </w:p>
        </w:tc>
        <w:tc>
          <w:tcPr>
            <w:tcW w:w="2445" w:type="dxa"/>
            <w:gridSpan w:val="2"/>
            <w:tcBorders>
              <w:top w:val="single" w:color="auto" w:sz="4" w:space="0"/>
              <w:bottom w:val="single" w:color="auto" w:sz="4" w:space="0"/>
            </w:tcBorders>
            <w:vAlign w:val="center"/>
          </w:tcPr>
          <w:p>
            <w:pPr>
              <w:pStyle w:val="56"/>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0.1</w:t>
            </w:r>
            <w:r>
              <w:rPr>
                <w:rFonts w:ascii="Times New Roman" w:hAnsi="Times New Roman"/>
                <w:color w:val="auto"/>
                <w:position w:val="0"/>
                <w:sz w:val="21"/>
                <w:szCs w:val="21"/>
                <w:shd w:val="clear" w:color="auto" w:fill="auto"/>
              </w:rPr>
              <w:t>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82" w:hRule="atLeast"/>
          <w:jc w:val="center"/>
        </w:trPr>
        <w:tc>
          <w:tcPr>
            <w:tcW w:w="755" w:type="dxa"/>
            <w:vMerge w:val="continue"/>
            <w:vAlign w:val="center"/>
          </w:tcPr>
          <w:p>
            <w:pPr>
              <w:jc w:val="center"/>
              <w:rPr>
                <w:color w:val="auto"/>
                <w:sz w:val="21"/>
                <w:szCs w:val="21"/>
                <w:shd w:val="clear" w:color="auto" w:fill="auto"/>
              </w:rPr>
            </w:pPr>
          </w:p>
        </w:tc>
        <w:tc>
          <w:tcPr>
            <w:tcW w:w="1766" w:type="dxa"/>
            <w:vMerge w:val="restart"/>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rPr>
              <w:t>危险废物</w:t>
            </w:r>
          </w:p>
        </w:tc>
        <w:tc>
          <w:tcPr>
            <w:tcW w:w="1928" w:type="dxa"/>
            <w:gridSpan w:val="2"/>
            <w:tcBorders>
              <w:top w:val="single" w:color="auto" w:sz="4" w:space="0"/>
              <w:bottom w:val="single" w:color="auto" w:sz="4" w:space="0"/>
            </w:tcBorders>
            <w:vAlign w:val="center"/>
          </w:tcPr>
          <w:p>
            <w:pPr>
              <w:topLinePunct/>
              <w:adjustRightInd w:val="0"/>
              <w:snapToGrid w:val="0"/>
              <w:spacing w:line="240" w:lineRule="auto"/>
              <w:ind w:firstLine="0" w:firstLineChars="0"/>
              <w:jc w:val="center"/>
              <w:rPr>
                <w:rFonts w:hint="eastAsia" w:ascii="Times New Roman" w:hAnsi="宋体"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highlight w:val="none"/>
              </w:rPr>
              <w:t>废树脂桶、废机油油桶、含油废抹布</w:t>
            </w:r>
          </w:p>
        </w:tc>
        <w:tc>
          <w:tcPr>
            <w:tcW w:w="2445" w:type="dxa"/>
            <w:gridSpan w:val="2"/>
            <w:tcBorders>
              <w:top w:val="single" w:color="auto" w:sz="4" w:space="0"/>
              <w:bottom w:val="single" w:color="auto" w:sz="4" w:space="0"/>
            </w:tcBorders>
            <w:vAlign w:val="center"/>
          </w:tcPr>
          <w:p>
            <w:pPr>
              <w:topLinePunct/>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 w:val="21"/>
                <w:szCs w:val="21"/>
                <w:highlight w:val="none"/>
                <w:lang w:val="en-US" w:eastAsia="zh-CN"/>
              </w:rPr>
              <w:t>0.184</w:t>
            </w:r>
            <w:r>
              <w:rPr>
                <w:rFonts w:hint="default" w:ascii="Times New Roman" w:hAnsi="Times New Roman" w:eastAsia="宋体" w:cs="Times New Roman"/>
                <w:color w:val="auto"/>
                <w:kern w:val="0"/>
                <w:sz w:val="21"/>
                <w:szCs w:val="21"/>
                <w:highlight w:val="none"/>
                <w:lang w:val="en-US" w:eastAsia="zh-CN"/>
              </w:rPr>
              <w:t>t/</w:t>
            </w:r>
            <w:r>
              <w:rPr>
                <w:rFonts w:hint="default" w:ascii="Times New Roman" w:hAnsi="Times New Roman" w:cs="Times New Roman"/>
                <w:color w:val="auto"/>
                <w:kern w:val="0"/>
                <w:sz w:val="21"/>
                <w:szCs w:val="21"/>
                <w:highlight w:val="none"/>
                <w:lang w:val="en-US" w:eastAsia="zh-CN"/>
              </w:rPr>
              <w:t>a</w:t>
            </w:r>
          </w:p>
        </w:tc>
        <w:tc>
          <w:tcPr>
            <w:tcW w:w="2947" w:type="dxa"/>
            <w:gridSpan w:val="2"/>
            <w:vMerge w:val="restart"/>
            <w:vAlign w:val="center"/>
          </w:tcPr>
          <w:p>
            <w:pPr>
              <w:jc w:val="center"/>
              <w:rPr>
                <w:rFonts w:hint="eastAsia" w:ascii="Times New Roman" w:hAnsi="宋体" w:eastAsia="宋体" w:cs="Times New Roman"/>
                <w:color w:val="auto"/>
                <w:kern w:val="2"/>
                <w:sz w:val="21"/>
                <w:szCs w:val="21"/>
                <w:lang w:val="en-US" w:eastAsia="zh-CN" w:bidi="ar-SA"/>
              </w:rPr>
            </w:pPr>
            <w:r>
              <w:rPr>
                <w:rFonts w:hint="eastAsia" w:hAnsi="宋体"/>
                <w:color w:val="auto"/>
                <w:sz w:val="21"/>
                <w:szCs w:val="21"/>
              </w:rPr>
              <w:t>交给有危险废物处置资质单位处置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292" w:hRule="atLeast"/>
          <w:jc w:val="center"/>
        </w:trPr>
        <w:tc>
          <w:tcPr>
            <w:tcW w:w="755" w:type="dxa"/>
            <w:vMerge w:val="continue"/>
            <w:vAlign w:val="center"/>
          </w:tcPr>
          <w:p>
            <w:pPr>
              <w:jc w:val="center"/>
              <w:rPr>
                <w:color w:val="auto"/>
                <w:sz w:val="21"/>
                <w:szCs w:val="21"/>
                <w:shd w:val="clear" w:color="auto" w:fill="auto"/>
              </w:rPr>
            </w:pPr>
          </w:p>
        </w:tc>
        <w:tc>
          <w:tcPr>
            <w:tcW w:w="1766" w:type="dxa"/>
            <w:vMerge w:val="continue"/>
            <w:vAlign w:val="center"/>
          </w:tcPr>
          <w:p>
            <w:pPr>
              <w:jc w:val="center"/>
              <w:rPr>
                <w:rFonts w:hint="eastAsia"/>
                <w:color w:val="auto"/>
                <w:sz w:val="21"/>
                <w:szCs w:val="21"/>
              </w:rPr>
            </w:pPr>
          </w:p>
        </w:tc>
        <w:tc>
          <w:tcPr>
            <w:tcW w:w="1928" w:type="dxa"/>
            <w:gridSpan w:val="2"/>
            <w:tcBorders>
              <w:top w:val="single" w:color="auto" w:sz="4" w:space="0"/>
              <w:bottom w:val="single" w:color="auto" w:sz="4" w:space="0"/>
            </w:tcBorders>
            <w:vAlign w:val="center"/>
          </w:tcPr>
          <w:p>
            <w:pPr>
              <w:topLinePunct/>
              <w:adjustRightInd w:val="0"/>
              <w:snapToGrid w:val="0"/>
              <w:spacing w:line="240" w:lineRule="auto"/>
              <w:ind w:firstLine="0" w:firstLineChars="0"/>
              <w:jc w:val="center"/>
              <w:rPr>
                <w:rFonts w:hint="eastAsia" w:ascii="Times New Roman" w:hAnsi="宋体" w:eastAsia="宋体" w:cs="Times New Roman"/>
                <w:color w:val="auto"/>
                <w:kern w:val="2"/>
                <w:sz w:val="21"/>
                <w:szCs w:val="21"/>
                <w:lang w:val="en-US" w:eastAsia="zh-CN" w:bidi="ar-SA"/>
              </w:rPr>
            </w:pPr>
            <w:r>
              <w:rPr>
                <w:rFonts w:ascii="Times New Roman" w:hAnsi="Times New Roman" w:eastAsia="宋体" w:cs="Times New Roman"/>
                <w:bCs/>
                <w:color w:val="auto"/>
                <w:sz w:val="21"/>
                <w:szCs w:val="21"/>
                <w:highlight w:val="none"/>
              </w:rPr>
              <w:t>废</w:t>
            </w:r>
            <w:r>
              <w:rPr>
                <w:rFonts w:hint="eastAsia" w:ascii="Times New Roman" w:hAnsi="Times New Roman" w:cs="Times New Roman"/>
                <w:bCs/>
                <w:color w:val="auto"/>
                <w:sz w:val="21"/>
                <w:szCs w:val="21"/>
                <w:highlight w:val="none"/>
                <w:lang w:eastAsia="zh-CN"/>
              </w:rPr>
              <w:t>机油</w:t>
            </w:r>
          </w:p>
        </w:tc>
        <w:tc>
          <w:tcPr>
            <w:tcW w:w="2445" w:type="dxa"/>
            <w:gridSpan w:val="2"/>
            <w:tcBorders>
              <w:top w:val="single" w:color="auto" w:sz="4" w:space="0"/>
              <w:bottom w:val="single" w:color="auto" w:sz="4" w:space="0"/>
            </w:tcBorders>
            <w:vAlign w:val="center"/>
          </w:tcPr>
          <w:p>
            <w:pPr>
              <w:topLinePunct/>
              <w:adjustRightInd w:val="0"/>
              <w:snapToGrid w:val="0"/>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bCs/>
                <w:color w:val="auto"/>
                <w:sz w:val="21"/>
                <w:szCs w:val="21"/>
                <w:highlight w:val="none"/>
                <w:lang w:val="en-US" w:eastAsia="zh-CN"/>
              </w:rPr>
              <w:t>0.1</w:t>
            </w:r>
            <w:r>
              <w:rPr>
                <w:rFonts w:hint="default" w:ascii="Times New Roman" w:hAnsi="Times New Roman" w:eastAsia="宋体" w:cs="Times New Roman"/>
                <w:color w:val="auto"/>
                <w:kern w:val="0"/>
                <w:sz w:val="21"/>
                <w:szCs w:val="21"/>
                <w:highlight w:val="none"/>
                <w:lang w:val="en-US" w:eastAsia="zh-CN"/>
              </w:rPr>
              <w:t>t/</w:t>
            </w:r>
            <w:r>
              <w:rPr>
                <w:rFonts w:hint="default" w:ascii="Times New Roman" w:hAnsi="Times New Roman" w:cs="Times New Roman"/>
                <w:color w:val="auto"/>
                <w:kern w:val="0"/>
                <w:sz w:val="21"/>
                <w:szCs w:val="21"/>
                <w:highlight w:val="none"/>
                <w:lang w:val="en-US" w:eastAsia="zh-CN"/>
              </w:rPr>
              <w:t>a</w:t>
            </w:r>
          </w:p>
        </w:tc>
        <w:tc>
          <w:tcPr>
            <w:tcW w:w="2947" w:type="dxa"/>
            <w:gridSpan w:val="2"/>
            <w:vMerge w:val="continue"/>
            <w:vAlign w:val="center"/>
          </w:tcPr>
          <w:p>
            <w:pPr>
              <w:jc w:val="center"/>
              <w:rPr>
                <w:rFonts w:hint="eastAsia" w:hAnsi="宋体"/>
                <w:color w:val="auto"/>
                <w:sz w:val="21"/>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307" w:hRule="atLeast"/>
          <w:jc w:val="center"/>
        </w:trPr>
        <w:tc>
          <w:tcPr>
            <w:tcW w:w="755" w:type="dxa"/>
            <w:vMerge w:val="continue"/>
            <w:tcBorders>
              <w:bottom w:val="single" w:color="auto" w:sz="4" w:space="0"/>
            </w:tcBorders>
            <w:vAlign w:val="center"/>
          </w:tcPr>
          <w:p>
            <w:pPr>
              <w:jc w:val="center"/>
              <w:rPr>
                <w:color w:val="auto"/>
                <w:sz w:val="21"/>
                <w:szCs w:val="21"/>
                <w:shd w:val="clear" w:color="auto" w:fill="auto"/>
              </w:rPr>
            </w:pPr>
          </w:p>
        </w:tc>
        <w:tc>
          <w:tcPr>
            <w:tcW w:w="1766" w:type="dxa"/>
            <w:vMerge w:val="continue"/>
            <w:vAlign w:val="center"/>
          </w:tcPr>
          <w:p>
            <w:pPr>
              <w:jc w:val="center"/>
              <w:rPr>
                <w:color w:val="auto"/>
                <w:sz w:val="21"/>
                <w:szCs w:val="21"/>
                <w:shd w:val="clear" w:color="auto" w:fill="auto"/>
              </w:rPr>
            </w:pPr>
          </w:p>
        </w:tc>
        <w:tc>
          <w:tcPr>
            <w:tcW w:w="1928" w:type="dxa"/>
            <w:gridSpan w:val="2"/>
            <w:tcBorders>
              <w:top w:val="single" w:color="auto" w:sz="4" w:space="0"/>
              <w:bottom w:val="single" w:color="auto" w:sz="4" w:space="0"/>
            </w:tcBorders>
            <w:vAlign w:val="center"/>
          </w:tcPr>
          <w:p>
            <w:pPr>
              <w:topLinePunct/>
              <w:adjustRightInd w:val="0"/>
              <w:snapToGrid w:val="0"/>
              <w:jc w:val="center"/>
              <w:rPr>
                <w:rFonts w:hint="eastAsia"/>
                <w:color w:val="auto"/>
                <w:spacing w:val="-2"/>
                <w:sz w:val="21"/>
                <w:szCs w:val="21"/>
                <w:shd w:val="clear" w:color="auto" w:fill="auto"/>
                <w:lang w:eastAsia="zh-CN"/>
              </w:rPr>
            </w:pPr>
            <w:r>
              <w:rPr>
                <w:rFonts w:hint="eastAsia"/>
                <w:color w:val="auto"/>
                <w:kern w:val="0"/>
                <w:sz w:val="21"/>
                <w:szCs w:val="21"/>
              </w:rPr>
              <w:t>废UV灯管</w:t>
            </w:r>
          </w:p>
        </w:tc>
        <w:tc>
          <w:tcPr>
            <w:tcW w:w="2445" w:type="dxa"/>
            <w:gridSpan w:val="2"/>
            <w:tcBorders>
              <w:top w:val="single" w:color="auto" w:sz="4" w:space="0"/>
              <w:bottom w:val="single" w:color="auto" w:sz="4" w:space="0"/>
            </w:tcBorders>
            <w:vAlign w:val="center"/>
          </w:tcPr>
          <w:p>
            <w:pPr>
              <w:topLinePunct/>
              <w:adjustRightInd w:val="0"/>
              <w:snapToGrid w:val="0"/>
              <w:jc w:val="center"/>
              <w:rPr>
                <w:rFonts w:hint="default" w:ascii="Times New Roman" w:hAnsi="Times New Roman" w:cs="Times New Roman"/>
                <w:color w:val="auto"/>
                <w:position w:val="0"/>
                <w:sz w:val="21"/>
                <w:szCs w:val="21"/>
                <w:shd w:val="clear" w:color="auto" w:fill="auto"/>
                <w:lang w:val="en-US" w:eastAsia="zh-CN"/>
              </w:rPr>
            </w:pPr>
            <w:r>
              <w:rPr>
                <w:rFonts w:hint="default" w:ascii="Times New Roman" w:hAnsi="Times New Roman" w:cs="Times New Roman"/>
                <w:color w:val="auto"/>
                <w:kern w:val="0"/>
                <w:sz w:val="21"/>
                <w:szCs w:val="21"/>
                <w:lang w:val="en-US" w:eastAsia="zh-CN"/>
              </w:rPr>
              <w:t>66</w:t>
            </w:r>
            <w:r>
              <w:rPr>
                <w:rFonts w:hint="default" w:ascii="Times New Roman" w:hAnsi="Times New Roman" w:eastAsia="宋体" w:cs="Times New Roman"/>
                <w:color w:val="auto"/>
                <w:kern w:val="0"/>
                <w:sz w:val="21"/>
                <w:szCs w:val="21"/>
                <w:lang w:eastAsia="zh-CN"/>
              </w:rPr>
              <w:t>根</w:t>
            </w:r>
            <w:r>
              <w:rPr>
                <w:rFonts w:hint="default" w:ascii="Times New Roman" w:hAnsi="Times New Roman" w:cs="Times New Roman"/>
                <w:color w:val="auto"/>
                <w:kern w:val="0"/>
                <w:sz w:val="21"/>
                <w:szCs w:val="21"/>
              </w:rPr>
              <w:t>/a</w:t>
            </w:r>
          </w:p>
        </w:tc>
        <w:tc>
          <w:tcPr>
            <w:tcW w:w="2947" w:type="dxa"/>
            <w:gridSpan w:val="2"/>
            <w:vMerge w:val="continue"/>
            <w:tcBorders>
              <w:bottom w:val="single" w:color="auto" w:sz="4" w:space="0"/>
            </w:tcBorders>
            <w:vAlign w:val="center"/>
          </w:tcPr>
          <w:p>
            <w:pPr>
              <w:jc w:val="center"/>
              <w:rPr>
                <w:rFonts w:hint="eastAsia"/>
                <w:color w:val="auto"/>
                <w:spacing w:val="-2"/>
                <w:sz w:val="21"/>
                <w:szCs w:val="21"/>
                <w:shd w:val="clear" w:color="auto" w:fill="auto"/>
                <w:lang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67" w:hRule="atLeast"/>
          <w:jc w:val="center"/>
        </w:trPr>
        <w:tc>
          <w:tcPr>
            <w:tcW w:w="755" w:type="dxa"/>
            <w:tcBorders>
              <w:top w:val="single" w:color="auto" w:sz="4" w:space="0"/>
            </w:tcBorders>
            <w:vAlign w:val="center"/>
          </w:tcPr>
          <w:p>
            <w:pPr>
              <w:spacing w:line="240" w:lineRule="auto"/>
              <w:jc w:val="center"/>
              <w:rPr>
                <w:color w:val="auto"/>
                <w:sz w:val="21"/>
                <w:szCs w:val="21"/>
                <w:shd w:val="clear" w:color="auto" w:fill="auto"/>
              </w:rPr>
            </w:pPr>
            <w:r>
              <w:rPr>
                <w:color w:val="auto"/>
                <w:sz w:val="21"/>
                <w:szCs w:val="21"/>
                <w:shd w:val="clear" w:color="auto" w:fill="auto"/>
              </w:rPr>
              <w:t>噪</w:t>
            </w:r>
          </w:p>
          <w:p>
            <w:pPr>
              <w:spacing w:line="240" w:lineRule="auto"/>
              <w:jc w:val="center"/>
              <w:rPr>
                <w:color w:val="auto"/>
                <w:sz w:val="21"/>
                <w:szCs w:val="21"/>
                <w:shd w:val="clear" w:color="auto" w:fill="auto"/>
              </w:rPr>
            </w:pPr>
            <w:r>
              <w:rPr>
                <w:color w:val="auto"/>
                <w:sz w:val="21"/>
                <w:szCs w:val="21"/>
                <w:shd w:val="clear" w:color="auto" w:fill="auto"/>
              </w:rPr>
              <w:t>声</w:t>
            </w:r>
          </w:p>
        </w:tc>
        <w:tc>
          <w:tcPr>
            <w:tcW w:w="9086" w:type="dxa"/>
            <w:gridSpan w:val="7"/>
            <w:tcBorders>
              <w:top w:val="single" w:color="auto" w:sz="4" w:space="0"/>
            </w:tcBorders>
            <w:vAlign w:val="center"/>
          </w:tcPr>
          <w:p>
            <w:pPr>
              <w:spacing w:line="240" w:lineRule="auto"/>
              <w:jc w:val="left"/>
              <w:rPr>
                <w:color w:val="auto"/>
                <w:sz w:val="21"/>
                <w:szCs w:val="21"/>
                <w:shd w:val="clear" w:color="auto" w:fill="auto"/>
              </w:rPr>
            </w:pPr>
            <w:r>
              <w:rPr>
                <w:rFonts w:ascii="Times New Roman" w:hAnsi="Times New Roman" w:cs="Times New Roman"/>
                <w:color w:val="auto"/>
                <w:sz w:val="21"/>
                <w:szCs w:val="21"/>
                <w:shd w:val="clear" w:color="auto" w:fill="auto"/>
              </w:rPr>
              <w:t>车间各主要工艺设备</w:t>
            </w:r>
            <w:r>
              <w:rPr>
                <w:rFonts w:hint="eastAsia"/>
                <w:color w:val="auto"/>
                <w:sz w:val="21"/>
                <w:szCs w:val="21"/>
                <w:shd w:val="clear" w:color="auto" w:fill="auto"/>
              </w:rPr>
              <w:t>的运行噪声，噪声值约为70～80dB（A）；</w:t>
            </w:r>
            <w:r>
              <w:rPr>
                <w:rFonts w:hint="eastAsia"/>
                <w:color w:val="auto"/>
                <w:sz w:val="21"/>
                <w:szCs w:val="21"/>
                <w:shd w:val="clear" w:color="auto" w:fill="auto"/>
                <w:lang w:eastAsia="zh-CN"/>
              </w:rPr>
              <w:t>空压机、冷却塔的运行噪声</w:t>
            </w:r>
            <w:r>
              <w:rPr>
                <w:color w:val="auto"/>
                <w:sz w:val="21"/>
                <w:szCs w:val="21"/>
                <w:shd w:val="clear" w:color="auto" w:fill="auto"/>
              </w:rPr>
              <w:t>，噪声值约为</w:t>
            </w:r>
            <w:r>
              <w:rPr>
                <w:rFonts w:hint="eastAsia"/>
                <w:color w:val="auto"/>
                <w:sz w:val="21"/>
                <w:szCs w:val="21"/>
                <w:shd w:val="clear" w:color="auto" w:fill="auto"/>
              </w:rPr>
              <w:t>80</w:t>
            </w:r>
            <w:r>
              <w:rPr>
                <w:color w:val="auto"/>
                <w:sz w:val="21"/>
                <w:szCs w:val="21"/>
                <w:shd w:val="clear" w:color="auto" w:fill="auto"/>
              </w:rPr>
              <w:t>～</w:t>
            </w:r>
            <w:r>
              <w:rPr>
                <w:rFonts w:hint="eastAsia"/>
                <w:color w:val="auto"/>
                <w:sz w:val="21"/>
                <w:szCs w:val="21"/>
                <w:shd w:val="clear" w:color="auto" w:fill="auto"/>
                <w:lang w:val="en-US" w:eastAsia="zh-CN"/>
              </w:rPr>
              <w:t>90</w:t>
            </w:r>
            <w:r>
              <w:rPr>
                <w:color w:val="auto"/>
                <w:sz w:val="21"/>
                <w:szCs w:val="21"/>
                <w:shd w:val="clear" w:color="auto" w:fill="auto"/>
              </w:rPr>
              <w:t>dB（A）；</w:t>
            </w:r>
            <w:r>
              <w:rPr>
                <w:rFonts w:hint="eastAsia"/>
                <w:color w:val="auto"/>
                <w:sz w:val="21"/>
                <w:szCs w:val="21"/>
                <w:shd w:val="clear" w:color="auto" w:fill="auto"/>
              </w:rPr>
              <w:t>机械通风所用通风机运行时产生的噪声，其噪声级约为70～75dB（A）。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168" w:hRule="atLeast"/>
          <w:jc w:val="center"/>
        </w:trPr>
        <w:tc>
          <w:tcPr>
            <w:tcW w:w="755" w:type="dxa"/>
            <w:vAlign w:val="center"/>
          </w:tcPr>
          <w:p>
            <w:pPr>
              <w:spacing w:line="240" w:lineRule="auto"/>
              <w:jc w:val="center"/>
              <w:rPr>
                <w:color w:val="auto"/>
                <w:sz w:val="21"/>
                <w:szCs w:val="21"/>
                <w:shd w:val="clear" w:color="auto" w:fill="auto"/>
              </w:rPr>
            </w:pPr>
            <w:r>
              <w:rPr>
                <w:color w:val="auto"/>
                <w:sz w:val="21"/>
                <w:szCs w:val="21"/>
                <w:shd w:val="clear" w:color="auto" w:fill="auto"/>
              </w:rPr>
              <w:t>其他</w:t>
            </w:r>
          </w:p>
        </w:tc>
        <w:tc>
          <w:tcPr>
            <w:tcW w:w="9086" w:type="dxa"/>
            <w:gridSpan w:val="7"/>
            <w:vAlign w:val="center"/>
          </w:tcPr>
          <w:p>
            <w:pPr>
              <w:pStyle w:val="57"/>
              <w:autoSpaceDE/>
              <w:autoSpaceDN/>
              <w:adjustRightInd/>
              <w:spacing w:line="240" w:lineRule="auto"/>
              <w:textAlignment w:val="auto"/>
              <w:rPr>
                <w:rFonts w:ascii="Times New Roman" w:hAnsi="Times New Roman"/>
                <w:color w:val="auto"/>
                <w:kern w:val="2"/>
                <w:sz w:val="21"/>
                <w:szCs w:val="21"/>
                <w:shd w:val="clear" w:color="auto" w:fill="auto"/>
              </w:rPr>
            </w:pPr>
            <w:r>
              <w:rPr>
                <w:rFonts w:hint="eastAsia" w:ascii="Times New Roman" w:hAnsi="Times New Roman"/>
                <w:color w:val="auto"/>
                <w:kern w:val="2"/>
                <w:sz w:val="21"/>
                <w:szCs w:val="21"/>
                <w:shd w:val="clear" w:color="auto" w:fill="auto"/>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9841" w:type="dxa"/>
            <w:gridSpan w:val="8"/>
          </w:tcPr>
          <w:p>
            <w:pPr>
              <w:spacing w:line="360" w:lineRule="auto"/>
              <w:rPr>
                <w:bCs/>
                <w:color w:val="auto"/>
                <w:sz w:val="21"/>
                <w:szCs w:val="21"/>
                <w:shd w:val="clear" w:color="auto" w:fill="auto"/>
              </w:rPr>
            </w:pPr>
            <w:r>
              <w:rPr>
                <w:bCs/>
                <w:color w:val="auto"/>
                <w:sz w:val="21"/>
                <w:szCs w:val="21"/>
                <w:shd w:val="clear" w:color="auto" w:fill="auto"/>
              </w:rPr>
              <w:t>主要生态影响(不够时可附另页):</w:t>
            </w:r>
          </w:p>
          <w:p>
            <w:pPr>
              <w:spacing w:line="360" w:lineRule="auto"/>
              <w:ind w:firstLine="420" w:firstLineChars="200"/>
              <w:rPr>
                <w:color w:val="auto"/>
                <w:sz w:val="21"/>
                <w:szCs w:val="21"/>
                <w:shd w:val="clear" w:color="auto" w:fill="auto"/>
              </w:rPr>
            </w:pPr>
            <w:r>
              <w:rPr>
                <w:color w:val="auto"/>
                <w:sz w:val="21"/>
                <w:szCs w:val="21"/>
                <w:shd w:val="clear" w:color="auto" w:fill="auto"/>
              </w:rPr>
              <w:t>项目所在厂房</w:t>
            </w:r>
            <w:r>
              <w:rPr>
                <w:rFonts w:hint="eastAsia"/>
                <w:color w:val="auto"/>
                <w:sz w:val="21"/>
                <w:szCs w:val="21"/>
                <w:shd w:val="clear" w:color="auto" w:fill="auto"/>
                <w:lang w:val="en-US" w:eastAsia="zh-CN"/>
              </w:rPr>
              <w:t>已建成</w:t>
            </w:r>
            <w:r>
              <w:rPr>
                <w:color w:val="auto"/>
                <w:sz w:val="21"/>
                <w:szCs w:val="21"/>
                <w:shd w:val="clear" w:color="auto" w:fill="auto"/>
              </w:rPr>
              <w:t>，本次环境评价不涉及建设期间环境影响评价。在项目正常运营期间，基本上不会对土壤、植被等周边的生态环境造成严重的污染和影响。</w:t>
            </w:r>
          </w:p>
        </w:tc>
      </w:tr>
    </w:tbl>
    <w:p>
      <w:pPr>
        <w:pStyle w:val="47"/>
        <w:rPr>
          <w:color w:val="auto"/>
        </w:rPr>
        <w:sectPr>
          <w:footerReference r:id="rId14" w:type="default"/>
          <w:pgSz w:w="11907" w:h="16840"/>
          <w:pgMar w:top="1531" w:right="1134" w:bottom="1134" w:left="1418" w:header="0" w:footer="898" w:gutter="0"/>
          <w:pgBorders>
            <w:top w:val="none" w:sz="0" w:space="0"/>
            <w:left w:val="none" w:sz="0" w:space="0"/>
            <w:bottom w:val="none" w:sz="0" w:space="0"/>
            <w:right w:val="none" w:sz="0" w:space="0"/>
          </w:pgBorders>
          <w:cols w:space="720" w:num="1"/>
          <w:docGrid w:linePitch="326" w:charSpace="-4916"/>
        </w:sectPr>
      </w:pPr>
    </w:p>
    <w:p>
      <w:pPr>
        <w:pStyle w:val="38"/>
        <w:jc w:val="left"/>
        <w:rPr>
          <w:rFonts w:ascii="Times New Roman" w:hAnsi="Times New Roman"/>
          <w:color w:val="auto"/>
          <w:shd w:val="clear" w:color="auto" w:fill="auto"/>
        </w:rPr>
      </w:pPr>
      <w:r>
        <w:rPr>
          <w:rFonts w:hint="eastAsia" w:ascii="Times New Roman" w:hAnsi="Times New Roman"/>
          <w:color w:val="auto"/>
          <w:shd w:val="clear" w:color="auto" w:fill="auto"/>
        </w:rPr>
        <w:t>环境影响分析</w:t>
      </w:r>
    </w:p>
    <w:tbl>
      <w:tblPr>
        <w:tblStyle w:val="40"/>
        <w:tblW w:w="94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9496" w:type="dxa"/>
          </w:tcPr>
          <w:p>
            <w:pPr>
              <w:spacing w:line="360" w:lineRule="auto"/>
              <w:rPr>
                <w:b/>
                <w:color w:val="auto"/>
                <w:shd w:val="clear" w:color="auto" w:fill="auto"/>
              </w:rPr>
            </w:pPr>
            <w:r>
              <w:rPr>
                <w:rFonts w:hint="eastAsia"/>
                <w:b/>
                <w:bCs/>
                <w:color w:val="auto"/>
                <w:sz w:val="24"/>
                <w:shd w:val="clear" w:color="auto" w:fill="auto"/>
              </w:rPr>
              <w:t>施工期环境影响简要分析：</w:t>
            </w:r>
          </w:p>
          <w:p>
            <w:pPr>
              <w:spacing w:line="360" w:lineRule="auto"/>
              <w:ind w:right="120" w:firstLine="488"/>
              <w:rPr>
                <w:color w:val="auto"/>
                <w:shd w:val="clear" w:color="auto" w:fill="auto"/>
              </w:rPr>
            </w:pPr>
            <w:r>
              <w:rPr>
                <w:color w:val="auto"/>
                <w:sz w:val="24"/>
                <w:shd w:val="clear" w:color="auto" w:fill="auto"/>
              </w:rPr>
              <w:t>项目所在厂房</w:t>
            </w:r>
            <w:r>
              <w:rPr>
                <w:rFonts w:hint="eastAsia"/>
                <w:color w:val="auto"/>
                <w:sz w:val="24"/>
                <w:shd w:val="clear" w:color="auto" w:fill="auto"/>
                <w:lang w:val="en-US" w:eastAsia="zh-CN"/>
              </w:rPr>
              <w:t>已建成</w:t>
            </w:r>
            <w:r>
              <w:rPr>
                <w:color w:val="auto"/>
                <w:sz w:val="24"/>
                <w:shd w:val="clear" w:color="auto" w:fill="auto"/>
              </w:rPr>
              <w:t>，故不存在施工期的环境影响问题。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1" w:hRule="atLeast"/>
          <w:jc w:val="center"/>
        </w:trPr>
        <w:tc>
          <w:tcPr>
            <w:tcW w:w="9496" w:type="dxa"/>
          </w:tcPr>
          <w:p>
            <w:pPr>
              <w:spacing w:line="360" w:lineRule="auto"/>
              <w:rPr>
                <w:b/>
                <w:bCs/>
                <w:color w:val="auto"/>
                <w:sz w:val="28"/>
                <w:szCs w:val="28"/>
                <w:shd w:val="clear" w:color="auto" w:fill="auto"/>
              </w:rPr>
            </w:pPr>
            <w:r>
              <w:rPr>
                <w:color w:val="auto"/>
                <w:shd w:val="clear" w:color="auto" w:fill="auto"/>
              </w:rPr>
              <w:br w:type="page"/>
            </w:r>
            <w:r>
              <w:rPr>
                <w:color w:val="auto"/>
                <w:shd w:val="clear" w:color="auto" w:fill="auto"/>
              </w:rPr>
              <w:br w:type="page"/>
            </w:r>
            <w:r>
              <w:rPr>
                <w:color w:val="auto"/>
                <w:shd w:val="clear" w:color="auto" w:fill="auto"/>
              </w:rPr>
              <w:br w:type="page"/>
            </w:r>
            <w:r>
              <w:rPr>
                <w:rFonts w:hint="eastAsia"/>
                <w:b/>
                <w:bCs/>
                <w:color w:val="auto"/>
                <w:sz w:val="24"/>
                <w:shd w:val="clear" w:color="auto" w:fill="auto"/>
              </w:rPr>
              <w:t>营运期的环境影响分析：</w:t>
            </w:r>
          </w:p>
          <w:p>
            <w:pPr>
              <w:pStyle w:val="29"/>
              <w:spacing w:line="360" w:lineRule="auto"/>
              <w:ind w:firstLine="501" w:firstLineChars="208"/>
              <w:rPr>
                <w:b/>
                <w:color w:val="auto"/>
                <w:shd w:val="clear" w:color="auto" w:fill="auto"/>
              </w:rPr>
            </w:pPr>
            <w:bookmarkStart w:id="18" w:name="_Toc343665622"/>
            <w:bookmarkStart w:id="19" w:name="_Toc319526752"/>
            <w:bookmarkStart w:id="20" w:name="_Toc343664438"/>
            <w:r>
              <w:rPr>
                <w:rFonts w:hint="eastAsia"/>
                <w:b/>
                <w:color w:val="auto"/>
                <w:kern w:val="2"/>
                <w:shd w:val="clear" w:color="auto" w:fill="auto"/>
              </w:rPr>
              <w:t>一、环境空气影响分析</w:t>
            </w:r>
            <w:bookmarkEnd w:id="18"/>
            <w:bookmarkEnd w:id="19"/>
            <w:bookmarkEnd w:id="20"/>
          </w:p>
          <w:p>
            <w:pPr>
              <w:spacing w:line="360" w:lineRule="auto"/>
              <w:ind w:firstLine="482" w:firstLineChars="200"/>
              <w:rPr>
                <w:rFonts w:hint="eastAsia"/>
                <w:b w:val="0"/>
                <w:bCs w:val="0"/>
                <w:color w:val="auto"/>
                <w:sz w:val="24"/>
                <w:szCs w:val="24"/>
                <w:vertAlign w:val="baseline"/>
                <w:lang w:eastAsia="zh-CN"/>
              </w:rPr>
            </w:pPr>
            <w:bookmarkStart w:id="21" w:name="_Toc477702084"/>
            <w:r>
              <w:rPr>
                <w:rFonts w:hint="eastAsia"/>
                <w:b/>
                <w:bCs/>
                <w:color w:val="auto"/>
                <w:sz w:val="24"/>
                <w:szCs w:val="24"/>
                <w:vertAlign w:val="baseline"/>
                <w:lang w:val="en-US" w:eastAsia="zh-CN"/>
              </w:rPr>
              <w:t>熔化、铸造工序：</w:t>
            </w:r>
            <w:r>
              <w:rPr>
                <w:rFonts w:hint="eastAsia" w:ascii="Times New Roman" w:eastAsia="宋体"/>
                <w:bCs/>
                <w:color w:val="auto"/>
                <w:sz w:val="24"/>
                <w:lang w:val="en-US" w:eastAsia="zh-CN"/>
              </w:rPr>
              <w:t>项目</w:t>
            </w:r>
            <w:r>
              <w:rPr>
                <w:rFonts w:hint="eastAsia"/>
                <w:b w:val="0"/>
                <w:bCs w:val="0"/>
                <w:color w:val="auto"/>
                <w:sz w:val="24"/>
                <w:szCs w:val="24"/>
                <w:vertAlign w:val="baseline"/>
                <w:lang w:eastAsia="zh-CN"/>
              </w:rPr>
              <w:t>熔化、铸造</w:t>
            </w:r>
            <w:r>
              <w:rPr>
                <w:rFonts w:hint="eastAsia"/>
                <w:b w:val="0"/>
                <w:bCs w:val="0"/>
                <w:color w:val="auto"/>
                <w:sz w:val="24"/>
                <w:szCs w:val="24"/>
                <w:vertAlign w:val="baseline"/>
                <w:lang w:val="en-US" w:eastAsia="zh-CN"/>
              </w:rPr>
              <w:t>工序</w:t>
            </w:r>
            <w:r>
              <w:rPr>
                <w:rFonts w:hint="eastAsia"/>
                <w:b w:val="0"/>
                <w:bCs w:val="0"/>
                <w:color w:val="auto"/>
                <w:sz w:val="24"/>
                <w:szCs w:val="24"/>
                <w:vertAlign w:val="baseline"/>
                <w:lang w:eastAsia="zh-CN"/>
              </w:rPr>
              <w:t>产生的烟尘约</w:t>
            </w:r>
            <w:r>
              <w:rPr>
                <w:rFonts w:hint="eastAsia"/>
                <w:b w:val="0"/>
                <w:bCs w:val="0"/>
                <w:color w:val="auto"/>
                <w:sz w:val="24"/>
                <w:szCs w:val="24"/>
                <w:vertAlign w:val="baseline"/>
                <w:lang w:val="en-US" w:eastAsia="zh-CN"/>
              </w:rPr>
              <w:t>为0.1</w:t>
            </w:r>
            <w:r>
              <w:rPr>
                <w:rFonts w:hint="eastAsia"/>
                <w:b w:val="0"/>
                <w:bCs w:val="0"/>
                <w:color w:val="auto"/>
                <w:sz w:val="24"/>
                <w:szCs w:val="24"/>
                <w:vertAlign w:val="baseline"/>
                <w:lang w:eastAsia="zh-CN"/>
              </w:rPr>
              <w:t>t/a。</w:t>
            </w:r>
          </w:p>
          <w:p>
            <w:pPr>
              <w:spacing w:line="360" w:lineRule="auto"/>
              <w:ind w:firstLine="482" w:firstLineChars="200"/>
              <w:rPr>
                <w:rFonts w:hint="eastAsia"/>
                <w:b w:val="0"/>
                <w:bCs/>
                <w:color w:val="auto"/>
                <w:sz w:val="24"/>
                <w:szCs w:val="24"/>
                <w:vertAlign w:val="baseline"/>
                <w:lang w:eastAsia="zh-CN"/>
              </w:rPr>
            </w:pPr>
            <w:r>
              <w:rPr>
                <w:rFonts w:hint="eastAsia"/>
                <w:b/>
                <w:color w:val="auto"/>
                <w:sz w:val="24"/>
                <w:szCs w:val="23"/>
                <w:shd w:val="clear" w:color="auto" w:fill="auto"/>
              </w:rPr>
              <w:t>制芯</w:t>
            </w:r>
            <w:r>
              <w:rPr>
                <w:rFonts w:hint="eastAsia"/>
                <w:b/>
                <w:color w:val="auto"/>
                <w:sz w:val="24"/>
                <w:szCs w:val="23"/>
                <w:shd w:val="clear" w:color="auto" w:fill="auto"/>
                <w:lang w:eastAsia="zh-CN"/>
              </w:rPr>
              <w:t>、铸造</w:t>
            </w:r>
            <w:r>
              <w:rPr>
                <w:rFonts w:hint="eastAsia"/>
                <w:b/>
                <w:color w:val="auto"/>
                <w:sz w:val="24"/>
                <w:szCs w:val="23"/>
                <w:shd w:val="clear" w:color="auto" w:fill="auto"/>
              </w:rPr>
              <w:t>工序：</w:t>
            </w:r>
            <w:r>
              <w:rPr>
                <w:rFonts w:hint="eastAsia"/>
                <w:b w:val="0"/>
                <w:bCs w:val="0"/>
                <w:color w:val="auto"/>
                <w:sz w:val="24"/>
                <w:szCs w:val="24"/>
                <w:shd w:val="clear" w:color="auto" w:fill="auto"/>
                <w:vertAlign w:val="baseline"/>
                <w:lang w:eastAsia="zh-CN"/>
              </w:rPr>
              <w:t>项目制芯、铸造工序使用呋喃树脂过程中会产生臭气和有机废气，</w:t>
            </w:r>
            <w:r>
              <w:rPr>
                <w:rFonts w:hint="eastAsia" w:hAnsi="宋体"/>
                <w:color w:val="auto"/>
                <w:sz w:val="24"/>
              </w:rPr>
              <w:t>臭气浓度较低，通过水喷淋</w:t>
            </w:r>
            <w:r>
              <w:rPr>
                <w:rFonts w:hint="eastAsia" w:hAnsi="宋体"/>
                <w:color w:val="auto"/>
                <w:sz w:val="24"/>
                <w:lang w:val="en-US" w:eastAsia="zh-CN"/>
              </w:rPr>
              <w:t>+UV光解装置</w:t>
            </w:r>
            <w:r>
              <w:rPr>
                <w:rFonts w:hint="eastAsia" w:hAnsi="宋体"/>
                <w:color w:val="auto"/>
                <w:sz w:val="24"/>
              </w:rPr>
              <w:t>处理，降低恶臭浓度，同时</w:t>
            </w:r>
            <w:r>
              <w:rPr>
                <w:rFonts w:hint="eastAsia"/>
                <w:color w:val="auto"/>
                <w:sz w:val="24"/>
              </w:rPr>
              <w:t>加强车间机械通风措施</w:t>
            </w:r>
            <w:r>
              <w:rPr>
                <w:rFonts w:hint="eastAsia"/>
                <w:color w:val="auto"/>
                <w:sz w:val="24"/>
                <w:lang w:eastAsia="zh-CN"/>
              </w:rPr>
              <w:t>，</w:t>
            </w:r>
            <w:r>
              <w:rPr>
                <w:rFonts w:hint="eastAsia" w:hAnsi="宋体"/>
                <w:color w:val="auto"/>
                <w:sz w:val="24"/>
                <w:lang w:val="en-US" w:eastAsia="zh-CN"/>
              </w:rPr>
              <w:t>臭气排放满足《</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w:t>
            </w:r>
            <w:r>
              <w:rPr>
                <w:rFonts w:hint="eastAsia"/>
                <w:color w:val="auto"/>
                <w:kern w:val="0"/>
                <w:sz w:val="24"/>
                <w:lang w:eastAsia="zh-CN"/>
              </w:rPr>
              <w:t>和表</w:t>
            </w:r>
            <w:r>
              <w:rPr>
                <w:rFonts w:hint="eastAsia"/>
                <w:color w:val="auto"/>
                <w:kern w:val="0"/>
                <w:sz w:val="24"/>
                <w:lang w:val="en-US" w:eastAsia="zh-CN"/>
              </w:rPr>
              <w:t>2恶臭污染物排放标准值</w:t>
            </w:r>
            <w:r>
              <w:rPr>
                <w:rFonts w:hint="eastAsia" w:hAnsi="宋体"/>
                <w:color w:val="auto"/>
                <w:sz w:val="24"/>
                <w:lang w:val="en-US" w:eastAsia="zh-CN"/>
              </w:rPr>
              <w:t>；</w:t>
            </w:r>
            <w:r>
              <w:rPr>
                <w:rFonts w:hint="eastAsia" w:hAnsi="宋体"/>
                <w:color w:val="auto"/>
                <w:sz w:val="24"/>
              </w:rPr>
              <w:t>有机废气</w:t>
            </w:r>
            <w:r>
              <w:rPr>
                <w:rFonts w:hint="eastAsia" w:hAnsi="宋体"/>
                <w:color w:val="auto"/>
                <w:sz w:val="24"/>
                <w:shd w:val="clear" w:color="auto" w:fill="auto"/>
              </w:rPr>
              <w:t>主要成分为非甲烷总烃</w:t>
            </w:r>
            <w:r>
              <w:rPr>
                <w:rFonts w:hint="eastAsia"/>
                <w:b w:val="0"/>
                <w:bCs w:val="0"/>
                <w:color w:val="auto"/>
                <w:sz w:val="24"/>
                <w:szCs w:val="24"/>
                <w:shd w:val="clear" w:color="auto" w:fill="auto"/>
                <w:vertAlign w:val="baseline"/>
                <w:lang w:eastAsia="zh-CN"/>
              </w:rPr>
              <w:t>，</w:t>
            </w:r>
            <w:r>
              <w:rPr>
                <w:rFonts w:hint="eastAsia"/>
                <w:b w:val="0"/>
                <w:bCs w:val="0"/>
                <w:color w:val="auto"/>
                <w:sz w:val="24"/>
                <w:szCs w:val="24"/>
                <w:shd w:val="clear" w:color="auto" w:fill="auto"/>
                <w:vertAlign w:val="baseline"/>
                <w:lang w:val="en-US" w:eastAsia="zh-CN"/>
              </w:rPr>
              <w:t>产生量约为0.012t/a。</w:t>
            </w:r>
          </w:p>
          <w:p>
            <w:pPr>
              <w:spacing w:line="360" w:lineRule="auto"/>
              <w:ind w:firstLine="480" w:firstLineChars="200"/>
              <w:rPr>
                <w:rFonts w:hint="eastAsia"/>
                <w:color w:val="auto"/>
                <w:sz w:val="24"/>
              </w:rPr>
            </w:pPr>
            <w:r>
              <w:rPr>
                <w:rFonts w:hint="eastAsia" w:eastAsia="宋体"/>
                <w:bCs/>
                <w:color w:val="auto"/>
                <w:sz w:val="24"/>
                <w:lang w:eastAsia="zh-CN"/>
              </w:rPr>
              <w:t>建设单位拟</w:t>
            </w:r>
            <w:r>
              <w:rPr>
                <w:rFonts w:hint="eastAsia" w:hAnsi="宋体"/>
                <w:color w:val="auto"/>
                <w:sz w:val="24"/>
                <w:shd w:val="clear" w:color="auto" w:fill="auto"/>
                <w:lang w:eastAsia="zh-CN"/>
              </w:rPr>
              <w:t>安装集气和抽风装置将</w:t>
            </w:r>
            <w:r>
              <w:rPr>
                <w:rFonts w:hint="eastAsia"/>
                <w:b w:val="0"/>
                <w:bCs w:val="0"/>
                <w:color w:val="auto"/>
                <w:sz w:val="24"/>
                <w:szCs w:val="24"/>
                <w:vertAlign w:val="baseline"/>
                <w:lang w:eastAsia="zh-CN"/>
              </w:rPr>
              <w:t>熔化、铸造、</w:t>
            </w:r>
            <w:r>
              <w:rPr>
                <w:rFonts w:hint="eastAsia"/>
                <w:b w:val="0"/>
                <w:bCs w:val="0"/>
                <w:color w:val="auto"/>
                <w:sz w:val="24"/>
                <w:szCs w:val="24"/>
                <w:shd w:val="clear" w:color="auto" w:fill="auto"/>
                <w:vertAlign w:val="baseline"/>
                <w:lang w:val="en-US" w:eastAsia="zh-CN"/>
              </w:rPr>
              <w:t>制芯</w:t>
            </w:r>
            <w:r>
              <w:rPr>
                <w:rFonts w:hint="eastAsia"/>
                <w:b w:val="0"/>
                <w:bCs w:val="0"/>
                <w:color w:val="auto"/>
                <w:sz w:val="24"/>
                <w:szCs w:val="24"/>
                <w:vertAlign w:val="baseline"/>
                <w:lang w:val="en-US" w:eastAsia="zh-CN"/>
              </w:rPr>
              <w:t>工序废气</w:t>
            </w:r>
            <w:r>
              <w:rPr>
                <w:rFonts w:hint="eastAsia" w:hAnsi="宋体"/>
                <w:color w:val="auto"/>
                <w:sz w:val="24"/>
                <w:shd w:val="clear" w:color="auto" w:fill="auto"/>
                <w:lang w:eastAsia="zh-CN"/>
              </w:rPr>
              <w:t>统一收集至水喷淋+UV光解装置处理后经15m排气筒高空排放，</w:t>
            </w:r>
            <w:r>
              <w:rPr>
                <w:rFonts w:hint="eastAsia"/>
                <w:bCs/>
                <w:color w:val="auto"/>
                <w:sz w:val="24"/>
                <w:lang w:eastAsia="zh-CN"/>
              </w:rPr>
              <w:t>烟尘</w:t>
            </w:r>
            <w:r>
              <w:rPr>
                <w:rFonts w:hint="eastAsia"/>
                <w:color w:val="auto"/>
                <w:sz w:val="24"/>
              </w:rPr>
              <w:t>有组织</w:t>
            </w:r>
            <w:r>
              <w:rPr>
                <w:color w:val="auto"/>
                <w:sz w:val="24"/>
              </w:rPr>
              <w:t>排放浓度</w:t>
            </w:r>
            <w:r>
              <w:rPr>
                <w:rFonts w:hint="eastAsia" w:eastAsia="宋体"/>
                <w:color w:val="auto"/>
                <w:sz w:val="24"/>
                <w:lang w:eastAsia="zh-CN"/>
              </w:rPr>
              <w:t>为</w:t>
            </w:r>
            <w:r>
              <w:rPr>
                <w:rFonts w:hint="eastAsia"/>
                <w:color w:val="auto"/>
                <w:sz w:val="24"/>
                <w:lang w:val="en-US" w:eastAsia="zh-CN"/>
              </w:rPr>
              <w:t>0.177</w:t>
            </w:r>
            <w:r>
              <w:rPr>
                <w:b w:val="0"/>
                <w:bCs/>
                <w:color w:val="auto"/>
                <w:sz w:val="24"/>
                <w:szCs w:val="24"/>
              </w:rPr>
              <w:t>mg/m³</w:t>
            </w:r>
            <w:r>
              <w:rPr>
                <w:rFonts w:hint="eastAsia"/>
                <w:color w:val="auto"/>
                <w:sz w:val="24"/>
              </w:rPr>
              <w:t>，</w:t>
            </w:r>
            <w:r>
              <w:rPr>
                <w:color w:val="auto"/>
                <w:sz w:val="24"/>
              </w:rPr>
              <w:t>排放速率</w:t>
            </w:r>
            <w:r>
              <w:rPr>
                <w:rFonts w:hint="eastAsia" w:eastAsia="宋体"/>
                <w:color w:val="auto"/>
                <w:sz w:val="24"/>
                <w:lang w:eastAsia="zh-CN"/>
              </w:rPr>
              <w:t>为</w:t>
            </w:r>
            <w:r>
              <w:rPr>
                <w:rFonts w:hint="eastAsia"/>
                <w:color w:val="auto"/>
                <w:sz w:val="24"/>
                <w:lang w:val="en-US" w:eastAsia="zh-CN"/>
              </w:rPr>
              <w:t>0.004</w:t>
            </w:r>
            <w:r>
              <w:rPr>
                <w:rFonts w:hint="eastAsia" w:ascii="Times New Roman" w:eastAsia="宋体"/>
                <w:color w:val="auto"/>
                <w:sz w:val="24"/>
                <w:lang w:val="en-US" w:eastAsia="zh-CN"/>
              </w:rPr>
              <w:t>kg/h，排放量为</w:t>
            </w:r>
            <w:r>
              <w:rPr>
                <w:rFonts w:hint="eastAsia"/>
                <w:color w:val="auto"/>
                <w:sz w:val="24"/>
                <w:lang w:val="en-US" w:eastAsia="zh-CN"/>
              </w:rPr>
              <w:t>0.01</w:t>
            </w:r>
            <w:r>
              <w:rPr>
                <w:rFonts w:hint="eastAsia" w:ascii="Times New Roman" w:eastAsia="宋体"/>
                <w:color w:val="auto"/>
                <w:sz w:val="24"/>
                <w:lang w:val="en-US" w:eastAsia="zh-CN"/>
              </w:rPr>
              <w:t>t/a；无组织</w:t>
            </w:r>
            <w:r>
              <w:rPr>
                <w:color w:val="auto"/>
                <w:sz w:val="24"/>
              </w:rPr>
              <w:t>排放速率</w:t>
            </w:r>
            <w:r>
              <w:rPr>
                <w:rFonts w:hint="eastAsia" w:eastAsia="宋体"/>
                <w:color w:val="auto"/>
                <w:sz w:val="24"/>
                <w:lang w:eastAsia="zh-CN"/>
              </w:rPr>
              <w:t>为</w:t>
            </w:r>
            <w:r>
              <w:rPr>
                <w:rFonts w:hint="eastAsia"/>
                <w:color w:val="auto"/>
                <w:sz w:val="24"/>
                <w:lang w:val="en-US" w:eastAsia="zh-CN"/>
              </w:rPr>
              <w:t>0.008</w:t>
            </w:r>
            <w:r>
              <w:rPr>
                <w:rFonts w:hint="eastAsia" w:ascii="Times New Roman" w:eastAsia="宋体"/>
                <w:color w:val="auto"/>
                <w:sz w:val="24"/>
                <w:lang w:val="en-US" w:eastAsia="zh-CN"/>
              </w:rPr>
              <w:t>kg/h，排放量为</w:t>
            </w:r>
            <w:r>
              <w:rPr>
                <w:rFonts w:hint="eastAsia"/>
                <w:color w:val="auto"/>
                <w:sz w:val="24"/>
                <w:lang w:val="en-US" w:eastAsia="zh-CN"/>
              </w:rPr>
              <w:t>0.02</w:t>
            </w:r>
            <w:r>
              <w:rPr>
                <w:rFonts w:hint="eastAsia" w:ascii="Times New Roman" w:eastAsia="宋体"/>
                <w:color w:val="auto"/>
                <w:sz w:val="24"/>
                <w:lang w:val="en-US" w:eastAsia="zh-CN"/>
              </w:rPr>
              <w:t>t/a，</w:t>
            </w:r>
            <w:r>
              <w:rPr>
                <w:rFonts w:hint="eastAsia" w:hAnsi="宋体"/>
                <w:color w:val="auto"/>
                <w:sz w:val="24"/>
              </w:rPr>
              <w:t>可以达到《工业炉窑大气污染物排放标准》（GB9078-1996）表2“金属熔化炉”二级标准</w:t>
            </w:r>
            <w:r>
              <w:rPr>
                <w:rFonts w:hint="eastAsia" w:hAnsi="宋体"/>
                <w:color w:val="auto"/>
                <w:sz w:val="24"/>
                <w:lang w:eastAsia="zh-CN"/>
              </w:rPr>
              <w:t>和广东省地方标准《大气污染物排放限值》（DB44/27－2001）无组织排放监控浓度限值</w:t>
            </w:r>
            <w:r>
              <w:rPr>
                <w:rFonts w:hint="eastAsia" w:ascii="宋体" w:hAnsi="宋体" w:cs="宋体"/>
                <w:color w:val="auto"/>
                <w:sz w:val="24"/>
                <w:szCs w:val="24"/>
                <w:lang w:eastAsia="zh-CN"/>
              </w:rPr>
              <w:t>。非甲烷总烃</w:t>
            </w:r>
            <w:r>
              <w:rPr>
                <w:rFonts w:hint="eastAsia"/>
                <w:color w:val="auto"/>
                <w:sz w:val="24"/>
              </w:rPr>
              <w:t>有组织</w:t>
            </w:r>
            <w:r>
              <w:rPr>
                <w:color w:val="auto"/>
                <w:sz w:val="24"/>
              </w:rPr>
              <w:t>排放浓度</w:t>
            </w:r>
            <w:r>
              <w:rPr>
                <w:rFonts w:hint="eastAsia" w:eastAsia="宋体"/>
                <w:color w:val="auto"/>
                <w:sz w:val="24"/>
                <w:lang w:eastAsia="zh-CN"/>
              </w:rPr>
              <w:t>为</w:t>
            </w:r>
            <w:r>
              <w:rPr>
                <w:rFonts w:hint="eastAsia"/>
                <w:color w:val="auto"/>
                <w:sz w:val="24"/>
                <w:lang w:val="en-US" w:eastAsia="zh-CN"/>
              </w:rPr>
              <w:t>0.102</w:t>
            </w:r>
            <w:r>
              <w:rPr>
                <w:b w:val="0"/>
                <w:bCs/>
                <w:color w:val="auto"/>
                <w:sz w:val="24"/>
                <w:szCs w:val="24"/>
              </w:rPr>
              <w:t>mg/m³</w:t>
            </w:r>
            <w:r>
              <w:rPr>
                <w:rFonts w:hint="eastAsia"/>
                <w:color w:val="auto"/>
                <w:sz w:val="24"/>
              </w:rPr>
              <w:t>，</w:t>
            </w:r>
            <w:r>
              <w:rPr>
                <w:color w:val="auto"/>
                <w:sz w:val="24"/>
              </w:rPr>
              <w:t>排放速率</w:t>
            </w:r>
            <w:r>
              <w:rPr>
                <w:rFonts w:hint="eastAsia" w:eastAsia="宋体"/>
                <w:color w:val="auto"/>
                <w:sz w:val="24"/>
                <w:lang w:eastAsia="zh-CN"/>
              </w:rPr>
              <w:t>为</w:t>
            </w:r>
            <w:r>
              <w:rPr>
                <w:rFonts w:hint="eastAsia"/>
                <w:color w:val="auto"/>
                <w:sz w:val="24"/>
                <w:lang w:val="en-US" w:eastAsia="zh-CN"/>
              </w:rPr>
              <w:t>0.003</w:t>
            </w:r>
            <w:r>
              <w:rPr>
                <w:rFonts w:hint="eastAsia" w:ascii="Times New Roman" w:eastAsia="宋体"/>
                <w:color w:val="auto"/>
                <w:sz w:val="24"/>
                <w:lang w:val="en-US" w:eastAsia="zh-CN"/>
              </w:rPr>
              <w:t>kg/h，排放量为</w:t>
            </w:r>
            <w:r>
              <w:rPr>
                <w:rFonts w:hint="eastAsia"/>
                <w:color w:val="auto"/>
                <w:sz w:val="24"/>
                <w:lang w:val="en-US" w:eastAsia="zh-CN"/>
              </w:rPr>
              <w:t>0.006</w:t>
            </w:r>
            <w:r>
              <w:rPr>
                <w:rFonts w:hint="eastAsia" w:ascii="Times New Roman" w:eastAsia="宋体"/>
                <w:color w:val="auto"/>
                <w:sz w:val="24"/>
                <w:lang w:val="en-US" w:eastAsia="zh-CN"/>
              </w:rPr>
              <w:t>t/a；无组织</w:t>
            </w:r>
            <w:r>
              <w:rPr>
                <w:color w:val="auto"/>
                <w:sz w:val="24"/>
              </w:rPr>
              <w:t>排放速率</w:t>
            </w:r>
            <w:r>
              <w:rPr>
                <w:rFonts w:hint="eastAsia" w:eastAsia="宋体"/>
                <w:color w:val="auto"/>
                <w:sz w:val="24"/>
                <w:lang w:eastAsia="zh-CN"/>
              </w:rPr>
              <w:t>为</w:t>
            </w:r>
            <w:r>
              <w:rPr>
                <w:rFonts w:hint="eastAsia"/>
                <w:color w:val="auto"/>
                <w:sz w:val="24"/>
                <w:lang w:val="en-US" w:eastAsia="zh-CN"/>
              </w:rPr>
              <w:t>0.001</w:t>
            </w:r>
            <w:r>
              <w:rPr>
                <w:rFonts w:hint="eastAsia" w:ascii="Times New Roman" w:eastAsia="宋体"/>
                <w:color w:val="auto"/>
                <w:sz w:val="24"/>
                <w:lang w:val="en-US" w:eastAsia="zh-CN"/>
              </w:rPr>
              <w:t>kg/h，排放量为</w:t>
            </w:r>
            <w:r>
              <w:rPr>
                <w:rFonts w:hint="eastAsia"/>
                <w:color w:val="auto"/>
                <w:sz w:val="24"/>
                <w:lang w:val="en-US" w:eastAsia="zh-CN"/>
              </w:rPr>
              <w:t>0.002</w:t>
            </w:r>
            <w:r>
              <w:rPr>
                <w:rFonts w:hint="eastAsia" w:ascii="Times New Roman" w:eastAsia="宋体"/>
                <w:color w:val="auto"/>
                <w:sz w:val="24"/>
                <w:lang w:val="en-US" w:eastAsia="zh-CN"/>
              </w:rPr>
              <w:t>t/a，</w:t>
            </w:r>
            <w:r>
              <w:rPr>
                <w:rFonts w:hint="eastAsia" w:eastAsia="宋体"/>
                <w:color w:val="auto"/>
                <w:kern w:val="0"/>
                <w:sz w:val="24"/>
                <w:lang w:eastAsia="zh-CN"/>
              </w:rPr>
              <w:t>可以</w:t>
            </w:r>
            <w:r>
              <w:rPr>
                <w:rFonts w:hint="eastAsia" w:ascii="Times New Roman" w:eastAsia="宋体"/>
                <w:color w:val="auto"/>
                <w:sz w:val="24"/>
                <w:lang w:val="en-US" w:eastAsia="zh-CN"/>
              </w:rPr>
              <w:t>达到</w:t>
            </w:r>
            <w:r>
              <w:rPr>
                <w:rFonts w:hint="eastAsia"/>
                <w:b w:val="0"/>
                <w:bCs w:val="0"/>
                <w:color w:val="auto"/>
                <w:sz w:val="24"/>
                <w:szCs w:val="24"/>
                <w:lang w:val="en-US" w:eastAsia="zh-CN"/>
              </w:rPr>
              <w:t>广东省地方标准《大气污染物排放限值》（DB44/27-2001）中第二时段二级标准和第二时段无组织排放监控浓度限值</w:t>
            </w:r>
            <w:r>
              <w:rPr>
                <w:rFonts w:hint="eastAsia" w:ascii="Times New Roman" w:hAnsi="Times New Roman" w:cs="Times New Roman"/>
                <w:color w:val="auto"/>
                <w:sz w:val="24"/>
                <w:highlight w:val="none"/>
                <w:u w:val="none"/>
                <w:lang w:val="en-US" w:eastAsia="zh-CN"/>
              </w:rPr>
              <w:t>要求，</w:t>
            </w:r>
            <w:r>
              <w:rPr>
                <w:rFonts w:hint="eastAsia"/>
                <w:color w:val="auto"/>
                <w:sz w:val="24"/>
              </w:rPr>
              <w:t>对周围环境影响较小。</w:t>
            </w:r>
          </w:p>
          <w:p>
            <w:pPr>
              <w:spacing w:line="360" w:lineRule="auto"/>
              <w:ind w:firstLine="482" w:firstLineChars="200"/>
              <w:rPr>
                <w:rFonts w:hint="default"/>
                <w:b w:val="0"/>
                <w:bCs/>
                <w:color w:val="auto"/>
                <w:sz w:val="24"/>
                <w:highlight w:val="none"/>
                <w:lang w:val="en-US" w:eastAsia="zh-CN"/>
              </w:rPr>
            </w:pPr>
            <w:r>
              <w:rPr>
                <w:rFonts w:hint="eastAsia"/>
                <w:b/>
                <w:color w:val="auto"/>
                <w:sz w:val="24"/>
                <w:highlight w:val="none"/>
                <w:lang w:eastAsia="zh-CN"/>
              </w:rPr>
              <w:t>滚砂、</w:t>
            </w:r>
            <w:r>
              <w:rPr>
                <w:rFonts w:hint="eastAsia" w:ascii="Times New Roman" w:hAnsi="Times New Roman" w:cs="Times New Roman"/>
                <w:b/>
                <w:bCs/>
                <w:color w:val="auto"/>
                <w:kern w:val="2"/>
                <w:sz w:val="24"/>
                <w:szCs w:val="24"/>
                <w:lang w:val="en-US" w:eastAsia="zh-CN" w:bidi="ar-SA"/>
              </w:rPr>
              <w:t>机加工工序</w:t>
            </w:r>
            <w:r>
              <w:rPr>
                <w:rFonts w:hint="eastAsia"/>
                <w:b/>
                <w:color w:val="auto"/>
                <w:sz w:val="24"/>
                <w:highlight w:val="none"/>
                <w:lang w:eastAsia="zh-CN"/>
              </w:rPr>
              <w:t>：</w:t>
            </w:r>
            <w:r>
              <w:rPr>
                <w:rFonts w:hint="eastAsia"/>
                <w:b w:val="0"/>
                <w:bCs/>
                <w:color w:val="auto"/>
                <w:sz w:val="24"/>
                <w:highlight w:val="none"/>
                <w:lang w:eastAsia="zh-CN"/>
              </w:rPr>
              <w:t>本项目滚砂设备是在密闭的状态下运作，外溢的粉尘极少，</w:t>
            </w:r>
            <w:r>
              <w:rPr>
                <w:rFonts w:hint="eastAsia"/>
                <w:color w:val="auto"/>
                <w:sz w:val="24"/>
                <w:highlight w:val="none"/>
                <w:lang w:eastAsia="zh-CN"/>
              </w:rPr>
              <w:t>根据滚砂机的运行原理，</w:t>
            </w:r>
            <w:r>
              <w:rPr>
                <w:rFonts w:hint="eastAsia"/>
                <w:b w:val="0"/>
                <w:bCs/>
                <w:color w:val="auto"/>
                <w:sz w:val="24"/>
                <w:highlight w:val="none"/>
                <w:lang w:val="en-US" w:eastAsia="zh-CN"/>
              </w:rPr>
              <w:t>大部分粉尘随着砂芯通过柜体截留，沉降在柜底部，工作结束后人工将废砂与大部分粉尘清扫后交由创惠再生砂有限公司回收（合作协议详见附件），少量外溢粉尘通过无组织排放；</w:t>
            </w:r>
            <w:r>
              <w:rPr>
                <w:rFonts w:hint="default" w:ascii="Times New Roman" w:hAnsi="Times New Roman" w:eastAsia="宋体" w:cs="Times New Roman"/>
                <w:color w:val="auto"/>
                <w:kern w:val="2"/>
                <w:sz w:val="24"/>
                <w:szCs w:val="24"/>
                <w:lang w:val="en-US" w:eastAsia="zh-CN" w:bidi="ar-SA"/>
              </w:rPr>
              <w:t>机加工工序会产生少量的金属粉尘</w:t>
            </w:r>
            <w:r>
              <w:rPr>
                <w:rFonts w:hint="eastAsia" w:ascii="Times New Roman" w:hAnsi="Times New Roman" w:cs="Times New Roman"/>
                <w:color w:val="auto"/>
                <w:kern w:val="2"/>
                <w:sz w:val="24"/>
                <w:szCs w:val="24"/>
                <w:lang w:val="en-US" w:eastAsia="zh-CN" w:bidi="ar-SA"/>
              </w:rPr>
              <w:t>，</w:t>
            </w:r>
            <w:r>
              <w:rPr>
                <w:rFonts w:hint="eastAsia"/>
                <w:b w:val="0"/>
                <w:bCs/>
                <w:color w:val="auto"/>
                <w:sz w:val="24"/>
                <w:highlight w:val="none"/>
                <w:lang w:val="en-US" w:eastAsia="zh-CN"/>
              </w:rPr>
              <w:t>机</w:t>
            </w:r>
            <w:r>
              <w:rPr>
                <w:rFonts w:hint="default" w:ascii="Times New Roman" w:hAnsi="Times New Roman" w:eastAsia="宋体" w:cs="Times New Roman"/>
                <w:color w:val="auto"/>
                <w:kern w:val="2"/>
                <w:sz w:val="24"/>
                <w:szCs w:val="24"/>
                <w:lang w:val="en-US" w:eastAsia="zh-CN" w:bidi="ar-SA"/>
              </w:rPr>
              <w:t>加工产生的粉尘主要以金属细屑颗粒物为主，质量和粒径相对较大，约90%可在操作区域附近沉降，沉降金属粉尘及时清理后交专业公司回收处理，</w:t>
            </w:r>
            <w:r>
              <w:rPr>
                <w:rFonts w:hint="eastAsia"/>
                <w:b w:val="0"/>
                <w:bCs/>
                <w:color w:val="auto"/>
                <w:sz w:val="24"/>
                <w:highlight w:val="none"/>
                <w:lang w:val="en-US" w:eastAsia="zh-CN"/>
              </w:rPr>
              <w:t>剩余10%通过无组织排放。</w:t>
            </w:r>
            <w:r>
              <w:rPr>
                <w:rFonts w:hint="eastAsia"/>
                <w:bCs/>
                <w:color w:val="auto"/>
                <w:sz w:val="24"/>
                <w:highlight w:val="none"/>
              </w:rPr>
              <w:t>引用《第一次全国污染源普查工业污染物产排污系数手册》中金属加工的粉尘产污系数为1.523kg/t，本项目</w:t>
            </w:r>
            <w:r>
              <w:rPr>
                <w:rFonts w:hint="eastAsia"/>
                <w:bCs/>
                <w:color w:val="auto"/>
                <w:sz w:val="24"/>
                <w:highlight w:val="none"/>
                <w:lang w:val="en-US" w:eastAsia="zh-CN"/>
              </w:rPr>
              <w:t>铜锭使</w:t>
            </w:r>
            <w:r>
              <w:rPr>
                <w:rFonts w:hint="eastAsia"/>
                <w:color w:val="auto"/>
                <w:sz w:val="24"/>
                <w:highlight w:val="none"/>
              </w:rPr>
              <w:t>用量</w:t>
            </w:r>
            <w:r>
              <w:rPr>
                <w:rFonts w:hint="eastAsia"/>
                <w:color w:val="auto"/>
                <w:sz w:val="24"/>
                <w:highlight w:val="none"/>
                <w:lang w:val="en-US" w:eastAsia="zh-CN"/>
              </w:rPr>
              <w:t>为80</w:t>
            </w:r>
            <w:r>
              <w:rPr>
                <w:rFonts w:hint="eastAsia"/>
                <w:color w:val="auto"/>
                <w:sz w:val="24"/>
                <w:highlight w:val="none"/>
              </w:rPr>
              <w:t>t</w:t>
            </w:r>
            <w:r>
              <w:rPr>
                <w:color w:val="auto"/>
                <w:sz w:val="24"/>
                <w:highlight w:val="none"/>
              </w:rPr>
              <w:t>/a</w:t>
            </w:r>
            <w:r>
              <w:rPr>
                <w:rFonts w:hint="eastAsia"/>
                <w:color w:val="auto"/>
                <w:sz w:val="24"/>
                <w:highlight w:val="none"/>
              </w:rPr>
              <w:t>，则滚砂、机加工工序产生粉尘量为</w:t>
            </w:r>
            <w:r>
              <w:rPr>
                <w:rFonts w:hint="eastAsia"/>
                <w:color w:val="auto"/>
                <w:sz w:val="24"/>
                <w:highlight w:val="none"/>
                <w:lang w:val="en-US" w:eastAsia="zh-CN"/>
              </w:rPr>
              <w:t>0.12t</w:t>
            </w:r>
            <w:r>
              <w:rPr>
                <w:rFonts w:hint="eastAsia"/>
                <w:color w:val="auto"/>
                <w:sz w:val="24"/>
                <w:highlight w:val="none"/>
              </w:rPr>
              <w:t>/a</w:t>
            </w:r>
            <w:r>
              <w:rPr>
                <w:rFonts w:hint="eastAsia"/>
                <w:color w:val="auto"/>
                <w:sz w:val="24"/>
                <w:highlight w:val="none"/>
                <w:lang w:eastAsia="zh-CN"/>
              </w:rPr>
              <w:t>，</w:t>
            </w:r>
            <w:r>
              <w:rPr>
                <w:rFonts w:hint="eastAsia"/>
                <w:b w:val="0"/>
                <w:bCs/>
                <w:color w:val="auto"/>
                <w:sz w:val="24"/>
                <w:highlight w:val="none"/>
                <w:lang w:val="en-US" w:eastAsia="zh-CN"/>
              </w:rPr>
              <w:t>无组织排放量为0.012</w:t>
            </w:r>
            <w:r>
              <w:rPr>
                <w:rFonts w:hint="eastAsia"/>
                <w:color w:val="auto"/>
                <w:sz w:val="24"/>
                <w:highlight w:val="none"/>
                <w:lang w:val="en-US" w:eastAsia="zh-CN"/>
              </w:rPr>
              <w:t>t</w:t>
            </w:r>
            <w:r>
              <w:rPr>
                <w:rFonts w:hint="eastAsia"/>
                <w:color w:val="auto"/>
                <w:sz w:val="24"/>
                <w:highlight w:val="none"/>
              </w:rPr>
              <w:t>/a</w:t>
            </w:r>
            <w:r>
              <w:rPr>
                <w:rFonts w:hint="eastAsia"/>
                <w:color w:val="auto"/>
                <w:sz w:val="24"/>
                <w:highlight w:val="none"/>
                <w:lang w:eastAsia="zh-CN"/>
              </w:rPr>
              <w:t>，排放速率为</w:t>
            </w:r>
            <w:r>
              <w:rPr>
                <w:rFonts w:hint="eastAsia"/>
                <w:color w:val="auto"/>
                <w:sz w:val="24"/>
                <w:highlight w:val="none"/>
                <w:lang w:val="en-US" w:eastAsia="zh-CN"/>
              </w:rPr>
              <w:t>0.005kg/h。</w:t>
            </w:r>
            <w:r>
              <w:rPr>
                <w:rFonts w:hint="default" w:ascii="Times New Roman" w:hAnsi="Times New Roman" w:cs="Times New Roman"/>
                <w:color w:val="auto"/>
                <w:sz w:val="24"/>
                <w:szCs w:val="24"/>
                <w:highlight w:val="none"/>
                <w:shd w:val="clear" w:color="auto" w:fill="auto"/>
              </w:rPr>
              <w:t>根据估算</w:t>
            </w:r>
            <w:r>
              <w:rPr>
                <w:rFonts w:hint="eastAsia" w:ascii="Times New Roman" w:hAnsi="Times New Roman" w:cs="Times New Roman"/>
                <w:color w:val="auto"/>
                <w:sz w:val="24"/>
                <w:szCs w:val="24"/>
                <w:highlight w:val="none"/>
                <w:shd w:val="clear" w:color="auto" w:fill="auto"/>
                <w:lang w:eastAsia="zh-CN"/>
              </w:rPr>
              <w:t>模式计算</w:t>
            </w:r>
            <w:r>
              <w:rPr>
                <w:rFonts w:hint="default" w:ascii="Times New Roman" w:hAnsi="Times New Roman" w:cs="Times New Roman"/>
                <w:color w:val="auto"/>
                <w:sz w:val="24"/>
                <w:szCs w:val="24"/>
                <w:highlight w:val="none"/>
                <w:shd w:val="clear" w:color="auto" w:fill="auto"/>
              </w:rPr>
              <w:t>，</w:t>
            </w:r>
            <w:r>
              <w:rPr>
                <w:rFonts w:hint="eastAsia" w:cs="Times New Roman"/>
                <w:color w:val="auto"/>
                <w:sz w:val="24"/>
                <w:szCs w:val="24"/>
                <w:highlight w:val="none"/>
                <w:shd w:val="clear" w:color="auto" w:fill="auto"/>
                <w:lang w:val="en-US" w:eastAsia="zh-CN"/>
              </w:rPr>
              <w:t>TSP</w:t>
            </w:r>
            <w:r>
              <w:rPr>
                <w:rFonts w:hint="eastAsia" w:ascii="Times New Roman" w:hAnsi="Times New Roman" w:cs="Times New Roman"/>
                <w:color w:val="auto"/>
                <w:sz w:val="24"/>
                <w:szCs w:val="24"/>
                <w:highlight w:val="none"/>
                <w:shd w:val="clear" w:color="auto" w:fill="auto"/>
                <w:lang w:eastAsia="zh-CN"/>
              </w:rPr>
              <w:t>无组织排放</w:t>
            </w:r>
            <w:r>
              <w:rPr>
                <w:rFonts w:hint="eastAsia" w:cs="Times New Roman"/>
                <w:color w:val="auto"/>
                <w:kern w:val="0"/>
                <w:sz w:val="24"/>
                <w:szCs w:val="24"/>
                <w:highlight w:val="none"/>
                <w:shd w:val="clear" w:color="auto" w:fill="auto"/>
                <w:lang w:eastAsia="zh-CN"/>
              </w:rPr>
              <w:t>最大地面浓度</w:t>
            </w:r>
            <w:r>
              <w:rPr>
                <w:rFonts w:hint="eastAsia" w:ascii="Times New Roman" w:hAnsi="Times New Roman" w:cs="Times New Roman"/>
                <w:color w:val="auto"/>
                <w:kern w:val="0"/>
                <w:sz w:val="24"/>
                <w:szCs w:val="24"/>
                <w:highlight w:val="none"/>
                <w:shd w:val="clear" w:color="auto" w:fill="auto"/>
                <w:lang w:eastAsia="zh-CN"/>
              </w:rPr>
              <w:t>为</w:t>
            </w:r>
            <w:r>
              <w:rPr>
                <w:rFonts w:hint="eastAsia" w:cs="Times New Roman"/>
                <w:color w:val="auto"/>
                <w:kern w:val="0"/>
                <w:sz w:val="24"/>
                <w:szCs w:val="24"/>
                <w:highlight w:val="none"/>
                <w:shd w:val="clear" w:color="auto" w:fill="auto"/>
                <w:lang w:eastAsia="zh-CN"/>
              </w:rPr>
              <w:t>2.42E-02</w:t>
            </w:r>
            <w:r>
              <w:rPr>
                <w:rFonts w:hint="eastAsia" w:cs="Times New Roman"/>
                <w:bCs/>
                <w:color w:val="auto"/>
                <w:sz w:val="24"/>
                <w:highlight w:val="none"/>
                <w:shd w:val="clear" w:color="auto" w:fill="auto"/>
                <w:lang w:eastAsia="zh-CN"/>
              </w:rPr>
              <w:t>mg/m</w:t>
            </w:r>
            <w:r>
              <w:rPr>
                <w:rFonts w:hint="eastAsia" w:cs="Times New Roman"/>
                <w:bCs/>
                <w:color w:val="auto"/>
                <w:sz w:val="24"/>
                <w:highlight w:val="none"/>
                <w:shd w:val="clear" w:color="auto" w:fill="auto"/>
                <w:vertAlign w:val="superscript"/>
                <w:lang w:eastAsia="zh-CN"/>
              </w:rPr>
              <w:t>3</w:t>
            </w:r>
            <w:r>
              <w:rPr>
                <w:rFonts w:hint="default" w:ascii="Times New Roman" w:hAnsi="Times New Roman" w:cs="Times New Roman"/>
                <w:color w:val="auto"/>
                <w:sz w:val="24"/>
                <w:highlight w:val="none"/>
              </w:rPr>
              <w:t>，</w:t>
            </w:r>
            <w:r>
              <w:rPr>
                <w:rFonts w:hint="eastAsia"/>
                <w:b w:val="0"/>
                <w:bCs/>
                <w:color w:val="auto"/>
                <w:sz w:val="24"/>
                <w:highlight w:val="none"/>
                <w:lang w:val="en-US" w:eastAsia="zh-CN"/>
              </w:rPr>
              <w:t>可达到广东省地方标准《大气污染物排放限值》（DB44/ 27-2001）第二时段无组织排放监控浓度限值。</w:t>
            </w:r>
            <w:r>
              <w:rPr>
                <w:rFonts w:hint="default" w:ascii="Times New Roman" w:hAnsi="Times New Roman" w:cs="Times New Roman"/>
                <w:color w:val="auto"/>
                <w:sz w:val="24"/>
                <w:highlight w:val="none"/>
              </w:rPr>
              <w:t>同时加强车间机械通风措施，使生产车间符合《工业企业设计卫生标准》（TJ36-79）（GBZ1-2010）要求，</w:t>
            </w:r>
            <w:r>
              <w:rPr>
                <w:rFonts w:hint="default" w:ascii="Times New Roman" w:hAnsi="Times New Roman" w:cs="Times New Roman"/>
                <w:color w:val="auto"/>
                <w:spacing w:val="-2"/>
                <w:sz w:val="24"/>
                <w:highlight w:val="none"/>
              </w:rPr>
              <w:t>另外，建设单位必须做好员工的防护措施（如配带口罩）</w:t>
            </w:r>
            <w:r>
              <w:rPr>
                <w:rFonts w:hint="default" w:ascii="Times New Roman" w:hAnsi="Times New Roman" w:cs="Times New Roman"/>
                <w:color w:val="auto"/>
                <w:sz w:val="24"/>
                <w:highlight w:val="none"/>
              </w:rPr>
              <w:t>，以确保员工身体健康不受到影响，</w:t>
            </w:r>
            <w:r>
              <w:rPr>
                <w:rFonts w:hint="default" w:ascii="Times New Roman" w:hAnsi="Times New Roman" w:cs="Times New Roman"/>
                <w:color w:val="auto"/>
                <w:kern w:val="0"/>
                <w:sz w:val="24"/>
                <w:highlight w:val="none"/>
              </w:rPr>
              <w:t>则不会对周围空气环境造成明显影响</w:t>
            </w:r>
            <w:r>
              <w:rPr>
                <w:rFonts w:hint="default" w:ascii="Times New Roman" w:hAnsi="Times New Roman" w:cs="Times New Roman"/>
                <w:color w:val="auto"/>
                <w:spacing w:val="-2"/>
                <w:sz w:val="24"/>
                <w:highlight w:val="none"/>
              </w:rPr>
              <w:t>。</w:t>
            </w:r>
          </w:p>
          <w:p>
            <w:pPr>
              <w:spacing w:line="360" w:lineRule="auto"/>
              <w:ind w:firstLine="482" w:firstLineChars="200"/>
              <w:rPr>
                <w:rFonts w:hint="eastAsia"/>
                <w:color w:val="auto"/>
                <w:sz w:val="24"/>
              </w:rPr>
            </w:pPr>
            <w:r>
              <w:rPr>
                <w:rFonts w:hint="eastAsia"/>
                <w:b/>
                <w:color w:val="auto"/>
                <w:sz w:val="24"/>
                <w:highlight w:val="none"/>
              </w:rPr>
              <w:t>抛光工序：</w:t>
            </w:r>
            <w:r>
              <w:rPr>
                <w:rFonts w:hint="eastAsia"/>
                <w:color w:val="auto"/>
                <w:sz w:val="24"/>
                <w:highlight w:val="none"/>
              </w:rPr>
              <w:t>项目</w:t>
            </w:r>
            <w:r>
              <w:rPr>
                <w:rFonts w:hint="eastAsia"/>
                <w:color w:val="auto"/>
                <w:sz w:val="24"/>
                <w:highlight w:val="none"/>
                <w:lang w:eastAsia="zh-CN"/>
              </w:rPr>
              <w:t>抛光工序</w:t>
            </w:r>
            <w:r>
              <w:rPr>
                <w:rFonts w:hint="eastAsia"/>
                <w:color w:val="auto"/>
                <w:sz w:val="24"/>
                <w:highlight w:val="none"/>
              </w:rPr>
              <w:t>粉尘产生量为</w:t>
            </w:r>
            <w:r>
              <w:rPr>
                <w:rFonts w:hint="eastAsia"/>
                <w:color w:val="auto"/>
                <w:sz w:val="24"/>
                <w:highlight w:val="none"/>
                <w:lang w:val="en-US" w:eastAsia="zh-CN"/>
              </w:rPr>
              <w:t>0.12t</w:t>
            </w:r>
            <w:r>
              <w:rPr>
                <w:rFonts w:hint="eastAsia"/>
                <w:color w:val="auto"/>
                <w:sz w:val="24"/>
                <w:highlight w:val="none"/>
              </w:rPr>
              <w:t>/a</w:t>
            </w:r>
            <w:r>
              <w:rPr>
                <w:rFonts w:hint="eastAsia"/>
                <w:color w:val="auto"/>
                <w:sz w:val="24"/>
                <w:highlight w:val="none"/>
                <w:lang w:eastAsia="zh-CN"/>
              </w:rPr>
              <w:t>，</w:t>
            </w:r>
            <w:r>
              <w:rPr>
                <w:rFonts w:hint="eastAsia" w:eastAsia="宋体"/>
                <w:bCs/>
                <w:color w:val="auto"/>
                <w:sz w:val="24"/>
                <w:lang w:eastAsia="zh-CN"/>
              </w:rPr>
              <w:t>建设单位拟</w:t>
            </w:r>
            <w:r>
              <w:rPr>
                <w:rFonts w:hint="eastAsia" w:hAnsi="宋体"/>
                <w:color w:val="auto"/>
                <w:sz w:val="24"/>
                <w:shd w:val="clear" w:color="auto" w:fill="auto"/>
                <w:lang w:eastAsia="zh-CN"/>
              </w:rPr>
              <w:t>安装集气和抽风装置将</w:t>
            </w:r>
            <w:r>
              <w:rPr>
                <w:rFonts w:hint="eastAsia"/>
                <w:b w:val="0"/>
                <w:bCs w:val="0"/>
                <w:color w:val="auto"/>
                <w:sz w:val="24"/>
                <w:szCs w:val="24"/>
                <w:vertAlign w:val="baseline"/>
                <w:lang w:eastAsia="zh-CN"/>
              </w:rPr>
              <w:t>粉尘</w:t>
            </w:r>
            <w:r>
              <w:rPr>
                <w:rFonts w:hint="eastAsia" w:hAnsi="宋体"/>
                <w:color w:val="auto"/>
                <w:sz w:val="24"/>
                <w:shd w:val="clear" w:color="auto" w:fill="auto"/>
                <w:lang w:eastAsia="zh-CN"/>
              </w:rPr>
              <w:t>收集至</w:t>
            </w:r>
            <w:r>
              <w:rPr>
                <w:rFonts w:hint="eastAsia"/>
                <w:color w:val="auto"/>
                <w:sz w:val="24"/>
                <w:shd w:val="clear" w:color="auto" w:fill="auto"/>
              </w:rPr>
              <w:t>布</w:t>
            </w:r>
            <w:r>
              <w:rPr>
                <w:rFonts w:hint="default" w:ascii="Times New Roman" w:hAnsi="Times New Roman" w:cs="Times New Roman"/>
                <w:color w:val="auto"/>
                <w:sz w:val="24"/>
                <w:shd w:val="clear" w:color="auto" w:fill="auto"/>
              </w:rPr>
              <w:t>袋除尘装置</w:t>
            </w:r>
            <w:r>
              <w:rPr>
                <w:rFonts w:hint="default" w:ascii="Times New Roman" w:hAnsi="Times New Roman" w:cs="Times New Roman"/>
                <w:color w:val="auto"/>
                <w:sz w:val="24"/>
                <w:shd w:val="clear" w:color="auto" w:fill="auto"/>
                <w:lang w:eastAsia="zh-CN"/>
              </w:rPr>
              <w:t>处理后经15m排气筒高空排放。</w:t>
            </w:r>
            <w:r>
              <w:rPr>
                <w:rFonts w:hint="default" w:ascii="Times New Roman" w:hAnsi="Times New Roman" w:cs="Times New Roman"/>
                <w:b w:val="0"/>
                <w:bCs w:val="0"/>
                <w:color w:val="auto"/>
                <w:sz w:val="24"/>
                <w:szCs w:val="24"/>
                <w:vertAlign w:val="baseline"/>
                <w:lang w:eastAsia="zh-CN"/>
              </w:rPr>
              <w:t>粉尘</w:t>
            </w:r>
            <w:r>
              <w:rPr>
                <w:rFonts w:hint="default" w:ascii="Times New Roman" w:hAnsi="Times New Roman" w:cs="Times New Roman"/>
                <w:color w:val="auto"/>
                <w:sz w:val="24"/>
              </w:rPr>
              <w:t>有组织排放浓度</w:t>
            </w:r>
            <w:r>
              <w:rPr>
                <w:rFonts w:hint="default" w:ascii="Times New Roman" w:hAnsi="Times New Roman" w:eastAsia="宋体" w:cs="Times New Roman"/>
                <w:color w:val="auto"/>
                <w:sz w:val="24"/>
                <w:lang w:eastAsia="zh-CN"/>
              </w:rPr>
              <w:t>为</w:t>
            </w:r>
            <w:r>
              <w:rPr>
                <w:rFonts w:hint="eastAsia" w:cs="Times New Roman"/>
                <w:color w:val="auto"/>
                <w:sz w:val="24"/>
                <w:lang w:val="en-US" w:eastAsia="zh-CN"/>
              </w:rPr>
              <w:t>0.006</w:t>
            </w:r>
            <w:r>
              <w:rPr>
                <w:rFonts w:hint="default" w:ascii="Times New Roman" w:hAnsi="Times New Roman" w:cs="Times New Roman"/>
                <w:b w:val="0"/>
                <w:bCs/>
                <w:color w:val="auto"/>
                <w:sz w:val="24"/>
                <w:szCs w:val="24"/>
              </w:rPr>
              <w:t>mg/m³</w:t>
            </w:r>
            <w:r>
              <w:rPr>
                <w:rFonts w:hint="default" w:ascii="Times New Roman" w:hAnsi="Times New Roman" w:cs="Times New Roman"/>
                <w:color w:val="auto"/>
                <w:sz w:val="24"/>
              </w:rPr>
              <w:t>，排放速率</w:t>
            </w:r>
            <w:r>
              <w:rPr>
                <w:rFonts w:hint="default" w:ascii="Times New Roman" w:hAnsi="Times New Roman" w:eastAsia="宋体" w:cs="Times New Roman"/>
                <w:color w:val="auto"/>
                <w:sz w:val="24"/>
                <w:lang w:eastAsia="zh-CN"/>
              </w:rPr>
              <w:t>为</w:t>
            </w:r>
            <w:r>
              <w:rPr>
                <w:rFonts w:hint="eastAsia" w:ascii="Times New Roman" w:hAnsi="Times New Roman" w:cs="Times New Roman"/>
                <w:color w:val="auto"/>
                <w:sz w:val="24"/>
                <w:lang w:val="en-US" w:eastAsia="zh-CN"/>
              </w:rPr>
              <w:t>0.0004</w:t>
            </w:r>
            <w:r>
              <w:rPr>
                <w:rFonts w:hint="default" w:ascii="Times New Roman" w:hAnsi="Times New Roman" w:eastAsia="宋体" w:cs="Times New Roman"/>
                <w:color w:val="auto"/>
                <w:sz w:val="24"/>
                <w:lang w:val="en-US" w:eastAsia="zh-CN"/>
              </w:rPr>
              <w:t>kg/h，排放量为</w:t>
            </w:r>
            <w:r>
              <w:rPr>
                <w:rFonts w:hint="eastAsia" w:ascii="Times New Roman" w:hAnsi="Times New Roman" w:cs="Times New Roman"/>
                <w:color w:val="auto"/>
                <w:sz w:val="24"/>
                <w:lang w:val="en-US" w:eastAsia="zh-CN"/>
              </w:rPr>
              <w:t>0.001</w:t>
            </w:r>
            <w:r>
              <w:rPr>
                <w:rFonts w:hint="default" w:ascii="Times New Roman" w:hAnsi="Times New Roman" w:eastAsia="宋体" w:cs="Times New Roman"/>
                <w:color w:val="auto"/>
                <w:sz w:val="24"/>
                <w:lang w:val="en-US" w:eastAsia="zh-CN"/>
              </w:rPr>
              <w:t>t/a；无</w:t>
            </w:r>
            <w:r>
              <w:rPr>
                <w:rFonts w:hint="eastAsia" w:ascii="Times New Roman" w:eastAsia="宋体"/>
                <w:color w:val="auto"/>
                <w:sz w:val="24"/>
                <w:lang w:val="en-US" w:eastAsia="zh-CN"/>
              </w:rPr>
              <w:t>组织</w:t>
            </w:r>
            <w:r>
              <w:rPr>
                <w:color w:val="auto"/>
                <w:sz w:val="24"/>
              </w:rPr>
              <w:t>排放速率</w:t>
            </w:r>
            <w:r>
              <w:rPr>
                <w:rFonts w:hint="eastAsia" w:eastAsia="宋体"/>
                <w:color w:val="auto"/>
                <w:sz w:val="24"/>
                <w:lang w:eastAsia="zh-CN"/>
              </w:rPr>
              <w:t>为</w:t>
            </w:r>
            <w:r>
              <w:rPr>
                <w:rFonts w:hint="eastAsia"/>
                <w:color w:val="auto"/>
                <w:sz w:val="24"/>
                <w:lang w:val="en-US" w:eastAsia="zh-CN"/>
              </w:rPr>
              <w:t>0.01</w:t>
            </w:r>
            <w:r>
              <w:rPr>
                <w:rFonts w:hint="eastAsia" w:ascii="Times New Roman" w:eastAsia="宋体"/>
                <w:color w:val="auto"/>
                <w:sz w:val="24"/>
                <w:lang w:val="en-US" w:eastAsia="zh-CN"/>
              </w:rPr>
              <w:t>kg/h，排放量为</w:t>
            </w:r>
            <w:r>
              <w:rPr>
                <w:rFonts w:hint="eastAsia"/>
                <w:color w:val="auto"/>
                <w:sz w:val="24"/>
                <w:lang w:val="en-US" w:eastAsia="zh-CN"/>
              </w:rPr>
              <w:t>0.024</w:t>
            </w:r>
            <w:r>
              <w:rPr>
                <w:rFonts w:hint="eastAsia" w:ascii="Times New Roman" w:eastAsia="宋体"/>
                <w:color w:val="auto"/>
                <w:sz w:val="24"/>
                <w:lang w:val="en-US" w:eastAsia="zh-CN"/>
              </w:rPr>
              <w:t>t/a，</w:t>
            </w:r>
            <w:r>
              <w:rPr>
                <w:rFonts w:hint="eastAsia" w:eastAsia="宋体"/>
                <w:color w:val="auto"/>
                <w:kern w:val="0"/>
                <w:sz w:val="24"/>
                <w:lang w:eastAsia="zh-CN"/>
              </w:rPr>
              <w:t>可以</w:t>
            </w:r>
            <w:r>
              <w:rPr>
                <w:rFonts w:hint="eastAsia" w:ascii="Times New Roman" w:eastAsia="宋体"/>
                <w:color w:val="auto"/>
                <w:sz w:val="24"/>
                <w:lang w:val="en-US" w:eastAsia="zh-CN"/>
              </w:rPr>
              <w:t>达到</w:t>
            </w:r>
            <w:r>
              <w:rPr>
                <w:rFonts w:hint="eastAsia"/>
                <w:color w:val="auto"/>
                <w:sz w:val="24"/>
              </w:rPr>
              <w:t>广东省地方标准《大气污染物排放限值》</w:t>
            </w:r>
            <w:r>
              <w:rPr>
                <w:color w:val="auto"/>
                <w:sz w:val="24"/>
              </w:rPr>
              <w:t>（DB44/27-2001）中第二时段二级标准</w:t>
            </w:r>
            <w:r>
              <w:rPr>
                <w:rFonts w:hint="eastAsia" w:eastAsia="宋体"/>
                <w:color w:val="auto"/>
                <w:sz w:val="24"/>
                <w:lang w:eastAsia="zh-CN"/>
              </w:rPr>
              <w:t>和</w:t>
            </w:r>
            <w:r>
              <w:rPr>
                <w:rFonts w:hint="eastAsia"/>
                <w:color w:val="auto"/>
                <w:kern w:val="0"/>
                <w:sz w:val="24"/>
              </w:rPr>
              <w:t>无组织排放监控浓度限值</w:t>
            </w:r>
            <w:r>
              <w:rPr>
                <w:rFonts w:hint="eastAsia" w:ascii="Times New Roman" w:hAnsi="Times New Roman" w:cs="Times New Roman"/>
                <w:color w:val="auto"/>
                <w:sz w:val="24"/>
                <w:highlight w:val="none"/>
                <w:u w:val="none"/>
                <w:lang w:val="en-US" w:eastAsia="zh-CN"/>
              </w:rPr>
              <w:t>要求，</w:t>
            </w:r>
            <w:r>
              <w:rPr>
                <w:rFonts w:hint="eastAsia"/>
                <w:color w:val="auto"/>
                <w:sz w:val="24"/>
              </w:rPr>
              <w:t>对周围环境影响较小。</w:t>
            </w:r>
          </w:p>
          <w:p>
            <w:pPr>
              <w:spacing w:line="360" w:lineRule="auto"/>
              <w:ind w:firstLine="480" w:firstLineChars="200"/>
              <w:rPr>
                <w:color w:val="auto"/>
                <w:sz w:val="24"/>
              </w:rPr>
            </w:pPr>
            <w:r>
              <w:rPr>
                <w:color w:val="auto"/>
                <w:sz w:val="24"/>
              </w:rPr>
              <w:t>本项目建成后大气污染物主要为</w:t>
            </w:r>
            <w:r>
              <w:rPr>
                <w:rFonts w:hint="eastAsia"/>
                <w:color w:val="auto"/>
                <w:sz w:val="24"/>
              </w:rPr>
              <w:t>熔化、铸造工序</w:t>
            </w:r>
            <w:r>
              <w:rPr>
                <w:rFonts w:hint="eastAsia" w:eastAsia="宋体"/>
                <w:color w:val="auto"/>
                <w:sz w:val="24"/>
                <w:lang w:eastAsia="zh-CN"/>
              </w:rPr>
              <w:t>产生的</w:t>
            </w:r>
            <w:r>
              <w:rPr>
                <w:rFonts w:hint="eastAsia"/>
                <w:color w:val="auto"/>
                <w:sz w:val="24"/>
                <w:lang w:eastAsia="zh-CN"/>
              </w:rPr>
              <w:t>烟尘；制芯、铸造工序产生的非甲烷总烃</w:t>
            </w:r>
            <w:r>
              <w:rPr>
                <w:rFonts w:hint="eastAsia"/>
                <w:bCs/>
                <w:color w:val="auto"/>
                <w:sz w:val="24"/>
                <w:lang w:eastAsia="zh-CN"/>
              </w:rPr>
              <w:t>；滚砂、</w:t>
            </w:r>
            <w:r>
              <w:rPr>
                <w:rFonts w:hint="eastAsia" w:hAnsi="宋体"/>
                <w:bCs/>
                <w:color w:val="auto"/>
                <w:sz w:val="24"/>
                <w:lang w:val="en-US" w:eastAsia="zh-CN"/>
              </w:rPr>
              <w:t>机加工</w:t>
            </w:r>
            <w:r>
              <w:rPr>
                <w:rFonts w:hint="eastAsia" w:hAnsi="宋体"/>
                <w:bCs/>
                <w:color w:val="auto"/>
                <w:sz w:val="24"/>
              </w:rPr>
              <w:t>工序</w:t>
            </w:r>
            <w:r>
              <w:rPr>
                <w:rFonts w:hint="eastAsia" w:hAnsi="宋体"/>
                <w:bCs/>
                <w:color w:val="auto"/>
                <w:sz w:val="24"/>
                <w:lang w:eastAsia="zh-CN"/>
              </w:rPr>
              <w:t>产生的粉尘</w:t>
            </w:r>
            <w:r>
              <w:rPr>
                <w:rFonts w:hint="eastAsia" w:eastAsia="宋体"/>
                <w:color w:val="auto"/>
                <w:sz w:val="24"/>
                <w:lang w:eastAsia="zh-CN"/>
              </w:rPr>
              <w:t>以及</w:t>
            </w:r>
            <w:r>
              <w:rPr>
                <w:rFonts w:hint="eastAsia"/>
                <w:color w:val="auto"/>
                <w:sz w:val="24"/>
                <w:lang w:eastAsia="zh-CN"/>
              </w:rPr>
              <w:t>抛光工序产生</w:t>
            </w:r>
            <w:r>
              <w:rPr>
                <w:rFonts w:hint="eastAsia"/>
                <w:color w:val="auto"/>
                <w:sz w:val="24"/>
              </w:rPr>
              <w:t>的</w:t>
            </w:r>
            <w:r>
              <w:rPr>
                <w:rFonts w:hint="eastAsia"/>
                <w:color w:val="auto"/>
                <w:sz w:val="24"/>
                <w:lang w:eastAsia="zh-CN"/>
              </w:rPr>
              <w:t>粉</w:t>
            </w:r>
            <w:r>
              <w:rPr>
                <w:rFonts w:hint="eastAsia" w:eastAsia="宋体"/>
                <w:color w:val="auto"/>
                <w:sz w:val="24"/>
                <w:lang w:eastAsia="zh-CN"/>
              </w:rPr>
              <w:t>尘</w:t>
            </w:r>
            <w:r>
              <w:rPr>
                <w:rFonts w:hint="eastAsia"/>
                <w:color w:val="auto"/>
                <w:sz w:val="24"/>
                <w:lang w:eastAsia="zh-CN"/>
              </w:rPr>
              <w:t>。</w:t>
            </w:r>
            <w:r>
              <w:rPr>
                <w:color w:val="auto"/>
                <w:sz w:val="24"/>
              </w:rPr>
              <w:t>根据</w:t>
            </w:r>
            <w:r>
              <w:rPr>
                <w:bCs/>
                <w:color w:val="auto"/>
                <w:sz w:val="24"/>
                <w:szCs w:val="22"/>
              </w:rPr>
              <w:t>《环境影响评价技术导则</w:t>
            </w:r>
            <w:r>
              <w:rPr>
                <w:rFonts w:hint="eastAsia"/>
                <w:bCs/>
                <w:color w:val="auto"/>
                <w:sz w:val="24"/>
                <w:szCs w:val="22"/>
              </w:rPr>
              <w:t>—</w:t>
            </w:r>
            <w:r>
              <w:rPr>
                <w:bCs/>
                <w:color w:val="auto"/>
                <w:sz w:val="24"/>
                <w:szCs w:val="22"/>
              </w:rPr>
              <w:t>大气环境》（HJ2.2-2018）</w:t>
            </w:r>
            <w:r>
              <w:rPr>
                <w:color w:val="auto"/>
                <w:sz w:val="24"/>
              </w:rPr>
              <w:t>，计算其最大地面浓度占标率 Pi（第 i个污染物）。Pi定义为：</w:t>
            </w:r>
          </w:p>
          <w:p>
            <w:pPr>
              <w:spacing w:line="360" w:lineRule="auto"/>
              <w:ind w:firstLine="480" w:firstLineChars="200"/>
              <w:jc w:val="center"/>
              <w:rPr>
                <w:bCs/>
                <w:color w:val="auto"/>
                <w:sz w:val="24"/>
                <w:lang w:val="it-IT"/>
              </w:rPr>
            </w:pPr>
            <w:r>
              <w:rPr>
                <w:bCs/>
                <w:color w:val="auto"/>
                <w:sz w:val="24"/>
                <w:lang w:val="it-IT"/>
              </w:rPr>
              <w:t>Pi＝（</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lang w:val="it-IT"/>
              </w:rPr>
              <w:t>i/</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lang w:val="it-IT"/>
              </w:rPr>
              <w:t>oi）×100%</w:t>
            </w:r>
          </w:p>
          <w:p>
            <w:pPr>
              <w:spacing w:line="360" w:lineRule="auto"/>
              <w:ind w:firstLine="720" w:firstLineChars="300"/>
              <w:rPr>
                <w:bCs/>
                <w:color w:val="auto"/>
                <w:sz w:val="24"/>
                <w:szCs w:val="22"/>
              </w:rPr>
            </w:pPr>
            <w:r>
              <w:rPr>
                <w:bCs/>
                <w:color w:val="auto"/>
                <w:sz w:val="24"/>
                <w:szCs w:val="22"/>
              </w:rPr>
              <w:t>式中：</w:t>
            </w:r>
            <w:r>
              <w:rPr>
                <w:color w:val="auto"/>
                <w:sz w:val="24"/>
              </w:rPr>
              <w:t>P</w:t>
            </w:r>
            <w:r>
              <w:rPr>
                <w:bCs/>
                <w:color w:val="auto"/>
                <w:sz w:val="24"/>
                <w:szCs w:val="22"/>
              </w:rPr>
              <w:t>i－第i个污染物的最大地面空气质量浓度占标率，%；</w:t>
            </w:r>
          </w:p>
          <w:p>
            <w:pPr>
              <w:spacing w:line="360" w:lineRule="auto"/>
              <w:ind w:firstLine="480" w:firstLineChars="200"/>
              <w:rPr>
                <w:bCs/>
                <w:color w:val="auto"/>
                <w:sz w:val="24"/>
                <w:szCs w:val="22"/>
              </w:rPr>
            </w:pPr>
            <w:r>
              <w:rPr>
                <w:bCs/>
                <w:color w:val="auto"/>
                <w:sz w:val="24"/>
                <w:szCs w:val="22"/>
              </w:rPr>
              <w:t xml:space="preserve">  </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szCs w:val="22"/>
              </w:rPr>
              <w:t>i－采用估算模式计算出的第i个污染物的最大1h地面空气质量浓度，μg/m</w:t>
            </w:r>
            <w:r>
              <w:rPr>
                <w:bCs/>
                <w:color w:val="auto"/>
                <w:sz w:val="24"/>
                <w:szCs w:val="22"/>
                <w:vertAlign w:val="superscript"/>
              </w:rPr>
              <w:t>3</w:t>
            </w:r>
            <w:r>
              <w:rPr>
                <w:bCs/>
                <w:color w:val="auto"/>
                <w:sz w:val="24"/>
                <w:szCs w:val="22"/>
              </w:rPr>
              <w:t>；</w:t>
            </w:r>
          </w:p>
          <w:p>
            <w:pPr>
              <w:spacing w:line="360" w:lineRule="auto"/>
              <w:ind w:firstLine="480" w:firstLineChars="200"/>
              <w:rPr>
                <w:bCs/>
                <w:color w:val="auto"/>
                <w:sz w:val="24"/>
                <w:szCs w:val="22"/>
              </w:rPr>
            </w:pPr>
            <w:r>
              <w:rPr>
                <w:bCs/>
                <w:color w:val="auto"/>
                <w:sz w:val="24"/>
                <w:szCs w:val="22"/>
              </w:rPr>
              <w:t xml:space="preserve">  </w:t>
            </w:r>
            <w:r>
              <w:rPr>
                <w:color w:val="auto"/>
              </w:rPr>
              <w:fldChar w:fldCharType="begin"/>
            </w:r>
            <w:r>
              <w:rPr>
                <w:color w:val="auto"/>
              </w:rPr>
              <w:instrText xml:space="preserve"> HYPERLINK "https://baike.baidu.com/item/%CF%81" \t "https://baike.baidu.com/item/_blank" </w:instrText>
            </w:r>
            <w:r>
              <w:rPr>
                <w:color w:val="auto"/>
              </w:rPr>
              <w:fldChar w:fldCharType="separate"/>
            </w:r>
            <w:r>
              <w:rPr>
                <w:i/>
                <w:color w:val="auto"/>
                <w:sz w:val="24"/>
                <w:shd w:val="clear" w:color="auto" w:fill="FFFFFF"/>
              </w:rPr>
              <w:t>ρ</w:t>
            </w:r>
            <w:r>
              <w:rPr>
                <w:i/>
                <w:color w:val="auto"/>
                <w:sz w:val="24"/>
                <w:shd w:val="clear" w:color="auto" w:fill="FFFFFF"/>
              </w:rPr>
              <w:fldChar w:fldCharType="end"/>
            </w:r>
            <w:r>
              <w:rPr>
                <w:bCs/>
                <w:color w:val="auto"/>
                <w:sz w:val="24"/>
                <w:szCs w:val="22"/>
              </w:rPr>
              <w:t>oi－第i个污染物的环境空气质量浓度标准，μg/m</w:t>
            </w:r>
            <w:r>
              <w:rPr>
                <w:bCs/>
                <w:color w:val="auto"/>
                <w:sz w:val="24"/>
                <w:szCs w:val="22"/>
                <w:vertAlign w:val="superscript"/>
              </w:rPr>
              <w:t>3</w:t>
            </w:r>
            <w:r>
              <w:rPr>
                <w:bCs/>
                <w:color w:val="auto"/>
                <w:sz w:val="24"/>
                <w:szCs w:val="22"/>
              </w:rPr>
              <w:t>。</w:t>
            </w:r>
          </w:p>
          <w:p>
            <w:pPr>
              <w:spacing w:line="360" w:lineRule="auto"/>
              <w:ind w:firstLine="480" w:firstLineChars="200"/>
              <w:rPr>
                <w:color w:val="auto"/>
                <w:sz w:val="24"/>
              </w:rPr>
            </w:pPr>
            <w:r>
              <w:rPr>
                <w:color w:val="auto"/>
                <w:sz w:val="24"/>
              </w:rPr>
              <w:t>评价工作等级划分见下表：</w:t>
            </w:r>
          </w:p>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评价工作等级</w:t>
            </w:r>
          </w:p>
          <w:tbl>
            <w:tblPr>
              <w:tblStyle w:val="40"/>
              <w:tblpPr w:leftFromText="180" w:rightFromText="180" w:vertAnchor="text" w:horzAnchor="page" w:tblpXSpec="center" w:tblpY="141"/>
              <w:tblOverlap w:val="never"/>
              <w:tblW w:w="903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69"/>
              <w:gridCol w:w="58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 w:hRule="exact"/>
                <w:jc w:val="center"/>
              </w:trPr>
              <w:tc>
                <w:tcPr>
                  <w:tcW w:w="3169" w:type="dxa"/>
                  <w:tcBorders>
                    <w:tl2br w:val="nil"/>
                    <w:tr2bl w:val="nil"/>
                  </w:tcBorders>
                </w:tcPr>
                <w:p>
                  <w:pPr>
                    <w:pStyle w:val="146"/>
                    <w:spacing w:before="2" w:line="360" w:lineRule="auto"/>
                    <w:ind w:right="24"/>
                    <w:jc w:val="center"/>
                    <w:rPr>
                      <w:rFonts w:ascii="Times New Roman" w:hAnsi="Times New Roman" w:eastAsia="Times New Roman" w:cs="Times New Roman"/>
                      <w:b/>
                      <w:bCs/>
                      <w:color w:val="auto"/>
                      <w:szCs w:val="21"/>
                    </w:rPr>
                  </w:pPr>
                  <w:r>
                    <w:rPr>
                      <w:rFonts w:ascii="Times New Roman" w:hAnsi="Times New Roman" w:eastAsia="Times New Roman" w:cs="Times New Roman"/>
                      <w:b/>
                      <w:bCs/>
                      <w:color w:val="auto"/>
                      <w:szCs w:val="21"/>
                    </w:rPr>
                    <w:t>评价工作等级</w:t>
                  </w:r>
                </w:p>
              </w:tc>
              <w:tc>
                <w:tcPr>
                  <w:tcW w:w="5863" w:type="dxa"/>
                  <w:tcBorders>
                    <w:tl2br w:val="nil"/>
                    <w:tr2bl w:val="nil"/>
                  </w:tcBorders>
                </w:tcPr>
                <w:p>
                  <w:pPr>
                    <w:pStyle w:val="146"/>
                    <w:spacing w:before="2" w:line="360" w:lineRule="auto"/>
                    <w:ind w:right="25"/>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评价工作分级判据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exact"/>
                <w:jc w:val="center"/>
              </w:trPr>
              <w:tc>
                <w:tcPr>
                  <w:tcW w:w="3169" w:type="dxa"/>
                  <w:tcBorders>
                    <w:tl2br w:val="nil"/>
                    <w:tr2bl w:val="nil"/>
                  </w:tcBorders>
                </w:tcPr>
                <w:p>
                  <w:pPr>
                    <w:pStyle w:val="146"/>
                    <w:spacing w:before="2" w:line="360" w:lineRule="auto"/>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一级</w:t>
                  </w:r>
                </w:p>
              </w:tc>
              <w:tc>
                <w:tcPr>
                  <w:tcW w:w="5863" w:type="dxa"/>
                  <w:tcBorders>
                    <w:tl2br w:val="nil"/>
                    <w:tr2bl w:val="nil"/>
                  </w:tcBorders>
                </w:tcPr>
                <w:p>
                  <w:pPr>
                    <w:pStyle w:val="146"/>
                    <w:spacing w:before="48" w:line="360" w:lineRule="auto"/>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2" w:hRule="exact"/>
                <w:jc w:val="center"/>
              </w:trPr>
              <w:tc>
                <w:tcPr>
                  <w:tcW w:w="3169" w:type="dxa"/>
                  <w:tcBorders>
                    <w:tl2br w:val="nil"/>
                    <w:tr2bl w:val="nil"/>
                  </w:tcBorders>
                </w:tcPr>
                <w:p>
                  <w:pPr>
                    <w:pStyle w:val="146"/>
                    <w:spacing w:before="2"/>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二级</w:t>
                  </w:r>
                </w:p>
              </w:tc>
              <w:tc>
                <w:tcPr>
                  <w:tcW w:w="5863" w:type="dxa"/>
                  <w:tcBorders>
                    <w:tl2br w:val="nil"/>
                    <w:tr2bl w:val="nil"/>
                  </w:tcBorders>
                </w:tcPr>
                <w:p>
                  <w:pPr>
                    <w:pStyle w:val="146"/>
                    <w:spacing w:before="52"/>
                    <w:ind w:right="22"/>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1%≤Pmax≤10%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exact"/>
                <w:jc w:val="center"/>
              </w:trPr>
              <w:tc>
                <w:tcPr>
                  <w:tcW w:w="3169" w:type="dxa"/>
                  <w:tcBorders>
                    <w:tl2br w:val="nil"/>
                    <w:tr2bl w:val="nil"/>
                  </w:tcBorders>
                </w:tcPr>
                <w:p>
                  <w:pPr>
                    <w:pStyle w:val="146"/>
                    <w:spacing w:before="2"/>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三级</w:t>
                  </w:r>
                </w:p>
              </w:tc>
              <w:tc>
                <w:tcPr>
                  <w:tcW w:w="5863" w:type="dxa"/>
                  <w:tcBorders>
                    <w:tl2br w:val="nil"/>
                    <w:tr2bl w:val="nil"/>
                  </w:tcBorders>
                </w:tcPr>
                <w:p>
                  <w:pPr>
                    <w:pStyle w:val="146"/>
                    <w:spacing w:before="2"/>
                    <w:ind w:right="24"/>
                    <w:jc w:val="center"/>
                    <w:rPr>
                      <w:rFonts w:ascii="Times New Roman" w:hAnsi="Times New Roman" w:eastAsia="Times New Roman" w:cs="Times New Roman"/>
                      <w:color w:val="auto"/>
                      <w:szCs w:val="21"/>
                    </w:rPr>
                  </w:pPr>
                  <w:r>
                    <w:rPr>
                      <w:rFonts w:ascii="Times New Roman" w:hAnsi="Times New Roman" w:eastAsia="Times New Roman" w:cs="Times New Roman"/>
                      <w:color w:val="auto"/>
                      <w:szCs w:val="21"/>
                    </w:rPr>
                    <w:t>Pmax</w:t>
                  </w:r>
                  <w:r>
                    <w:rPr>
                      <w:rFonts w:ascii="Times New Roman" w:hAnsi="Times New Roman" w:eastAsia="宋体" w:cs="Times New Roman"/>
                      <w:color w:val="auto"/>
                      <w:szCs w:val="21"/>
                    </w:rPr>
                    <w:t>＜</w:t>
                  </w:r>
                  <w:r>
                    <w:rPr>
                      <w:rFonts w:ascii="Times New Roman" w:hAnsi="Times New Roman" w:eastAsia="Times New Roman" w:cs="Times New Roman"/>
                      <w:color w:val="auto"/>
                      <w:szCs w:val="21"/>
                    </w:rPr>
                    <w:t>1%</w:t>
                  </w:r>
                </w:p>
              </w:tc>
            </w:tr>
          </w:tbl>
          <w:p>
            <w:pPr>
              <w:spacing w:line="360" w:lineRule="auto"/>
              <w:ind w:firstLine="480" w:firstLineChars="200"/>
              <w:rPr>
                <w:rFonts w:eastAsia="宋体" w:cs="Times New Roman"/>
                <w:b/>
                <w:color w:val="auto"/>
                <w:sz w:val="21"/>
                <w:szCs w:val="21"/>
              </w:rPr>
            </w:pPr>
            <w:r>
              <w:rPr>
                <w:bCs/>
                <w:color w:val="auto"/>
                <w:sz w:val="24"/>
                <w:szCs w:val="22"/>
              </w:rPr>
              <w:t>按照估算模式AERSCREEN模式，依据上述公式进行评价等级确定，其中污染物计算参数如下：</w:t>
            </w:r>
          </w:p>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评价因子和评价标准</w:t>
            </w:r>
          </w:p>
          <w:tbl>
            <w:tblPr>
              <w:tblStyle w:val="41"/>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7"/>
              <w:gridCol w:w="1192"/>
              <w:gridCol w:w="1307"/>
              <w:gridCol w:w="1018"/>
              <w:gridCol w:w="1127"/>
              <w:gridCol w:w="3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1337" w:type="dxa"/>
                  <w:vAlign w:val="center"/>
                </w:tcPr>
                <w:p>
                  <w:pPr>
                    <w:autoSpaceDE w:val="0"/>
                    <w:autoSpaceDN w:val="0"/>
                    <w:adjustRightInd w:val="0"/>
                    <w:spacing w:line="240" w:lineRule="auto"/>
                    <w:jc w:val="center"/>
                    <w:rPr>
                      <w:b/>
                      <w:bCs/>
                      <w:color w:val="auto"/>
                      <w:szCs w:val="16"/>
                    </w:rPr>
                  </w:pPr>
                  <w:r>
                    <w:rPr>
                      <w:b/>
                      <w:bCs/>
                      <w:color w:val="auto"/>
                      <w:szCs w:val="16"/>
                    </w:rPr>
                    <w:t>评价因子</w:t>
                  </w:r>
                </w:p>
              </w:tc>
              <w:tc>
                <w:tcPr>
                  <w:tcW w:w="1192" w:type="dxa"/>
                  <w:vAlign w:val="center"/>
                </w:tcPr>
                <w:p>
                  <w:pPr>
                    <w:autoSpaceDE w:val="0"/>
                    <w:autoSpaceDN w:val="0"/>
                    <w:adjustRightInd w:val="0"/>
                    <w:spacing w:line="240" w:lineRule="auto"/>
                    <w:jc w:val="center"/>
                    <w:rPr>
                      <w:b/>
                      <w:bCs/>
                      <w:color w:val="auto"/>
                      <w:szCs w:val="16"/>
                    </w:rPr>
                  </w:pPr>
                  <w:r>
                    <w:rPr>
                      <w:b/>
                      <w:bCs/>
                      <w:color w:val="auto"/>
                      <w:szCs w:val="16"/>
                    </w:rPr>
                    <w:t>平均时段</w:t>
                  </w:r>
                </w:p>
              </w:tc>
              <w:tc>
                <w:tcPr>
                  <w:tcW w:w="1307" w:type="dxa"/>
                  <w:vAlign w:val="center"/>
                </w:tcPr>
                <w:p>
                  <w:pPr>
                    <w:autoSpaceDE w:val="0"/>
                    <w:autoSpaceDN w:val="0"/>
                    <w:adjustRightInd w:val="0"/>
                    <w:spacing w:line="240" w:lineRule="auto"/>
                    <w:jc w:val="center"/>
                    <w:rPr>
                      <w:rFonts w:hint="eastAsia" w:eastAsia="宋体"/>
                      <w:b/>
                      <w:bCs/>
                      <w:color w:val="auto"/>
                      <w:szCs w:val="16"/>
                      <w:lang w:eastAsia="zh-CN"/>
                    </w:rPr>
                  </w:pPr>
                  <w:r>
                    <w:rPr>
                      <w:b/>
                      <w:bCs/>
                      <w:color w:val="auto"/>
                      <w:szCs w:val="16"/>
                    </w:rPr>
                    <w:t>质量标准</w:t>
                  </w:r>
                  <w:r>
                    <w:rPr>
                      <w:rFonts w:hint="eastAsia" w:eastAsia="宋体"/>
                      <w:b/>
                      <w:bCs/>
                      <w:color w:val="auto"/>
                      <w:szCs w:val="16"/>
                      <w:lang w:eastAsia="zh-CN"/>
                    </w:rPr>
                    <w:t>（</w:t>
                  </w:r>
                  <w:r>
                    <w:rPr>
                      <w:rFonts w:hint="eastAsia" w:cs="Times New Roman"/>
                      <w:b/>
                      <w:color w:val="auto"/>
                      <w:sz w:val="21"/>
                      <w:szCs w:val="21"/>
                      <w:shd w:val="clear" w:color="auto" w:fill="auto"/>
                      <w:lang w:val="en-US" w:eastAsia="zh-CN"/>
                    </w:rPr>
                    <w:t>m</w:t>
                  </w:r>
                  <w:r>
                    <w:rPr>
                      <w:rFonts w:hint="eastAsia" w:ascii="Times New Roman" w:hAnsi="Times New Roman" w:eastAsia="宋体" w:cs="Times New Roman"/>
                      <w:b/>
                      <w:color w:val="auto"/>
                      <w:sz w:val="21"/>
                      <w:szCs w:val="21"/>
                      <w:shd w:val="clear" w:color="auto" w:fill="auto"/>
                    </w:rPr>
                    <w:t>g/m</w:t>
                  </w:r>
                  <w:r>
                    <w:rPr>
                      <w:rFonts w:hint="eastAsia" w:ascii="Times New Roman" w:hAnsi="Times New Roman" w:eastAsia="宋体" w:cs="Times New Roman"/>
                      <w:b/>
                      <w:color w:val="auto"/>
                      <w:sz w:val="21"/>
                      <w:szCs w:val="21"/>
                      <w:shd w:val="clear" w:color="auto" w:fill="auto"/>
                      <w:vertAlign w:val="superscript"/>
                    </w:rPr>
                    <w:t>3</w:t>
                  </w:r>
                  <w:r>
                    <w:rPr>
                      <w:rFonts w:hint="eastAsia" w:eastAsia="宋体"/>
                      <w:b/>
                      <w:bCs/>
                      <w:color w:val="auto"/>
                      <w:szCs w:val="16"/>
                      <w:lang w:eastAsia="zh-CN"/>
                    </w:rPr>
                    <w:t>）</w:t>
                  </w:r>
                </w:p>
              </w:tc>
              <w:tc>
                <w:tcPr>
                  <w:tcW w:w="1018" w:type="dxa"/>
                  <w:vAlign w:val="center"/>
                </w:tcPr>
                <w:p>
                  <w:pPr>
                    <w:autoSpaceDE w:val="0"/>
                    <w:autoSpaceDN w:val="0"/>
                    <w:adjustRightInd w:val="0"/>
                    <w:spacing w:line="240" w:lineRule="auto"/>
                    <w:jc w:val="center"/>
                    <w:rPr>
                      <w:b/>
                      <w:bCs/>
                      <w:color w:val="auto"/>
                      <w:szCs w:val="16"/>
                    </w:rPr>
                  </w:pPr>
                  <w:r>
                    <w:rPr>
                      <w:b/>
                      <w:bCs/>
                      <w:color w:val="auto"/>
                      <w:szCs w:val="16"/>
                    </w:rPr>
                    <w:t>折算倍数</w:t>
                  </w:r>
                </w:p>
              </w:tc>
              <w:tc>
                <w:tcPr>
                  <w:tcW w:w="1127" w:type="dxa"/>
                  <w:vAlign w:val="center"/>
                </w:tcPr>
                <w:p>
                  <w:pPr>
                    <w:autoSpaceDE w:val="0"/>
                    <w:autoSpaceDN w:val="0"/>
                    <w:adjustRightInd w:val="0"/>
                    <w:spacing w:line="240" w:lineRule="auto"/>
                    <w:jc w:val="center"/>
                    <w:rPr>
                      <w:rFonts w:hint="eastAsia" w:eastAsia="宋体"/>
                      <w:b/>
                      <w:bCs/>
                      <w:color w:val="auto"/>
                      <w:szCs w:val="16"/>
                      <w:lang w:eastAsia="zh-CN"/>
                    </w:rPr>
                  </w:pPr>
                  <w:r>
                    <w:rPr>
                      <w:b/>
                      <w:bCs/>
                      <w:color w:val="auto"/>
                      <w:szCs w:val="16"/>
                    </w:rPr>
                    <w:t>评价标准</w:t>
                  </w:r>
                  <w:r>
                    <w:rPr>
                      <w:rFonts w:hint="eastAsia" w:eastAsia="宋体"/>
                      <w:b/>
                      <w:bCs/>
                      <w:color w:val="auto"/>
                      <w:szCs w:val="16"/>
                      <w:lang w:eastAsia="zh-CN"/>
                    </w:rPr>
                    <w:t>（</w:t>
                  </w:r>
                  <w:r>
                    <w:rPr>
                      <w:rFonts w:hint="eastAsia" w:cs="Times New Roman"/>
                      <w:b/>
                      <w:color w:val="auto"/>
                      <w:sz w:val="21"/>
                      <w:szCs w:val="21"/>
                      <w:shd w:val="clear" w:color="auto" w:fill="auto"/>
                      <w:lang w:val="en-US" w:eastAsia="zh-CN"/>
                    </w:rPr>
                    <w:t>m</w:t>
                  </w:r>
                  <w:r>
                    <w:rPr>
                      <w:rFonts w:hint="eastAsia" w:ascii="Times New Roman" w:hAnsi="Times New Roman" w:eastAsia="宋体" w:cs="Times New Roman"/>
                      <w:b/>
                      <w:color w:val="auto"/>
                      <w:sz w:val="21"/>
                      <w:szCs w:val="21"/>
                      <w:shd w:val="clear" w:color="auto" w:fill="auto"/>
                    </w:rPr>
                    <w:t>g/m</w:t>
                  </w:r>
                  <w:r>
                    <w:rPr>
                      <w:rFonts w:hint="eastAsia" w:ascii="Times New Roman" w:hAnsi="Times New Roman" w:eastAsia="宋体" w:cs="Times New Roman"/>
                      <w:b/>
                      <w:color w:val="auto"/>
                      <w:sz w:val="21"/>
                      <w:szCs w:val="21"/>
                      <w:shd w:val="clear" w:color="auto" w:fill="auto"/>
                      <w:vertAlign w:val="superscript"/>
                    </w:rPr>
                    <w:t>3</w:t>
                  </w:r>
                  <w:r>
                    <w:rPr>
                      <w:rFonts w:hint="eastAsia" w:eastAsia="宋体"/>
                      <w:b/>
                      <w:bCs/>
                      <w:color w:val="auto"/>
                      <w:szCs w:val="16"/>
                      <w:lang w:eastAsia="zh-CN"/>
                    </w:rPr>
                    <w:t>）</w:t>
                  </w:r>
                </w:p>
              </w:tc>
              <w:tc>
                <w:tcPr>
                  <w:tcW w:w="3058" w:type="dxa"/>
                  <w:vAlign w:val="center"/>
                </w:tcPr>
                <w:p>
                  <w:pPr>
                    <w:autoSpaceDE w:val="0"/>
                    <w:autoSpaceDN w:val="0"/>
                    <w:adjustRightInd w:val="0"/>
                    <w:spacing w:line="240" w:lineRule="auto"/>
                    <w:jc w:val="center"/>
                    <w:rPr>
                      <w:b/>
                      <w:bCs/>
                      <w:color w:val="auto"/>
                      <w:szCs w:val="16"/>
                    </w:rPr>
                  </w:pPr>
                  <w:r>
                    <w:rPr>
                      <w:b/>
                      <w:bCs/>
                      <w:color w:val="auto"/>
                      <w:szCs w:val="16"/>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337" w:type="dxa"/>
                  <w:vAlign w:val="center"/>
                </w:tcPr>
                <w:p>
                  <w:pPr>
                    <w:widowControl w:val="0"/>
                    <w:autoSpaceDE w:val="0"/>
                    <w:autoSpaceDN w:val="0"/>
                    <w:adjustRightInd w:val="0"/>
                    <w:spacing w:line="240" w:lineRule="auto"/>
                    <w:jc w:val="center"/>
                    <w:rPr>
                      <w:rFonts w:hint="default" w:ascii="Times New Roman" w:eastAsia="宋体" w:cs="Times New Roman"/>
                      <w:color w:val="auto"/>
                      <w:sz w:val="21"/>
                      <w:szCs w:val="16"/>
                      <w:lang w:val="en-US" w:eastAsia="zh-CN"/>
                    </w:rPr>
                  </w:pPr>
                  <w:r>
                    <w:rPr>
                      <w:rFonts w:hint="eastAsia" w:ascii="Times New Roman" w:hAnsi="Times New Roman" w:eastAsia="宋体" w:cs="Times New Roman"/>
                      <w:b w:val="0"/>
                      <w:bCs w:val="0"/>
                      <w:color w:val="auto"/>
                      <w:sz w:val="21"/>
                      <w:szCs w:val="16"/>
                      <w:vertAlign w:val="baseline"/>
                      <w:lang w:val="en-US" w:eastAsia="zh-CN" w:bidi="ar-SA"/>
                    </w:rPr>
                    <w:t>PM</w:t>
                  </w:r>
                  <w:r>
                    <w:rPr>
                      <w:rFonts w:hint="eastAsia" w:ascii="Times New Roman" w:hAnsi="Times New Roman" w:eastAsia="宋体" w:cs="Times New Roman"/>
                      <w:b w:val="0"/>
                      <w:bCs w:val="0"/>
                      <w:color w:val="auto"/>
                      <w:sz w:val="21"/>
                      <w:szCs w:val="16"/>
                      <w:vertAlign w:val="subscript"/>
                      <w:lang w:val="en-US" w:eastAsia="zh-CN" w:bidi="ar-SA"/>
                    </w:rPr>
                    <w:t>10</w:t>
                  </w:r>
                </w:p>
              </w:tc>
              <w:tc>
                <w:tcPr>
                  <w:tcW w:w="1192" w:type="dxa"/>
                  <w:vAlign w:val="center"/>
                </w:tcPr>
                <w:p>
                  <w:pPr>
                    <w:widowControl w:val="0"/>
                    <w:autoSpaceDE w:val="0"/>
                    <w:autoSpaceDN w:val="0"/>
                    <w:adjustRightInd w:val="0"/>
                    <w:spacing w:line="240" w:lineRule="auto"/>
                    <w:jc w:val="center"/>
                    <w:rPr>
                      <w:rFonts w:ascii="Times New Roman" w:cs="Times New Roman"/>
                      <w:color w:val="auto"/>
                      <w:sz w:val="21"/>
                      <w:szCs w:val="16"/>
                    </w:rPr>
                  </w:pPr>
                  <w:r>
                    <w:rPr>
                      <w:rFonts w:hint="eastAsia" w:ascii="Times New Roman" w:hAnsi="Times New Roman" w:eastAsia="宋体" w:cs="Times New Roman"/>
                      <w:b w:val="0"/>
                      <w:bCs w:val="0"/>
                      <w:color w:val="auto"/>
                      <w:sz w:val="21"/>
                      <w:szCs w:val="16"/>
                      <w:vertAlign w:val="baseline"/>
                      <w:lang w:val="en-US" w:eastAsia="zh-CN" w:bidi="ar-SA"/>
                    </w:rPr>
                    <w:t>24</w:t>
                  </w:r>
                  <w:r>
                    <w:rPr>
                      <w:rFonts w:hint="default" w:ascii="Times New Roman" w:hAnsi="Times New Roman" w:eastAsia="宋体" w:cs="Times New Roman"/>
                      <w:b w:val="0"/>
                      <w:bCs w:val="0"/>
                      <w:color w:val="auto"/>
                      <w:sz w:val="21"/>
                      <w:szCs w:val="16"/>
                      <w:vertAlign w:val="baseline"/>
                      <w:lang w:val="en-US" w:eastAsia="zh-CN" w:bidi="ar-SA"/>
                    </w:rPr>
                    <w:t>小时</w:t>
                  </w:r>
                </w:p>
              </w:tc>
              <w:tc>
                <w:tcPr>
                  <w:tcW w:w="1307" w:type="dxa"/>
                  <w:vAlign w:val="center"/>
                </w:tcPr>
                <w:p>
                  <w:pPr>
                    <w:widowControl w:val="0"/>
                    <w:autoSpaceDE w:val="0"/>
                    <w:autoSpaceDN w:val="0"/>
                    <w:adjustRightInd w:val="0"/>
                    <w:spacing w:line="240" w:lineRule="auto"/>
                    <w:jc w:val="center"/>
                    <w:rPr>
                      <w:rFonts w:ascii="Times New Roman" w:cs="Times New Roman"/>
                      <w:color w:val="auto"/>
                      <w:sz w:val="21"/>
                      <w:szCs w:val="16"/>
                    </w:rPr>
                  </w:pPr>
                  <w:r>
                    <w:rPr>
                      <w:rFonts w:hint="eastAsia" w:ascii="Times New Roman" w:hAnsi="Times New Roman" w:eastAsia="宋体" w:cs="Times New Roman"/>
                      <w:b w:val="0"/>
                      <w:bCs w:val="0"/>
                      <w:color w:val="auto"/>
                      <w:sz w:val="21"/>
                      <w:szCs w:val="16"/>
                      <w:vertAlign w:val="baseline"/>
                      <w:lang w:val="en-US" w:eastAsia="zh-CN" w:bidi="ar-SA"/>
                    </w:rPr>
                    <w:t>0.15</w:t>
                  </w:r>
                </w:p>
              </w:tc>
              <w:tc>
                <w:tcPr>
                  <w:tcW w:w="1018" w:type="dxa"/>
                  <w:vAlign w:val="center"/>
                </w:tcPr>
                <w:p>
                  <w:pPr>
                    <w:widowControl w:val="0"/>
                    <w:autoSpaceDE w:val="0"/>
                    <w:autoSpaceDN w:val="0"/>
                    <w:adjustRightInd w:val="0"/>
                    <w:spacing w:line="240" w:lineRule="auto"/>
                    <w:jc w:val="center"/>
                    <w:rPr>
                      <w:rFonts w:ascii="Times New Roman" w:cs="Times New Roman"/>
                      <w:color w:val="auto"/>
                      <w:sz w:val="21"/>
                      <w:szCs w:val="16"/>
                    </w:rPr>
                  </w:pPr>
                  <w:r>
                    <w:rPr>
                      <w:rFonts w:hint="default" w:ascii="Times New Roman" w:hAnsi="Times New Roman" w:eastAsia="宋体" w:cs="Times New Roman"/>
                      <w:b w:val="0"/>
                      <w:bCs w:val="0"/>
                      <w:color w:val="auto"/>
                      <w:sz w:val="21"/>
                      <w:szCs w:val="16"/>
                      <w:vertAlign w:val="baseline"/>
                      <w:lang w:val="en-US" w:eastAsia="zh-CN" w:bidi="ar-SA"/>
                    </w:rPr>
                    <w:t>3</w:t>
                  </w:r>
                </w:p>
              </w:tc>
              <w:tc>
                <w:tcPr>
                  <w:tcW w:w="1127" w:type="dxa"/>
                  <w:vAlign w:val="center"/>
                </w:tcPr>
                <w:p>
                  <w:pPr>
                    <w:widowControl w:val="0"/>
                    <w:autoSpaceDE w:val="0"/>
                    <w:autoSpaceDN w:val="0"/>
                    <w:adjustRightInd w:val="0"/>
                    <w:spacing w:line="240" w:lineRule="auto"/>
                    <w:jc w:val="center"/>
                    <w:rPr>
                      <w:rFonts w:ascii="Times New Roman" w:cs="Times New Roman"/>
                      <w:color w:val="auto"/>
                      <w:sz w:val="21"/>
                      <w:szCs w:val="16"/>
                    </w:rPr>
                  </w:pPr>
                  <w:r>
                    <w:rPr>
                      <w:rFonts w:hint="eastAsia" w:ascii="Times New Roman" w:hAnsi="Times New Roman" w:eastAsia="宋体" w:cs="Times New Roman"/>
                      <w:b w:val="0"/>
                      <w:bCs w:val="0"/>
                      <w:color w:val="auto"/>
                      <w:sz w:val="21"/>
                      <w:szCs w:val="16"/>
                      <w:vertAlign w:val="baseline"/>
                      <w:lang w:val="en-US" w:eastAsia="zh-CN" w:bidi="ar-SA"/>
                    </w:rPr>
                    <w:t>0.45</w:t>
                  </w:r>
                </w:p>
              </w:tc>
              <w:tc>
                <w:tcPr>
                  <w:tcW w:w="3058" w:type="dxa"/>
                  <w:vAlign w:val="center"/>
                </w:tcPr>
                <w:p>
                  <w:pPr>
                    <w:pStyle w:val="47"/>
                    <w:spacing w:line="240" w:lineRule="auto"/>
                    <w:jc w:val="center"/>
                    <w:rPr>
                      <w:rFonts w:ascii="Times New Roman" w:cs="Times New Roman"/>
                      <w:color w:val="auto"/>
                      <w:sz w:val="21"/>
                      <w:szCs w:val="16"/>
                    </w:rPr>
                  </w:pPr>
                  <w:r>
                    <w:rPr>
                      <w:rFonts w:ascii="Times New Roman" w:cs="Times New Roman"/>
                      <w:color w:val="auto"/>
                      <w:sz w:val="21"/>
                      <w:szCs w:val="21"/>
                    </w:rPr>
                    <w:t>《环境空气质量标准》（GB3095-2012）及”2018修改单”二级标准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1337" w:type="dxa"/>
                  <w:vAlign w:val="center"/>
                </w:tcPr>
                <w:p>
                  <w:pPr>
                    <w:pStyle w:val="47"/>
                    <w:jc w:val="center"/>
                    <w:rPr>
                      <w:rFonts w:ascii="Times New Roman" w:hAnsi="Times New Roman" w:eastAsia="宋体" w:cs="Times New Roman"/>
                      <w:color w:val="auto"/>
                      <w:kern w:val="2"/>
                      <w:sz w:val="21"/>
                      <w:szCs w:val="16"/>
                      <w:highlight w:val="yellow"/>
                      <w:lang w:val="en-US" w:eastAsia="zh-CN" w:bidi="ar-SA"/>
                    </w:rPr>
                  </w:pPr>
                  <w:r>
                    <w:rPr>
                      <w:rFonts w:ascii="Times New Roman" w:cs="Times New Roman"/>
                      <w:color w:val="auto"/>
                      <w:sz w:val="21"/>
                      <w:szCs w:val="16"/>
                    </w:rPr>
                    <w:t>非甲烷总烃</w:t>
                  </w:r>
                </w:p>
              </w:tc>
              <w:tc>
                <w:tcPr>
                  <w:tcW w:w="1192" w:type="dxa"/>
                  <w:vAlign w:val="center"/>
                </w:tcPr>
                <w:p>
                  <w:pPr>
                    <w:pStyle w:val="47"/>
                    <w:jc w:val="center"/>
                    <w:rPr>
                      <w:rFonts w:hint="eastAsia" w:ascii="Times New Roman" w:hAnsi="Times New Roman" w:eastAsia="宋体" w:cs="Times New Roman"/>
                      <w:color w:val="auto"/>
                      <w:kern w:val="2"/>
                      <w:sz w:val="21"/>
                      <w:szCs w:val="16"/>
                      <w:highlight w:val="yellow"/>
                      <w:lang w:val="en-US" w:eastAsia="zh-CN" w:bidi="ar-SA"/>
                    </w:rPr>
                  </w:pPr>
                  <w:r>
                    <w:rPr>
                      <w:rStyle w:val="46"/>
                      <w:rFonts w:hint="eastAsia" w:ascii="Times New Roman" w:cs="Times New Roman"/>
                      <w:color w:val="auto"/>
                      <w:kern w:val="2"/>
                    </w:rPr>
                    <w:t>1小时</w:t>
                  </w:r>
                </w:p>
              </w:tc>
              <w:tc>
                <w:tcPr>
                  <w:tcW w:w="1307" w:type="dxa"/>
                  <w:vAlign w:val="center"/>
                </w:tcPr>
                <w:p>
                  <w:pPr>
                    <w:pStyle w:val="47"/>
                    <w:jc w:val="center"/>
                    <w:rPr>
                      <w:rFonts w:ascii="Times New Roman" w:hAnsi="Times New Roman" w:eastAsia="宋体" w:cs="Times New Roman"/>
                      <w:color w:val="auto"/>
                      <w:kern w:val="2"/>
                      <w:sz w:val="21"/>
                      <w:szCs w:val="16"/>
                      <w:highlight w:val="yellow"/>
                      <w:lang w:val="en-US" w:eastAsia="zh-CN" w:bidi="ar-SA"/>
                    </w:rPr>
                  </w:pPr>
                  <w:r>
                    <w:rPr>
                      <w:rFonts w:ascii="Times New Roman" w:cs="Times New Roman"/>
                      <w:color w:val="auto"/>
                      <w:sz w:val="21"/>
                      <w:szCs w:val="16"/>
                    </w:rPr>
                    <w:t>2</w:t>
                  </w:r>
                </w:p>
              </w:tc>
              <w:tc>
                <w:tcPr>
                  <w:tcW w:w="1018" w:type="dxa"/>
                  <w:vAlign w:val="center"/>
                </w:tcPr>
                <w:p>
                  <w:pPr>
                    <w:pStyle w:val="47"/>
                    <w:jc w:val="center"/>
                    <w:rPr>
                      <w:rFonts w:ascii="Times New Roman" w:hAnsi="Times New Roman" w:eastAsia="宋体" w:cs="Times New Roman"/>
                      <w:color w:val="auto"/>
                      <w:kern w:val="2"/>
                      <w:sz w:val="21"/>
                      <w:szCs w:val="16"/>
                      <w:highlight w:val="yellow"/>
                      <w:lang w:val="en-US" w:eastAsia="zh-CN" w:bidi="ar-SA"/>
                    </w:rPr>
                  </w:pPr>
                  <w:r>
                    <w:rPr>
                      <w:rFonts w:ascii="Times New Roman" w:cs="Times New Roman"/>
                      <w:color w:val="auto"/>
                      <w:sz w:val="21"/>
                      <w:szCs w:val="16"/>
                    </w:rPr>
                    <w:t>/</w:t>
                  </w:r>
                </w:p>
              </w:tc>
              <w:tc>
                <w:tcPr>
                  <w:tcW w:w="1127" w:type="dxa"/>
                  <w:vAlign w:val="center"/>
                </w:tcPr>
                <w:p>
                  <w:pPr>
                    <w:pStyle w:val="47"/>
                    <w:jc w:val="center"/>
                    <w:rPr>
                      <w:rFonts w:ascii="Times New Roman" w:hAnsi="Times New Roman" w:eastAsia="宋体" w:cs="Times New Roman"/>
                      <w:color w:val="auto"/>
                      <w:kern w:val="2"/>
                      <w:sz w:val="21"/>
                      <w:szCs w:val="16"/>
                      <w:highlight w:val="yellow"/>
                      <w:lang w:val="en-US" w:eastAsia="zh-CN" w:bidi="ar-SA"/>
                    </w:rPr>
                  </w:pPr>
                  <w:r>
                    <w:rPr>
                      <w:rFonts w:ascii="Times New Roman" w:cs="Times New Roman"/>
                      <w:color w:val="auto"/>
                      <w:sz w:val="21"/>
                      <w:szCs w:val="16"/>
                    </w:rPr>
                    <w:t>2</w:t>
                  </w:r>
                </w:p>
              </w:tc>
              <w:tc>
                <w:tcPr>
                  <w:tcW w:w="3058" w:type="dxa"/>
                  <w:vAlign w:val="center"/>
                </w:tcPr>
                <w:p>
                  <w:pPr>
                    <w:pStyle w:val="47"/>
                    <w:jc w:val="center"/>
                    <w:rPr>
                      <w:rFonts w:ascii="Times New Roman" w:hAnsi="Times New Roman" w:eastAsia="宋体" w:cs="Times New Roman"/>
                      <w:color w:val="auto"/>
                      <w:kern w:val="2"/>
                      <w:sz w:val="21"/>
                      <w:szCs w:val="16"/>
                      <w:highlight w:val="yellow"/>
                      <w:lang w:val="en-US" w:eastAsia="zh-CN" w:bidi="ar-SA"/>
                    </w:rPr>
                  </w:pPr>
                  <w:r>
                    <w:rPr>
                      <w:rFonts w:ascii="Times New Roman" w:cs="Times New Roman"/>
                      <w:color w:val="auto"/>
                      <w:sz w:val="21"/>
                      <w:szCs w:val="16"/>
                    </w:rPr>
                    <w:t>《大气污染物综合排放标准详解》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337" w:type="dxa"/>
                  <w:vAlign w:val="center"/>
                </w:tcPr>
                <w:p>
                  <w:pPr>
                    <w:pStyle w:val="47"/>
                    <w:spacing w:line="360" w:lineRule="auto"/>
                    <w:jc w:val="center"/>
                    <w:rPr>
                      <w:rFonts w:ascii="Times New Roman" w:cs="Times New Roman"/>
                      <w:color w:val="auto"/>
                      <w:sz w:val="21"/>
                      <w:szCs w:val="16"/>
                    </w:rPr>
                  </w:pPr>
                  <w:r>
                    <w:rPr>
                      <w:rFonts w:ascii="Times New Roman" w:cs="Times New Roman"/>
                      <w:color w:val="auto"/>
                      <w:sz w:val="21"/>
                      <w:szCs w:val="16"/>
                    </w:rPr>
                    <w:t>TSP</w:t>
                  </w:r>
                </w:p>
              </w:tc>
              <w:tc>
                <w:tcPr>
                  <w:tcW w:w="1192" w:type="dxa"/>
                  <w:vAlign w:val="center"/>
                </w:tcPr>
                <w:p>
                  <w:pPr>
                    <w:autoSpaceDE w:val="0"/>
                    <w:autoSpaceDN w:val="0"/>
                    <w:adjustRightInd w:val="0"/>
                    <w:jc w:val="center"/>
                    <w:rPr>
                      <w:rStyle w:val="46"/>
                      <w:color w:val="auto"/>
                    </w:rPr>
                  </w:pPr>
                  <w:r>
                    <w:rPr>
                      <w:color w:val="auto"/>
                      <w:szCs w:val="16"/>
                    </w:rPr>
                    <w:t>24小时</w:t>
                  </w:r>
                </w:p>
              </w:tc>
              <w:tc>
                <w:tcPr>
                  <w:tcW w:w="1307" w:type="dxa"/>
                  <w:vAlign w:val="center"/>
                </w:tcPr>
                <w:p>
                  <w:pPr>
                    <w:autoSpaceDE w:val="0"/>
                    <w:autoSpaceDN w:val="0"/>
                    <w:adjustRightInd w:val="0"/>
                    <w:jc w:val="center"/>
                    <w:rPr>
                      <w:color w:val="auto"/>
                      <w:szCs w:val="16"/>
                    </w:rPr>
                  </w:pPr>
                  <w:r>
                    <w:rPr>
                      <w:color w:val="auto"/>
                      <w:szCs w:val="16"/>
                    </w:rPr>
                    <w:t>0.3</w:t>
                  </w:r>
                </w:p>
              </w:tc>
              <w:tc>
                <w:tcPr>
                  <w:tcW w:w="1018" w:type="dxa"/>
                  <w:vAlign w:val="center"/>
                </w:tcPr>
                <w:p>
                  <w:pPr>
                    <w:autoSpaceDE w:val="0"/>
                    <w:autoSpaceDN w:val="0"/>
                    <w:adjustRightInd w:val="0"/>
                    <w:jc w:val="center"/>
                    <w:rPr>
                      <w:color w:val="auto"/>
                      <w:szCs w:val="16"/>
                    </w:rPr>
                  </w:pPr>
                  <w:r>
                    <w:rPr>
                      <w:color w:val="auto"/>
                      <w:szCs w:val="16"/>
                    </w:rPr>
                    <w:t>3</w:t>
                  </w:r>
                </w:p>
              </w:tc>
              <w:tc>
                <w:tcPr>
                  <w:tcW w:w="1127" w:type="dxa"/>
                  <w:vAlign w:val="center"/>
                </w:tcPr>
                <w:p>
                  <w:pPr>
                    <w:autoSpaceDE w:val="0"/>
                    <w:autoSpaceDN w:val="0"/>
                    <w:adjustRightInd w:val="0"/>
                    <w:jc w:val="center"/>
                    <w:rPr>
                      <w:color w:val="auto"/>
                      <w:szCs w:val="16"/>
                    </w:rPr>
                  </w:pPr>
                  <w:r>
                    <w:rPr>
                      <w:color w:val="auto"/>
                      <w:szCs w:val="16"/>
                    </w:rPr>
                    <w:t>0.9</w:t>
                  </w:r>
                </w:p>
              </w:tc>
              <w:tc>
                <w:tcPr>
                  <w:tcW w:w="3058" w:type="dxa"/>
                  <w:vAlign w:val="center"/>
                </w:tcPr>
                <w:p>
                  <w:pPr>
                    <w:pStyle w:val="47"/>
                    <w:jc w:val="center"/>
                    <w:rPr>
                      <w:rFonts w:ascii="Times New Roman" w:cs="Times New Roman"/>
                      <w:color w:val="auto"/>
                      <w:sz w:val="21"/>
                      <w:szCs w:val="16"/>
                    </w:rPr>
                  </w:pPr>
                  <w:r>
                    <w:rPr>
                      <w:rFonts w:ascii="Times New Roman" w:cs="Times New Roman"/>
                      <w:color w:val="auto"/>
                      <w:sz w:val="21"/>
                      <w:szCs w:val="21"/>
                    </w:rPr>
                    <w:t>《环境空气质量标准》（GB3095-2012）及”2018修改单”二级标准</w:t>
                  </w:r>
                </w:p>
              </w:tc>
            </w:tr>
          </w:tbl>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lang w:val="zh-CN"/>
              </w:rPr>
              <w:t>估算模型参数表</w:t>
            </w:r>
          </w:p>
          <w:tbl>
            <w:tblPr>
              <w:tblStyle w:val="40"/>
              <w:tblW w:w="8784"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2627"/>
              <w:gridCol w:w="2370"/>
              <w:gridCol w:w="3787"/>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b/>
                      <w:color w:val="auto"/>
                      <w:szCs w:val="21"/>
                      <w:lang w:val="zh-CN"/>
                    </w:rPr>
                  </w:pPr>
                  <w:r>
                    <w:rPr>
                      <w:b/>
                      <w:color w:val="auto"/>
                      <w:szCs w:val="21"/>
                      <w:lang w:val="zh-CN"/>
                    </w:rPr>
                    <w:t>参数</w:t>
                  </w:r>
                </w:p>
              </w:tc>
              <w:tc>
                <w:tcPr>
                  <w:tcW w:w="3787" w:type="dxa"/>
                  <w:tcBorders>
                    <w:tl2br w:val="nil"/>
                    <w:tr2bl w:val="nil"/>
                  </w:tcBorders>
                  <w:vAlign w:val="center"/>
                </w:tcPr>
                <w:p>
                  <w:pPr>
                    <w:spacing w:line="360" w:lineRule="auto"/>
                    <w:jc w:val="center"/>
                    <w:rPr>
                      <w:b/>
                      <w:color w:val="auto"/>
                      <w:szCs w:val="21"/>
                      <w:lang w:val="zh-CN"/>
                    </w:rPr>
                  </w:pPr>
                  <w:r>
                    <w:rPr>
                      <w:b/>
                      <w:color w:val="auto"/>
                      <w:szCs w:val="21"/>
                      <w:lang w:val="zh-CN"/>
                    </w:rPr>
                    <w:t>取值</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restart"/>
                  <w:tcBorders>
                    <w:tl2br w:val="nil"/>
                    <w:tr2bl w:val="nil"/>
                  </w:tcBorders>
                  <w:vAlign w:val="center"/>
                </w:tcPr>
                <w:p>
                  <w:pPr>
                    <w:spacing w:line="360" w:lineRule="auto"/>
                    <w:jc w:val="center"/>
                    <w:rPr>
                      <w:color w:val="auto"/>
                      <w:szCs w:val="21"/>
                    </w:rPr>
                  </w:pPr>
                  <w:r>
                    <w:rPr>
                      <w:color w:val="auto"/>
                      <w:szCs w:val="21"/>
                      <w:lang w:val="zh-CN"/>
                    </w:rPr>
                    <w:t>城市</w:t>
                  </w:r>
                  <w:r>
                    <w:rPr>
                      <w:color w:val="auto"/>
                      <w:szCs w:val="21"/>
                    </w:rPr>
                    <w:t>/农村选项</w:t>
                  </w:r>
                </w:p>
              </w:tc>
              <w:tc>
                <w:tcPr>
                  <w:tcW w:w="2370" w:type="dxa"/>
                  <w:tcBorders>
                    <w:tl2br w:val="nil"/>
                    <w:tr2bl w:val="nil"/>
                  </w:tcBorders>
                  <w:vAlign w:val="center"/>
                </w:tcPr>
                <w:p>
                  <w:pPr>
                    <w:spacing w:line="360" w:lineRule="auto"/>
                    <w:jc w:val="center"/>
                    <w:rPr>
                      <w:color w:val="auto"/>
                      <w:szCs w:val="21"/>
                    </w:rPr>
                  </w:pPr>
                  <w:r>
                    <w:rPr>
                      <w:color w:val="auto"/>
                      <w:szCs w:val="21"/>
                      <w:lang w:val="zh-CN"/>
                    </w:rPr>
                    <w:t>城市</w:t>
                  </w:r>
                  <w:r>
                    <w:rPr>
                      <w:color w:val="auto"/>
                      <w:szCs w:val="21"/>
                    </w:rPr>
                    <w:t>/农村</w:t>
                  </w:r>
                </w:p>
              </w:tc>
              <w:tc>
                <w:tcPr>
                  <w:tcW w:w="3787" w:type="dxa"/>
                  <w:tcBorders>
                    <w:tl2br w:val="nil"/>
                    <w:tr2bl w:val="nil"/>
                  </w:tcBorders>
                  <w:vAlign w:val="center"/>
                </w:tcPr>
                <w:p>
                  <w:pPr>
                    <w:spacing w:line="360" w:lineRule="auto"/>
                    <w:ind w:firstLine="0" w:firstLineChars="0"/>
                    <w:jc w:val="center"/>
                    <w:rPr>
                      <w:color w:val="auto"/>
                      <w:szCs w:val="21"/>
                      <w:lang w:val="zh-CN"/>
                    </w:rPr>
                  </w:pPr>
                  <w:r>
                    <w:rPr>
                      <w:rFonts w:hint="eastAsia" w:ascii="Times New Roman" w:hAnsi="Times New Roman" w:eastAsia="宋体" w:cs="Times New Roman"/>
                      <w:color w:val="auto"/>
                      <w:sz w:val="21"/>
                      <w:szCs w:val="21"/>
                      <w:lang w:val="zh-CN"/>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lang w:val="zh-CN"/>
                    </w:rPr>
                  </w:pPr>
                  <w:r>
                    <w:rPr>
                      <w:color w:val="auto"/>
                      <w:szCs w:val="21"/>
                      <w:lang w:val="zh-CN"/>
                    </w:rPr>
                    <w:t>人口数（城市选项时）</w:t>
                  </w:r>
                </w:p>
              </w:tc>
              <w:tc>
                <w:tcPr>
                  <w:tcW w:w="3787" w:type="dxa"/>
                  <w:tcBorders>
                    <w:tl2br w:val="nil"/>
                    <w:tr2bl w:val="nil"/>
                  </w:tcBorders>
                  <w:vAlign w:val="center"/>
                </w:tcPr>
                <w:p>
                  <w:pPr>
                    <w:spacing w:line="360" w:lineRule="auto"/>
                    <w:ind w:firstLine="0" w:firstLineChars="0"/>
                    <w:jc w:val="center"/>
                    <w:rPr>
                      <w:rFonts w:hint="eastAsia" w:eastAsia="宋体"/>
                      <w:color w:val="auto"/>
                      <w:szCs w:val="21"/>
                      <w:lang w:eastAsia="zh-CN"/>
                    </w:rPr>
                  </w:pPr>
                  <w:r>
                    <w:rPr>
                      <w:rFonts w:hint="eastAsia" w:cs="Times New Roman"/>
                      <w:color w:val="auto"/>
                      <w:sz w:val="21"/>
                      <w:szCs w:val="21"/>
                      <w:lang w:val="en-US" w:eastAsia="zh-CN"/>
                    </w:rPr>
                    <w:t>7.5</w:t>
                  </w:r>
                  <w:r>
                    <w:rPr>
                      <w:rFonts w:hint="eastAsia" w:ascii="Times New Roman" w:hAnsi="Times New Roman" w:eastAsia="宋体" w:cs="Times New Roman"/>
                      <w:color w:val="auto"/>
                      <w:sz w:val="21"/>
                      <w:szCs w:val="21"/>
                      <w:lang w:val="en-US" w:eastAsia="zh-CN"/>
                    </w:rPr>
                    <w:t>万</w:t>
                  </w:r>
                  <w:r>
                    <w:rPr>
                      <w:rFonts w:hint="eastAsia" w:cs="Times New Roman"/>
                      <w:color w:val="auto"/>
                      <w:sz w:val="21"/>
                      <w:szCs w:val="21"/>
                      <w:lang w:val="en-US" w:eastAsia="zh-CN"/>
                    </w:rPr>
                    <w:t>（水口镇）</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最高环境温度</w:t>
                  </w:r>
                  <w:r>
                    <w:rPr>
                      <w:color w:val="auto"/>
                      <w:szCs w:val="21"/>
                    </w:rPr>
                    <w:t>/℃</w:t>
                  </w:r>
                </w:p>
              </w:tc>
              <w:tc>
                <w:tcPr>
                  <w:tcW w:w="3787" w:type="dxa"/>
                  <w:tcBorders>
                    <w:tl2br w:val="nil"/>
                    <w:tr2bl w:val="nil"/>
                  </w:tcBorders>
                  <w:vAlign w:val="center"/>
                </w:tcPr>
                <w:p>
                  <w:pPr>
                    <w:spacing w:line="360" w:lineRule="auto"/>
                    <w:jc w:val="center"/>
                    <w:rPr>
                      <w:rFonts w:hint="default" w:eastAsia="宋体"/>
                      <w:color w:val="auto"/>
                      <w:szCs w:val="21"/>
                      <w:lang w:val="en-US" w:eastAsia="zh-CN"/>
                    </w:rPr>
                  </w:pPr>
                  <w:r>
                    <w:rPr>
                      <w:rFonts w:hint="eastAsia" w:ascii="Times New Roman" w:eastAsia="宋体"/>
                      <w:color w:val="auto"/>
                      <w:szCs w:val="21"/>
                      <w:lang w:val="en-US" w:eastAsia="zh-CN"/>
                    </w:rPr>
                    <w:t>39.4</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最低环境温度</w:t>
                  </w:r>
                  <w:r>
                    <w:rPr>
                      <w:color w:val="auto"/>
                      <w:szCs w:val="21"/>
                    </w:rPr>
                    <w:t>/℃</w:t>
                  </w:r>
                </w:p>
              </w:tc>
              <w:tc>
                <w:tcPr>
                  <w:tcW w:w="3787" w:type="dxa"/>
                  <w:tcBorders>
                    <w:tl2br w:val="nil"/>
                    <w:tr2bl w:val="nil"/>
                  </w:tcBorders>
                  <w:vAlign w:val="center"/>
                </w:tcPr>
                <w:p>
                  <w:pPr>
                    <w:spacing w:line="360" w:lineRule="auto"/>
                    <w:jc w:val="center"/>
                    <w:rPr>
                      <w:rFonts w:hint="default" w:eastAsia="宋体"/>
                      <w:color w:val="auto"/>
                      <w:szCs w:val="21"/>
                      <w:lang w:val="en-US" w:eastAsia="zh-CN"/>
                    </w:rPr>
                  </w:pPr>
                  <w:r>
                    <w:rPr>
                      <w:rFonts w:hint="eastAsia" w:ascii="Times New Roman" w:eastAsia="宋体"/>
                      <w:color w:val="auto"/>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土地利用类型</w:t>
                  </w:r>
                </w:p>
              </w:tc>
              <w:tc>
                <w:tcPr>
                  <w:tcW w:w="3787" w:type="dxa"/>
                  <w:tcBorders>
                    <w:tl2br w:val="nil"/>
                    <w:tr2bl w:val="nil"/>
                  </w:tcBorders>
                  <w:vAlign w:val="center"/>
                </w:tcPr>
                <w:p>
                  <w:pPr>
                    <w:spacing w:line="360" w:lineRule="auto"/>
                    <w:ind w:firstLine="0" w:firstLineChars="0"/>
                    <w:jc w:val="center"/>
                    <w:rPr>
                      <w:rFonts w:hint="default" w:eastAsia="宋体"/>
                      <w:color w:val="auto"/>
                      <w:szCs w:val="21"/>
                      <w:lang w:val="en-US" w:eastAsia="zh-CN"/>
                    </w:rPr>
                  </w:pPr>
                  <w:r>
                    <w:rPr>
                      <w:rFonts w:hint="eastAsia" w:ascii="Times New Roman" w:hAnsi="Times New Roman" w:eastAsia="宋体" w:cs="Times New Roman"/>
                      <w:color w:val="auto"/>
                      <w:sz w:val="21"/>
                      <w:szCs w:val="21"/>
                      <w:lang w:val="en-US" w:eastAsia="zh-CN"/>
                    </w:rPr>
                    <w:t>城市</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23" w:hRule="atLeast"/>
                <w:jc w:val="center"/>
              </w:trPr>
              <w:tc>
                <w:tcPr>
                  <w:tcW w:w="4997" w:type="dxa"/>
                  <w:gridSpan w:val="2"/>
                  <w:tcBorders>
                    <w:tl2br w:val="nil"/>
                    <w:tr2bl w:val="nil"/>
                  </w:tcBorders>
                  <w:vAlign w:val="center"/>
                </w:tcPr>
                <w:p>
                  <w:pPr>
                    <w:spacing w:line="360" w:lineRule="auto"/>
                    <w:jc w:val="center"/>
                    <w:rPr>
                      <w:color w:val="auto"/>
                      <w:szCs w:val="21"/>
                      <w:lang w:val="zh-CN"/>
                    </w:rPr>
                  </w:pPr>
                  <w:r>
                    <w:rPr>
                      <w:color w:val="auto"/>
                      <w:szCs w:val="21"/>
                      <w:lang w:val="zh-CN"/>
                    </w:rPr>
                    <w:t>区域湿度条件</w:t>
                  </w:r>
                </w:p>
              </w:tc>
              <w:tc>
                <w:tcPr>
                  <w:tcW w:w="3787" w:type="dxa"/>
                  <w:tcBorders>
                    <w:tl2br w:val="nil"/>
                    <w:tr2bl w:val="nil"/>
                  </w:tcBorders>
                  <w:vAlign w:val="center"/>
                </w:tcPr>
                <w:p>
                  <w:pPr>
                    <w:spacing w:line="360" w:lineRule="auto"/>
                    <w:ind w:firstLine="0" w:firstLineChars="0"/>
                    <w:jc w:val="center"/>
                    <w:rPr>
                      <w:color w:val="auto"/>
                      <w:szCs w:val="21"/>
                    </w:rPr>
                  </w:pPr>
                  <w:r>
                    <w:rPr>
                      <w:rFonts w:hint="default" w:ascii="Times New Roman" w:hAnsi="Times New Roman" w:eastAsia="宋体" w:cs="Times New Roman"/>
                      <w:color w:val="auto"/>
                      <w:sz w:val="21"/>
                      <w:szCs w:val="21"/>
                      <w:lang w:eastAsia="zh-CN"/>
                    </w:rPr>
                    <w:t>潮湿</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3" w:hRule="atLeast"/>
                <w:jc w:val="center"/>
              </w:trPr>
              <w:tc>
                <w:tcPr>
                  <w:tcW w:w="2627" w:type="dxa"/>
                  <w:vMerge w:val="restart"/>
                  <w:tcBorders>
                    <w:tl2br w:val="nil"/>
                    <w:tr2bl w:val="nil"/>
                  </w:tcBorders>
                  <w:vAlign w:val="center"/>
                </w:tcPr>
                <w:p>
                  <w:pPr>
                    <w:spacing w:line="360" w:lineRule="auto"/>
                    <w:jc w:val="center"/>
                    <w:rPr>
                      <w:color w:val="auto"/>
                      <w:szCs w:val="21"/>
                      <w:lang w:val="zh-CN"/>
                    </w:rPr>
                  </w:pPr>
                  <w:r>
                    <w:rPr>
                      <w:color w:val="auto"/>
                      <w:szCs w:val="21"/>
                      <w:lang w:val="zh-CN"/>
                    </w:rPr>
                    <w:t>是否考虑地形</w:t>
                  </w:r>
                </w:p>
              </w:tc>
              <w:tc>
                <w:tcPr>
                  <w:tcW w:w="2370" w:type="dxa"/>
                  <w:tcBorders>
                    <w:tl2br w:val="nil"/>
                    <w:tr2bl w:val="nil"/>
                  </w:tcBorders>
                  <w:vAlign w:val="center"/>
                </w:tcPr>
                <w:p>
                  <w:pPr>
                    <w:spacing w:line="360" w:lineRule="auto"/>
                    <w:jc w:val="center"/>
                    <w:rPr>
                      <w:color w:val="auto"/>
                      <w:szCs w:val="21"/>
                      <w:lang w:val="zh-CN"/>
                    </w:rPr>
                  </w:pPr>
                  <w:r>
                    <w:rPr>
                      <w:color w:val="auto"/>
                      <w:szCs w:val="21"/>
                      <w:lang w:val="zh-CN"/>
                    </w:rPr>
                    <w:t>考虑地形</w:t>
                  </w:r>
                </w:p>
              </w:tc>
              <w:tc>
                <w:tcPr>
                  <w:tcW w:w="3787" w:type="dxa"/>
                  <w:tcBorders>
                    <w:tl2br w:val="nil"/>
                    <w:tr2bl w:val="nil"/>
                  </w:tcBorders>
                  <w:vAlign w:val="center"/>
                </w:tcPr>
                <w:p>
                  <w:pPr>
                    <w:spacing w:line="360" w:lineRule="auto"/>
                    <w:jc w:val="center"/>
                    <w:rPr>
                      <w:color w:val="auto"/>
                      <w:szCs w:val="21"/>
                      <w:lang w:val="zh-CN"/>
                    </w:rPr>
                  </w:pPr>
                  <w:r>
                    <w:rPr>
                      <w:color w:val="auto"/>
                      <w:szCs w:val="21"/>
                      <w:lang w:val="zh-CN"/>
                    </w:rPr>
                    <w:sym w:font="Wingdings 2" w:char="00A3"/>
                  </w:r>
                  <w:r>
                    <w:rPr>
                      <w:color w:val="auto"/>
                      <w:szCs w:val="21"/>
                      <w:lang w:val="zh-CN"/>
                    </w:rPr>
                    <w:t>是</w:t>
                  </w:r>
                  <w:r>
                    <w:rPr>
                      <w:color w:val="auto"/>
                      <w:szCs w:val="21"/>
                    </w:rPr>
                    <w:t xml:space="preserve">   </w:t>
                  </w:r>
                  <w:r>
                    <w:rPr>
                      <w:color w:val="auto"/>
                      <w:szCs w:val="21"/>
                      <w:lang w:val="zh-CN"/>
                    </w:rPr>
                    <w:sym w:font="Wingdings 2" w:char="0052"/>
                  </w:r>
                  <w:r>
                    <w:rPr>
                      <w:color w:val="auto"/>
                      <w:szCs w:val="21"/>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rPr>
                  </w:pPr>
                  <w:r>
                    <w:rPr>
                      <w:color w:val="auto"/>
                      <w:szCs w:val="21"/>
                      <w:lang w:val="zh-CN"/>
                    </w:rPr>
                    <w:t>地形数据分辨率</w:t>
                  </w:r>
                  <w:r>
                    <w:rPr>
                      <w:color w:val="auto"/>
                      <w:szCs w:val="21"/>
                    </w:rPr>
                    <w:t>/m</w:t>
                  </w:r>
                </w:p>
              </w:tc>
              <w:tc>
                <w:tcPr>
                  <w:tcW w:w="3787" w:type="dxa"/>
                  <w:tcBorders>
                    <w:tl2br w:val="nil"/>
                    <w:tr2bl w:val="nil"/>
                  </w:tcBorders>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23" w:hRule="atLeast"/>
                <w:jc w:val="center"/>
              </w:trPr>
              <w:tc>
                <w:tcPr>
                  <w:tcW w:w="2627" w:type="dxa"/>
                  <w:vMerge w:val="restart"/>
                  <w:tcBorders>
                    <w:tl2br w:val="nil"/>
                    <w:tr2bl w:val="nil"/>
                  </w:tcBorders>
                  <w:vAlign w:val="center"/>
                </w:tcPr>
                <w:p>
                  <w:pPr>
                    <w:spacing w:line="360" w:lineRule="auto"/>
                    <w:jc w:val="center"/>
                    <w:rPr>
                      <w:color w:val="auto"/>
                      <w:szCs w:val="21"/>
                    </w:rPr>
                  </w:pPr>
                  <w:r>
                    <w:rPr>
                      <w:color w:val="auto"/>
                      <w:szCs w:val="21"/>
                    </w:rPr>
                    <w:t>是否考虑岸线熏烟</w:t>
                  </w:r>
                </w:p>
              </w:tc>
              <w:tc>
                <w:tcPr>
                  <w:tcW w:w="2370" w:type="dxa"/>
                  <w:tcBorders>
                    <w:tl2br w:val="nil"/>
                    <w:tr2bl w:val="nil"/>
                  </w:tcBorders>
                  <w:vAlign w:val="center"/>
                </w:tcPr>
                <w:p>
                  <w:pPr>
                    <w:spacing w:line="360" w:lineRule="auto"/>
                    <w:jc w:val="center"/>
                    <w:rPr>
                      <w:color w:val="auto"/>
                      <w:szCs w:val="21"/>
                      <w:lang w:val="zh-CN"/>
                    </w:rPr>
                  </w:pPr>
                  <w:r>
                    <w:rPr>
                      <w:color w:val="auto"/>
                      <w:szCs w:val="21"/>
                      <w:lang w:val="zh-CN"/>
                    </w:rPr>
                    <w:t>考虑岸线熏烟</w:t>
                  </w:r>
                </w:p>
              </w:tc>
              <w:tc>
                <w:tcPr>
                  <w:tcW w:w="3787" w:type="dxa"/>
                  <w:tcBorders>
                    <w:tl2br w:val="nil"/>
                    <w:tr2bl w:val="nil"/>
                  </w:tcBorders>
                  <w:vAlign w:val="center"/>
                </w:tcPr>
                <w:p>
                  <w:pPr>
                    <w:spacing w:line="360" w:lineRule="auto"/>
                    <w:jc w:val="center"/>
                    <w:rPr>
                      <w:color w:val="auto"/>
                      <w:szCs w:val="21"/>
                      <w:lang w:val="zh-CN"/>
                    </w:rPr>
                  </w:pPr>
                  <w:r>
                    <w:rPr>
                      <w:color w:val="auto"/>
                      <w:szCs w:val="21"/>
                      <w:lang w:val="zh-CN"/>
                    </w:rPr>
                    <w:sym w:font="Wingdings 2" w:char="00A3"/>
                  </w:r>
                  <w:r>
                    <w:rPr>
                      <w:color w:val="auto"/>
                      <w:szCs w:val="21"/>
                      <w:lang w:val="zh-CN"/>
                    </w:rPr>
                    <w:t>是</w:t>
                  </w:r>
                  <w:r>
                    <w:rPr>
                      <w:color w:val="auto"/>
                      <w:szCs w:val="21"/>
                    </w:rPr>
                    <w:t xml:space="preserve">   </w:t>
                  </w:r>
                  <w:r>
                    <w:rPr>
                      <w:color w:val="auto"/>
                      <w:szCs w:val="21"/>
                      <w:lang w:val="zh-CN"/>
                    </w:rPr>
                    <w:sym w:font="Wingdings 2" w:char="0052"/>
                  </w:r>
                  <w:r>
                    <w:rPr>
                      <w:color w:val="auto"/>
                      <w:szCs w:val="21"/>
                      <w:lang w:val="zh-CN"/>
                    </w:rPr>
                    <w:t>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08"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rPr>
                  </w:pPr>
                  <w:r>
                    <w:rPr>
                      <w:color w:val="auto"/>
                      <w:szCs w:val="21"/>
                      <w:lang w:val="zh-CN"/>
                    </w:rPr>
                    <w:t>岸线距离</w:t>
                  </w:r>
                  <w:r>
                    <w:rPr>
                      <w:color w:val="auto"/>
                      <w:szCs w:val="21"/>
                    </w:rPr>
                    <w:t>/km</w:t>
                  </w:r>
                </w:p>
              </w:tc>
              <w:tc>
                <w:tcPr>
                  <w:tcW w:w="3787" w:type="dxa"/>
                  <w:tcBorders>
                    <w:tl2br w:val="nil"/>
                    <w:tr2bl w:val="nil"/>
                  </w:tcBorders>
                  <w:vAlign w:val="center"/>
                </w:tcPr>
                <w:p>
                  <w:pPr>
                    <w:spacing w:line="360" w:lineRule="auto"/>
                    <w:jc w:val="center"/>
                    <w:rPr>
                      <w:color w:val="auto"/>
                      <w:szCs w:val="21"/>
                    </w:rPr>
                  </w:pP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2627" w:type="dxa"/>
                  <w:vMerge w:val="continue"/>
                  <w:tcBorders>
                    <w:tl2br w:val="nil"/>
                    <w:tr2bl w:val="nil"/>
                  </w:tcBorders>
                  <w:vAlign w:val="center"/>
                </w:tcPr>
                <w:p>
                  <w:pPr>
                    <w:spacing w:line="360" w:lineRule="auto"/>
                    <w:jc w:val="center"/>
                    <w:rPr>
                      <w:color w:val="auto"/>
                      <w:szCs w:val="21"/>
                      <w:lang w:val="zh-CN"/>
                    </w:rPr>
                  </w:pPr>
                </w:p>
              </w:tc>
              <w:tc>
                <w:tcPr>
                  <w:tcW w:w="2370" w:type="dxa"/>
                  <w:tcBorders>
                    <w:tl2br w:val="nil"/>
                    <w:tr2bl w:val="nil"/>
                  </w:tcBorders>
                  <w:vAlign w:val="center"/>
                </w:tcPr>
                <w:p>
                  <w:pPr>
                    <w:spacing w:line="360" w:lineRule="auto"/>
                    <w:jc w:val="center"/>
                    <w:rPr>
                      <w:color w:val="auto"/>
                      <w:szCs w:val="21"/>
                    </w:rPr>
                  </w:pPr>
                  <w:r>
                    <w:rPr>
                      <w:color w:val="auto"/>
                      <w:szCs w:val="21"/>
                    </w:rPr>
                    <w:t>岸线方向/°</w:t>
                  </w:r>
                </w:p>
              </w:tc>
              <w:tc>
                <w:tcPr>
                  <w:tcW w:w="3787" w:type="dxa"/>
                  <w:tcBorders>
                    <w:tl2br w:val="nil"/>
                    <w:tr2bl w:val="nil"/>
                  </w:tcBorders>
                  <w:vAlign w:val="center"/>
                </w:tcPr>
                <w:p>
                  <w:pPr>
                    <w:spacing w:line="360" w:lineRule="auto"/>
                    <w:jc w:val="center"/>
                    <w:rPr>
                      <w:color w:val="auto"/>
                      <w:szCs w:val="21"/>
                    </w:rPr>
                  </w:pPr>
                  <w:r>
                    <w:rPr>
                      <w:color w:val="auto"/>
                      <w:szCs w:val="21"/>
                    </w:rPr>
                    <w:t>/</w:t>
                  </w:r>
                </w:p>
              </w:tc>
            </w:tr>
          </w:tbl>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本项目点源参数表</w:t>
            </w:r>
          </w:p>
          <w:tbl>
            <w:tblPr>
              <w:tblStyle w:val="40"/>
              <w:tblW w:w="93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876"/>
              <w:gridCol w:w="509"/>
              <w:gridCol w:w="572"/>
              <w:gridCol w:w="884"/>
              <w:gridCol w:w="856"/>
              <w:gridCol w:w="960"/>
              <w:gridCol w:w="900"/>
              <w:gridCol w:w="705"/>
              <w:gridCol w:w="840"/>
              <w:gridCol w:w="720"/>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blHeader/>
                <w:jc w:val="center"/>
              </w:trPr>
              <w:tc>
                <w:tcPr>
                  <w:tcW w:w="535" w:type="dxa"/>
                  <w:vMerge w:val="restart"/>
                  <w:tcBorders>
                    <w:tl2br w:val="nil"/>
                    <w:tr2bl w:val="nil"/>
                  </w:tcBorders>
                  <w:vAlign w:val="center"/>
                </w:tcPr>
                <w:p>
                  <w:pPr>
                    <w:autoSpaceDE w:val="0"/>
                    <w:autoSpaceDN w:val="0"/>
                    <w:jc w:val="center"/>
                    <w:rPr>
                      <w:b/>
                      <w:color w:val="auto"/>
                      <w:szCs w:val="21"/>
                    </w:rPr>
                  </w:pPr>
                  <w:r>
                    <w:rPr>
                      <w:b/>
                      <w:color w:val="auto"/>
                      <w:szCs w:val="21"/>
                    </w:rPr>
                    <w:t>排气筒编号</w:t>
                  </w:r>
                </w:p>
              </w:tc>
              <w:tc>
                <w:tcPr>
                  <w:tcW w:w="876" w:type="dxa"/>
                  <w:vMerge w:val="restart"/>
                  <w:tcBorders>
                    <w:tl2br w:val="nil"/>
                    <w:tr2bl w:val="nil"/>
                  </w:tcBorders>
                  <w:vAlign w:val="center"/>
                </w:tcPr>
                <w:p>
                  <w:pPr>
                    <w:autoSpaceDE w:val="0"/>
                    <w:autoSpaceDN w:val="0"/>
                    <w:jc w:val="center"/>
                    <w:rPr>
                      <w:color w:val="auto"/>
                      <w:szCs w:val="21"/>
                    </w:rPr>
                  </w:pPr>
                  <w:r>
                    <w:rPr>
                      <w:b/>
                      <w:color w:val="auto"/>
                      <w:szCs w:val="21"/>
                    </w:rPr>
                    <w:t>污染物</w:t>
                  </w:r>
                </w:p>
              </w:tc>
              <w:tc>
                <w:tcPr>
                  <w:tcW w:w="1081" w:type="dxa"/>
                  <w:gridSpan w:val="2"/>
                  <w:tcBorders>
                    <w:tl2br w:val="nil"/>
                    <w:tr2bl w:val="nil"/>
                  </w:tcBorders>
                  <w:vAlign w:val="center"/>
                </w:tcPr>
                <w:p>
                  <w:pPr>
                    <w:autoSpaceDE w:val="0"/>
                    <w:autoSpaceDN w:val="0"/>
                    <w:jc w:val="center"/>
                    <w:rPr>
                      <w:b/>
                      <w:color w:val="auto"/>
                      <w:szCs w:val="21"/>
                    </w:rPr>
                  </w:pPr>
                  <w:r>
                    <w:rPr>
                      <w:b/>
                      <w:color w:val="auto"/>
                      <w:szCs w:val="21"/>
                    </w:rPr>
                    <w:t>排气筒底部中心坐标/m</w:t>
                  </w:r>
                </w:p>
              </w:tc>
              <w:tc>
                <w:tcPr>
                  <w:tcW w:w="884" w:type="dxa"/>
                  <w:vMerge w:val="restart"/>
                  <w:tcBorders>
                    <w:tl2br w:val="nil"/>
                    <w:tr2bl w:val="nil"/>
                  </w:tcBorders>
                  <w:vAlign w:val="center"/>
                </w:tcPr>
                <w:p>
                  <w:pPr>
                    <w:autoSpaceDE w:val="0"/>
                    <w:autoSpaceDN w:val="0"/>
                    <w:jc w:val="center"/>
                    <w:rPr>
                      <w:color w:val="auto"/>
                      <w:szCs w:val="21"/>
                    </w:rPr>
                  </w:pPr>
                  <w:r>
                    <w:rPr>
                      <w:b/>
                      <w:bCs/>
                      <w:color w:val="auto"/>
                      <w:szCs w:val="21"/>
                    </w:rPr>
                    <w:t>排气筒底部海拔高度/m</w:t>
                  </w:r>
                </w:p>
              </w:tc>
              <w:tc>
                <w:tcPr>
                  <w:tcW w:w="856" w:type="dxa"/>
                  <w:vMerge w:val="restart"/>
                  <w:tcBorders>
                    <w:tl2br w:val="nil"/>
                    <w:tr2bl w:val="nil"/>
                  </w:tcBorders>
                  <w:vAlign w:val="center"/>
                </w:tcPr>
                <w:p>
                  <w:pPr>
                    <w:jc w:val="center"/>
                    <w:rPr>
                      <w:color w:val="auto"/>
                      <w:szCs w:val="21"/>
                    </w:rPr>
                  </w:pPr>
                  <w:r>
                    <w:rPr>
                      <w:b/>
                      <w:bCs/>
                      <w:color w:val="auto"/>
                      <w:szCs w:val="21"/>
                    </w:rPr>
                    <w:t>排气筒高度（m）</w:t>
                  </w:r>
                </w:p>
              </w:tc>
              <w:tc>
                <w:tcPr>
                  <w:tcW w:w="960" w:type="dxa"/>
                  <w:vMerge w:val="restart"/>
                  <w:tcBorders>
                    <w:tl2br w:val="nil"/>
                    <w:tr2bl w:val="nil"/>
                  </w:tcBorders>
                  <w:vAlign w:val="center"/>
                </w:tcPr>
                <w:p>
                  <w:pPr>
                    <w:autoSpaceDE w:val="0"/>
                    <w:autoSpaceDN w:val="0"/>
                    <w:jc w:val="center"/>
                    <w:rPr>
                      <w:color w:val="auto"/>
                      <w:szCs w:val="21"/>
                    </w:rPr>
                  </w:pPr>
                  <w:r>
                    <w:rPr>
                      <w:b/>
                      <w:bCs/>
                      <w:color w:val="auto"/>
                      <w:szCs w:val="21"/>
                    </w:rPr>
                    <w:t>排气筒出口内径（m）</w:t>
                  </w:r>
                </w:p>
              </w:tc>
              <w:tc>
                <w:tcPr>
                  <w:tcW w:w="900" w:type="dxa"/>
                  <w:vMerge w:val="restart"/>
                  <w:tcBorders>
                    <w:tl2br w:val="nil"/>
                    <w:tr2bl w:val="nil"/>
                  </w:tcBorders>
                  <w:vAlign w:val="center"/>
                </w:tcPr>
                <w:p>
                  <w:pPr>
                    <w:autoSpaceDE w:val="0"/>
                    <w:autoSpaceDN w:val="0"/>
                    <w:jc w:val="center"/>
                    <w:rPr>
                      <w:b/>
                      <w:color w:val="auto"/>
                      <w:szCs w:val="21"/>
                    </w:rPr>
                  </w:pPr>
                  <w:r>
                    <w:rPr>
                      <w:b/>
                      <w:color w:val="auto"/>
                      <w:szCs w:val="21"/>
                    </w:rPr>
                    <w:t>烟气流速</w:t>
                  </w:r>
                </w:p>
                <w:p>
                  <w:pPr>
                    <w:autoSpaceDE w:val="0"/>
                    <w:autoSpaceDN w:val="0"/>
                    <w:jc w:val="center"/>
                    <w:rPr>
                      <w:b/>
                      <w:color w:val="auto"/>
                      <w:szCs w:val="21"/>
                    </w:rPr>
                  </w:pPr>
                  <w:r>
                    <w:rPr>
                      <w:b/>
                      <w:color w:val="auto"/>
                      <w:szCs w:val="21"/>
                    </w:rPr>
                    <w:t>/（m/s）</w:t>
                  </w:r>
                </w:p>
              </w:tc>
              <w:tc>
                <w:tcPr>
                  <w:tcW w:w="705" w:type="dxa"/>
                  <w:vMerge w:val="restart"/>
                  <w:tcBorders>
                    <w:tl2br w:val="nil"/>
                    <w:tr2bl w:val="nil"/>
                  </w:tcBorders>
                  <w:vAlign w:val="center"/>
                </w:tcPr>
                <w:p>
                  <w:pPr>
                    <w:autoSpaceDE w:val="0"/>
                    <w:autoSpaceDN w:val="0"/>
                    <w:jc w:val="center"/>
                    <w:rPr>
                      <w:b/>
                      <w:color w:val="auto"/>
                      <w:szCs w:val="21"/>
                    </w:rPr>
                  </w:pPr>
                  <w:r>
                    <w:rPr>
                      <w:b/>
                      <w:color w:val="auto"/>
                      <w:szCs w:val="21"/>
                    </w:rPr>
                    <w:t>烟气温度/℃</w:t>
                  </w:r>
                </w:p>
              </w:tc>
              <w:tc>
                <w:tcPr>
                  <w:tcW w:w="840" w:type="dxa"/>
                  <w:vMerge w:val="restart"/>
                  <w:tcBorders>
                    <w:tl2br w:val="nil"/>
                    <w:tr2bl w:val="nil"/>
                  </w:tcBorders>
                  <w:vAlign w:val="center"/>
                </w:tcPr>
                <w:p>
                  <w:pPr>
                    <w:autoSpaceDE w:val="0"/>
                    <w:autoSpaceDN w:val="0"/>
                    <w:jc w:val="center"/>
                    <w:rPr>
                      <w:b/>
                      <w:color w:val="auto"/>
                      <w:szCs w:val="21"/>
                    </w:rPr>
                  </w:pPr>
                  <w:r>
                    <w:rPr>
                      <w:b/>
                      <w:color w:val="auto"/>
                      <w:szCs w:val="21"/>
                    </w:rPr>
                    <w:t>年排放小时数/h</w:t>
                  </w:r>
                </w:p>
              </w:tc>
              <w:tc>
                <w:tcPr>
                  <w:tcW w:w="720" w:type="dxa"/>
                  <w:vMerge w:val="restart"/>
                  <w:tcBorders>
                    <w:tl2br w:val="nil"/>
                    <w:tr2bl w:val="nil"/>
                  </w:tcBorders>
                  <w:vAlign w:val="center"/>
                </w:tcPr>
                <w:p>
                  <w:pPr>
                    <w:autoSpaceDE w:val="0"/>
                    <w:autoSpaceDN w:val="0"/>
                    <w:jc w:val="center"/>
                    <w:rPr>
                      <w:b/>
                      <w:color w:val="auto"/>
                      <w:szCs w:val="21"/>
                    </w:rPr>
                  </w:pPr>
                  <w:r>
                    <w:rPr>
                      <w:b/>
                      <w:color w:val="auto"/>
                      <w:szCs w:val="21"/>
                    </w:rPr>
                    <w:t>排放工况</w:t>
                  </w:r>
                </w:p>
              </w:tc>
              <w:tc>
                <w:tcPr>
                  <w:tcW w:w="945" w:type="dxa"/>
                  <w:vMerge w:val="restart"/>
                  <w:tcBorders>
                    <w:tl2br w:val="nil"/>
                    <w:tr2bl w:val="nil"/>
                  </w:tcBorders>
                  <w:vAlign w:val="center"/>
                </w:tcPr>
                <w:p>
                  <w:pPr>
                    <w:autoSpaceDE w:val="0"/>
                    <w:autoSpaceDN w:val="0"/>
                    <w:jc w:val="center"/>
                    <w:rPr>
                      <w:b/>
                      <w:color w:val="auto"/>
                      <w:szCs w:val="21"/>
                    </w:rPr>
                  </w:pPr>
                  <w:r>
                    <w:rPr>
                      <w:b/>
                      <w:color w:val="auto"/>
                      <w:szCs w:val="21"/>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535" w:type="dxa"/>
                  <w:vMerge w:val="continue"/>
                  <w:tcBorders>
                    <w:tl2br w:val="nil"/>
                    <w:tr2bl w:val="nil"/>
                  </w:tcBorders>
                  <w:vAlign w:val="center"/>
                </w:tcPr>
                <w:p>
                  <w:pPr>
                    <w:autoSpaceDE w:val="0"/>
                    <w:autoSpaceDN w:val="0"/>
                    <w:jc w:val="center"/>
                    <w:rPr>
                      <w:color w:val="auto"/>
                      <w:szCs w:val="21"/>
                    </w:rPr>
                  </w:pPr>
                </w:p>
              </w:tc>
              <w:tc>
                <w:tcPr>
                  <w:tcW w:w="876" w:type="dxa"/>
                  <w:vMerge w:val="continue"/>
                  <w:tcBorders>
                    <w:tl2br w:val="nil"/>
                    <w:tr2bl w:val="nil"/>
                  </w:tcBorders>
                  <w:vAlign w:val="center"/>
                </w:tcPr>
                <w:p>
                  <w:pPr>
                    <w:autoSpaceDE w:val="0"/>
                    <w:autoSpaceDN w:val="0"/>
                    <w:jc w:val="center"/>
                    <w:rPr>
                      <w:color w:val="auto"/>
                      <w:szCs w:val="21"/>
                    </w:rPr>
                  </w:pPr>
                </w:p>
              </w:tc>
              <w:tc>
                <w:tcPr>
                  <w:tcW w:w="509" w:type="dxa"/>
                  <w:tcBorders>
                    <w:tl2br w:val="nil"/>
                    <w:tr2bl w:val="nil"/>
                  </w:tcBorders>
                  <w:vAlign w:val="center"/>
                </w:tcPr>
                <w:p>
                  <w:pPr>
                    <w:autoSpaceDE w:val="0"/>
                    <w:autoSpaceDN w:val="0"/>
                    <w:jc w:val="center"/>
                    <w:rPr>
                      <w:color w:val="auto"/>
                      <w:szCs w:val="21"/>
                    </w:rPr>
                  </w:pPr>
                  <w:r>
                    <w:rPr>
                      <w:color w:val="auto"/>
                      <w:szCs w:val="21"/>
                    </w:rPr>
                    <w:t>X</w:t>
                  </w:r>
                </w:p>
              </w:tc>
              <w:tc>
                <w:tcPr>
                  <w:tcW w:w="572" w:type="dxa"/>
                  <w:tcBorders>
                    <w:tl2br w:val="nil"/>
                    <w:tr2bl w:val="nil"/>
                  </w:tcBorders>
                  <w:vAlign w:val="center"/>
                </w:tcPr>
                <w:p>
                  <w:pPr>
                    <w:autoSpaceDE w:val="0"/>
                    <w:autoSpaceDN w:val="0"/>
                    <w:jc w:val="center"/>
                    <w:rPr>
                      <w:color w:val="auto"/>
                      <w:szCs w:val="21"/>
                    </w:rPr>
                  </w:pPr>
                  <w:r>
                    <w:rPr>
                      <w:color w:val="auto"/>
                      <w:szCs w:val="21"/>
                    </w:rPr>
                    <w:t>Y</w:t>
                  </w:r>
                </w:p>
              </w:tc>
              <w:tc>
                <w:tcPr>
                  <w:tcW w:w="884" w:type="dxa"/>
                  <w:vMerge w:val="continue"/>
                  <w:tcBorders>
                    <w:tl2br w:val="nil"/>
                    <w:tr2bl w:val="nil"/>
                  </w:tcBorders>
                  <w:vAlign w:val="center"/>
                </w:tcPr>
                <w:p>
                  <w:pPr>
                    <w:autoSpaceDE w:val="0"/>
                    <w:autoSpaceDN w:val="0"/>
                    <w:jc w:val="center"/>
                    <w:rPr>
                      <w:color w:val="auto"/>
                      <w:szCs w:val="21"/>
                    </w:rPr>
                  </w:pPr>
                </w:p>
              </w:tc>
              <w:tc>
                <w:tcPr>
                  <w:tcW w:w="856" w:type="dxa"/>
                  <w:vMerge w:val="continue"/>
                  <w:tcBorders>
                    <w:tl2br w:val="nil"/>
                    <w:tr2bl w:val="nil"/>
                  </w:tcBorders>
                  <w:vAlign w:val="center"/>
                </w:tcPr>
                <w:p>
                  <w:pPr>
                    <w:autoSpaceDE w:val="0"/>
                    <w:autoSpaceDN w:val="0"/>
                    <w:jc w:val="center"/>
                    <w:rPr>
                      <w:color w:val="auto"/>
                      <w:szCs w:val="21"/>
                    </w:rPr>
                  </w:pPr>
                </w:p>
              </w:tc>
              <w:tc>
                <w:tcPr>
                  <w:tcW w:w="960" w:type="dxa"/>
                  <w:vMerge w:val="continue"/>
                  <w:tcBorders>
                    <w:tl2br w:val="nil"/>
                    <w:tr2bl w:val="nil"/>
                  </w:tcBorders>
                  <w:vAlign w:val="center"/>
                </w:tcPr>
                <w:p>
                  <w:pPr>
                    <w:autoSpaceDE w:val="0"/>
                    <w:autoSpaceDN w:val="0"/>
                    <w:jc w:val="center"/>
                    <w:rPr>
                      <w:color w:val="auto"/>
                      <w:szCs w:val="21"/>
                    </w:rPr>
                  </w:pPr>
                </w:p>
              </w:tc>
              <w:tc>
                <w:tcPr>
                  <w:tcW w:w="900" w:type="dxa"/>
                  <w:vMerge w:val="continue"/>
                  <w:tcBorders>
                    <w:tl2br w:val="nil"/>
                    <w:tr2bl w:val="nil"/>
                  </w:tcBorders>
                  <w:vAlign w:val="center"/>
                </w:tcPr>
                <w:p>
                  <w:pPr>
                    <w:autoSpaceDE w:val="0"/>
                    <w:autoSpaceDN w:val="0"/>
                    <w:jc w:val="center"/>
                    <w:rPr>
                      <w:color w:val="auto"/>
                      <w:szCs w:val="21"/>
                    </w:rPr>
                  </w:pPr>
                </w:p>
              </w:tc>
              <w:tc>
                <w:tcPr>
                  <w:tcW w:w="705" w:type="dxa"/>
                  <w:vMerge w:val="continue"/>
                  <w:tcBorders>
                    <w:tl2br w:val="nil"/>
                    <w:tr2bl w:val="nil"/>
                  </w:tcBorders>
                  <w:vAlign w:val="center"/>
                </w:tcPr>
                <w:p>
                  <w:pPr>
                    <w:autoSpaceDE w:val="0"/>
                    <w:autoSpaceDN w:val="0"/>
                    <w:jc w:val="center"/>
                    <w:rPr>
                      <w:color w:val="auto"/>
                      <w:szCs w:val="21"/>
                    </w:rPr>
                  </w:pPr>
                </w:p>
              </w:tc>
              <w:tc>
                <w:tcPr>
                  <w:tcW w:w="840" w:type="dxa"/>
                  <w:vMerge w:val="continue"/>
                  <w:tcBorders>
                    <w:tl2br w:val="nil"/>
                    <w:tr2bl w:val="nil"/>
                  </w:tcBorders>
                  <w:vAlign w:val="center"/>
                </w:tcPr>
                <w:p>
                  <w:pPr>
                    <w:autoSpaceDE w:val="0"/>
                    <w:autoSpaceDN w:val="0"/>
                    <w:jc w:val="center"/>
                    <w:rPr>
                      <w:color w:val="auto"/>
                      <w:szCs w:val="21"/>
                    </w:rPr>
                  </w:pPr>
                </w:p>
              </w:tc>
              <w:tc>
                <w:tcPr>
                  <w:tcW w:w="720" w:type="dxa"/>
                  <w:vMerge w:val="continue"/>
                  <w:tcBorders>
                    <w:tl2br w:val="nil"/>
                    <w:tr2bl w:val="nil"/>
                  </w:tcBorders>
                  <w:vAlign w:val="center"/>
                </w:tcPr>
                <w:p>
                  <w:pPr>
                    <w:autoSpaceDE w:val="0"/>
                    <w:autoSpaceDN w:val="0"/>
                    <w:jc w:val="center"/>
                    <w:rPr>
                      <w:color w:val="auto"/>
                      <w:szCs w:val="21"/>
                    </w:rPr>
                  </w:pPr>
                </w:p>
              </w:tc>
              <w:tc>
                <w:tcPr>
                  <w:tcW w:w="945" w:type="dxa"/>
                  <w:vMerge w:val="continue"/>
                  <w:tcBorders>
                    <w:tl2br w:val="nil"/>
                    <w:tr2bl w:val="nil"/>
                  </w:tcBorders>
                  <w:vAlign w:val="center"/>
                </w:tcPr>
                <w:p>
                  <w:pPr>
                    <w:autoSpaceDE w:val="0"/>
                    <w:autoSpaceDN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535" w:type="dxa"/>
                  <w:vMerge w:val="restart"/>
                  <w:tcBorders>
                    <w:tl2br w:val="nil"/>
                    <w:tr2bl w:val="nil"/>
                  </w:tcBorders>
                  <w:vAlign w:val="center"/>
                </w:tcPr>
                <w:p>
                  <w:pPr>
                    <w:widowControl/>
                    <w:adjustRightInd w:val="0"/>
                    <w:snapToGrid w:val="0"/>
                    <w:jc w:val="center"/>
                    <w:rPr>
                      <w:color w:val="auto"/>
                      <w:szCs w:val="21"/>
                    </w:rPr>
                  </w:pPr>
                  <w:r>
                    <w:rPr>
                      <w:color w:val="auto"/>
                      <w:szCs w:val="21"/>
                    </w:rPr>
                    <w:t>G1</w:t>
                  </w:r>
                </w:p>
              </w:tc>
              <w:tc>
                <w:tcPr>
                  <w:tcW w:w="876" w:type="dxa"/>
                  <w:tcBorders>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PM</w:t>
                  </w:r>
                  <w:r>
                    <w:rPr>
                      <w:rFonts w:hint="eastAsia"/>
                      <w:color w:val="auto"/>
                      <w:szCs w:val="21"/>
                      <w:vertAlign w:val="subscript"/>
                      <w:lang w:val="en-US" w:eastAsia="zh-CN"/>
                    </w:rPr>
                    <w:t>10</w:t>
                  </w:r>
                </w:p>
              </w:tc>
              <w:tc>
                <w:tcPr>
                  <w:tcW w:w="509" w:type="dxa"/>
                  <w:vMerge w:val="restart"/>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-46</w:t>
                  </w:r>
                </w:p>
              </w:tc>
              <w:tc>
                <w:tcPr>
                  <w:tcW w:w="572" w:type="dxa"/>
                  <w:vMerge w:val="restart"/>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-34</w:t>
                  </w:r>
                </w:p>
              </w:tc>
              <w:tc>
                <w:tcPr>
                  <w:tcW w:w="884" w:type="dxa"/>
                  <w:vMerge w:val="restart"/>
                  <w:tcBorders>
                    <w:tl2br w:val="nil"/>
                    <w:tr2bl w:val="nil"/>
                  </w:tcBorders>
                  <w:vAlign w:val="center"/>
                </w:tcPr>
                <w:p>
                  <w:pPr>
                    <w:autoSpaceDE w:val="0"/>
                    <w:autoSpaceDN w:val="0"/>
                    <w:jc w:val="center"/>
                    <w:rPr>
                      <w:rFonts w:hint="eastAsia" w:eastAsia="仿宋_GB2312"/>
                      <w:color w:val="auto"/>
                      <w:szCs w:val="21"/>
                      <w:lang w:eastAsia="zh-CN"/>
                    </w:rPr>
                  </w:pPr>
                  <w:r>
                    <w:rPr>
                      <w:rFonts w:hint="eastAsia" w:eastAsia="仿宋_GB2312"/>
                      <w:color w:val="auto"/>
                      <w:szCs w:val="21"/>
                      <w:lang w:val="en-US" w:eastAsia="zh-CN"/>
                    </w:rPr>
                    <w:t>13</w:t>
                  </w:r>
                </w:p>
              </w:tc>
              <w:tc>
                <w:tcPr>
                  <w:tcW w:w="856" w:type="dxa"/>
                  <w:vMerge w:val="restart"/>
                  <w:tcBorders>
                    <w:tl2br w:val="nil"/>
                    <w:tr2bl w:val="nil"/>
                  </w:tcBorders>
                  <w:vAlign w:val="center"/>
                </w:tcPr>
                <w:p>
                  <w:pPr>
                    <w:autoSpaceDE w:val="0"/>
                    <w:autoSpaceDN w:val="0"/>
                    <w:jc w:val="center"/>
                    <w:rPr>
                      <w:rFonts w:eastAsia="仿宋_GB2312"/>
                      <w:color w:val="auto"/>
                      <w:szCs w:val="21"/>
                    </w:rPr>
                  </w:pPr>
                  <w:r>
                    <w:rPr>
                      <w:color w:val="auto"/>
                      <w:szCs w:val="21"/>
                    </w:rPr>
                    <w:t>15</w:t>
                  </w:r>
                </w:p>
              </w:tc>
              <w:tc>
                <w:tcPr>
                  <w:tcW w:w="960" w:type="dxa"/>
                  <w:vMerge w:val="restart"/>
                  <w:tcBorders>
                    <w:tl2br w:val="nil"/>
                    <w:tr2bl w:val="nil"/>
                  </w:tcBorders>
                  <w:vAlign w:val="center"/>
                </w:tcPr>
                <w:p>
                  <w:pPr>
                    <w:autoSpaceDE w:val="0"/>
                    <w:autoSpaceDN w:val="0"/>
                    <w:jc w:val="center"/>
                    <w:rPr>
                      <w:rFonts w:hint="default" w:eastAsia="仿宋_GB2312"/>
                      <w:color w:val="auto"/>
                      <w:szCs w:val="21"/>
                      <w:lang w:val="en-US" w:eastAsia="zh-CN"/>
                    </w:rPr>
                  </w:pPr>
                  <w:r>
                    <w:rPr>
                      <w:rFonts w:hint="eastAsia" w:eastAsia="仿宋_GB2312"/>
                      <w:color w:val="auto"/>
                      <w:szCs w:val="21"/>
                      <w:lang w:val="en-US" w:eastAsia="zh-CN"/>
                    </w:rPr>
                    <w:t>0.8</w:t>
                  </w:r>
                </w:p>
              </w:tc>
              <w:tc>
                <w:tcPr>
                  <w:tcW w:w="900" w:type="dxa"/>
                  <w:vMerge w:val="restart"/>
                  <w:tcBorders>
                    <w:tl2br w:val="nil"/>
                    <w:tr2bl w:val="nil"/>
                  </w:tcBorders>
                  <w:vAlign w:val="center"/>
                </w:tcPr>
                <w:p>
                  <w:pPr>
                    <w:autoSpaceDE w:val="0"/>
                    <w:autoSpaceDN w:val="0"/>
                    <w:jc w:val="center"/>
                    <w:rPr>
                      <w:rFonts w:hint="default" w:eastAsia="宋体"/>
                      <w:color w:val="auto"/>
                      <w:szCs w:val="21"/>
                      <w:lang w:val="en-US" w:eastAsia="zh-CN"/>
                    </w:rPr>
                  </w:pPr>
                  <w:r>
                    <w:rPr>
                      <w:rFonts w:hint="eastAsia"/>
                      <w:color w:val="auto"/>
                      <w:szCs w:val="21"/>
                      <w:lang w:val="en-US" w:eastAsia="zh-CN"/>
                    </w:rPr>
                    <w:t>13.5</w:t>
                  </w:r>
                </w:p>
              </w:tc>
              <w:tc>
                <w:tcPr>
                  <w:tcW w:w="705" w:type="dxa"/>
                  <w:vMerge w:val="restart"/>
                  <w:tcBorders>
                    <w:tl2br w:val="nil"/>
                    <w:tr2bl w:val="nil"/>
                  </w:tcBorders>
                  <w:vAlign w:val="center"/>
                </w:tcPr>
                <w:p>
                  <w:pPr>
                    <w:autoSpaceDE w:val="0"/>
                    <w:autoSpaceDN w:val="0"/>
                    <w:jc w:val="center"/>
                    <w:rPr>
                      <w:rFonts w:hint="default" w:eastAsia="宋体"/>
                      <w:color w:val="auto"/>
                      <w:szCs w:val="21"/>
                      <w:lang w:val="en-US" w:eastAsia="zh-CN"/>
                    </w:rPr>
                  </w:pPr>
                  <w:r>
                    <w:rPr>
                      <w:rFonts w:hint="eastAsia"/>
                      <w:color w:val="auto"/>
                      <w:szCs w:val="21"/>
                      <w:lang w:val="en-US" w:eastAsia="zh-CN"/>
                    </w:rPr>
                    <w:t>30</w:t>
                  </w:r>
                </w:p>
              </w:tc>
              <w:tc>
                <w:tcPr>
                  <w:tcW w:w="840" w:type="dxa"/>
                  <w:vMerge w:val="restart"/>
                  <w:tcBorders>
                    <w:tl2br w:val="nil"/>
                    <w:tr2bl w:val="nil"/>
                  </w:tcBorders>
                  <w:vAlign w:val="center"/>
                </w:tcPr>
                <w:p>
                  <w:pPr>
                    <w:autoSpaceDE w:val="0"/>
                    <w:autoSpaceDN w:val="0"/>
                    <w:jc w:val="center"/>
                    <w:rPr>
                      <w:color w:val="auto"/>
                      <w:szCs w:val="21"/>
                    </w:rPr>
                  </w:pPr>
                  <w:r>
                    <w:rPr>
                      <w:color w:val="auto"/>
                      <w:szCs w:val="21"/>
                    </w:rPr>
                    <w:t>2400</w:t>
                  </w:r>
                </w:p>
              </w:tc>
              <w:tc>
                <w:tcPr>
                  <w:tcW w:w="720" w:type="dxa"/>
                  <w:vMerge w:val="restart"/>
                  <w:tcBorders>
                    <w:tl2br w:val="nil"/>
                    <w:tr2bl w:val="nil"/>
                  </w:tcBorders>
                  <w:vAlign w:val="center"/>
                </w:tcPr>
                <w:p>
                  <w:pPr>
                    <w:autoSpaceDE w:val="0"/>
                    <w:autoSpaceDN w:val="0"/>
                    <w:jc w:val="center"/>
                    <w:rPr>
                      <w:color w:val="auto"/>
                      <w:szCs w:val="21"/>
                    </w:rPr>
                  </w:pPr>
                  <w:r>
                    <w:rPr>
                      <w:color w:val="auto"/>
                      <w:szCs w:val="21"/>
                    </w:rPr>
                    <w:t>正常</w:t>
                  </w:r>
                </w:p>
              </w:tc>
              <w:tc>
                <w:tcPr>
                  <w:tcW w:w="945" w:type="dxa"/>
                  <w:tcBorders>
                    <w:tl2br w:val="nil"/>
                    <w:tr2bl w:val="nil"/>
                  </w:tcBorders>
                  <w:vAlign w:val="center"/>
                </w:tcPr>
                <w:p>
                  <w:pPr>
                    <w:autoSpaceDE w:val="0"/>
                    <w:autoSpaceDN w:val="0"/>
                    <w:jc w:val="center"/>
                    <w:rPr>
                      <w:rFonts w:hint="default" w:eastAsia="宋体"/>
                      <w:bCs/>
                      <w:color w:val="auto"/>
                      <w:szCs w:val="21"/>
                      <w:lang w:val="en-US" w:eastAsia="zh-CN"/>
                    </w:rPr>
                  </w:pPr>
                  <w:r>
                    <w:rPr>
                      <w:rFonts w:hint="eastAsia"/>
                      <w:color w:val="auto"/>
                      <w:kern w:val="0"/>
                      <w:szCs w:val="21"/>
                      <w:lang w:val="en-US" w:eastAsia="zh-CN"/>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35" w:type="dxa"/>
                  <w:vMerge w:val="continue"/>
                  <w:tcBorders>
                    <w:tl2br w:val="nil"/>
                    <w:tr2bl w:val="nil"/>
                  </w:tcBorders>
                  <w:vAlign w:val="center"/>
                </w:tcPr>
                <w:p>
                  <w:pPr>
                    <w:widowControl/>
                    <w:adjustRightInd w:val="0"/>
                    <w:snapToGrid w:val="0"/>
                    <w:jc w:val="center"/>
                    <w:rPr>
                      <w:color w:val="auto"/>
                      <w:szCs w:val="21"/>
                    </w:rPr>
                  </w:pPr>
                </w:p>
              </w:tc>
              <w:tc>
                <w:tcPr>
                  <w:tcW w:w="876" w:type="dxa"/>
                  <w:tcBorders>
                    <w:tl2br w:val="nil"/>
                    <w:tr2bl w:val="nil"/>
                  </w:tcBorders>
                  <w:vAlign w:val="center"/>
                </w:tcPr>
                <w:p>
                  <w:pPr>
                    <w:adjustRightInd w:val="0"/>
                    <w:snapToGrid w:val="0"/>
                    <w:jc w:val="center"/>
                    <w:rPr>
                      <w:rFonts w:hint="eastAsia"/>
                      <w:color w:val="auto"/>
                      <w:szCs w:val="21"/>
                      <w:lang w:val="en-US" w:eastAsia="zh-CN"/>
                    </w:rPr>
                  </w:pPr>
                  <w:r>
                    <w:rPr>
                      <w:rFonts w:hint="eastAsia" w:hAnsi="宋体" w:cs="Times New Roman"/>
                      <w:bCs/>
                      <w:color w:val="auto"/>
                      <w:kern w:val="0"/>
                      <w:sz w:val="21"/>
                      <w:szCs w:val="22"/>
                      <w:highlight w:val="none"/>
                      <w:lang w:val="en-US" w:eastAsia="zh-CN" w:bidi="zh-CN"/>
                    </w:rPr>
                    <w:t>非甲烷总烃</w:t>
                  </w:r>
                </w:p>
              </w:tc>
              <w:tc>
                <w:tcPr>
                  <w:tcW w:w="509" w:type="dxa"/>
                  <w:vMerge w:val="continue"/>
                  <w:tcBorders>
                    <w:tl2br w:val="nil"/>
                    <w:tr2bl w:val="nil"/>
                  </w:tcBorders>
                  <w:vAlign w:val="center"/>
                </w:tcPr>
                <w:p>
                  <w:pPr>
                    <w:widowControl/>
                    <w:adjustRightInd w:val="0"/>
                    <w:snapToGrid w:val="0"/>
                    <w:jc w:val="center"/>
                    <w:rPr>
                      <w:rFonts w:hint="eastAsia" w:ascii="Times New Roman" w:eastAsia="宋体"/>
                      <w:color w:val="auto"/>
                      <w:szCs w:val="21"/>
                      <w:lang w:val="en-US" w:eastAsia="zh-CN"/>
                    </w:rPr>
                  </w:pPr>
                </w:p>
              </w:tc>
              <w:tc>
                <w:tcPr>
                  <w:tcW w:w="572" w:type="dxa"/>
                  <w:vMerge w:val="continue"/>
                  <w:tcBorders>
                    <w:tl2br w:val="nil"/>
                    <w:tr2bl w:val="nil"/>
                  </w:tcBorders>
                  <w:vAlign w:val="center"/>
                </w:tcPr>
                <w:p>
                  <w:pPr>
                    <w:widowControl/>
                    <w:adjustRightInd w:val="0"/>
                    <w:snapToGrid w:val="0"/>
                    <w:jc w:val="center"/>
                    <w:rPr>
                      <w:rFonts w:hint="eastAsia" w:ascii="Times New Roman" w:eastAsia="宋体"/>
                      <w:color w:val="auto"/>
                      <w:szCs w:val="21"/>
                      <w:lang w:val="en-US" w:eastAsia="zh-CN"/>
                    </w:rPr>
                  </w:pPr>
                </w:p>
              </w:tc>
              <w:tc>
                <w:tcPr>
                  <w:tcW w:w="884" w:type="dxa"/>
                  <w:vMerge w:val="continue"/>
                  <w:tcBorders>
                    <w:tl2br w:val="nil"/>
                    <w:tr2bl w:val="nil"/>
                  </w:tcBorders>
                  <w:vAlign w:val="center"/>
                </w:tcPr>
                <w:p>
                  <w:pPr>
                    <w:autoSpaceDE w:val="0"/>
                    <w:autoSpaceDN w:val="0"/>
                    <w:jc w:val="center"/>
                    <w:rPr>
                      <w:rFonts w:hint="default" w:eastAsia="仿宋_GB2312"/>
                      <w:color w:val="auto"/>
                      <w:szCs w:val="21"/>
                      <w:lang w:val="en-US" w:eastAsia="zh-CN"/>
                    </w:rPr>
                  </w:pPr>
                </w:p>
              </w:tc>
              <w:tc>
                <w:tcPr>
                  <w:tcW w:w="856" w:type="dxa"/>
                  <w:vMerge w:val="continue"/>
                  <w:tcBorders>
                    <w:tl2br w:val="nil"/>
                    <w:tr2bl w:val="nil"/>
                  </w:tcBorders>
                  <w:vAlign w:val="center"/>
                </w:tcPr>
                <w:p>
                  <w:pPr>
                    <w:autoSpaceDE w:val="0"/>
                    <w:autoSpaceDN w:val="0"/>
                    <w:jc w:val="center"/>
                    <w:rPr>
                      <w:rFonts w:hint="default" w:eastAsia="宋体"/>
                      <w:color w:val="auto"/>
                      <w:szCs w:val="21"/>
                      <w:lang w:val="en-US" w:eastAsia="zh-CN"/>
                    </w:rPr>
                  </w:pPr>
                </w:p>
              </w:tc>
              <w:tc>
                <w:tcPr>
                  <w:tcW w:w="960" w:type="dxa"/>
                  <w:vMerge w:val="continue"/>
                  <w:tcBorders>
                    <w:tl2br w:val="nil"/>
                    <w:tr2bl w:val="nil"/>
                  </w:tcBorders>
                  <w:vAlign w:val="center"/>
                </w:tcPr>
                <w:p>
                  <w:pPr>
                    <w:autoSpaceDE w:val="0"/>
                    <w:autoSpaceDN w:val="0"/>
                    <w:jc w:val="center"/>
                    <w:rPr>
                      <w:rFonts w:hint="eastAsia"/>
                      <w:color w:val="auto"/>
                      <w:szCs w:val="21"/>
                    </w:rPr>
                  </w:pPr>
                </w:p>
              </w:tc>
              <w:tc>
                <w:tcPr>
                  <w:tcW w:w="900" w:type="dxa"/>
                  <w:vMerge w:val="continue"/>
                  <w:tcBorders>
                    <w:tl2br w:val="nil"/>
                    <w:tr2bl w:val="nil"/>
                  </w:tcBorders>
                  <w:vAlign w:val="center"/>
                </w:tcPr>
                <w:p>
                  <w:pPr>
                    <w:autoSpaceDE w:val="0"/>
                    <w:autoSpaceDN w:val="0"/>
                    <w:jc w:val="center"/>
                    <w:rPr>
                      <w:rFonts w:hint="eastAsia" w:ascii="Times New Roman" w:eastAsia="宋体"/>
                      <w:color w:val="auto"/>
                      <w:szCs w:val="21"/>
                      <w:lang w:val="en-US" w:eastAsia="zh-CN"/>
                    </w:rPr>
                  </w:pPr>
                </w:p>
              </w:tc>
              <w:tc>
                <w:tcPr>
                  <w:tcW w:w="705" w:type="dxa"/>
                  <w:vMerge w:val="continue"/>
                  <w:tcBorders>
                    <w:tl2br w:val="nil"/>
                    <w:tr2bl w:val="nil"/>
                  </w:tcBorders>
                  <w:vAlign w:val="center"/>
                </w:tcPr>
                <w:p>
                  <w:pPr>
                    <w:autoSpaceDE w:val="0"/>
                    <w:autoSpaceDN w:val="0"/>
                    <w:jc w:val="center"/>
                    <w:rPr>
                      <w:rFonts w:hint="default" w:eastAsia="宋体"/>
                      <w:color w:val="auto"/>
                      <w:szCs w:val="21"/>
                      <w:lang w:val="en-US" w:eastAsia="zh-CN"/>
                    </w:rPr>
                  </w:pPr>
                </w:p>
              </w:tc>
              <w:tc>
                <w:tcPr>
                  <w:tcW w:w="840" w:type="dxa"/>
                  <w:vMerge w:val="continue"/>
                  <w:tcBorders>
                    <w:tl2br w:val="nil"/>
                    <w:tr2bl w:val="nil"/>
                  </w:tcBorders>
                  <w:vAlign w:val="center"/>
                </w:tcPr>
                <w:p>
                  <w:pPr>
                    <w:autoSpaceDE w:val="0"/>
                    <w:autoSpaceDN w:val="0"/>
                    <w:jc w:val="center"/>
                    <w:rPr>
                      <w:color w:val="auto"/>
                      <w:szCs w:val="21"/>
                    </w:rPr>
                  </w:pPr>
                </w:p>
              </w:tc>
              <w:tc>
                <w:tcPr>
                  <w:tcW w:w="720" w:type="dxa"/>
                  <w:vMerge w:val="continue"/>
                  <w:tcBorders>
                    <w:tl2br w:val="nil"/>
                    <w:tr2bl w:val="nil"/>
                  </w:tcBorders>
                  <w:vAlign w:val="center"/>
                </w:tcPr>
                <w:p>
                  <w:pPr>
                    <w:autoSpaceDE w:val="0"/>
                    <w:autoSpaceDN w:val="0"/>
                    <w:jc w:val="center"/>
                    <w:rPr>
                      <w:color w:val="auto"/>
                      <w:szCs w:val="21"/>
                    </w:rPr>
                  </w:pPr>
                </w:p>
              </w:tc>
              <w:tc>
                <w:tcPr>
                  <w:tcW w:w="945" w:type="dxa"/>
                  <w:tcBorders>
                    <w:tl2br w:val="nil"/>
                    <w:tr2bl w:val="nil"/>
                  </w:tcBorders>
                  <w:vAlign w:val="center"/>
                </w:tcPr>
                <w:p>
                  <w:pPr>
                    <w:autoSpaceDE w:val="0"/>
                    <w:autoSpaceDN w:val="0"/>
                    <w:jc w:val="center"/>
                    <w:rPr>
                      <w:rFonts w:hint="default" w:ascii="Times New Roman" w:eastAsia="宋体"/>
                      <w:color w:val="auto"/>
                      <w:kern w:val="0"/>
                      <w:szCs w:val="21"/>
                      <w:lang w:val="en-US" w:eastAsia="zh-CN"/>
                    </w:rPr>
                  </w:pPr>
                  <w:r>
                    <w:rPr>
                      <w:rFonts w:hint="eastAsia"/>
                      <w:color w:val="auto"/>
                      <w:kern w:val="0"/>
                      <w:szCs w:val="21"/>
                      <w:lang w:val="en-US" w:eastAsia="zh-CN"/>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535"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G2</w:t>
                  </w:r>
                </w:p>
              </w:tc>
              <w:tc>
                <w:tcPr>
                  <w:tcW w:w="876" w:type="dxa"/>
                  <w:tcBorders>
                    <w:tl2br w:val="nil"/>
                    <w:tr2bl w:val="nil"/>
                  </w:tcBorders>
                  <w:vAlign w:val="center"/>
                </w:tcPr>
                <w:p>
                  <w:pPr>
                    <w:adjustRightInd w:val="0"/>
                    <w:snapToGrid w:val="0"/>
                    <w:jc w:val="center"/>
                    <w:rPr>
                      <w:rFonts w:hint="eastAsia" w:ascii="Times New Roman" w:cs="Times New Roman"/>
                      <w:bCs/>
                      <w:color w:val="auto"/>
                      <w:sz w:val="21"/>
                      <w:szCs w:val="21"/>
                    </w:rPr>
                  </w:pPr>
                  <w:r>
                    <w:rPr>
                      <w:rFonts w:hint="eastAsia"/>
                      <w:color w:val="auto"/>
                      <w:szCs w:val="21"/>
                      <w:lang w:val="en-US" w:eastAsia="zh-CN"/>
                    </w:rPr>
                    <w:t>PM</w:t>
                  </w:r>
                  <w:r>
                    <w:rPr>
                      <w:rFonts w:hint="eastAsia"/>
                      <w:color w:val="auto"/>
                      <w:szCs w:val="21"/>
                      <w:vertAlign w:val="subscript"/>
                      <w:lang w:val="en-US" w:eastAsia="zh-CN"/>
                    </w:rPr>
                    <w:t>10</w:t>
                  </w:r>
                </w:p>
              </w:tc>
              <w:tc>
                <w:tcPr>
                  <w:tcW w:w="509" w:type="dxa"/>
                  <w:tcBorders>
                    <w:tl2br w:val="nil"/>
                    <w:tr2bl w:val="nil"/>
                  </w:tcBorders>
                  <w:vAlign w:val="center"/>
                </w:tcPr>
                <w:p>
                  <w:pPr>
                    <w:widowControl/>
                    <w:adjustRightInd w:val="0"/>
                    <w:snapToGrid w:val="0"/>
                    <w:jc w:val="center"/>
                    <w:rPr>
                      <w:rFonts w:hint="default" w:ascii="Times New Roman" w:eastAsia="宋体"/>
                      <w:color w:val="auto"/>
                      <w:szCs w:val="21"/>
                      <w:lang w:val="en-US" w:eastAsia="zh-CN"/>
                    </w:rPr>
                  </w:pPr>
                  <w:r>
                    <w:rPr>
                      <w:rFonts w:hint="eastAsia"/>
                      <w:color w:val="auto"/>
                      <w:szCs w:val="21"/>
                      <w:lang w:val="en-US" w:eastAsia="zh-CN"/>
                    </w:rPr>
                    <w:t>-47</w:t>
                  </w:r>
                </w:p>
              </w:tc>
              <w:tc>
                <w:tcPr>
                  <w:tcW w:w="572" w:type="dxa"/>
                  <w:tcBorders>
                    <w:tl2br w:val="nil"/>
                    <w:tr2bl w:val="nil"/>
                  </w:tcBorders>
                  <w:vAlign w:val="center"/>
                </w:tcPr>
                <w:p>
                  <w:pPr>
                    <w:widowControl/>
                    <w:adjustRightInd w:val="0"/>
                    <w:snapToGrid w:val="0"/>
                    <w:jc w:val="center"/>
                    <w:rPr>
                      <w:rFonts w:hint="default" w:ascii="Times New Roman" w:eastAsia="宋体"/>
                      <w:color w:val="auto"/>
                      <w:szCs w:val="21"/>
                      <w:lang w:val="en-US" w:eastAsia="zh-CN"/>
                    </w:rPr>
                  </w:pPr>
                  <w:r>
                    <w:rPr>
                      <w:rFonts w:hint="eastAsia"/>
                      <w:color w:val="auto"/>
                      <w:szCs w:val="21"/>
                      <w:lang w:val="en-US" w:eastAsia="zh-CN"/>
                    </w:rPr>
                    <w:t>-39</w:t>
                  </w:r>
                </w:p>
              </w:tc>
              <w:tc>
                <w:tcPr>
                  <w:tcW w:w="884" w:type="dxa"/>
                  <w:tcBorders>
                    <w:tl2br w:val="nil"/>
                    <w:tr2bl w:val="nil"/>
                  </w:tcBorders>
                  <w:vAlign w:val="center"/>
                </w:tcPr>
                <w:p>
                  <w:pPr>
                    <w:autoSpaceDE w:val="0"/>
                    <w:autoSpaceDN w:val="0"/>
                    <w:jc w:val="center"/>
                    <w:rPr>
                      <w:rFonts w:hint="default" w:eastAsia="仿宋_GB2312"/>
                      <w:color w:val="auto"/>
                      <w:szCs w:val="21"/>
                      <w:lang w:val="en-US" w:eastAsia="zh-CN"/>
                    </w:rPr>
                  </w:pPr>
                  <w:r>
                    <w:rPr>
                      <w:rFonts w:hint="eastAsia" w:eastAsia="仿宋_GB2312"/>
                      <w:color w:val="auto"/>
                      <w:szCs w:val="21"/>
                      <w:lang w:val="en-US" w:eastAsia="zh-CN"/>
                    </w:rPr>
                    <w:t>13</w:t>
                  </w:r>
                </w:p>
              </w:tc>
              <w:tc>
                <w:tcPr>
                  <w:tcW w:w="856" w:type="dxa"/>
                  <w:tcBorders>
                    <w:tl2br w:val="nil"/>
                    <w:tr2bl w:val="nil"/>
                  </w:tcBorders>
                  <w:vAlign w:val="center"/>
                </w:tcPr>
                <w:p>
                  <w:pPr>
                    <w:autoSpaceDE w:val="0"/>
                    <w:autoSpaceDN w:val="0"/>
                    <w:jc w:val="center"/>
                    <w:rPr>
                      <w:rFonts w:hint="default" w:eastAsia="宋体"/>
                      <w:color w:val="auto"/>
                      <w:szCs w:val="21"/>
                      <w:lang w:val="en-US" w:eastAsia="zh-CN"/>
                    </w:rPr>
                  </w:pPr>
                  <w:r>
                    <w:rPr>
                      <w:rFonts w:hint="eastAsia"/>
                      <w:color w:val="auto"/>
                      <w:szCs w:val="21"/>
                      <w:lang w:val="en-US" w:eastAsia="zh-CN"/>
                    </w:rPr>
                    <w:t>15</w:t>
                  </w:r>
                </w:p>
              </w:tc>
              <w:tc>
                <w:tcPr>
                  <w:tcW w:w="960" w:type="dxa"/>
                  <w:tcBorders>
                    <w:tl2br w:val="nil"/>
                    <w:tr2bl w:val="nil"/>
                  </w:tcBorders>
                  <w:vAlign w:val="center"/>
                </w:tcPr>
                <w:p>
                  <w:pPr>
                    <w:autoSpaceDE w:val="0"/>
                    <w:autoSpaceDN w:val="0"/>
                    <w:jc w:val="center"/>
                    <w:rPr>
                      <w:rFonts w:hint="default" w:eastAsia="宋体"/>
                      <w:color w:val="auto"/>
                      <w:szCs w:val="21"/>
                      <w:lang w:val="en-US" w:eastAsia="zh-CN"/>
                    </w:rPr>
                  </w:pPr>
                  <w:r>
                    <w:rPr>
                      <w:rFonts w:hint="eastAsia"/>
                      <w:color w:val="auto"/>
                      <w:szCs w:val="21"/>
                      <w:lang w:val="en-US" w:eastAsia="zh-CN"/>
                    </w:rPr>
                    <w:t>0.9</w:t>
                  </w:r>
                </w:p>
              </w:tc>
              <w:tc>
                <w:tcPr>
                  <w:tcW w:w="900" w:type="dxa"/>
                  <w:tcBorders>
                    <w:tl2br w:val="nil"/>
                    <w:tr2bl w:val="nil"/>
                  </w:tcBorders>
                  <w:vAlign w:val="center"/>
                </w:tcPr>
                <w:p>
                  <w:pPr>
                    <w:autoSpaceDE w:val="0"/>
                    <w:autoSpaceDN w:val="0"/>
                    <w:jc w:val="center"/>
                    <w:rPr>
                      <w:rFonts w:hint="default" w:ascii="Times New Roman" w:eastAsia="宋体"/>
                      <w:color w:val="auto"/>
                      <w:szCs w:val="21"/>
                      <w:lang w:val="en-US" w:eastAsia="zh-CN"/>
                    </w:rPr>
                  </w:pPr>
                  <w:r>
                    <w:rPr>
                      <w:rFonts w:hint="eastAsia"/>
                      <w:color w:val="auto"/>
                      <w:szCs w:val="21"/>
                      <w:lang w:val="en-US" w:eastAsia="zh-CN"/>
                    </w:rPr>
                    <w:t>15.7</w:t>
                  </w:r>
                </w:p>
              </w:tc>
              <w:tc>
                <w:tcPr>
                  <w:tcW w:w="705" w:type="dxa"/>
                  <w:tcBorders>
                    <w:tl2br w:val="nil"/>
                    <w:tr2bl w:val="nil"/>
                  </w:tcBorders>
                  <w:vAlign w:val="center"/>
                </w:tcPr>
                <w:p>
                  <w:pPr>
                    <w:autoSpaceDE w:val="0"/>
                    <w:autoSpaceDN w:val="0"/>
                    <w:jc w:val="center"/>
                    <w:rPr>
                      <w:color w:val="auto"/>
                      <w:szCs w:val="21"/>
                    </w:rPr>
                  </w:pPr>
                  <w:r>
                    <w:rPr>
                      <w:color w:val="auto"/>
                      <w:szCs w:val="21"/>
                    </w:rPr>
                    <w:t>25</w:t>
                  </w:r>
                </w:p>
              </w:tc>
              <w:tc>
                <w:tcPr>
                  <w:tcW w:w="840" w:type="dxa"/>
                  <w:tcBorders>
                    <w:tl2br w:val="nil"/>
                    <w:tr2bl w:val="nil"/>
                  </w:tcBorders>
                  <w:vAlign w:val="center"/>
                </w:tcPr>
                <w:p>
                  <w:pPr>
                    <w:autoSpaceDE w:val="0"/>
                    <w:autoSpaceDN w:val="0"/>
                    <w:jc w:val="center"/>
                    <w:rPr>
                      <w:color w:val="auto"/>
                      <w:szCs w:val="21"/>
                    </w:rPr>
                  </w:pPr>
                  <w:r>
                    <w:rPr>
                      <w:color w:val="auto"/>
                      <w:szCs w:val="21"/>
                    </w:rPr>
                    <w:t>2400</w:t>
                  </w:r>
                </w:p>
              </w:tc>
              <w:tc>
                <w:tcPr>
                  <w:tcW w:w="720" w:type="dxa"/>
                  <w:tcBorders>
                    <w:tl2br w:val="nil"/>
                    <w:tr2bl w:val="nil"/>
                  </w:tcBorders>
                  <w:vAlign w:val="center"/>
                </w:tcPr>
                <w:p>
                  <w:pPr>
                    <w:autoSpaceDE w:val="0"/>
                    <w:autoSpaceDN w:val="0"/>
                    <w:jc w:val="center"/>
                    <w:rPr>
                      <w:color w:val="auto"/>
                      <w:szCs w:val="21"/>
                    </w:rPr>
                  </w:pPr>
                  <w:r>
                    <w:rPr>
                      <w:color w:val="auto"/>
                      <w:szCs w:val="21"/>
                    </w:rPr>
                    <w:t>正常</w:t>
                  </w:r>
                </w:p>
              </w:tc>
              <w:tc>
                <w:tcPr>
                  <w:tcW w:w="945" w:type="dxa"/>
                  <w:tcBorders>
                    <w:tl2br w:val="nil"/>
                    <w:tr2bl w:val="nil"/>
                  </w:tcBorders>
                  <w:vAlign w:val="center"/>
                </w:tcPr>
                <w:p>
                  <w:pPr>
                    <w:autoSpaceDE w:val="0"/>
                    <w:autoSpaceDN w:val="0"/>
                    <w:jc w:val="center"/>
                    <w:rPr>
                      <w:rFonts w:hint="default" w:ascii="Times New Roman" w:eastAsia="宋体"/>
                      <w:color w:val="auto"/>
                      <w:kern w:val="0"/>
                      <w:szCs w:val="21"/>
                      <w:lang w:val="en-US" w:eastAsia="zh-CN"/>
                    </w:rPr>
                  </w:pPr>
                  <w:r>
                    <w:rPr>
                      <w:rFonts w:hint="eastAsia"/>
                      <w:color w:val="auto"/>
                      <w:kern w:val="0"/>
                      <w:szCs w:val="21"/>
                      <w:lang w:val="en-US" w:eastAsia="zh-CN"/>
                    </w:rPr>
                    <w:t>0.0004</w:t>
                  </w:r>
                </w:p>
              </w:tc>
            </w:tr>
          </w:tbl>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本项目面源参数表</w:t>
            </w:r>
          </w:p>
          <w:tbl>
            <w:tblPr>
              <w:tblStyle w:val="40"/>
              <w:tblW w:w="92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
              <w:gridCol w:w="900"/>
              <w:gridCol w:w="975"/>
              <w:gridCol w:w="990"/>
              <w:gridCol w:w="1185"/>
              <w:gridCol w:w="1380"/>
              <w:gridCol w:w="1080"/>
              <w:gridCol w:w="892"/>
              <w:gridCol w:w="1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blHeader/>
                <w:jc w:val="center"/>
              </w:trPr>
              <w:tc>
                <w:tcPr>
                  <w:tcW w:w="470" w:type="dxa"/>
                  <w:vMerge w:val="restart"/>
                  <w:tcBorders>
                    <w:tl2br w:val="nil"/>
                    <w:tr2bl w:val="nil"/>
                  </w:tcBorders>
                  <w:vAlign w:val="center"/>
                </w:tcPr>
                <w:p>
                  <w:pPr>
                    <w:jc w:val="center"/>
                    <w:rPr>
                      <w:b/>
                      <w:color w:val="auto"/>
                      <w:szCs w:val="21"/>
                    </w:rPr>
                  </w:pPr>
                  <w:r>
                    <w:rPr>
                      <w:b/>
                      <w:color w:val="auto"/>
                      <w:szCs w:val="21"/>
                    </w:rPr>
                    <w:t>污染源</w:t>
                  </w:r>
                </w:p>
              </w:tc>
              <w:tc>
                <w:tcPr>
                  <w:tcW w:w="900" w:type="dxa"/>
                  <w:vMerge w:val="restart"/>
                  <w:tcBorders>
                    <w:tl2br w:val="nil"/>
                    <w:tr2bl w:val="nil"/>
                  </w:tcBorders>
                  <w:vAlign w:val="center"/>
                </w:tcPr>
                <w:p>
                  <w:pPr>
                    <w:jc w:val="center"/>
                    <w:rPr>
                      <w:b/>
                      <w:color w:val="auto"/>
                      <w:szCs w:val="21"/>
                    </w:rPr>
                  </w:pPr>
                  <w:r>
                    <w:rPr>
                      <w:b/>
                      <w:color w:val="auto"/>
                      <w:szCs w:val="21"/>
                    </w:rPr>
                    <w:t>污染物</w:t>
                  </w:r>
                </w:p>
              </w:tc>
              <w:tc>
                <w:tcPr>
                  <w:tcW w:w="1965" w:type="dxa"/>
                  <w:gridSpan w:val="2"/>
                  <w:tcBorders>
                    <w:tl2br w:val="nil"/>
                    <w:tr2bl w:val="nil"/>
                  </w:tcBorders>
                  <w:vAlign w:val="center"/>
                </w:tcPr>
                <w:p>
                  <w:pPr>
                    <w:autoSpaceDE w:val="0"/>
                    <w:autoSpaceDN w:val="0"/>
                    <w:jc w:val="center"/>
                    <w:rPr>
                      <w:b/>
                      <w:color w:val="auto"/>
                      <w:szCs w:val="21"/>
                    </w:rPr>
                  </w:pPr>
                  <w:r>
                    <w:rPr>
                      <w:rFonts w:hint="eastAsia"/>
                      <w:b/>
                      <w:color w:val="auto"/>
                      <w:szCs w:val="21"/>
                      <w:lang w:eastAsia="zh-CN"/>
                    </w:rPr>
                    <w:t>面源各顶点坐标</w:t>
                  </w:r>
                  <w:r>
                    <w:rPr>
                      <w:rFonts w:hint="eastAsia"/>
                      <w:b/>
                      <w:color w:val="auto"/>
                      <w:szCs w:val="21"/>
                    </w:rPr>
                    <w:t>/m</w:t>
                  </w:r>
                </w:p>
              </w:tc>
              <w:tc>
                <w:tcPr>
                  <w:tcW w:w="1185" w:type="dxa"/>
                  <w:vMerge w:val="restart"/>
                  <w:tcBorders>
                    <w:tl2br w:val="nil"/>
                    <w:tr2bl w:val="nil"/>
                  </w:tcBorders>
                  <w:vAlign w:val="center"/>
                </w:tcPr>
                <w:p>
                  <w:pPr>
                    <w:jc w:val="center"/>
                    <w:rPr>
                      <w:b/>
                      <w:color w:val="auto"/>
                      <w:szCs w:val="21"/>
                    </w:rPr>
                  </w:pPr>
                  <w:r>
                    <w:rPr>
                      <w:rFonts w:hint="eastAsia"/>
                      <w:b/>
                      <w:color w:val="auto"/>
                      <w:szCs w:val="21"/>
                    </w:rPr>
                    <w:t>面源海拔高度/m</w:t>
                  </w:r>
                </w:p>
              </w:tc>
              <w:tc>
                <w:tcPr>
                  <w:tcW w:w="1380" w:type="dxa"/>
                  <w:vMerge w:val="restart"/>
                  <w:tcBorders>
                    <w:tl2br w:val="nil"/>
                    <w:tr2bl w:val="nil"/>
                  </w:tcBorders>
                  <w:vAlign w:val="center"/>
                </w:tcPr>
                <w:p>
                  <w:pPr>
                    <w:jc w:val="center"/>
                    <w:rPr>
                      <w:color w:val="auto"/>
                    </w:rPr>
                  </w:pPr>
                  <w:r>
                    <w:rPr>
                      <w:b/>
                      <w:color w:val="auto"/>
                      <w:szCs w:val="21"/>
                    </w:rPr>
                    <w:t>面源</w:t>
                  </w:r>
                  <w:r>
                    <w:rPr>
                      <w:rFonts w:hint="eastAsia"/>
                      <w:b/>
                      <w:color w:val="auto"/>
                      <w:szCs w:val="21"/>
                    </w:rPr>
                    <w:t>有效排放</w:t>
                  </w:r>
                  <w:r>
                    <w:rPr>
                      <w:b/>
                      <w:color w:val="auto"/>
                      <w:szCs w:val="21"/>
                    </w:rPr>
                    <w:t>高度/m</w:t>
                  </w:r>
                </w:p>
              </w:tc>
              <w:tc>
                <w:tcPr>
                  <w:tcW w:w="1080" w:type="dxa"/>
                  <w:vMerge w:val="restart"/>
                  <w:tcBorders>
                    <w:tl2br w:val="nil"/>
                    <w:tr2bl w:val="nil"/>
                  </w:tcBorders>
                  <w:vAlign w:val="center"/>
                </w:tcPr>
                <w:p>
                  <w:pPr>
                    <w:jc w:val="center"/>
                    <w:rPr>
                      <w:b/>
                      <w:color w:val="auto"/>
                      <w:szCs w:val="21"/>
                    </w:rPr>
                  </w:pPr>
                  <w:r>
                    <w:rPr>
                      <w:rFonts w:hint="eastAsia"/>
                      <w:b/>
                      <w:color w:val="auto"/>
                      <w:szCs w:val="21"/>
                    </w:rPr>
                    <w:t>年排放小时数/h</w:t>
                  </w:r>
                </w:p>
              </w:tc>
              <w:tc>
                <w:tcPr>
                  <w:tcW w:w="892" w:type="dxa"/>
                  <w:vMerge w:val="restart"/>
                  <w:tcBorders>
                    <w:tl2br w:val="nil"/>
                    <w:tr2bl w:val="nil"/>
                  </w:tcBorders>
                  <w:vAlign w:val="center"/>
                </w:tcPr>
                <w:p>
                  <w:pPr>
                    <w:jc w:val="center"/>
                    <w:rPr>
                      <w:b/>
                      <w:color w:val="auto"/>
                      <w:szCs w:val="21"/>
                    </w:rPr>
                  </w:pPr>
                  <w:r>
                    <w:rPr>
                      <w:rFonts w:hint="eastAsia"/>
                      <w:b/>
                      <w:color w:val="auto"/>
                      <w:szCs w:val="21"/>
                    </w:rPr>
                    <w:t>排放工况</w:t>
                  </w:r>
                </w:p>
              </w:tc>
              <w:tc>
                <w:tcPr>
                  <w:tcW w:w="1403" w:type="dxa"/>
                  <w:vMerge w:val="restart"/>
                  <w:tcBorders>
                    <w:tl2br w:val="nil"/>
                    <w:tr2bl w:val="nil"/>
                  </w:tcBorders>
                  <w:vAlign w:val="center"/>
                </w:tcPr>
                <w:p>
                  <w:pPr>
                    <w:jc w:val="center"/>
                    <w:rPr>
                      <w:b/>
                      <w:color w:val="auto"/>
                      <w:szCs w:val="21"/>
                    </w:rPr>
                  </w:pPr>
                  <w:r>
                    <w:rPr>
                      <w:b/>
                      <w:color w:val="auto"/>
                      <w:szCs w:val="21"/>
                    </w:rPr>
                    <w:t>排放源强kg/h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70" w:type="dxa"/>
                  <w:vMerge w:val="continue"/>
                  <w:tcBorders>
                    <w:tl2br w:val="nil"/>
                    <w:tr2bl w:val="nil"/>
                  </w:tcBorders>
                  <w:vAlign w:val="center"/>
                </w:tcPr>
                <w:p>
                  <w:pPr>
                    <w:jc w:val="center"/>
                    <w:rPr>
                      <w:color w:val="auto"/>
                    </w:rPr>
                  </w:pPr>
                </w:p>
              </w:tc>
              <w:tc>
                <w:tcPr>
                  <w:tcW w:w="900" w:type="dxa"/>
                  <w:vMerge w:val="continue"/>
                  <w:tcBorders>
                    <w:tl2br w:val="nil"/>
                    <w:tr2bl w:val="nil"/>
                  </w:tcBorders>
                  <w:vAlign w:val="center"/>
                </w:tcPr>
                <w:p>
                  <w:pPr>
                    <w:jc w:val="center"/>
                    <w:rPr>
                      <w:color w:val="auto"/>
                    </w:rPr>
                  </w:pPr>
                </w:p>
              </w:tc>
              <w:tc>
                <w:tcPr>
                  <w:tcW w:w="975" w:type="dxa"/>
                  <w:tcBorders>
                    <w:tl2br w:val="nil"/>
                    <w:tr2bl w:val="nil"/>
                  </w:tcBorders>
                  <w:vAlign w:val="center"/>
                </w:tcPr>
                <w:p>
                  <w:pPr>
                    <w:autoSpaceDE w:val="0"/>
                    <w:autoSpaceDN w:val="0"/>
                    <w:jc w:val="center"/>
                    <w:rPr>
                      <w:color w:val="auto"/>
                    </w:rPr>
                  </w:pPr>
                  <w:r>
                    <w:rPr>
                      <w:rFonts w:hint="eastAsia"/>
                      <w:color w:val="auto"/>
                    </w:rPr>
                    <w:t>X</w:t>
                  </w:r>
                </w:p>
              </w:tc>
              <w:tc>
                <w:tcPr>
                  <w:tcW w:w="990" w:type="dxa"/>
                  <w:tcBorders>
                    <w:tl2br w:val="nil"/>
                    <w:tr2bl w:val="nil"/>
                  </w:tcBorders>
                  <w:vAlign w:val="center"/>
                </w:tcPr>
                <w:p>
                  <w:pPr>
                    <w:autoSpaceDE w:val="0"/>
                    <w:autoSpaceDN w:val="0"/>
                    <w:jc w:val="center"/>
                    <w:rPr>
                      <w:color w:val="auto"/>
                    </w:rPr>
                  </w:pPr>
                  <w:r>
                    <w:rPr>
                      <w:rFonts w:hint="eastAsia"/>
                      <w:color w:val="auto"/>
                    </w:rPr>
                    <w:t>Y</w:t>
                  </w:r>
                </w:p>
              </w:tc>
              <w:tc>
                <w:tcPr>
                  <w:tcW w:w="1185" w:type="dxa"/>
                  <w:vMerge w:val="continue"/>
                  <w:tcBorders>
                    <w:tl2br w:val="nil"/>
                    <w:tr2bl w:val="nil"/>
                  </w:tcBorders>
                  <w:vAlign w:val="center"/>
                </w:tcPr>
                <w:p>
                  <w:pPr>
                    <w:jc w:val="center"/>
                    <w:rPr>
                      <w:color w:val="auto"/>
                    </w:rPr>
                  </w:pPr>
                </w:p>
              </w:tc>
              <w:tc>
                <w:tcPr>
                  <w:tcW w:w="1380" w:type="dxa"/>
                  <w:vMerge w:val="continue"/>
                  <w:tcBorders>
                    <w:tl2br w:val="nil"/>
                    <w:tr2bl w:val="nil"/>
                  </w:tcBorders>
                  <w:vAlign w:val="center"/>
                </w:tcPr>
                <w:p>
                  <w:pPr>
                    <w:jc w:val="center"/>
                    <w:rPr>
                      <w:color w:val="auto"/>
                    </w:rPr>
                  </w:pPr>
                </w:p>
              </w:tc>
              <w:tc>
                <w:tcPr>
                  <w:tcW w:w="1080" w:type="dxa"/>
                  <w:vMerge w:val="continue"/>
                  <w:tcBorders>
                    <w:tl2br w:val="nil"/>
                    <w:tr2bl w:val="nil"/>
                  </w:tcBorders>
                  <w:vAlign w:val="center"/>
                </w:tcPr>
                <w:p>
                  <w:pPr>
                    <w:jc w:val="center"/>
                    <w:rPr>
                      <w:color w:val="auto"/>
                    </w:rPr>
                  </w:pPr>
                </w:p>
              </w:tc>
              <w:tc>
                <w:tcPr>
                  <w:tcW w:w="892" w:type="dxa"/>
                  <w:vMerge w:val="continue"/>
                  <w:tcBorders>
                    <w:tl2br w:val="nil"/>
                    <w:tr2bl w:val="nil"/>
                  </w:tcBorders>
                  <w:vAlign w:val="center"/>
                </w:tcPr>
                <w:p>
                  <w:pPr>
                    <w:jc w:val="center"/>
                    <w:rPr>
                      <w:color w:val="auto"/>
                    </w:rPr>
                  </w:pPr>
                </w:p>
              </w:tc>
              <w:tc>
                <w:tcPr>
                  <w:tcW w:w="1403" w:type="dxa"/>
                  <w:vMerge w:val="continue"/>
                  <w:tcBorders>
                    <w:tl2br w:val="nil"/>
                    <w:tr2bl w:val="nil"/>
                  </w:tcBorders>
                  <w:vAlign w:val="center"/>
                </w:tcPr>
                <w:p>
                  <w:pPr>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470" w:type="dxa"/>
                  <w:vMerge w:val="restart"/>
                  <w:tcBorders>
                    <w:tl2br w:val="nil"/>
                    <w:tr2bl w:val="nil"/>
                  </w:tcBorders>
                  <w:vAlign w:val="center"/>
                </w:tcPr>
                <w:p>
                  <w:pPr>
                    <w:widowControl/>
                    <w:adjustRightInd w:val="0"/>
                    <w:snapToGrid w:val="0"/>
                    <w:jc w:val="center"/>
                    <w:rPr>
                      <w:bCs/>
                      <w:color w:val="auto"/>
                      <w:szCs w:val="21"/>
                    </w:rPr>
                  </w:pPr>
                  <w:r>
                    <w:rPr>
                      <w:rFonts w:hint="eastAsia"/>
                      <w:color w:val="auto"/>
                      <w:szCs w:val="21"/>
                    </w:rPr>
                    <w:t>生产车间</w:t>
                  </w:r>
                </w:p>
              </w:tc>
              <w:tc>
                <w:tcPr>
                  <w:tcW w:w="900" w:type="dxa"/>
                  <w:vMerge w:val="restart"/>
                  <w:tcBorders>
                    <w:tl2br w:val="nil"/>
                    <w:tr2bl w:val="nil"/>
                  </w:tcBorders>
                  <w:vAlign w:val="center"/>
                </w:tcPr>
                <w:p>
                  <w:pPr>
                    <w:pStyle w:val="47"/>
                    <w:jc w:val="center"/>
                    <w:rPr>
                      <w:rFonts w:hint="eastAsia" w:ascii="Times New Roman" w:eastAsia="宋体" w:cs="Times New Roman"/>
                      <w:bCs/>
                      <w:color w:val="auto"/>
                      <w:sz w:val="21"/>
                      <w:szCs w:val="21"/>
                      <w:lang w:eastAsia="zh-CN"/>
                    </w:rPr>
                  </w:pPr>
                  <w:r>
                    <w:rPr>
                      <w:rFonts w:hint="eastAsia" w:hAnsi="宋体" w:cs="Times New Roman"/>
                      <w:bCs/>
                      <w:color w:val="auto"/>
                      <w:kern w:val="0"/>
                      <w:sz w:val="21"/>
                      <w:szCs w:val="22"/>
                      <w:highlight w:val="none"/>
                      <w:lang w:val="en-US" w:eastAsia="zh-CN" w:bidi="zh-CN"/>
                    </w:rPr>
                    <w:t>非甲烷总烃</w:t>
                  </w:r>
                  <w:r>
                    <w:rPr>
                      <w:rFonts w:hint="eastAsia" w:ascii="Times New Roman" w:cs="Times New Roman"/>
                      <w:bCs/>
                      <w:color w:val="auto"/>
                      <w:sz w:val="21"/>
                      <w:szCs w:val="21"/>
                      <w:lang w:eastAsia="zh-CN"/>
                    </w:rPr>
                    <w:t>、</w:t>
                  </w:r>
                </w:p>
                <w:p>
                  <w:pPr>
                    <w:pStyle w:val="47"/>
                    <w:jc w:val="center"/>
                    <w:rPr>
                      <w:rFonts w:ascii="Times New Roman" w:cs="Times New Roman"/>
                      <w:color w:val="auto"/>
                      <w:sz w:val="21"/>
                      <w:szCs w:val="21"/>
                    </w:rPr>
                  </w:pPr>
                  <w:r>
                    <w:rPr>
                      <w:rFonts w:hint="eastAsia" w:ascii="Times New Roman" w:cs="Times New Roman"/>
                      <w:color w:val="auto"/>
                      <w:sz w:val="21"/>
                      <w:szCs w:val="21"/>
                    </w:rPr>
                    <w:t>TSP</w:t>
                  </w:r>
                </w:p>
              </w:tc>
              <w:tc>
                <w:tcPr>
                  <w:tcW w:w="975" w:type="dxa"/>
                  <w:tcBorders>
                    <w:tl2br w:val="nil"/>
                    <w:tr2bl w:val="nil"/>
                  </w:tcBorders>
                  <w:vAlign w:val="center"/>
                </w:tcPr>
                <w:p>
                  <w:pPr>
                    <w:widowControl/>
                    <w:adjustRightInd w:val="0"/>
                    <w:snapToGrid w:val="0"/>
                    <w:jc w:val="center"/>
                    <w:rPr>
                      <w:color w:val="auto"/>
                      <w:szCs w:val="21"/>
                    </w:rPr>
                  </w:pPr>
                  <w:r>
                    <w:rPr>
                      <w:rFonts w:hint="eastAsia"/>
                      <w:color w:val="auto"/>
                    </w:rPr>
                    <w:t>-20</w:t>
                  </w:r>
                </w:p>
              </w:tc>
              <w:tc>
                <w:tcPr>
                  <w:tcW w:w="990"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rPr>
                    <w:t>53</w:t>
                  </w:r>
                </w:p>
              </w:tc>
              <w:tc>
                <w:tcPr>
                  <w:tcW w:w="1185" w:type="dxa"/>
                  <w:vMerge w:val="restart"/>
                  <w:tcBorders>
                    <w:tl2br w:val="nil"/>
                    <w:tr2bl w:val="nil"/>
                  </w:tcBorders>
                  <w:vAlign w:val="center"/>
                </w:tcPr>
                <w:p>
                  <w:pPr>
                    <w:jc w:val="center"/>
                    <w:rPr>
                      <w:rFonts w:hint="default" w:eastAsia="宋体"/>
                      <w:color w:val="auto"/>
                      <w:lang w:val="en-US" w:eastAsia="zh-CN"/>
                    </w:rPr>
                  </w:pPr>
                  <w:r>
                    <w:rPr>
                      <w:rFonts w:hint="eastAsia"/>
                      <w:color w:val="auto"/>
                      <w:lang w:val="en-US" w:eastAsia="zh-CN"/>
                    </w:rPr>
                    <w:t>13</w:t>
                  </w:r>
                </w:p>
              </w:tc>
              <w:tc>
                <w:tcPr>
                  <w:tcW w:w="1380" w:type="dxa"/>
                  <w:vMerge w:val="restart"/>
                  <w:tcBorders>
                    <w:tl2br w:val="nil"/>
                    <w:tr2bl w:val="nil"/>
                  </w:tcBorders>
                  <w:vAlign w:val="center"/>
                </w:tcPr>
                <w:p>
                  <w:pPr>
                    <w:jc w:val="center"/>
                    <w:rPr>
                      <w:rFonts w:eastAsia="仿宋_GB2312"/>
                      <w:color w:val="auto"/>
                    </w:rPr>
                  </w:pPr>
                  <w:r>
                    <w:rPr>
                      <w:rFonts w:hint="eastAsia"/>
                      <w:color w:val="auto"/>
                      <w:szCs w:val="21"/>
                    </w:rPr>
                    <w:t>3</w:t>
                  </w:r>
                </w:p>
              </w:tc>
              <w:tc>
                <w:tcPr>
                  <w:tcW w:w="1080" w:type="dxa"/>
                  <w:vMerge w:val="restart"/>
                  <w:tcBorders>
                    <w:tl2br w:val="nil"/>
                    <w:tr2bl w:val="nil"/>
                  </w:tcBorders>
                  <w:vAlign w:val="center"/>
                </w:tcPr>
                <w:p>
                  <w:pPr>
                    <w:autoSpaceDE w:val="0"/>
                    <w:autoSpaceDN w:val="0"/>
                    <w:jc w:val="center"/>
                    <w:rPr>
                      <w:color w:val="auto"/>
                      <w:szCs w:val="21"/>
                    </w:rPr>
                  </w:pPr>
                  <w:r>
                    <w:rPr>
                      <w:rFonts w:hint="eastAsia"/>
                      <w:color w:val="auto"/>
                      <w:szCs w:val="21"/>
                    </w:rPr>
                    <w:t>2400</w:t>
                  </w:r>
                </w:p>
              </w:tc>
              <w:tc>
                <w:tcPr>
                  <w:tcW w:w="892" w:type="dxa"/>
                  <w:vMerge w:val="restart"/>
                  <w:tcBorders>
                    <w:tl2br w:val="nil"/>
                    <w:tr2bl w:val="nil"/>
                  </w:tcBorders>
                  <w:vAlign w:val="center"/>
                </w:tcPr>
                <w:p>
                  <w:pPr>
                    <w:autoSpaceDE w:val="0"/>
                    <w:autoSpaceDN w:val="0"/>
                    <w:jc w:val="center"/>
                    <w:rPr>
                      <w:color w:val="auto"/>
                      <w:szCs w:val="21"/>
                    </w:rPr>
                  </w:pPr>
                  <w:r>
                    <w:rPr>
                      <w:rFonts w:hint="eastAsia"/>
                      <w:color w:val="auto"/>
                      <w:szCs w:val="21"/>
                    </w:rPr>
                    <w:t>正常</w:t>
                  </w:r>
                </w:p>
              </w:tc>
              <w:tc>
                <w:tcPr>
                  <w:tcW w:w="1403" w:type="dxa"/>
                  <w:vMerge w:val="restart"/>
                  <w:tcBorders>
                    <w:tl2br w:val="nil"/>
                    <w:tr2bl w:val="nil"/>
                  </w:tcBorders>
                  <w:vAlign w:val="center"/>
                </w:tcPr>
                <w:p>
                  <w:pPr>
                    <w:pStyle w:val="47"/>
                    <w:jc w:val="center"/>
                    <w:rPr>
                      <w:rFonts w:hint="default" w:ascii="Times New Roman" w:hAnsi="Times New Roman" w:eastAsia="宋体" w:cs="Times New Roman"/>
                      <w:bCs/>
                      <w:color w:val="auto"/>
                      <w:sz w:val="21"/>
                      <w:szCs w:val="21"/>
                      <w:lang w:eastAsia="zh-CN"/>
                    </w:rPr>
                  </w:pPr>
                  <w:r>
                    <w:rPr>
                      <w:rFonts w:hint="eastAsia" w:hAnsi="宋体" w:cs="Times New Roman"/>
                      <w:bCs/>
                      <w:color w:val="auto"/>
                      <w:kern w:val="0"/>
                      <w:sz w:val="21"/>
                      <w:szCs w:val="22"/>
                      <w:highlight w:val="none"/>
                      <w:lang w:val="en-US" w:eastAsia="zh-CN" w:bidi="zh-CN"/>
                    </w:rPr>
                    <w:t>非甲烷总烃</w:t>
                  </w:r>
                  <w:r>
                    <w:rPr>
                      <w:rFonts w:hint="default" w:ascii="Times New Roman" w:hAnsi="Times New Roman" w:cs="Times New Roman"/>
                      <w:bCs/>
                      <w:color w:val="auto"/>
                      <w:sz w:val="21"/>
                      <w:szCs w:val="21"/>
                      <w:lang w:eastAsia="zh-CN"/>
                    </w:rPr>
                    <w:t>：</w:t>
                  </w:r>
                  <w:r>
                    <w:rPr>
                      <w:rFonts w:hint="default" w:ascii="Times New Roman" w:hAnsi="Times New Roman" w:cs="Times New Roman"/>
                      <w:color w:val="auto"/>
                      <w:sz w:val="21"/>
                      <w:szCs w:val="21"/>
                      <w:lang w:val="en-US" w:eastAsia="zh-CN"/>
                    </w:rPr>
                    <w:t>0.001</w:t>
                  </w:r>
                </w:p>
                <w:p>
                  <w:pPr>
                    <w:autoSpaceDE w:val="0"/>
                    <w:autoSpaceDN w:val="0"/>
                    <w:jc w:val="center"/>
                    <w:rPr>
                      <w:rFonts w:hint="default" w:ascii="Times New Roman" w:eastAsia="宋体"/>
                      <w:color w:val="auto"/>
                      <w:szCs w:val="21"/>
                      <w:lang w:val="en-US" w:eastAsia="zh-CN"/>
                    </w:rPr>
                  </w:pPr>
                  <w:r>
                    <w:rPr>
                      <w:rFonts w:hint="default" w:ascii="Times New Roman" w:hAnsi="Times New Roman" w:cs="Times New Roman"/>
                      <w:color w:val="auto"/>
                      <w:sz w:val="21"/>
                      <w:szCs w:val="21"/>
                    </w:rPr>
                    <w:t>TSP</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470" w:type="dxa"/>
                  <w:vMerge w:val="continue"/>
                  <w:tcBorders>
                    <w:tl2br w:val="nil"/>
                    <w:tr2bl w:val="nil"/>
                  </w:tcBorders>
                  <w:vAlign w:val="center"/>
                </w:tcPr>
                <w:p>
                  <w:pPr>
                    <w:widowControl/>
                    <w:adjustRightInd w:val="0"/>
                    <w:snapToGrid w:val="0"/>
                    <w:jc w:val="center"/>
                    <w:rPr>
                      <w:rFonts w:hint="eastAsia"/>
                      <w:color w:val="auto"/>
                      <w:szCs w:val="21"/>
                    </w:rPr>
                  </w:pPr>
                </w:p>
              </w:tc>
              <w:tc>
                <w:tcPr>
                  <w:tcW w:w="900" w:type="dxa"/>
                  <w:vMerge w:val="continue"/>
                  <w:tcBorders>
                    <w:tl2br w:val="nil"/>
                    <w:tr2bl w:val="nil"/>
                  </w:tcBorders>
                  <w:vAlign w:val="center"/>
                </w:tcPr>
                <w:p>
                  <w:pPr>
                    <w:pStyle w:val="47"/>
                    <w:jc w:val="center"/>
                    <w:rPr>
                      <w:rFonts w:hint="eastAsia" w:ascii="Times New Roman" w:cs="Times New Roman"/>
                      <w:bCs/>
                      <w:color w:val="auto"/>
                      <w:sz w:val="21"/>
                      <w:szCs w:val="21"/>
                    </w:rPr>
                  </w:pPr>
                </w:p>
              </w:tc>
              <w:tc>
                <w:tcPr>
                  <w:tcW w:w="975" w:type="dxa"/>
                  <w:tcBorders>
                    <w:tl2br w:val="nil"/>
                    <w:tr2bl w:val="nil"/>
                  </w:tcBorders>
                  <w:vAlign w:val="center"/>
                </w:tcPr>
                <w:p>
                  <w:pPr>
                    <w:widowControl/>
                    <w:adjustRightInd w:val="0"/>
                    <w:snapToGrid w:val="0"/>
                    <w:jc w:val="center"/>
                    <w:rPr>
                      <w:color w:val="auto"/>
                      <w:szCs w:val="21"/>
                    </w:rPr>
                  </w:pPr>
                  <w:r>
                    <w:rPr>
                      <w:rFonts w:hint="eastAsia"/>
                      <w:color w:val="auto"/>
                    </w:rPr>
                    <w:t>-52</w:t>
                  </w:r>
                </w:p>
              </w:tc>
              <w:tc>
                <w:tcPr>
                  <w:tcW w:w="990"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rPr>
                    <w:t>-52</w:t>
                  </w:r>
                </w:p>
              </w:tc>
              <w:tc>
                <w:tcPr>
                  <w:tcW w:w="1185" w:type="dxa"/>
                  <w:vMerge w:val="continue"/>
                  <w:tcBorders>
                    <w:tl2br w:val="nil"/>
                    <w:tr2bl w:val="nil"/>
                  </w:tcBorders>
                  <w:vAlign w:val="center"/>
                </w:tcPr>
                <w:p>
                  <w:pPr>
                    <w:jc w:val="center"/>
                    <w:rPr>
                      <w:rFonts w:hint="eastAsia"/>
                      <w:color w:val="auto"/>
                      <w:lang w:val="en-US" w:eastAsia="zh-CN"/>
                    </w:rPr>
                  </w:pPr>
                </w:p>
              </w:tc>
              <w:tc>
                <w:tcPr>
                  <w:tcW w:w="1380" w:type="dxa"/>
                  <w:vMerge w:val="continue"/>
                  <w:tcBorders>
                    <w:tl2br w:val="nil"/>
                    <w:tr2bl w:val="nil"/>
                  </w:tcBorders>
                  <w:vAlign w:val="center"/>
                </w:tcPr>
                <w:p>
                  <w:pPr>
                    <w:jc w:val="center"/>
                    <w:rPr>
                      <w:rFonts w:hint="eastAsia"/>
                      <w:color w:val="auto"/>
                      <w:szCs w:val="21"/>
                    </w:rPr>
                  </w:pPr>
                </w:p>
              </w:tc>
              <w:tc>
                <w:tcPr>
                  <w:tcW w:w="1080" w:type="dxa"/>
                  <w:vMerge w:val="continue"/>
                  <w:tcBorders>
                    <w:tl2br w:val="nil"/>
                    <w:tr2bl w:val="nil"/>
                  </w:tcBorders>
                  <w:vAlign w:val="center"/>
                </w:tcPr>
                <w:p>
                  <w:pPr>
                    <w:autoSpaceDE w:val="0"/>
                    <w:autoSpaceDN w:val="0"/>
                    <w:jc w:val="center"/>
                    <w:rPr>
                      <w:rFonts w:hint="eastAsia"/>
                      <w:color w:val="auto"/>
                      <w:szCs w:val="21"/>
                    </w:rPr>
                  </w:pPr>
                </w:p>
              </w:tc>
              <w:tc>
                <w:tcPr>
                  <w:tcW w:w="892" w:type="dxa"/>
                  <w:vMerge w:val="continue"/>
                  <w:tcBorders>
                    <w:tl2br w:val="nil"/>
                    <w:tr2bl w:val="nil"/>
                  </w:tcBorders>
                  <w:vAlign w:val="center"/>
                </w:tcPr>
                <w:p>
                  <w:pPr>
                    <w:autoSpaceDE w:val="0"/>
                    <w:autoSpaceDN w:val="0"/>
                    <w:jc w:val="center"/>
                    <w:rPr>
                      <w:rFonts w:hint="eastAsia"/>
                      <w:color w:val="auto"/>
                      <w:szCs w:val="21"/>
                    </w:rPr>
                  </w:pPr>
                </w:p>
              </w:tc>
              <w:tc>
                <w:tcPr>
                  <w:tcW w:w="1403" w:type="dxa"/>
                  <w:vMerge w:val="continue"/>
                  <w:tcBorders>
                    <w:tl2br w:val="nil"/>
                    <w:tr2bl w:val="nil"/>
                  </w:tcBorders>
                  <w:vAlign w:val="center"/>
                </w:tcPr>
                <w:p>
                  <w:pPr>
                    <w:autoSpaceDE w:val="0"/>
                    <w:autoSpaceDN w:val="0"/>
                    <w:jc w:val="center"/>
                    <w:rPr>
                      <w:rFonts w:hint="eastAsia"/>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70" w:type="dxa"/>
                  <w:vMerge w:val="continue"/>
                  <w:tcBorders>
                    <w:tl2br w:val="nil"/>
                    <w:tr2bl w:val="nil"/>
                  </w:tcBorders>
                  <w:vAlign w:val="center"/>
                </w:tcPr>
                <w:p>
                  <w:pPr>
                    <w:widowControl/>
                    <w:adjustRightInd w:val="0"/>
                    <w:snapToGrid w:val="0"/>
                    <w:jc w:val="center"/>
                    <w:rPr>
                      <w:rFonts w:hint="eastAsia"/>
                      <w:color w:val="auto"/>
                      <w:szCs w:val="21"/>
                    </w:rPr>
                  </w:pPr>
                </w:p>
              </w:tc>
              <w:tc>
                <w:tcPr>
                  <w:tcW w:w="900" w:type="dxa"/>
                  <w:vMerge w:val="continue"/>
                  <w:tcBorders>
                    <w:tl2br w:val="nil"/>
                    <w:tr2bl w:val="nil"/>
                  </w:tcBorders>
                  <w:vAlign w:val="center"/>
                </w:tcPr>
                <w:p>
                  <w:pPr>
                    <w:pStyle w:val="47"/>
                    <w:jc w:val="center"/>
                    <w:rPr>
                      <w:rFonts w:hint="eastAsia" w:ascii="Times New Roman" w:cs="Times New Roman"/>
                      <w:bCs/>
                      <w:color w:val="auto"/>
                      <w:sz w:val="21"/>
                      <w:szCs w:val="21"/>
                    </w:rPr>
                  </w:pPr>
                </w:p>
              </w:tc>
              <w:tc>
                <w:tcPr>
                  <w:tcW w:w="975" w:type="dxa"/>
                  <w:tcBorders>
                    <w:tl2br w:val="nil"/>
                    <w:tr2bl w:val="nil"/>
                  </w:tcBorders>
                  <w:vAlign w:val="center"/>
                </w:tcPr>
                <w:p>
                  <w:pPr>
                    <w:widowControl/>
                    <w:adjustRightInd w:val="0"/>
                    <w:snapToGrid w:val="0"/>
                    <w:jc w:val="center"/>
                    <w:rPr>
                      <w:color w:val="auto"/>
                      <w:szCs w:val="21"/>
                    </w:rPr>
                  </w:pPr>
                  <w:r>
                    <w:rPr>
                      <w:rFonts w:hint="eastAsia"/>
                      <w:color w:val="auto"/>
                    </w:rPr>
                    <w:t>-32</w:t>
                  </w:r>
                </w:p>
              </w:tc>
              <w:tc>
                <w:tcPr>
                  <w:tcW w:w="990"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rPr>
                    <w:t>-58</w:t>
                  </w:r>
                </w:p>
              </w:tc>
              <w:tc>
                <w:tcPr>
                  <w:tcW w:w="1185" w:type="dxa"/>
                  <w:vMerge w:val="continue"/>
                  <w:tcBorders>
                    <w:tl2br w:val="nil"/>
                    <w:tr2bl w:val="nil"/>
                  </w:tcBorders>
                  <w:vAlign w:val="center"/>
                </w:tcPr>
                <w:p>
                  <w:pPr>
                    <w:jc w:val="center"/>
                    <w:rPr>
                      <w:rFonts w:hint="eastAsia"/>
                      <w:color w:val="auto"/>
                      <w:lang w:val="en-US" w:eastAsia="zh-CN"/>
                    </w:rPr>
                  </w:pPr>
                </w:p>
              </w:tc>
              <w:tc>
                <w:tcPr>
                  <w:tcW w:w="1380" w:type="dxa"/>
                  <w:vMerge w:val="continue"/>
                  <w:tcBorders>
                    <w:tl2br w:val="nil"/>
                    <w:tr2bl w:val="nil"/>
                  </w:tcBorders>
                  <w:vAlign w:val="center"/>
                </w:tcPr>
                <w:p>
                  <w:pPr>
                    <w:jc w:val="center"/>
                    <w:rPr>
                      <w:rFonts w:hint="eastAsia"/>
                      <w:color w:val="auto"/>
                      <w:szCs w:val="21"/>
                    </w:rPr>
                  </w:pPr>
                </w:p>
              </w:tc>
              <w:tc>
                <w:tcPr>
                  <w:tcW w:w="1080" w:type="dxa"/>
                  <w:vMerge w:val="continue"/>
                  <w:tcBorders>
                    <w:tl2br w:val="nil"/>
                    <w:tr2bl w:val="nil"/>
                  </w:tcBorders>
                  <w:vAlign w:val="center"/>
                </w:tcPr>
                <w:p>
                  <w:pPr>
                    <w:autoSpaceDE w:val="0"/>
                    <w:autoSpaceDN w:val="0"/>
                    <w:jc w:val="center"/>
                    <w:rPr>
                      <w:rFonts w:hint="eastAsia"/>
                      <w:color w:val="auto"/>
                      <w:szCs w:val="21"/>
                    </w:rPr>
                  </w:pPr>
                </w:p>
              </w:tc>
              <w:tc>
                <w:tcPr>
                  <w:tcW w:w="892" w:type="dxa"/>
                  <w:vMerge w:val="continue"/>
                  <w:tcBorders>
                    <w:tl2br w:val="nil"/>
                    <w:tr2bl w:val="nil"/>
                  </w:tcBorders>
                  <w:vAlign w:val="center"/>
                </w:tcPr>
                <w:p>
                  <w:pPr>
                    <w:autoSpaceDE w:val="0"/>
                    <w:autoSpaceDN w:val="0"/>
                    <w:jc w:val="center"/>
                    <w:rPr>
                      <w:rFonts w:hint="eastAsia"/>
                      <w:color w:val="auto"/>
                      <w:szCs w:val="21"/>
                    </w:rPr>
                  </w:pPr>
                </w:p>
              </w:tc>
              <w:tc>
                <w:tcPr>
                  <w:tcW w:w="1403" w:type="dxa"/>
                  <w:vMerge w:val="continue"/>
                  <w:tcBorders>
                    <w:tl2br w:val="nil"/>
                    <w:tr2bl w:val="nil"/>
                  </w:tcBorders>
                  <w:vAlign w:val="center"/>
                </w:tcPr>
                <w:p>
                  <w:pPr>
                    <w:autoSpaceDE w:val="0"/>
                    <w:autoSpaceDN w:val="0"/>
                    <w:jc w:val="center"/>
                    <w:rPr>
                      <w:rFonts w:hint="eastAsia"/>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470" w:type="dxa"/>
                  <w:vMerge w:val="continue"/>
                  <w:tcBorders>
                    <w:tl2br w:val="nil"/>
                    <w:tr2bl w:val="nil"/>
                  </w:tcBorders>
                  <w:vAlign w:val="center"/>
                </w:tcPr>
                <w:p>
                  <w:pPr>
                    <w:widowControl/>
                    <w:adjustRightInd w:val="0"/>
                    <w:snapToGrid w:val="0"/>
                    <w:jc w:val="center"/>
                    <w:rPr>
                      <w:rFonts w:hint="eastAsia"/>
                      <w:color w:val="auto"/>
                      <w:szCs w:val="21"/>
                    </w:rPr>
                  </w:pPr>
                </w:p>
              </w:tc>
              <w:tc>
                <w:tcPr>
                  <w:tcW w:w="900" w:type="dxa"/>
                  <w:vMerge w:val="continue"/>
                  <w:tcBorders>
                    <w:tl2br w:val="nil"/>
                    <w:tr2bl w:val="nil"/>
                  </w:tcBorders>
                  <w:vAlign w:val="center"/>
                </w:tcPr>
                <w:p>
                  <w:pPr>
                    <w:pStyle w:val="47"/>
                    <w:jc w:val="center"/>
                    <w:rPr>
                      <w:rFonts w:hint="eastAsia" w:ascii="Times New Roman" w:cs="Times New Roman"/>
                      <w:bCs/>
                      <w:color w:val="auto"/>
                      <w:sz w:val="21"/>
                      <w:szCs w:val="21"/>
                    </w:rPr>
                  </w:pPr>
                </w:p>
              </w:tc>
              <w:tc>
                <w:tcPr>
                  <w:tcW w:w="975" w:type="dxa"/>
                  <w:tcBorders>
                    <w:tl2br w:val="nil"/>
                    <w:tr2bl w:val="nil"/>
                  </w:tcBorders>
                  <w:vAlign w:val="center"/>
                </w:tcPr>
                <w:p>
                  <w:pPr>
                    <w:widowControl/>
                    <w:adjustRightInd w:val="0"/>
                    <w:snapToGrid w:val="0"/>
                    <w:jc w:val="center"/>
                    <w:rPr>
                      <w:color w:val="auto"/>
                      <w:szCs w:val="21"/>
                    </w:rPr>
                  </w:pPr>
                  <w:r>
                    <w:rPr>
                      <w:rFonts w:hint="eastAsia"/>
                      <w:color w:val="auto"/>
                    </w:rPr>
                    <w:t>6</w:t>
                  </w:r>
                </w:p>
              </w:tc>
              <w:tc>
                <w:tcPr>
                  <w:tcW w:w="990"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rPr>
                    <w:t>-54</w:t>
                  </w:r>
                </w:p>
              </w:tc>
              <w:tc>
                <w:tcPr>
                  <w:tcW w:w="1185" w:type="dxa"/>
                  <w:vMerge w:val="continue"/>
                  <w:tcBorders>
                    <w:tl2br w:val="nil"/>
                    <w:tr2bl w:val="nil"/>
                  </w:tcBorders>
                  <w:vAlign w:val="center"/>
                </w:tcPr>
                <w:p>
                  <w:pPr>
                    <w:jc w:val="center"/>
                    <w:rPr>
                      <w:rFonts w:hint="eastAsia"/>
                      <w:color w:val="auto"/>
                      <w:lang w:val="en-US" w:eastAsia="zh-CN"/>
                    </w:rPr>
                  </w:pPr>
                </w:p>
              </w:tc>
              <w:tc>
                <w:tcPr>
                  <w:tcW w:w="1380" w:type="dxa"/>
                  <w:vMerge w:val="continue"/>
                  <w:tcBorders>
                    <w:tl2br w:val="nil"/>
                    <w:tr2bl w:val="nil"/>
                  </w:tcBorders>
                  <w:vAlign w:val="center"/>
                </w:tcPr>
                <w:p>
                  <w:pPr>
                    <w:jc w:val="center"/>
                    <w:rPr>
                      <w:rFonts w:hint="eastAsia"/>
                      <w:color w:val="auto"/>
                      <w:szCs w:val="21"/>
                    </w:rPr>
                  </w:pPr>
                </w:p>
              </w:tc>
              <w:tc>
                <w:tcPr>
                  <w:tcW w:w="1080" w:type="dxa"/>
                  <w:vMerge w:val="continue"/>
                  <w:tcBorders>
                    <w:tl2br w:val="nil"/>
                    <w:tr2bl w:val="nil"/>
                  </w:tcBorders>
                  <w:vAlign w:val="center"/>
                </w:tcPr>
                <w:p>
                  <w:pPr>
                    <w:autoSpaceDE w:val="0"/>
                    <w:autoSpaceDN w:val="0"/>
                    <w:jc w:val="center"/>
                    <w:rPr>
                      <w:rFonts w:hint="eastAsia"/>
                      <w:color w:val="auto"/>
                      <w:szCs w:val="21"/>
                    </w:rPr>
                  </w:pPr>
                </w:p>
              </w:tc>
              <w:tc>
                <w:tcPr>
                  <w:tcW w:w="892" w:type="dxa"/>
                  <w:vMerge w:val="continue"/>
                  <w:tcBorders>
                    <w:tl2br w:val="nil"/>
                    <w:tr2bl w:val="nil"/>
                  </w:tcBorders>
                  <w:vAlign w:val="center"/>
                </w:tcPr>
                <w:p>
                  <w:pPr>
                    <w:autoSpaceDE w:val="0"/>
                    <w:autoSpaceDN w:val="0"/>
                    <w:jc w:val="center"/>
                    <w:rPr>
                      <w:rFonts w:hint="eastAsia"/>
                      <w:color w:val="auto"/>
                      <w:szCs w:val="21"/>
                    </w:rPr>
                  </w:pPr>
                </w:p>
              </w:tc>
              <w:tc>
                <w:tcPr>
                  <w:tcW w:w="1403" w:type="dxa"/>
                  <w:vMerge w:val="continue"/>
                  <w:tcBorders>
                    <w:tl2br w:val="nil"/>
                    <w:tr2bl w:val="nil"/>
                  </w:tcBorders>
                  <w:vAlign w:val="center"/>
                </w:tcPr>
                <w:p>
                  <w:pPr>
                    <w:autoSpaceDE w:val="0"/>
                    <w:autoSpaceDN w:val="0"/>
                    <w:jc w:val="center"/>
                    <w:rPr>
                      <w:rFonts w:hint="eastAsia"/>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470" w:type="dxa"/>
                  <w:vMerge w:val="continue"/>
                  <w:tcBorders>
                    <w:tl2br w:val="nil"/>
                    <w:tr2bl w:val="nil"/>
                  </w:tcBorders>
                  <w:vAlign w:val="center"/>
                </w:tcPr>
                <w:p>
                  <w:pPr>
                    <w:widowControl/>
                    <w:adjustRightInd w:val="0"/>
                    <w:snapToGrid w:val="0"/>
                    <w:jc w:val="center"/>
                    <w:rPr>
                      <w:rFonts w:hint="eastAsia"/>
                      <w:color w:val="auto"/>
                      <w:szCs w:val="21"/>
                    </w:rPr>
                  </w:pPr>
                </w:p>
              </w:tc>
              <w:tc>
                <w:tcPr>
                  <w:tcW w:w="900" w:type="dxa"/>
                  <w:vMerge w:val="continue"/>
                  <w:tcBorders>
                    <w:tl2br w:val="nil"/>
                    <w:tr2bl w:val="nil"/>
                  </w:tcBorders>
                  <w:vAlign w:val="center"/>
                </w:tcPr>
                <w:p>
                  <w:pPr>
                    <w:pStyle w:val="47"/>
                    <w:jc w:val="center"/>
                    <w:rPr>
                      <w:rFonts w:hint="eastAsia" w:ascii="Times New Roman" w:cs="Times New Roman"/>
                      <w:bCs/>
                      <w:color w:val="auto"/>
                      <w:sz w:val="21"/>
                      <w:szCs w:val="21"/>
                    </w:rPr>
                  </w:pPr>
                </w:p>
              </w:tc>
              <w:tc>
                <w:tcPr>
                  <w:tcW w:w="975" w:type="dxa"/>
                  <w:tcBorders>
                    <w:tl2br w:val="nil"/>
                    <w:tr2bl w:val="nil"/>
                  </w:tcBorders>
                  <w:vAlign w:val="center"/>
                </w:tcPr>
                <w:p>
                  <w:pPr>
                    <w:widowControl/>
                    <w:adjustRightInd w:val="0"/>
                    <w:snapToGrid w:val="0"/>
                    <w:jc w:val="center"/>
                    <w:rPr>
                      <w:color w:val="auto"/>
                      <w:szCs w:val="21"/>
                    </w:rPr>
                  </w:pPr>
                  <w:r>
                    <w:rPr>
                      <w:rFonts w:hint="eastAsia"/>
                      <w:color w:val="auto"/>
                    </w:rPr>
                    <w:t>45</w:t>
                  </w:r>
                </w:p>
              </w:tc>
              <w:tc>
                <w:tcPr>
                  <w:tcW w:w="990"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rPr>
                    <w:t>-10</w:t>
                  </w:r>
                </w:p>
              </w:tc>
              <w:tc>
                <w:tcPr>
                  <w:tcW w:w="1185" w:type="dxa"/>
                  <w:vMerge w:val="continue"/>
                  <w:tcBorders>
                    <w:tl2br w:val="nil"/>
                    <w:tr2bl w:val="nil"/>
                  </w:tcBorders>
                  <w:vAlign w:val="center"/>
                </w:tcPr>
                <w:p>
                  <w:pPr>
                    <w:jc w:val="center"/>
                    <w:rPr>
                      <w:rFonts w:hint="eastAsia"/>
                      <w:color w:val="auto"/>
                      <w:lang w:val="en-US" w:eastAsia="zh-CN"/>
                    </w:rPr>
                  </w:pPr>
                </w:p>
              </w:tc>
              <w:tc>
                <w:tcPr>
                  <w:tcW w:w="1380" w:type="dxa"/>
                  <w:vMerge w:val="continue"/>
                  <w:tcBorders>
                    <w:tl2br w:val="nil"/>
                    <w:tr2bl w:val="nil"/>
                  </w:tcBorders>
                  <w:vAlign w:val="center"/>
                </w:tcPr>
                <w:p>
                  <w:pPr>
                    <w:jc w:val="center"/>
                    <w:rPr>
                      <w:rFonts w:hint="eastAsia"/>
                      <w:color w:val="auto"/>
                      <w:szCs w:val="21"/>
                    </w:rPr>
                  </w:pPr>
                </w:p>
              </w:tc>
              <w:tc>
                <w:tcPr>
                  <w:tcW w:w="1080" w:type="dxa"/>
                  <w:vMerge w:val="continue"/>
                  <w:tcBorders>
                    <w:tl2br w:val="nil"/>
                    <w:tr2bl w:val="nil"/>
                  </w:tcBorders>
                  <w:vAlign w:val="center"/>
                </w:tcPr>
                <w:p>
                  <w:pPr>
                    <w:autoSpaceDE w:val="0"/>
                    <w:autoSpaceDN w:val="0"/>
                    <w:jc w:val="center"/>
                    <w:rPr>
                      <w:rFonts w:hint="eastAsia"/>
                      <w:color w:val="auto"/>
                      <w:szCs w:val="21"/>
                    </w:rPr>
                  </w:pPr>
                </w:p>
              </w:tc>
              <w:tc>
                <w:tcPr>
                  <w:tcW w:w="892" w:type="dxa"/>
                  <w:vMerge w:val="continue"/>
                  <w:tcBorders>
                    <w:tl2br w:val="nil"/>
                    <w:tr2bl w:val="nil"/>
                  </w:tcBorders>
                  <w:vAlign w:val="center"/>
                </w:tcPr>
                <w:p>
                  <w:pPr>
                    <w:autoSpaceDE w:val="0"/>
                    <w:autoSpaceDN w:val="0"/>
                    <w:jc w:val="center"/>
                    <w:rPr>
                      <w:rFonts w:hint="eastAsia"/>
                      <w:color w:val="auto"/>
                      <w:szCs w:val="21"/>
                    </w:rPr>
                  </w:pPr>
                </w:p>
              </w:tc>
              <w:tc>
                <w:tcPr>
                  <w:tcW w:w="1403" w:type="dxa"/>
                  <w:vMerge w:val="continue"/>
                  <w:tcBorders>
                    <w:tl2br w:val="nil"/>
                    <w:tr2bl w:val="nil"/>
                  </w:tcBorders>
                  <w:vAlign w:val="center"/>
                </w:tcPr>
                <w:p>
                  <w:pPr>
                    <w:autoSpaceDE w:val="0"/>
                    <w:autoSpaceDN w:val="0"/>
                    <w:jc w:val="center"/>
                    <w:rPr>
                      <w:rFonts w:hint="eastAsia"/>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470" w:type="dxa"/>
                  <w:vMerge w:val="continue"/>
                  <w:tcBorders>
                    <w:tl2br w:val="nil"/>
                    <w:tr2bl w:val="nil"/>
                  </w:tcBorders>
                  <w:vAlign w:val="center"/>
                </w:tcPr>
                <w:p>
                  <w:pPr>
                    <w:widowControl/>
                    <w:adjustRightInd w:val="0"/>
                    <w:snapToGrid w:val="0"/>
                    <w:jc w:val="center"/>
                    <w:rPr>
                      <w:rFonts w:hint="eastAsia"/>
                      <w:color w:val="auto"/>
                      <w:szCs w:val="21"/>
                    </w:rPr>
                  </w:pPr>
                </w:p>
              </w:tc>
              <w:tc>
                <w:tcPr>
                  <w:tcW w:w="900" w:type="dxa"/>
                  <w:vMerge w:val="continue"/>
                  <w:tcBorders>
                    <w:tl2br w:val="nil"/>
                    <w:tr2bl w:val="nil"/>
                  </w:tcBorders>
                  <w:vAlign w:val="center"/>
                </w:tcPr>
                <w:p>
                  <w:pPr>
                    <w:pStyle w:val="47"/>
                    <w:jc w:val="center"/>
                    <w:rPr>
                      <w:rFonts w:hint="eastAsia" w:ascii="Times New Roman" w:cs="Times New Roman"/>
                      <w:bCs/>
                      <w:color w:val="auto"/>
                      <w:sz w:val="21"/>
                      <w:szCs w:val="21"/>
                    </w:rPr>
                  </w:pPr>
                </w:p>
              </w:tc>
              <w:tc>
                <w:tcPr>
                  <w:tcW w:w="975" w:type="dxa"/>
                  <w:tcBorders>
                    <w:tl2br w:val="nil"/>
                    <w:tr2bl w:val="nil"/>
                  </w:tcBorders>
                  <w:vAlign w:val="center"/>
                </w:tcPr>
                <w:p>
                  <w:pPr>
                    <w:widowControl/>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rPr>
                    <w:t>-2</w:t>
                  </w:r>
                </w:p>
              </w:tc>
              <w:tc>
                <w:tcPr>
                  <w:tcW w:w="990" w:type="dxa"/>
                  <w:tcBorders>
                    <w:tl2br w:val="nil"/>
                    <w:tr2bl w:val="nil"/>
                  </w:tcBorders>
                  <w:vAlign w:val="center"/>
                </w:tcPr>
                <w:p>
                  <w:pPr>
                    <w:widowControl/>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rPr>
                    <w:t>55</w:t>
                  </w:r>
                </w:p>
              </w:tc>
              <w:tc>
                <w:tcPr>
                  <w:tcW w:w="1185" w:type="dxa"/>
                  <w:vMerge w:val="continue"/>
                  <w:tcBorders>
                    <w:tl2br w:val="nil"/>
                    <w:tr2bl w:val="nil"/>
                  </w:tcBorders>
                  <w:vAlign w:val="center"/>
                </w:tcPr>
                <w:p>
                  <w:pPr>
                    <w:jc w:val="center"/>
                    <w:rPr>
                      <w:rFonts w:hint="eastAsia"/>
                      <w:color w:val="auto"/>
                      <w:lang w:val="en-US" w:eastAsia="zh-CN"/>
                    </w:rPr>
                  </w:pPr>
                </w:p>
              </w:tc>
              <w:tc>
                <w:tcPr>
                  <w:tcW w:w="1380" w:type="dxa"/>
                  <w:vMerge w:val="continue"/>
                  <w:tcBorders>
                    <w:tl2br w:val="nil"/>
                    <w:tr2bl w:val="nil"/>
                  </w:tcBorders>
                  <w:vAlign w:val="center"/>
                </w:tcPr>
                <w:p>
                  <w:pPr>
                    <w:jc w:val="center"/>
                    <w:rPr>
                      <w:rFonts w:hint="eastAsia"/>
                      <w:color w:val="auto"/>
                      <w:szCs w:val="21"/>
                    </w:rPr>
                  </w:pPr>
                </w:p>
              </w:tc>
              <w:tc>
                <w:tcPr>
                  <w:tcW w:w="1080" w:type="dxa"/>
                  <w:vMerge w:val="continue"/>
                  <w:tcBorders>
                    <w:tl2br w:val="nil"/>
                    <w:tr2bl w:val="nil"/>
                  </w:tcBorders>
                  <w:vAlign w:val="center"/>
                </w:tcPr>
                <w:p>
                  <w:pPr>
                    <w:autoSpaceDE w:val="0"/>
                    <w:autoSpaceDN w:val="0"/>
                    <w:jc w:val="center"/>
                    <w:rPr>
                      <w:rFonts w:hint="eastAsia"/>
                      <w:color w:val="auto"/>
                      <w:szCs w:val="21"/>
                    </w:rPr>
                  </w:pPr>
                </w:p>
              </w:tc>
              <w:tc>
                <w:tcPr>
                  <w:tcW w:w="892" w:type="dxa"/>
                  <w:vMerge w:val="continue"/>
                  <w:tcBorders>
                    <w:tl2br w:val="nil"/>
                    <w:tr2bl w:val="nil"/>
                  </w:tcBorders>
                  <w:vAlign w:val="center"/>
                </w:tcPr>
                <w:p>
                  <w:pPr>
                    <w:autoSpaceDE w:val="0"/>
                    <w:autoSpaceDN w:val="0"/>
                    <w:jc w:val="center"/>
                    <w:rPr>
                      <w:rFonts w:hint="eastAsia"/>
                      <w:color w:val="auto"/>
                      <w:szCs w:val="21"/>
                    </w:rPr>
                  </w:pPr>
                </w:p>
              </w:tc>
              <w:tc>
                <w:tcPr>
                  <w:tcW w:w="1403" w:type="dxa"/>
                  <w:vMerge w:val="continue"/>
                  <w:tcBorders>
                    <w:tl2br w:val="nil"/>
                    <w:tr2bl w:val="nil"/>
                  </w:tcBorders>
                  <w:vAlign w:val="center"/>
                </w:tcPr>
                <w:p>
                  <w:pPr>
                    <w:autoSpaceDE w:val="0"/>
                    <w:autoSpaceDN w:val="0"/>
                    <w:jc w:val="center"/>
                    <w:rPr>
                      <w:rFonts w:hint="eastAsia"/>
                      <w:color w:val="auto"/>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70" w:type="dxa"/>
                  <w:vMerge w:val="continue"/>
                  <w:tcBorders>
                    <w:tl2br w:val="nil"/>
                    <w:tr2bl w:val="nil"/>
                  </w:tcBorders>
                  <w:vAlign w:val="center"/>
                </w:tcPr>
                <w:p>
                  <w:pPr>
                    <w:widowControl/>
                    <w:adjustRightInd w:val="0"/>
                    <w:snapToGrid w:val="0"/>
                    <w:jc w:val="center"/>
                    <w:rPr>
                      <w:rFonts w:hint="eastAsia"/>
                      <w:color w:val="auto"/>
                      <w:szCs w:val="21"/>
                    </w:rPr>
                  </w:pPr>
                </w:p>
              </w:tc>
              <w:tc>
                <w:tcPr>
                  <w:tcW w:w="900" w:type="dxa"/>
                  <w:vMerge w:val="continue"/>
                  <w:tcBorders>
                    <w:tl2br w:val="nil"/>
                    <w:tr2bl w:val="nil"/>
                  </w:tcBorders>
                  <w:vAlign w:val="center"/>
                </w:tcPr>
                <w:p>
                  <w:pPr>
                    <w:pStyle w:val="47"/>
                    <w:jc w:val="center"/>
                    <w:rPr>
                      <w:rFonts w:ascii="Times New Roman" w:cs="Times New Roman"/>
                      <w:color w:val="auto"/>
                      <w:sz w:val="21"/>
                      <w:szCs w:val="21"/>
                    </w:rPr>
                  </w:pPr>
                </w:p>
              </w:tc>
              <w:tc>
                <w:tcPr>
                  <w:tcW w:w="975" w:type="dxa"/>
                  <w:tcBorders>
                    <w:tl2br w:val="nil"/>
                    <w:tr2bl w:val="nil"/>
                  </w:tcBorders>
                  <w:vAlign w:val="center"/>
                </w:tcPr>
                <w:p>
                  <w:pPr>
                    <w:widowControl/>
                    <w:adjustRightInd w:val="0"/>
                    <w:snapToGrid w:val="0"/>
                    <w:jc w:val="center"/>
                    <w:rPr>
                      <w:rFonts w:hint="eastAsia"/>
                      <w:color w:val="auto"/>
                      <w:szCs w:val="21"/>
                    </w:rPr>
                  </w:pPr>
                  <w:r>
                    <w:rPr>
                      <w:rFonts w:hint="eastAsia"/>
                      <w:color w:val="auto"/>
                    </w:rPr>
                    <w:t>-20</w:t>
                  </w:r>
                </w:p>
              </w:tc>
              <w:tc>
                <w:tcPr>
                  <w:tcW w:w="990" w:type="dxa"/>
                  <w:tcBorders>
                    <w:tl2br w:val="nil"/>
                    <w:tr2bl w:val="nil"/>
                  </w:tcBorders>
                  <w:vAlign w:val="center"/>
                </w:tcPr>
                <w:p>
                  <w:pPr>
                    <w:widowControl/>
                    <w:adjustRightInd w:val="0"/>
                    <w:snapToGrid w:val="0"/>
                    <w:jc w:val="center"/>
                    <w:rPr>
                      <w:rFonts w:hint="eastAsia"/>
                      <w:color w:val="auto"/>
                      <w:szCs w:val="21"/>
                    </w:rPr>
                  </w:pPr>
                  <w:r>
                    <w:rPr>
                      <w:rFonts w:hint="eastAsia"/>
                      <w:color w:val="auto"/>
                    </w:rPr>
                    <w:t>53</w:t>
                  </w:r>
                </w:p>
              </w:tc>
              <w:tc>
                <w:tcPr>
                  <w:tcW w:w="1185" w:type="dxa"/>
                  <w:vMerge w:val="continue"/>
                  <w:tcBorders>
                    <w:tl2br w:val="nil"/>
                    <w:tr2bl w:val="nil"/>
                  </w:tcBorders>
                  <w:vAlign w:val="center"/>
                </w:tcPr>
                <w:p>
                  <w:pPr>
                    <w:jc w:val="center"/>
                    <w:rPr>
                      <w:rFonts w:hint="eastAsia"/>
                      <w:color w:val="auto"/>
                    </w:rPr>
                  </w:pPr>
                </w:p>
              </w:tc>
              <w:tc>
                <w:tcPr>
                  <w:tcW w:w="1380" w:type="dxa"/>
                  <w:vMerge w:val="continue"/>
                  <w:tcBorders>
                    <w:tl2br w:val="nil"/>
                    <w:tr2bl w:val="nil"/>
                  </w:tcBorders>
                  <w:vAlign w:val="center"/>
                </w:tcPr>
                <w:p>
                  <w:pPr>
                    <w:jc w:val="center"/>
                    <w:rPr>
                      <w:rFonts w:hint="eastAsia"/>
                      <w:color w:val="auto"/>
                      <w:szCs w:val="21"/>
                    </w:rPr>
                  </w:pPr>
                </w:p>
              </w:tc>
              <w:tc>
                <w:tcPr>
                  <w:tcW w:w="1080" w:type="dxa"/>
                  <w:vMerge w:val="continue"/>
                  <w:tcBorders>
                    <w:tl2br w:val="nil"/>
                    <w:tr2bl w:val="nil"/>
                  </w:tcBorders>
                  <w:vAlign w:val="center"/>
                </w:tcPr>
                <w:p>
                  <w:pPr>
                    <w:autoSpaceDE w:val="0"/>
                    <w:autoSpaceDN w:val="0"/>
                    <w:jc w:val="center"/>
                    <w:rPr>
                      <w:rFonts w:hint="eastAsia"/>
                      <w:color w:val="auto"/>
                      <w:szCs w:val="21"/>
                    </w:rPr>
                  </w:pPr>
                </w:p>
              </w:tc>
              <w:tc>
                <w:tcPr>
                  <w:tcW w:w="892" w:type="dxa"/>
                  <w:vMerge w:val="continue"/>
                  <w:tcBorders>
                    <w:tl2br w:val="nil"/>
                    <w:tr2bl w:val="nil"/>
                  </w:tcBorders>
                  <w:vAlign w:val="center"/>
                </w:tcPr>
                <w:p>
                  <w:pPr>
                    <w:autoSpaceDE w:val="0"/>
                    <w:autoSpaceDN w:val="0"/>
                    <w:jc w:val="center"/>
                    <w:rPr>
                      <w:rFonts w:hint="eastAsia"/>
                      <w:color w:val="auto"/>
                      <w:szCs w:val="21"/>
                    </w:rPr>
                  </w:pPr>
                </w:p>
              </w:tc>
              <w:tc>
                <w:tcPr>
                  <w:tcW w:w="1403" w:type="dxa"/>
                  <w:vMerge w:val="continue"/>
                  <w:tcBorders>
                    <w:tl2br w:val="nil"/>
                    <w:tr2bl w:val="nil"/>
                  </w:tcBorders>
                  <w:vAlign w:val="center"/>
                </w:tcPr>
                <w:p>
                  <w:pPr>
                    <w:autoSpaceDE w:val="0"/>
                    <w:autoSpaceDN w:val="0"/>
                    <w:jc w:val="center"/>
                    <w:rPr>
                      <w:rFonts w:hint="default" w:ascii="Times New Roman" w:eastAsia="宋体"/>
                      <w:color w:val="auto"/>
                      <w:szCs w:val="21"/>
                      <w:lang w:val="en-US" w:eastAsia="zh-CN"/>
                    </w:rPr>
                  </w:pPr>
                </w:p>
              </w:tc>
            </w:tr>
          </w:tbl>
          <w:p>
            <w:pPr>
              <w:pStyle w:val="139"/>
              <w:tabs>
                <w:tab w:val="left" w:pos="420"/>
              </w:tabs>
              <w:spacing w:line="360" w:lineRule="auto"/>
              <w:ind w:left="471" w:firstLine="0"/>
              <w:jc w:val="both"/>
              <w:rPr>
                <w:rFonts w:eastAsia="宋体" w:cs="Times New Roman"/>
                <w:b/>
                <w:bCs/>
                <w:color w:val="auto"/>
                <w:sz w:val="21"/>
                <w:szCs w:val="21"/>
              </w:rPr>
            </w:pPr>
            <w:r>
              <w:rPr>
                <w:rFonts w:hint="eastAsia" w:eastAsia="宋体" w:cs="Times New Roman"/>
                <w:b/>
                <w:bCs/>
                <w:color w:val="auto"/>
                <w:sz w:val="21"/>
                <w:szCs w:val="21"/>
              </w:rPr>
              <w:t>说明：面源有效排放高度以车间窗户离地面的高度来取值。</w:t>
            </w:r>
          </w:p>
          <w:p>
            <w:pPr>
              <w:widowControl/>
              <w:tabs>
                <w:tab w:val="left" w:pos="360"/>
                <w:tab w:val="left" w:pos="420"/>
              </w:tabs>
              <w:adjustRightInd w:val="0"/>
              <w:snapToGrid w:val="0"/>
              <w:spacing w:line="360" w:lineRule="auto"/>
              <w:ind w:left="471"/>
              <w:rPr>
                <w:color w:val="auto"/>
                <w:kern w:val="0"/>
                <w:sz w:val="24"/>
                <w:szCs w:val="20"/>
              </w:rPr>
            </w:pPr>
            <w:r>
              <w:rPr>
                <w:color w:val="auto"/>
                <w:kern w:val="0"/>
                <w:sz w:val="24"/>
                <w:szCs w:val="20"/>
              </w:rPr>
              <w:t>本项目筛选气象、筛选方案</w:t>
            </w:r>
            <w:r>
              <w:rPr>
                <w:rFonts w:hint="eastAsia"/>
                <w:color w:val="auto"/>
                <w:kern w:val="0"/>
                <w:sz w:val="24"/>
                <w:szCs w:val="20"/>
              </w:rPr>
              <w:t>参数</w:t>
            </w:r>
            <w:r>
              <w:rPr>
                <w:color w:val="auto"/>
                <w:kern w:val="0"/>
                <w:sz w:val="24"/>
                <w:szCs w:val="20"/>
              </w:rPr>
              <w:t>输入截图</w:t>
            </w:r>
            <w:r>
              <w:rPr>
                <w:rFonts w:hint="eastAsia"/>
                <w:color w:val="auto"/>
                <w:kern w:val="0"/>
                <w:sz w:val="24"/>
                <w:szCs w:val="20"/>
              </w:rPr>
              <w:t>如下：</w:t>
            </w:r>
          </w:p>
          <w:p>
            <w:pPr>
              <w:pStyle w:val="139"/>
              <w:tabs>
                <w:tab w:val="left" w:pos="420"/>
              </w:tabs>
              <w:spacing w:line="360" w:lineRule="auto"/>
              <w:jc w:val="center"/>
              <w:rPr>
                <w:rFonts w:eastAsia="宋体" w:cs="Times New Roman"/>
                <w:color w:val="auto"/>
              </w:rPr>
            </w:pPr>
            <w:r>
              <w:rPr>
                <w:color w:val="auto"/>
              </w:rPr>
              <w:drawing>
                <wp:inline distT="0" distB="0" distL="114300" distR="114300">
                  <wp:extent cx="4883785" cy="4020185"/>
                  <wp:effectExtent l="9525" t="9525" r="21590" b="2794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35"/>
                          <a:stretch>
                            <a:fillRect/>
                          </a:stretch>
                        </pic:blipFill>
                        <pic:spPr>
                          <a:xfrm>
                            <a:off x="0" y="0"/>
                            <a:ext cx="4883785" cy="4020185"/>
                          </a:xfrm>
                          <a:prstGeom prst="rect">
                            <a:avLst/>
                          </a:prstGeom>
                          <a:noFill/>
                          <a:ln>
                            <a:solidFill>
                              <a:schemeClr val="tx1"/>
                            </a:solidFill>
                          </a:ln>
                        </pic:spPr>
                      </pic:pic>
                    </a:graphicData>
                  </a:graphic>
                </wp:inline>
              </w:drawing>
            </w:r>
          </w:p>
          <w:p>
            <w:pPr>
              <w:pStyle w:val="139"/>
              <w:tabs>
                <w:tab w:val="left" w:pos="420"/>
              </w:tabs>
              <w:ind w:left="471" w:firstLine="0"/>
              <w:rPr>
                <w:rFonts w:eastAsia="宋体" w:cs="Times New Roman"/>
                <w:b/>
                <w:bCs/>
                <w:color w:val="auto"/>
                <w:sz w:val="21"/>
                <w:szCs w:val="21"/>
              </w:rPr>
            </w:pPr>
            <w:r>
              <w:rPr>
                <w:rFonts w:hint="eastAsia" w:eastAsia="宋体" w:cs="Times New Roman"/>
                <w:b/>
                <w:bCs/>
                <w:color w:val="auto"/>
                <w:sz w:val="21"/>
                <w:szCs w:val="21"/>
              </w:rPr>
              <w:t>图1 项目</w:t>
            </w:r>
            <w:r>
              <w:rPr>
                <w:rFonts w:eastAsia="宋体" w:cs="Times New Roman"/>
                <w:b/>
                <w:bCs/>
                <w:color w:val="auto"/>
                <w:sz w:val="21"/>
                <w:szCs w:val="21"/>
              </w:rPr>
              <w:t>筛选气象</w:t>
            </w:r>
            <w:r>
              <w:rPr>
                <w:rFonts w:hint="eastAsia" w:eastAsia="宋体" w:cs="Times New Roman"/>
                <w:b/>
                <w:bCs/>
                <w:color w:val="auto"/>
                <w:sz w:val="21"/>
                <w:szCs w:val="21"/>
              </w:rPr>
              <w:t>截图</w:t>
            </w:r>
          </w:p>
          <w:p>
            <w:pPr>
              <w:pStyle w:val="139"/>
              <w:tabs>
                <w:tab w:val="left" w:pos="420"/>
              </w:tabs>
              <w:jc w:val="center"/>
              <w:rPr>
                <w:rFonts w:hint="eastAsia" w:eastAsia="宋体" w:cs="Times New Roman"/>
                <w:b/>
                <w:bCs/>
                <w:color w:val="auto"/>
                <w:sz w:val="21"/>
                <w:szCs w:val="21"/>
              </w:rPr>
            </w:pPr>
            <w:r>
              <w:rPr>
                <w:color w:val="auto"/>
              </w:rPr>
              <w:drawing>
                <wp:inline distT="0" distB="0" distL="114300" distR="114300">
                  <wp:extent cx="4889500" cy="4250690"/>
                  <wp:effectExtent l="9525" t="9525" r="15875" b="26035"/>
                  <wp:docPr id="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1"/>
                          <pic:cNvPicPr>
                            <a:picLocks noChangeAspect="1"/>
                          </pic:cNvPicPr>
                        </pic:nvPicPr>
                        <pic:blipFill>
                          <a:blip r:embed="rId36"/>
                          <a:stretch>
                            <a:fillRect/>
                          </a:stretch>
                        </pic:blipFill>
                        <pic:spPr>
                          <a:xfrm>
                            <a:off x="0" y="0"/>
                            <a:ext cx="4889500" cy="4250690"/>
                          </a:xfrm>
                          <a:prstGeom prst="rect">
                            <a:avLst/>
                          </a:prstGeom>
                          <a:noFill/>
                          <a:ln>
                            <a:solidFill>
                              <a:schemeClr val="tx1"/>
                            </a:solidFill>
                          </a:ln>
                        </pic:spPr>
                      </pic:pic>
                    </a:graphicData>
                  </a:graphic>
                </wp:inline>
              </w:drawing>
            </w:r>
          </w:p>
          <w:p>
            <w:pPr>
              <w:pStyle w:val="139"/>
              <w:tabs>
                <w:tab w:val="left" w:pos="420"/>
              </w:tabs>
              <w:ind w:left="471" w:firstLine="0"/>
              <w:rPr>
                <w:rFonts w:eastAsia="宋体" w:cs="Times New Roman"/>
                <w:color w:val="auto"/>
                <w:sz w:val="21"/>
                <w:szCs w:val="21"/>
              </w:rPr>
            </w:pPr>
            <w:r>
              <w:rPr>
                <w:rFonts w:hint="eastAsia" w:eastAsia="宋体" w:cs="Times New Roman"/>
                <w:b/>
                <w:bCs/>
                <w:color w:val="auto"/>
                <w:sz w:val="21"/>
                <w:szCs w:val="21"/>
              </w:rPr>
              <w:t>图2 项目点源、面源</w:t>
            </w:r>
            <w:r>
              <w:rPr>
                <w:rFonts w:eastAsia="宋体" w:cs="Times New Roman"/>
                <w:b/>
                <w:bCs/>
                <w:color w:val="auto"/>
                <w:sz w:val="21"/>
                <w:szCs w:val="21"/>
              </w:rPr>
              <w:t>筛选</w:t>
            </w:r>
            <w:r>
              <w:rPr>
                <w:rFonts w:hint="eastAsia" w:eastAsia="宋体" w:cs="Times New Roman"/>
                <w:b/>
                <w:bCs/>
                <w:color w:val="auto"/>
                <w:sz w:val="21"/>
                <w:szCs w:val="21"/>
              </w:rPr>
              <w:t>方案截图</w:t>
            </w:r>
          </w:p>
          <w:p>
            <w:pPr>
              <w:pStyle w:val="139"/>
              <w:tabs>
                <w:tab w:val="left" w:pos="420"/>
              </w:tabs>
              <w:spacing w:line="312" w:lineRule="auto"/>
              <w:ind w:left="471" w:firstLine="0"/>
              <w:jc w:val="both"/>
              <w:rPr>
                <w:rFonts w:eastAsia="宋体" w:cs="Times New Roman"/>
                <w:color w:val="auto"/>
              </w:rPr>
            </w:pPr>
            <w:r>
              <w:rPr>
                <w:rFonts w:eastAsia="宋体" w:cs="Times New Roman"/>
                <w:color w:val="auto"/>
              </w:rPr>
              <w:t>本项目主要污染物估算模式计算结果如下：</w:t>
            </w:r>
          </w:p>
          <w:p>
            <w:pPr>
              <w:pStyle w:val="139"/>
              <w:tabs>
                <w:tab w:val="left" w:pos="420"/>
              </w:tabs>
              <w:spacing w:line="312" w:lineRule="auto"/>
              <w:jc w:val="center"/>
              <w:rPr>
                <w:color w:val="auto"/>
              </w:rPr>
            </w:pPr>
            <w:r>
              <w:rPr>
                <w:color w:val="auto"/>
              </w:rPr>
              <w:drawing>
                <wp:inline distT="0" distB="0" distL="114300" distR="114300">
                  <wp:extent cx="5888990" cy="4062730"/>
                  <wp:effectExtent l="9525" t="9525" r="26035" b="23495"/>
                  <wp:docPr id="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2"/>
                          <pic:cNvPicPr>
                            <a:picLocks noChangeAspect="1"/>
                          </pic:cNvPicPr>
                        </pic:nvPicPr>
                        <pic:blipFill>
                          <a:blip r:embed="rId37"/>
                          <a:stretch>
                            <a:fillRect/>
                          </a:stretch>
                        </pic:blipFill>
                        <pic:spPr>
                          <a:xfrm>
                            <a:off x="0" y="0"/>
                            <a:ext cx="5888990" cy="4062730"/>
                          </a:xfrm>
                          <a:prstGeom prst="rect">
                            <a:avLst/>
                          </a:prstGeom>
                          <a:noFill/>
                          <a:ln>
                            <a:solidFill>
                              <a:schemeClr val="tx1"/>
                            </a:solidFill>
                          </a:ln>
                        </pic:spPr>
                      </pic:pic>
                    </a:graphicData>
                  </a:graphic>
                </wp:inline>
              </w:drawing>
            </w:r>
          </w:p>
          <w:p>
            <w:pPr>
              <w:pStyle w:val="139"/>
              <w:tabs>
                <w:tab w:val="left" w:pos="420"/>
              </w:tabs>
              <w:ind w:left="471" w:firstLine="0"/>
              <w:rPr>
                <w:rFonts w:eastAsia="宋体" w:cs="Times New Roman"/>
                <w:color w:val="auto"/>
                <w:sz w:val="21"/>
                <w:szCs w:val="21"/>
              </w:rPr>
            </w:pPr>
            <w:r>
              <w:rPr>
                <w:rFonts w:hint="eastAsia" w:eastAsia="宋体" w:cs="Times New Roman"/>
                <w:b/>
                <w:bCs/>
                <w:color w:val="auto"/>
                <w:sz w:val="21"/>
                <w:szCs w:val="21"/>
              </w:rPr>
              <w:t>图3 项目</w:t>
            </w:r>
            <w:r>
              <w:rPr>
                <w:rFonts w:eastAsia="宋体" w:cs="Times New Roman"/>
                <w:b/>
                <w:bCs/>
                <w:color w:val="auto"/>
                <w:sz w:val="21"/>
                <w:szCs w:val="21"/>
              </w:rPr>
              <w:t>筛选</w:t>
            </w:r>
            <w:r>
              <w:rPr>
                <w:rFonts w:hint="eastAsia" w:eastAsia="宋体" w:cs="Times New Roman"/>
                <w:b/>
                <w:bCs/>
                <w:color w:val="auto"/>
                <w:sz w:val="21"/>
                <w:szCs w:val="21"/>
              </w:rPr>
              <w:t>结果截图（1小时浓度占标率）</w:t>
            </w:r>
          </w:p>
          <w:p>
            <w:pPr>
              <w:pStyle w:val="139"/>
              <w:tabs>
                <w:tab w:val="left" w:pos="420"/>
              </w:tabs>
              <w:spacing w:line="312" w:lineRule="auto"/>
              <w:jc w:val="center"/>
              <w:rPr>
                <w:color w:val="auto"/>
              </w:rPr>
            </w:pPr>
            <w:r>
              <w:rPr>
                <w:color w:val="auto"/>
              </w:rPr>
              <w:drawing>
                <wp:inline distT="0" distB="0" distL="114300" distR="114300">
                  <wp:extent cx="5887720" cy="4079240"/>
                  <wp:effectExtent l="9525" t="9525" r="27305" b="26035"/>
                  <wp:docPr id="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3"/>
                          <pic:cNvPicPr>
                            <a:picLocks noChangeAspect="1"/>
                          </pic:cNvPicPr>
                        </pic:nvPicPr>
                        <pic:blipFill>
                          <a:blip r:embed="rId38"/>
                          <a:stretch>
                            <a:fillRect/>
                          </a:stretch>
                        </pic:blipFill>
                        <pic:spPr>
                          <a:xfrm>
                            <a:off x="0" y="0"/>
                            <a:ext cx="5887720" cy="4079240"/>
                          </a:xfrm>
                          <a:prstGeom prst="rect">
                            <a:avLst/>
                          </a:prstGeom>
                          <a:noFill/>
                          <a:ln>
                            <a:solidFill>
                              <a:schemeClr val="tx1"/>
                            </a:solidFill>
                          </a:ln>
                        </pic:spPr>
                      </pic:pic>
                    </a:graphicData>
                  </a:graphic>
                </wp:inline>
              </w:drawing>
            </w:r>
          </w:p>
          <w:p>
            <w:pPr>
              <w:pStyle w:val="139"/>
              <w:tabs>
                <w:tab w:val="left" w:pos="420"/>
              </w:tabs>
              <w:spacing w:line="312" w:lineRule="auto"/>
              <w:ind w:left="471" w:firstLine="0"/>
              <w:rPr>
                <w:rFonts w:hint="eastAsia" w:eastAsia="宋体" w:cs="Times New Roman"/>
                <w:b/>
                <w:bCs/>
                <w:color w:val="auto"/>
                <w:sz w:val="21"/>
                <w:szCs w:val="21"/>
              </w:rPr>
            </w:pPr>
            <w:r>
              <w:rPr>
                <w:rFonts w:hint="eastAsia" w:eastAsia="宋体" w:cs="Times New Roman"/>
                <w:b/>
                <w:bCs/>
                <w:color w:val="auto"/>
                <w:sz w:val="21"/>
                <w:szCs w:val="21"/>
              </w:rPr>
              <w:t>图4 项目</w:t>
            </w:r>
            <w:r>
              <w:rPr>
                <w:rFonts w:eastAsia="宋体" w:cs="Times New Roman"/>
                <w:b/>
                <w:bCs/>
                <w:color w:val="auto"/>
                <w:sz w:val="21"/>
                <w:szCs w:val="21"/>
              </w:rPr>
              <w:t>筛选</w:t>
            </w:r>
            <w:r>
              <w:rPr>
                <w:rFonts w:hint="eastAsia" w:eastAsia="宋体" w:cs="Times New Roman"/>
                <w:b/>
                <w:bCs/>
                <w:color w:val="auto"/>
                <w:sz w:val="21"/>
                <w:szCs w:val="21"/>
              </w:rPr>
              <w:t>结果截图（1小时浓度）</w:t>
            </w:r>
          </w:p>
          <w:p>
            <w:pPr>
              <w:pStyle w:val="139"/>
              <w:tabs>
                <w:tab w:val="left" w:pos="420"/>
              </w:tabs>
              <w:spacing w:line="312" w:lineRule="auto"/>
              <w:ind w:left="471" w:firstLine="0"/>
              <w:rPr>
                <w:rFonts w:hint="eastAsia" w:eastAsia="宋体" w:cs="Times New Roman"/>
                <w:b/>
                <w:bCs/>
                <w:color w:val="auto"/>
                <w:sz w:val="21"/>
                <w:szCs w:val="21"/>
              </w:rPr>
            </w:pPr>
          </w:p>
          <w:p>
            <w:pPr>
              <w:pStyle w:val="139"/>
              <w:numPr>
                <w:ilvl w:val="0"/>
                <w:numId w:val="5"/>
              </w:numPr>
              <w:tabs>
                <w:tab w:val="left" w:pos="420"/>
              </w:tabs>
              <w:spacing w:line="312" w:lineRule="auto"/>
              <w:ind w:left="0" w:firstLine="471"/>
              <w:rPr>
                <w:rFonts w:eastAsia="宋体" w:cs="Times New Roman"/>
                <w:b/>
                <w:color w:val="auto"/>
                <w:sz w:val="21"/>
                <w:szCs w:val="21"/>
              </w:rPr>
            </w:pPr>
            <w:r>
              <w:rPr>
                <w:rFonts w:eastAsia="宋体" w:cs="Times New Roman"/>
                <w:b/>
                <w:color w:val="auto"/>
                <w:sz w:val="21"/>
                <w:szCs w:val="21"/>
              </w:rPr>
              <w:t>估算模式最大地面浓度占标率计算结果</w:t>
            </w:r>
          </w:p>
          <w:tbl>
            <w:tblPr>
              <w:tblStyle w:val="40"/>
              <w:tblW w:w="9089"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967"/>
              <w:gridCol w:w="1354"/>
              <w:gridCol w:w="1529"/>
              <w:gridCol w:w="1241"/>
              <w:gridCol w:w="1260"/>
              <w:gridCol w:w="860"/>
              <w:gridCol w:w="925"/>
              <w:gridCol w:w="953"/>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3" w:hRule="atLeast"/>
                <w:tblHeader/>
                <w:jc w:val="center"/>
              </w:trPr>
              <w:tc>
                <w:tcPr>
                  <w:tcW w:w="967" w:type="dxa"/>
                  <w:vMerge w:val="restart"/>
                  <w:tcBorders>
                    <w:tl2br w:val="nil"/>
                    <w:tr2bl w:val="nil"/>
                  </w:tcBorders>
                  <w:vAlign w:val="center"/>
                </w:tcPr>
                <w:p>
                  <w:pPr>
                    <w:jc w:val="center"/>
                    <w:rPr>
                      <w:b/>
                      <w:color w:val="auto"/>
                      <w:szCs w:val="21"/>
                    </w:rPr>
                  </w:pPr>
                  <w:r>
                    <w:rPr>
                      <w:b/>
                      <w:color w:val="auto"/>
                      <w:szCs w:val="21"/>
                    </w:rPr>
                    <w:t>类型</w:t>
                  </w:r>
                </w:p>
              </w:tc>
              <w:tc>
                <w:tcPr>
                  <w:tcW w:w="1354" w:type="dxa"/>
                  <w:vMerge w:val="restart"/>
                  <w:tcBorders>
                    <w:tl2br w:val="nil"/>
                    <w:tr2bl w:val="nil"/>
                  </w:tcBorders>
                  <w:vAlign w:val="center"/>
                </w:tcPr>
                <w:p>
                  <w:pPr>
                    <w:jc w:val="center"/>
                    <w:rPr>
                      <w:b/>
                      <w:color w:val="auto"/>
                      <w:szCs w:val="21"/>
                    </w:rPr>
                  </w:pPr>
                  <w:r>
                    <w:rPr>
                      <w:b/>
                      <w:color w:val="auto"/>
                      <w:szCs w:val="21"/>
                    </w:rPr>
                    <w:t>项目</w:t>
                  </w:r>
                </w:p>
              </w:tc>
              <w:tc>
                <w:tcPr>
                  <w:tcW w:w="1529" w:type="dxa"/>
                  <w:vMerge w:val="restart"/>
                  <w:tcBorders>
                    <w:tl2br w:val="nil"/>
                    <w:tr2bl w:val="nil"/>
                  </w:tcBorders>
                  <w:vAlign w:val="center"/>
                </w:tcPr>
                <w:p>
                  <w:pPr>
                    <w:jc w:val="center"/>
                    <w:rPr>
                      <w:b/>
                      <w:color w:val="auto"/>
                      <w:szCs w:val="21"/>
                    </w:rPr>
                  </w:pPr>
                  <w:r>
                    <w:rPr>
                      <w:b/>
                      <w:color w:val="auto"/>
                      <w:szCs w:val="21"/>
                    </w:rPr>
                    <w:t>污染物</w:t>
                  </w:r>
                </w:p>
              </w:tc>
              <w:tc>
                <w:tcPr>
                  <w:tcW w:w="4286" w:type="dxa"/>
                  <w:gridSpan w:val="4"/>
                  <w:tcBorders>
                    <w:tl2br w:val="nil"/>
                    <w:tr2bl w:val="nil"/>
                  </w:tcBorders>
                  <w:vAlign w:val="center"/>
                </w:tcPr>
                <w:p>
                  <w:pPr>
                    <w:autoSpaceDE w:val="0"/>
                    <w:autoSpaceDN w:val="0"/>
                    <w:jc w:val="center"/>
                    <w:rPr>
                      <w:b/>
                      <w:bCs/>
                      <w:color w:val="auto"/>
                      <w:szCs w:val="21"/>
                    </w:rPr>
                  </w:pPr>
                  <w:r>
                    <w:rPr>
                      <w:b/>
                      <w:bCs/>
                      <w:color w:val="auto"/>
                      <w:szCs w:val="21"/>
                    </w:rPr>
                    <w:t>计算结果</w:t>
                  </w:r>
                </w:p>
              </w:tc>
              <w:tc>
                <w:tcPr>
                  <w:tcW w:w="953" w:type="dxa"/>
                  <w:vMerge w:val="restart"/>
                  <w:tcBorders>
                    <w:tl2br w:val="nil"/>
                    <w:tr2bl w:val="nil"/>
                  </w:tcBorders>
                  <w:vAlign w:val="center"/>
                </w:tcPr>
                <w:p>
                  <w:pPr>
                    <w:autoSpaceDE w:val="0"/>
                    <w:autoSpaceDN w:val="0"/>
                    <w:jc w:val="center"/>
                    <w:rPr>
                      <w:b/>
                      <w:bCs/>
                      <w:color w:val="auto"/>
                      <w:szCs w:val="21"/>
                    </w:rPr>
                  </w:pPr>
                  <w:r>
                    <w:rPr>
                      <w:b/>
                      <w:bCs/>
                      <w:color w:val="auto"/>
                      <w:szCs w:val="21"/>
                    </w:rPr>
                    <w:t>评价等级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54" w:hRule="atLeast"/>
                <w:tblHeader/>
                <w:jc w:val="center"/>
              </w:trPr>
              <w:tc>
                <w:tcPr>
                  <w:tcW w:w="967" w:type="dxa"/>
                  <w:vMerge w:val="continue"/>
                  <w:tcBorders>
                    <w:tl2br w:val="nil"/>
                    <w:tr2bl w:val="nil"/>
                  </w:tcBorders>
                  <w:vAlign w:val="center"/>
                </w:tcPr>
                <w:p>
                  <w:pPr>
                    <w:jc w:val="center"/>
                    <w:rPr>
                      <w:b/>
                      <w:color w:val="auto"/>
                      <w:szCs w:val="21"/>
                    </w:rPr>
                  </w:pPr>
                </w:p>
              </w:tc>
              <w:tc>
                <w:tcPr>
                  <w:tcW w:w="1354" w:type="dxa"/>
                  <w:vMerge w:val="continue"/>
                  <w:tcBorders>
                    <w:tl2br w:val="nil"/>
                    <w:tr2bl w:val="nil"/>
                  </w:tcBorders>
                  <w:vAlign w:val="center"/>
                </w:tcPr>
                <w:p>
                  <w:pPr>
                    <w:jc w:val="center"/>
                    <w:rPr>
                      <w:b/>
                      <w:color w:val="auto"/>
                      <w:szCs w:val="21"/>
                    </w:rPr>
                  </w:pPr>
                </w:p>
              </w:tc>
              <w:tc>
                <w:tcPr>
                  <w:tcW w:w="1529" w:type="dxa"/>
                  <w:vMerge w:val="continue"/>
                  <w:tcBorders>
                    <w:tl2br w:val="nil"/>
                    <w:tr2bl w:val="nil"/>
                  </w:tcBorders>
                  <w:vAlign w:val="center"/>
                </w:tcPr>
                <w:p>
                  <w:pPr>
                    <w:jc w:val="center"/>
                    <w:rPr>
                      <w:b/>
                      <w:color w:val="auto"/>
                      <w:szCs w:val="21"/>
                    </w:rPr>
                  </w:pPr>
                </w:p>
              </w:tc>
              <w:tc>
                <w:tcPr>
                  <w:tcW w:w="1241" w:type="dxa"/>
                  <w:tcBorders>
                    <w:tl2br w:val="nil"/>
                    <w:tr2bl w:val="nil"/>
                  </w:tcBorders>
                  <w:vAlign w:val="center"/>
                </w:tcPr>
                <w:p>
                  <w:pPr>
                    <w:autoSpaceDE w:val="0"/>
                    <w:autoSpaceDN w:val="0"/>
                    <w:jc w:val="center"/>
                    <w:rPr>
                      <w:b/>
                      <w:bCs/>
                      <w:color w:val="auto"/>
                      <w:szCs w:val="21"/>
                      <w:shd w:val="clear" w:color="auto" w:fill="FFFFFF"/>
                    </w:rPr>
                  </w:pPr>
                  <w:r>
                    <w:rPr>
                      <w:b/>
                      <w:bCs/>
                      <w:color w:val="auto"/>
                      <w:position w:val="-6"/>
                      <w:szCs w:val="21"/>
                      <w:shd w:val="clear" w:color="auto" w:fill="FFFFFF"/>
                    </w:rPr>
                    <w:object>
                      <v:shape id="_x0000_i1025" o:spt="75" type="#_x0000_t75" style="height:14.25pt;width:14.25pt;" o:ole="t" filled="f" o:preferrelative="t" stroked="f" coordsize="21600,21600">
                        <v:path/>
                        <v:fill on="f" focussize="0,0"/>
                        <v:stroke on="f"/>
                        <v:imagedata r:id="rId40" o:title=""/>
                        <o:lock v:ext="edit" aspectratio="t"/>
                        <w10:wrap type="none"/>
                        <w10:anchorlock/>
                      </v:shape>
                      <o:OLEObject Type="Embed" ProgID="Equation.3" ShapeID="_x0000_i1025" DrawAspect="Content" ObjectID="_1468075725" r:id="rId39">
                        <o:LockedField>false</o:LockedField>
                      </o:OLEObject>
                    </w:object>
                  </w:r>
                  <w:r>
                    <w:rPr>
                      <w:b/>
                      <w:bCs/>
                      <w:color w:val="auto"/>
                      <w:szCs w:val="21"/>
                    </w:rPr>
                    <w:t>（%）</w:t>
                  </w:r>
                </w:p>
              </w:tc>
              <w:tc>
                <w:tcPr>
                  <w:tcW w:w="1260" w:type="dxa"/>
                  <w:tcBorders>
                    <w:tl2br w:val="nil"/>
                    <w:tr2bl w:val="nil"/>
                  </w:tcBorders>
                  <w:vAlign w:val="center"/>
                </w:tcPr>
                <w:p>
                  <w:pPr>
                    <w:autoSpaceDE w:val="0"/>
                    <w:autoSpaceDN w:val="0"/>
                    <w:jc w:val="center"/>
                    <w:rPr>
                      <w:b/>
                      <w:bCs/>
                      <w:color w:val="auto"/>
                      <w:kern w:val="0"/>
                      <w:szCs w:val="21"/>
                    </w:rPr>
                  </w:pPr>
                  <w:r>
                    <w:rPr>
                      <w:b/>
                      <w:bCs/>
                      <w:color w:val="auto"/>
                      <w:kern w:val="0"/>
                      <w:szCs w:val="21"/>
                    </w:rPr>
                    <w:t>预测浓度（mg/m</w:t>
                  </w:r>
                  <w:r>
                    <w:rPr>
                      <w:b/>
                      <w:bCs/>
                      <w:color w:val="auto"/>
                      <w:kern w:val="0"/>
                      <w:szCs w:val="21"/>
                      <w:vertAlign w:val="superscript"/>
                    </w:rPr>
                    <w:t>3</w:t>
                  </w:r>
                  <w:r>
                    <w:rPr>
                      <w:b/>
                      <w:bCs/>
                      <w:color w:val="auto"/>
                      <w:kern w:val="0"/>
                      <w:szCs w:val="21"/>
                    </w:rPr>
                    <w:t>）</w:t>
                  </w:r>
                </w:p>
              </w:tc>
              <w:tc>
                <w:tcPr>
                  <w:tcW w:w="860" w:type="dxa"/>
                  <w:tcBorders>
                    <w:right w:val="single" w:color="auto" w:sz="4" w:space="0"/>
                    <w:tl2br w:val="nil"/>
                    <w:tr2bl w:val="nil"/>
                  </w:tcBorders>
                  <w:vAlign w:val="center"/>
                </w:tcPr>
                <w:p>
                  <w:pPr>
                    <w:autoSpaceDE w:val="0"/>
                    <w:autoSpaceDN w:val="0"/>
                    <w:jc w:val="center"/>
                    <w:rPr>
                      <w:b/>
                      <w:bCs/>
                      <w:color w:val="auto"/>
                      <w:szCs w:val="21"/>
                    </w:rPr>
                  </w:pPr>
                  <w:r>
                    <w:rPr>
                      <w:b/>
                      <w:bCs/>
                      <w:color w:val="auto"/>
                      <w:szCs w:val="21"/>
                    </w:rPr>
                    <w:t>D10%（m）</w:t>
                  </w:r>
                </w:p>
              </w:tc>
              <w:tc>
                <w:tcPr>
                  <w:tcW w:w="925" w:type="dxa"/>
                  <w:tcBorders>
                    <w:left w:val="single" w:color="auto" w:sz="4" w:space="0"/>
                    <w:tl2br w:val="nil"/>
                    <w:tr2bl w:val="nil"/>
                  </w:tcBorders>
                  <w:vAlign w:val="center"/>
                </w:tcPr>
                <w:p>
                  <w:pPr>
                    <w:autoSpaceDE w:val="0"/>
                    <w:autoSpaceDN w:val="0"/>
                    <w:jc w:val="center"/>
                    <w:rPr>
                      <w:rFonts w:hint="default" w:eastAsia="宋体"/>
                      <w:b/>
                      <w:bCs/>
                      <w:color w:val="auto"/>
                      <w:szCs w:val="21"/>
                      <w:lang w:val="en-US" w:eastAsia="zh-CN"/>
                    </w:rPr>
                  </w:pPr>
                  <w:r>
                    <w:rPr>
                      <w:rFonts w:hint="eastAsia" w:ascii="Times New Roman" w:eastAsia="宋体"/>
                      <w:b/>
                      <w:bCs/>
                      <w:color w:val="auto"/>
                      <w:szCs w:val="21"/>
                      <w:lang w:val="en-US" w:eastAsia="zh-CN"/>
                    </w:rPr>
                    <w:t>离原距离</w:t>
                  </w:r>
                  <w:r>
                    <w:rPr>
                      <w:b/>
                      <w:bCs/>
                      <w:color w:val="auto"/>
                      <w:szCs w:val="21"/>
                    </w:rPr>
                    <w:t>（m）</w:t>
                  </w:r>
                </w:p>
              </w:tc>
              <w:tc>
                <w:tcPr>
                  <w:tcW w:w="953" w:type="dxa"/>
                  <w:vMerge w:val="continue"/>
                  <w:tcBorders>
                    <w:tl2br w:val="nil"/>
                    <w:tr2bl w:val="nil"/>
                  </w:tcBorders>
                  <w:vAlign w:val="center"/>
                </w:tcPr>
                <w:p>
                  <w:pPr>
                    <w:autoSpaceDE w:val="0"/>
                    <w:autoSpaceDN w:val="0"/>
                    <w:jc w:val="center"/>
                    <w:rPr>
                      <w:b/>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24" w:hRule="atLeast"/>
                <w:tblHeader/>
                <w:jc w:val="center"/>
              </w:trPr>
              <w:tc>
                <w:tcPr>
                  <w:tcW w:w="967" w:type="dxa"/>
                  <w:vMerge w:val="restart"/>
                  <w:tcBorders>
                    <w:tl2br w:val="nil"/>
                    <w:tr2bl w:val="nil"/>
                  </w:tcBorders>
                  <w:vAlign w:val="center"/>
                </w:tcPr>
                <w:p>
                  <w:pPr>
                    <w:jc w:val="center"/>
                    <w:rPr>
                      <w:bCs/>
                      <w:color w:val="auto"/>
                      <w:szCs w:val="21"/>
                    </w:rPr>
                  </w:pPr>
                  <w:r>
                    <w:rPr>
                      <w:bCs/>
                      <w:color w:val="auto"/>
                      <w:szCs w:val="21"/>
                    </w:rPr>
                    <w:t>有组织</w:t>
                  </w:r>
                </w:p>
              </w:tc>
              <w:tc>
                <w:tcPr>
                  <w:tcW w:w="1354" w:type="dxa"/>
                  <w:vMerge w:val="restart"/>
                  <w:tcBorders>
                    <w:tl2br w:val="nil"/>
                    <w:tr2bl w:val="nil"/>
                  </w:tcBorders>
                  <w:vAlign w:val="center"/>
                </w:tcPr>
                <w:p>
                  <w:pPr>
                    <w:widowControl/>
                    <w:adjustRightInd w:val="0"/>
                    <w:snapToGrid w:val="0"/>
                    <w:jc w:val="center"/>
                    <w:rPr>
                      <w:bCs/>
                      <w:color w:val="auto"/>
                      <w:szCs w:val="21"/>
                    </w:rPr>
                  </w:pPr>
                  <w:r>
                    <w:rPr>
                      <w:color w:val="auto"/>
                      <w:szCs w:val="21"/>
                    </w:rPr>
                    <w:t>G1</w:t>
                  </w:r>
                </w:p>
              </w:tc>
              <w:tc>
                <w:tcPr>
                  <w:tcW w:w="1529" w:type="dxa"/>
                  <w:tcBorders>
                    <w:tl2br w:val="nil"/>
                    <w:tr2bl w:val="nil"/>
                  </w:tcBorders>
                  <w:vAlign w:val="center"/>
                </w:tcPr>
                <w:p>
                  <w:pPr>
                    <w:adjustRightInd w:val="0"/>
                    <w:snapToGrid w:val="0"/>
                    <w:jc w:val="center"/>
                    <w:rPr>
                      <w:rFonts w:hint="default" w:eastAsia="宋体"/>
                      <w:bCs/>
                      <w:color w:val="auto"/>
                      <w:szCs w:val="21"/>
                      <w:lang w:val="en-US" w:eastAsia="zh-CN"/>
                    </w:rPr>
                  </w:pPr>
                  <w:r>
                    <w:rPr>
                      <w:rFonts w:hint="eastAsia"/>
                      <w:bCs/>
                      <w:color w:val="auto"/>
                      <w:szCs w:val="21"/>
                      <w:lang w:val="en-US" w:eastAsia="zh-CN"/>
                    </w:rPr>
                    <w:t>PM</w:t>
                  </w:r>
                  <w:r>
                    <w:rPr>
                      <w:rFonts w:hint="eastAsia"/>
                      <w:bCs/>
                      <w:color w:val="auto"/>
                      <w:szCs w:val="21"/>
                      <w:vertAlign w:val="subscript"/>
                      <w:lang w:val="en-US" w:eastAsia="zh-CN"/>
                    </w:rPr>
                    <w:t>10</w:t>
                  </w:r>
                </w:p>
              </w:tc>
              <w:tc>
                <w:tcPr>
                  <w:tcW w:w="1241" w:type="dxa"/>
                  <w:tcBorders>
                    <w:tl2br w:val="nil"/>
                    <w:tr2bl w:val="nil"/>
                  </w:tcBorders>
                  <w:vAlign w:val="center"/>
                </w:tcPr>
                <w:p>
                  <w:pPr>
                    <w:autoSpaceDE w:val="0"/>
                    <w:autoSpaceDN w:val="0"/>
                    <w:jc w:val="center"/>
                    <w:rPr>
                      <w:rFonts w:hint="default" w:eastAsia="宋体"/>
                      <w:bCs/>
                      <w:color w:val="auto"/>
                      <w:position w:val="-6"/>
                      <w:szCs w:val="21"/>
                      <w:shd w:val="clear" w:color="auto" w:fill="FFFFFF"/>
                      <w:lang w:val="en-US" w:eastAsia="zh-CN"/>
                    </w:rPr>
                  </w:pPr>
                  <w:r>
                    <w:rPr>
                      <w:rFonts w:hint="eastAsia"/>
                      <w:bCs/>
                      <w:color w:val="auto"/>
                      <w:position w:val="-6"/>
                      <w:szCs w:val="21"/>
                      <w:shd w:val="clear" w:color="auto" w:fill="FFFFFF"/>
                      <w:lang w:val="en-US" w:eastAsia="zh-CN"/>
                    </w:rPr>
                    <w:t>0.12</w:t>
                  </w:r>
                </w:p>
              </w:tc>
              <w:tc>
                <w:tcPr>
                  <w:tcW w:w="1260" w:type="dxa"/>
                  <w:tcBorders>
                    <w:tl2br w:val="nil"/>
                    <w:tr2bl w:val="nil"/>
                  </w:tcBorders>
                  <w:vAlign w:val="center"/>
                </w:tcPr>
                <w:p>
                  <w:pPr>
                    <w:autoSpaceDE w:val="0"/>
                    <w:autoSpaceDN w:val="0"/>
                    <w:jc w:val="center"/>
                    <w:rPr>
                      <w:rFonts w:hint="default" w:eastAsia="宋体"/>
                      <w:bCs/>
                      <w:color w:val="auto"/>
                      <w:kern w:val="0"/>
                      <w:szCs w:val="21"/>
                      <w:lang w:val="en-US" w:eastAsia="zh-CN"/>
                    </w:rPr>
                  </w:pPr>
                  <w:r>
                    <w:rPr>
                      <w:rFonts w:hint="eastAsia"/>
                      <w:bCs/>
                      <w:color w:val="auto"/>
                      <w:kern w:val="0"/>
                      <w:szCs w:val="21"/>
                      <w:lang w:val="en-US" w:eastAsia="zh-CN"/>
                    </w:rPr>
                    <w:t>5.42</w:t>
                  </w:r>
                  <w:r>
                    <w:rPr>
                      <w:rFonts w:hint="eastAsia" w:ascii="Times New Roman" w:eastAsia="宋体"/>
                      <w:bCs/>
                      <w:color w:val="auto"/>
                      <w:kern w:val="0"/>
                      <w:szCs w:val="21"/>
                      <w:lang w:val="en-US" w:eastAsia="zh-CN"/>
                    </w:rPr>
                    <w:t>E-04</w:t>
                  </w:r>
                </w:p>
              </w:tc>
              <w:tc>
                <w:tcPr>
                  <w:tcW w:w="860" w:type="dxa"/>
                  <w:tcBorders>
                    <w:right w:val="single" w:color="auto" w:sz="4" w:space="0"/>
                    <w:tl2br w:val="nil"/>
                    <w:tr2bl w:val="nil"/>
                  </w:tcBorders>
                  <w:vAlign w:val="center"/>
                </w:tcPr>
                <w:p>
                  <w:pPr>
                    <w:adjustRightInd w:val="0"/>
                    <w:snapToGrid w:val="0"/>
                    <w:jc w:val="center"/>
                    <w:rPr>
                      <w:bCs/>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53</w:t>
                  </w:r>
                </w:p>
              </w:tc>
              <w:tc>
                <w:tcPr>
                  <w:tcW w:w="953" w:type="dxa"/>
                  <w:tcBorders>
                    <w:tl2br w:val="nil"/>
                    <w:tr2bl w:val="nil"/>
                  </w:tcBorders>
                  <w:vAlign w:val="center"/>
                </w:tcPr>
                <w:p>
                  <w:pPr>
                    <w:autoSpaceDE w:val="0"/>
                    <w:autoSpaceDN w:val="0"/>
                    <w:jc w:val="center"/>
                    <w:rPr>
                      <w:bCs/>
                      <w:color w:val="auto"/>
                      <w:szCs w:val="21"/>
                    </w:rPr>
                  </w:pPr>
                  <w:r>
                    <w:rPr>
                      <w:bCs/>
                      <w:color w:val="auto"/>
                      <w:szCs w:val="21"/>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24" w:hRule="atLeast"/>
                <w:tblHeader/>
                <w:jc w:val="center"/>
              </w:trPr>
              <w:tc>
                <w:tcPr>
                  <w:tcW w:w="967" w:type="dxa"/>
                  <w:vMerge w:val="continue"/>
                  <w:tcBorders>
                    <w:tl2br w:val="nil"/>
                    <w:tr2bl w:val="nil"/>
                  </w:tcBorders>
                  <w:vAlign w:val="center"/>
                </w:tcPr>
                <w:p>
                  <w:pPr>
                    <w:jc w:val="center"/>
                    <w:rPr>
                      <w:bCs/>
                      <w:color w:val="auto"/>
                      <w:szCs w:val="21"/>
                    </w:rPr>
                  </w:pPr>
                </w:p>
              </w:tc>
              <w:tc>
                <w:tcPr>
                  <w:tcW w:w="1354" w:type="dxa"/>
                  <w:vMerge w:val="continue"/>
                  <w:tcBorders>
                    <w:tl2br w:val="nil"/>
                    <w:tr2bl w:val="nil"/>
                  </w:tcBorders>
                  <w:vAlign w:val="center"/>
                </w:tcPr>
                <w:p>
                  <w:pPr>
                    <w:widowControl/>
                    <w:adjustRightInd w:val="0"/>
                    <w:snapToGrid w:val="0"/>
                    <w:jc w:val="center"/>
                    <w:rPr>
                      <w:color w:val="auto"/>
                      <w:szCs w:val="21"/>
                    </w:rPr>
                  </w:pPr>
                </w:p>
              </w:tc>
              <w:tc>
                <w:tcPr>
                  <w:tcW w:w="1529" w:type="dxa"/>
                  <w:tcBorders>
                    <w:tl2br w:val="nil"/>
                    <w:tr2bl w:val="nil"/>
                  </w:tcBorders>
                  <w:vAlign w:val="center"/>
                </w:tcPr>
                <w:p>
                  <w:pPr>
                    <w:adjustRightInd w:val="0"/>
                    <w:snapToGrid w:val="0"/>
                    <w:jc w:val="center"/>
                    <w:rPr>
                      <w:rFonts w:hint="eastAsia" w:ascii="Times New Roman" w:cs="Times New Roman"/>
                      <w:bCs/>
                      <w:color w:val="auto"/>
                      <w:sz w:val="21"/>
                      <w:szCs w:val="21"/>
                    </w:rPr>
                  </w:pPr>
                  <w:r>
                    <w:rPr>
                      <w:rFonts w:hint="eastAsia" w:hAnsi="宋体" w:cs="Times New Roman"/>
                      <w:bCs/>
                      <w:color w:val="auto"/>
                      <w:kern w:val="0"/>
                      <w:sz w:val="21"/>
                      <w:szCs w:val="22"/>
                      <w:highlight w:val="none"/>
                      <w:lang w:val="en-US" w:eastAsia="zh-CN" w:bidi="zh-CN"/>
                    </w:rPr>
                    <w:t>非甲烷总烃</w:t>
                  </w:r>
                </w:p>
              </w:tc>
              <w:tc>
                <w:tcPr>
                  <w:tcW w:w="1241" w:type="dxa"/>
                  <w:tcBorders>
                    <w:tl2br w:val="nil"/>
                    <w:tr2bl w:val="nil"/>
                  </w:tcBorders>
                  <w:vAlign w:val="center"/>
                </w:tcPr>
                <w:p>
                  <w:pPr>
                    <w:autoSpaceDE w:val="0"/>
                    <w:autoSpaceDN w:val="0"/>
                    <w:jc w:val="center"/>
                    <w:rPr>
                      <w:rFonts w:hint="default" w:ascii="Times New Roman" w:eastAsia="宋体"/>
                      <w:bCs/>
                      <w:color w:val="auto"/>
                      <w:position w:val="-6"/>
                      <w:szCs w:val="21"/>
                      <w:shd w:val="clear" w:color="auto" w:fill="FFFFFF"/>
                      <w:lang w:val="en-US" w:eastAsia="zh-CN"/>
                    </w:rPr>
                  </w:pPr>
                  <w:r>
                    <w:rPr>
                      <w:rFonts w:hint="eastAsia"/>
                      <w:bCs/>
                      <w:color w:val="auto"/>
                      <w:position w:val="-6"/>
                      <w:szCs w:val="21"/>
                      <w:shd w:val="clear" w:color="auto" w:fill="FFFFFF"/>
                      <w:lang w:val="en-US" w:eastAsia="zh-CN"/>
                    </w:rPr>
                    <w:t>0.02</w:t>
                  </w:r>
                </w:p>
              </w:tc>
              <w:tc>
                <w:tcPr>
                  <w:tcW w:w="1260" w:type="dxa"/>
                  <w:tcBorders>
                    <w:tl2br w:val="nil"/>
                    <w:tr2bl w:val="nil"/>
                  </w:tcBorders>
                  <w:vAlign w:val="center"/>
                </w:tcPr>
                <w:p>
                  <w:pPr>
                    <w:autoSpaceDE w:val="0"/>
                    <w:autoSpaceDN w:val="0"/>
                    <w:jc w:val="center"/>
                    <w:rPr>
                      <w:rFonts w:hint="eastAsia" w:ascii="Times New Roman" w:eastAsia="宋体"/>
                      <w:bCs/>
                      <w:color w:val="auto"/>
                      <w:kern w:val="0"/>
                      <w:szCs w:val="21"/>
                      <w:lang w:val="en-US" w:eastAsia="zh-CN"/>
                    </w:rPr>
                  </w:pPr>
                  <w:r>
                    <w:rPr>
                      <w:rFonts w:hint="eastAsia"/>
                      <w:bCs/>
                      <w:color w:val="auto"/>
                      <w:kern w:val="0"/>
                      <w:szCs w:val="21"/>
                      <w:lang w:val="en-US" w:eastAsia="zh-CN"/>
                    </w:rPr>
                    <w:t>4.07</w:t>
                  </w:r>
                  <w:r>
                    <w:rPr>
                      <w:rFonts w:hint="eastAsia" w:ascii="Times New Roman" w:eastAsia="宋体"/>
                      <w:bCs/>
                      <w:color w:val="auto"/>
                      <w:kern w:val="0"/>
                      <w:szCs w:val="21"/>
                      <w:lang w:val="en-US" w:eastAsia="zh-CN"/>
                    </w:rPr>
                    <w:t>E-04</w:t>
                  </w:r>
                </w:p>
              </w:tc>
              <w:tc>
                <w:tcPr>
                  <w:tcW w:w="860" w:type="dxa"/>
                  <w:tcBorders>
                    <w:right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ascii="Times New Roman" w:eastAsia="宋体"/>
                      <w:color w:val="auto"/>
                      <w:szCs w:val="21"/>
                      <w:lang w:val="en-US" w:eastAsia="zh-CN"/>
                    </w:rPr>
                  </w:pPr>
                  <w:r>
                    <w:rPr>
                      <w:rFonts w:hint="eastAsia"/>
                      <w:color w:val="auto"/>
                      <w:szCs w:val="21"/>
                      <w:lang w:val="en-US" w:eastAsia="zh-CN"/>
                    </w:rPr>
                    <w:t>53</w:t>
                  </w:r>
                </w:p>
              </w:tc>
              <w:tc>
                <w:tcPr>
                  <w:tcW w:w="953" w:type="dxa"/>
                  <w:tcBorders>
                    <w:tl2br w:val="nil"/>
                    <w:tr2bl w:val="nil"/>
                  </w:tcBorders>
                  <w:vAlign w:val="center"/>
                </w:tcPr>
                <w:p>
                  <w:pPr>
                    <w:autoSpaceDE w:val="0"/>
                    <w:autoSpaceDN w:val="0"/>
                    <w:jc w:val="center"/>
                    <w:rPr>
                      <w:bCs/>
                      <w:color w:val="auto"/>
                      <w:szCs w:val="21"/>
                    </w:rPr>
                  </w:pPr>
                  <w:r>
                    <w:rPr>
                      <w:bCs/>
                      <w:color w:val="auto"/>
                      <w:szCs w:val="21"/>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24" w:hRule="atLeast"/>
                <w:tblHeader/>
                <w:jc w:val="center"/>
              </w:trPr>
              <w:tc>
                <w:tcPr>
                  <w:tcW w:w="967" w:type="dxa"/>
                  <w:vMerge w:val="continue"/>
                  <w:tcBorders>
                    <w:tl2br w:val="nil"/>
                    <w:tr2bl w:val="nil"/>
                  </w:tcBorders>
                  <w:vAlign w:val="center"/>
                </w:tcPr>
                <w:p>
                  <w:pPr>
                    <w:jc w:val="center"/>
                    <w:rPr>
                      <w:bCs/>
                      <w:color w:val="auto"/>
                      <w:szCs w:val="21"/>
                    </w:rPr>
                  </w:pPr>
                </w:p>
              </w:tc>
              <w:tc>
                <w:tcPr>
                  <w:tcW w:w="1354" w:type="dxa"/>
                  <w:tcBorders>
                    <w:tl2br w:val="nil"/>
                    <w:tr2bl w:val="nil"/>
                  </w:tcBorders>
                  <w:vAlign w:val="center"/>
                </w:tcPr>
                <w:p>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G2</w:t>
                  </w:r>
                </w:p>
              </w:tc>
              <w:tc>
                <w:tcPr>
                  <w:tcW w:w="1529" w:type="dxa"/>
                  <w:tcBorders>
                    <w:tl2br w:val="nil"/>
                    <w:tr2bl w:val="nil"/>
                  </w:tcBorders>
                  <w:vAlign w:val="center"/>
                </w:tcPr>
                <w:p>
                  <w:pPr>
                    <w:adjustRightInd w:val="0"/>
                    <w:snapToGrid w:val="0"/>
                    <w:jc w:val="center"/>
                    <w:rPr>
                      <w:rFonts w:hint="eastAsia" w:ascii="Times New Roman" w:cs="Times New Roman"/>
                      <w:bCs/>
                      <w:color w:val="auto"/>
                      <w:sz w:val="21"/>
                      <w:szCs w:val="21"/>
                    </w:rPr>
                  </w:pPr>
                  <w:r>
                    <w:rPr>
                      <w:rFonts w:hint="eastAsia"/>
                      <w:bCs/>
                      <w:color w:val="auto"/>
                      <w:szCs w:val="21"/>
                      <w:lang w:val="en-US" w:eastAsia="zh-CN"/>
                    </w:rPr>
                    <w:t>PM</w:t>
                  </w:r>
                  <w:r>
                    <w:rPr>
                      <w:rFonts w:hint="eastAsia"/>
                      <w:bCs/>
                      <w:color w:val="auto"/>
                      <w:szCs w:val="21"/>
                      <w:vertAlign w:val="subscript"/>
                      <w:lang w:val="en-US" w:eastAsia="zh-CN"/>
                    </w:rPr>
                    <w:t>10</w:t>
                  </w:r>
                </w:p>
              </w:tc>
              <w:tc>
                <w:tcPr>
                  <w:tcW w:w="1241" w:type="dxa"/>
                  <w:tcBorders>
                    <w:tl2br w:val="nil"/>
                    <w:tr2bl w:val="nil"/>
                  </w:tcBorders>
                  <w:vAlign w:val="center"/>
                </w:tcPr>
                <w:p>
                  <w:pPr>
                    <w:autoSpaceDE w:val="0"/>
                    <w:autoSpaceDN w:val="0"/>
                    <w:jc w:val="center"/>
                    <w:rPr>
                      <w:rFonts w:hint="default" w:ascii="Times New Roman" w:eastAsia="宋体"/>
                      <w:bCs/>
                      <w:color w:val="auto"/>
                      <w:position w:val="-6"/>
                      <w:szCs w:val="21"/>
                      <w:shd w:val="clear" w:color="auto" w:fill="FFFFFF"/>
                      <w:lang w:val="en-US" w:eastAsia="zh-CN"/>
                    </w:rPr>
                  </w:pPr>
                  <w:r>
                    <w:rPr>
                      <w:rFonts w:hint="eastAsia"/>
                      <w:bCs/>
                      <w:color w:val="auto"/>
                      <w:position w:val="-6"/>
                      <w:szCs w:val="21"/>
                      <w:shd w:val="clear" w:color="auto" w:fill="FFFFFF"/>
                      <w:lang w:val="en-US" w:eastAsia="zh-CN"/>
                    </w:rPr>
                    <w:t>0.01</w:t>
                  </w:r>
                </w:p>
              </w:tc>
              <w:tc>
                <w:tcPr>
                  <w:tcW w:w="1260" w:type="dxa"/>
                  <w:tcBorders>
                    <w:tl2br w:val="nil"/>
                    <w:tr2bl w:val="nil"/>
                  </w:tcBorders>
                  <w:vAlign w:val="center"/>
                </w:tcPr>
                <w:p>
                  <w:pPr>
                    <w:autoSpaceDE w:val="0"/>
                    <w:autoSpaceDN w:val="0"/>
                    <w:jc w:val="center"/>
                    <w:rPr>
                      <w:rFonts w:hint="eastAsia" w:ascii="Times New Roman" w:eastAsia="宋体"/>
                      <w:bCs/>
                      <w:color w:val="auto"/>
                      <w:kern w:val="0"/>
                      <w:szCs w:val="21"/>
                      <w:lang w:val="en-US" w:eastAsia="zh-CN"/>
                    </w:rPr>
                  </w:pPr>
                  <w:r>
                    <w:rPr>
                      <w:rFonts w:hint="eastAsia"/>
                      <w:bCs/>
                      <w:color w:val="auto"/>
                      <w:kern w:val="0"/>
                      <w:szCs w:val="21"/>
                      <w:lang w:val="en-US" w:eastAsia="zh-CN"/>
                    </w:rPr>
                    <w:t>5.42</w:t>
                  </w:r>
                  <w:r>
                    <w:rPr>
                      <w:rFonts w:hint="eastAsia" w:ascii="Times New Roman" w:eastAsia="宋体"/>
                      <w:bCs/>
                      <w:color w:val="auto"/>
                      <w:kern w:val="0"/>
                      <w:szCs w:val="21"/>
                      <w:lang w:val="en-US" w:eastAsia="zh-CN"/>
                    </w:rPr>
                    <w:t>E-05</w:t>
                  </w:r>
                </w:p>
              </w:tc>
              <w:tc>
                <w:tcPr>
                  <w:tcW w:w="860" w:type="dxa"/>
                  <w:tcBorders>
                    <w:right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ascii="Times New Roman" w:eastAsia="宋体"/>
                      <w:color w:val="auto"/>
                      <w:szCs w:val="21"/>
                      <w:lang w:val="en-US" w:eastAsia="zh-CN"/>
                    </w:rPr>
                  </w:pPr>
                  <w:r>
                    <w:rPr>
                      <w:rFonts w:hint="eastAsia"/>
                      <w:color w:val="auto"/>
                      <w:szCs w:val="21"/>
                      <w:lang w:val="en-US" w:eastAsia="zh-CN"/>
                    </w:rPr>
                    <w:t>53</w:t>
                  </w:r>
                </w:p>
              </w:tc>
              <w:tc>
                <w:tcPr>
                  <w:tcW w:w="953" w:type="dxa"/>
                  <w:tcBorders>
                    <w:tl2br w:val="nil"/>
                    <w:tr2bl w:val="nil"/>
                  </w:tcBorders>
                  <w:vAlign w:val="center"/>
                </w:tcPr>
                <w:p>
                  <w:pPr>
                    <w:autoSpaceDE w:val="0"/>
                    <w:autoSpaceDN w:val="0"/>
                    <w:jc w:val="center"/>
                    <w:rPr>
                      <w:bCs/>
                      <w:color w:val="auto"/>
                      <w:szCs w:val="21"/>
                    </w:rPr>
                  </w:pPr>
                  <w:r>
                    <w:rPr>
                      <w:bCs/>
                      <w:color w:val="auto"/>
                      <w:szCs w:val="21"/>
                    </w:rPr>
                    <w:t>三级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02" w:hRule="atLeast"/>
                <w:jc w:val="center"/>
              </w:trPr>
              <w:tc>
                <w:tcPr>
                  <w:tcW w:w="967" w:type="dxa"/>
                  <w:vMerge w:val="restart"/>
                  <w:tcBorders>
                    <w:tl2br w:val="nil"/>
                    <w:tr2bl w:val="nil"/>
                  </w:tcBorders>
                  <w:vAlign w:val="center"/>
                </w:tcPr>
                <w:p>
                  <w:pPr>
                    <w:jc w:val="center"/>
                    <w:rPr>
                      <w:color w:val="auto"/>
                      <w:szCs w:val="21"/>
                    </w:rPr>
                  </w:pPr>
                  <w:r>
                    <w:rPr>
                      <w:color w:val="auto"/>
                      <w:szCs w:val="21"/>
                    </w:rPr>
                    <w:t>无组织</w:t>
                  </w:r>
                </w:p>
              </w:tc>
              <w:tc>
                <w:tcPr>
                  <w:tcW w:w="1354" w:type="dxa"/>
                  <w:vMerge w:val="restart"/>
                  <w:tcBorders>
                    <w:tl2br w:val="nil"/>
                    <w:tr2bl w:val="nil"/>
                  </w:tcBorders>
                  <w:vAlign w:val="center"/>
                </w:tcPr>
                <w:p>
                  <w:pPr>
                    <w:widowControl/>
                    <w:adjustRightInd w:val="0"/>
                    <w:snapToGrid w:val="0"/>
                    <w:jc w:val="center"/>
                    <w:rPr>
                      <w:bCs/>
                      <w:color w:val="auto"/>
                      <w:kern w:val="0"/>
                      <w:szCs w:val="21"/>
                    </w:rPr>
                  </w:pPr>
                  <w:r>
                    <w:rPr>
                      <w:color w:val="auto"/>
                      <w:szCs w:val="21"/>
                    </w:rPr>
                    <w:t>生产车间</w:t>
                  </w:r>
                </w:p>
              </w:tc>
              <w:tc>
                <w:tcPr>
                  <w:tcW w:w="1529" w:type="dxa"/>
                  <w:tcBorders>
                    <w:tl2br w:val="nil"/>
                    <w:tr2bl w:val="nil"/>
                  </w:tcBorders>
                  <w:vAlign w:val="center"/>
                </w:tcPr>
                <w:p>
                  <w:pPr>
                    <w:pStyle w:val="47"/>
                    <w:jc w:val="center"/>
                    <w:rPr>
                      <w:color w:val="auto"/>
                      <w:kern w:val="24"/>
                      <w:szCs w:val="21"/>
                    </w:rPr>
                  </w:pPr>
                  <w:r>
                    <w:rPr>
                      <w:rFonts w:hint="eastAsia" w:ascii="Times New Roman" w:cs="Times New Roman"/>
                      <w:color w:val="auto"/>
                      <w:sz w:val="21"/>
                      <w:szCs w:val="21"/>
                    </w:rPr>
                    <w:t>TSP</w:t>
                  </w:r>
                </w:p>
              </w:tc>
              <w:tc>
                <w:tcPr>
                  <w:tcW w:w="124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2.69</w:t>
                  </w:r>
                </w:p>
              </w:tc>
              <w:tc>
                <w:tcPr>
                  <w:tcW w:w="1260" w:type="dxa"/>
                  <w:tcBorders>
                    <w:tl2br w:val="nil"/>
                    <w:tr2bl w:val="nil"/>
                  </w:tcBorders>
                  <w:vAlign w:val="center"/>
                </w:tcPr>
                <w:p>
                  <w:pPr>
                    <w:jc w:val="center"/>
                    <w:rPr>
                      <w:rFonts w:hint="default" w:eastAsia="宋体"/>
                      <w:color w:val="auto"/>
                      <w:szCs w:val="21"/>
                      <w:lang w:val="en-US" w:eastAsia="zh-CN"/>
                    </w:rPr>
                  </w:pPr>
                  <w:r>
                    <w:rPr>
                      <w:rFonts w:hint="eastAsia"/>
                      <w:bCs/>
                      <w:color w:val="auto"/>
                      <w:kern w:val="0"/>
                      <w:szCs w:val="21"/>
                      <w:lang w:val="en-US" w:eastAsia="zh-CN"/>
                    </w:rPr>
                    <w:t>2.42E-02</w:t>
                  </w:r>
                </w:p>
              </w:tc>
              <w:tc>
                <w:tcPr>
                  <w:tcW w:w="860" w:type="dxa"/>
                  <w:tcBorders>
                    <w:right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50</w:t>
                  </w:r>
                </w:p>
              </w:tc>
              <w:tc>
                <w:tcPr>
                  <w:tcW w:w="953" w:type="dxa"/>
                  <w:tcBorders>
                    <w:tl2br w:val="nil"/>
                    <w:tr2bl w:val="nil"/>
                  </w:tcBorders>
                  <w:vAlign w:val="center"/>
                </w:tcPr>
                <w:p>
                  <w:pPr>
                    <w:adjustRightInd w:val="0"/>
                    <w:snapToGrid w:val="0"/>
                    <w:jc w:val="center"/>
                    <w:rPr>
                      <w:color w:val="auto"/>
                      <w:szCs w:val="21"/>
                    </w:rPr>
                  </w:pPr>
                  <w:r>
                    <w:rPr>
                      <w:rFonts w:hint="eastAsia"/>
                      <w:bCs/>
                      <w:color w:val="auto"/>
                      <w:szCs w:val="21"/>
                    </w:rPr>
                    <w:t>二</w:t>
                  </w:r>
                  <w:r>
                    <w:rPr>
                      <w:bCs/>
                      <w:color w:val="auto"/>
                      <w:szCs w:val="21"/>
                    </w:rPr>
                    <w:t>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02" w:hRule="atLeast"/>
                <w:jc w:val="center"/>
              </w:trPr>
              <w:tc>
                <w:tcPr>
                  <w:tcW w:w="967" w:type="dxa"/>
                  <w:vMerge w:val="continue"/>
                  <w:tcBorders>
                    <w:tl2br w:val="nil"/>
                    <w:tr2bl w:val="nil"/>
                  </w:tcBorders>
                  <w:vAlign w:val="center"/>
                </w:tcPr>
                <w:p>
                  <w:pPr>
                    <w:jc w:val="center"/>
                    <w:rPr>
                      <w:color w:val="auto"/>
                      <w:szCs w:val="21"/>
                    </w:rPr>
                  </w:pPr>
                </w:p>
              </w:tc>
              <w:tc>
                <w:tcPr>
                  <w:tcW w:w="1354" w:type="dxa"/>
                  <w:vMerge w:val="continue"/>
                  <w:tcBorders>
                    <w:tl2br w:val="nil"/>
                    <w:tr2bl w:val="nil"/>
                  </w:tcBorders>
                  <w:vAlign w:val="center"/>
                </w:tcPr>
                <w:p>
                  <w:pPr>
                    <w:widowControl/>
                    <w:adjustRightInd w:val="0"/>
                    <w:snapToGrid w:val="0"/>
                    <w:jc w:val="center"/>
                    <w:rPr>
                      <w:color w:val="auto"/>
                      <w:szCs w:val="21"/>
                    </w:rPr>
                  </w:pPr>
                </w:p>
              </w:tc>
              <w:tc>
                <w:tcPr>
                  <w:tcW w:w="1529" w:type="dxa"/>
                  <w:tcBorders>
                    <w:tl2br w:val="nil"/>
                    <w:tr2bl w:val="nil"/>
                  </w:tcBorders>
                  <w:vAlign w:val="center"/>
                </w:tcPr>
                <w:p>
                  <w:pPr>
                    <w:pStyle w:val="47"/>
                    <w:jc w:val="center"/>
                    <w:rPr>
                      <w:color w:val="auto"/>
                      <w:szCs w:val="21"/>
                    </w:rPr>
                  </w:pPr>
                  <w:r>
                    <w:rPr>
                      <w:rFonts w:hint="eastAsia" w:hAnsi="宋体" w:cs="Times New Roman"/>
                      <w:bCs/>
                      <w:color w:val="auto"/>
                      <w:kern w:val="0"/>
                      <w:sz w:val="21"/>
                      <w:szCs w:val="22"/>
                      <w:highlight w:val="none"/>
                      <w:lang w:val="en-US" w:eastAsia="zh-CN" w:bidi="zh-CN"/>
                    </w:rPr>
                    <w:t>非甲烷总烃</w:t>
                  </w:r>
                </w:p>
              </w:tc>
              <w:tc>
                <w:tcPr>
                  <w:tcW w:w="1241" w:type="dxa"/>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0.05</w:t>
                  </w:r>
                </w:p>
              </w:tc>
              <w:tc>
                <w:tcPr>
                  <w:tcW w:w="1260" w:type="dxa"/>
                  <w:tcBorders>
                    <w:tl2br w:val="nil"/>
                    <w:tr2bl w:val="nil"/>
                  </w:tcBorders>
                  <w:vAlign w:val="center"/>
                </w:tcPr>
                <w:p>
                  <w:pPr>
                    <w:jc w:val="center"/>
                    <w:rPr>
                      <w:rFonts w:hint="eastAsia" w:eastAsia="宋体"/>
                      <w:color w:val="auto"/>
                      <w:szCs w:val="21"/>
                      <w:lang w:val="en-US" w:eastAsia="zh-CN"/>
                    </w:rPr>
                  </w:pPr>
                  <w:r>
                    <w:rPr>
                      <w:rFonts w:hint="eastAsia"/>
                      <w:color w:val="auto"/>
                      <w:lang w:val="en-US" w:eastAsia="zh-CN"/>
                    </w:rPr>
                    <w:t>1.05</w:t>
                  </w:r>
                  <w:r>
                    <w:rPr>
                      <w:rFonts w:hint="eastAsia"/>
                      <w:color w:val="auto"/>
                    </w:rPr>
                    <w:t>E-0</w:t>
                  </w:r>
                  <w:r>
                    <w:rPr>
                      <w:rFonts w:hint="eastAsia"/>
                      <w:color w:val="auto"/>
                      <w:lang w:val="en-US" w:eastAsia="zh-CN"/>
                    </w:rPr>
                    <w:t>3</w:t>
                  </w:r>
                </w:p>
              </w:tc>
              <w:tc>
                <w:tcPr>
                  <w:tcW w:w="860" w:type="dxa"/>
                  <w:tcBorders>
                    <w:right w:val="single" w:color="auto" w:sz="4" w:space="0"/>
                    <w:tl2br w:val="nil"/>
                    <w:tr2bl w:val="nil"/>
                  </w:tcBorders>
                  <w:vAlign w:val="center"/>
                </w:tcPr>
                <w:p>
                  <w:pPr>
                    <w:adjustRightInd w:val="0"/>
                    <w:snapToGrid w:val="0"/>
                    <w:jc w:val="center"/>
                    <w:rPr>
                      <w:color w:val="auto"/>
                      <w:szCs w:val="21"/>
                    </w:rPr>
                  </w:pPr>
                  <w:r>
                    <w:rPr>
                      <w:color w:val="auto"/>
                      <w:szCs w:val="21"/>
                    </w:rPr>
                    <w:t>/</w:t>
                  </w:r>
                </w:p>
              </w:tc>
              <w:tc>
                <w:tcPr>
                  <w:tcW w:w="925" w:type="dxa"/>
                  <w:tcBorders>
                    <w:left w:val="single" w:color="auto" w:sz="4" w:space="0"/>
                    <w:tl2br w:val="nil"/>
                    <w:tr2bl w:val="nil"/>
                  </w:tcBorders>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50</w:t>
                  </w:r>
                </w:p>
              </w:tc>
              <w:tc>
                <w:tcPr>
                  <w:tcW w:w="953" w:type="dxa"/>
                  <w:tcBorders>
                    <w:tl2br w:val="nil"/>
                    <w:tr2bl w:val="nil"/>
                  </w:tcBorders>
                  <w:vAlign w:val="center"/>
                </w:tcPr>
                <w:p>
                  <w:pPr>
                    <w:adjustRightInd w:val="0"/>
                    <w:snapToGrid w:val="0"/>
                    <w:jc w:val="center"/>
                    <w:rPr>
                      <w:bCs/>
                      <w:color w:val="auto"/>
                      <w:szCs w:val="21"/>
                    </w:rPr>
                  </w:pPr>
                  <w:r>
                    <w:rPr>
                      <w:rFonts w:hint="eastAsia" w:eastAsia="宋体"/>
                      <w:bCs/>
                      <w:color w:val="auto"/>
                      <w:szCs w:val="21"/>
                      <w:lang w:eastAsia="zh-CN"/>
                    </w:rPr>
                    <w:t>三</w:t>
                  </w:r>
                  <w:r>
                    <w:rPr>
                      <w:bCs/>
                      <w:color w:val="auto"/>
                      <w:szCs w:val="21"/>
                    </w:rPr>
                    <w:t>级</w:t>
                  </w:r>
                </w:p>
              </w:tc>
            </w:tr>
          </w:tbl>
          <w:p>
            <w:pPr>
              <w:spacing w:line="336" w:lineRule="auto"/>
              <w:ind w:firstLine="480" w:firstLineChars="200"/>
              <w:jc w:val="left"/>
              <w:rPr>
                <w:color w:val="auto"/>
                <w:sz w:val="24"/>
              </w:rPr>
            </w:pPr>
            <w:r>
              <w:rPr>
                <w:color w:val="auto"/>
                <w:sz w:val="24"/>
              </w:rPr>
              <w:t>由上表可知，项目主要大气污染源的最大浓度占标率为</w:t>
            </w:r>
            <w:r>
              <w:rPr>
                <w:rFonts w:hint="eastAsia"/>
                <w:color w:val="auto"/>
                <w:sz w:val="24"/>
                <w:lang w:val="en-US" w:eastAsia="zh-CN"/>
              </w:rPr>
              <w:t>2.69</w:t>
            </w:r>
            <w:r>
              <w:rPr>
                <w:color w:val="auto"/>
                <w:sz w:val="24"/>
              </w:rPr>
              <w:t>%。按《环境影响评价技术导则—大气环境》（HJ2.2-2018）中的有关规定，确定项目大气环境影响评价工作等级为</w:t>
            </w:r>
            <w:r>
              <w:rPr>
                <w:rFonts w:hint="eastAsia" w:eastAsia="宋体"/>
                <w:color w:val="auto"/>
                <w:sz w:val="24"/>
                <w:lang w:eastAsia="zh-CN"/>
              </w:rPr>
              <w:t>二</w:t>
            </w:r>
            <w:r>
              <w:rPr>
                <w:color w:val="auto"/>
                <w:sz w:val="24"/>
              </w:rPr>
              <w:t>级。</w:t>
            </w:r>
            <w:r>
              <w:rPr>
                <w:rFonts w:hint="eastAsia" w:eastAsia="宋体"/>
                <w:color w:val="auto"/>
                <w:sz w:val="24"/>
                <w:lang w:eastAsia="zh-CN"/>
              </w:rPr>
              <w:t>二</w:t>
            </w:r>
            <w:r>
              <w:rPr>
                <w:rFonts w:hint="eastAsia"/>
                <w:color w:val="auto"/>
                <w:sz w:val="24"/>
              </w:rPr>
              <w:t>级</w:t>
            </w:r>
            <w:r>
              <w:rPr>
                <w:color w:val="auto"/>
                <w:sz w:val="24"/>
              </w:rPr>
              <w:t>评价项目不进行进一步预测与评价。经核算，项目大气污染源排放情况如下：</w:t>
            </w:r>
          </w:p>
          <w:p>
            <w:pPr>
              <w:pStyle w:val="139"/>
              <w:numPr>
                <w:ilvl w:val="0"/>
                <w:numId w:val="5"/>
              </w:numPr>
              <w:tabs>
                <w:tab w:val="left" w:pos="420"/>
              </w:tabs>
              <w:spacing w:line="336" w:lineRule="auto"/>
              <w:ind w:left="0" w:firstLine="471"/>
              <w:rPr>
                <w:rFonts w:eastAsia="宋体" w:cs="Times New Roman"/>
                <w:b/>
                <w:color w:val="auto"/>
                <w:sz w:val="21"/>
                <w:szCs w:val="21"/>
              </w:rPr>
            </w:pPr>
            <w:r>
              <w:rPr>
                <w:rFonts w:eastAsia="宋体" w:cs="Times New Roman"/>
                <w:b/>
                <w:color w:val="auto"/>
                <w:sz w:val="21"/>
                <w:szCs w:val="21"/>
              </w:rPr>
              <w:t>大气污染物有组织排放量核算表</w:t>
            </w:r>
          </w:p>
          <w:tbl>
            <w:tblPr>
              <w:tblStyle w:val="41"/>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1329"/>
              <w:gridCol w:w="1513"/>
              <w:gridCol w:w="1513"/>
              <w:gridCol w:w="1511"/>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801" w:type="dxa"/>
                  <w:vAlign w:val="center"/>
                </w:tcPr>
                <w:p>
                  <w:pPr>
                    <w:jc w:val="center"/>
                    <w:rPr>
                      <w:b/>
                      <w:bCs/>
                      <w:color w:val="auto"/>
                      <w:szCs w:val="21"/>
                    </w:rPr>
                  </w:pPr>
                  <w:r>
                    <w:rPr>
                      <w:b/>
                      <w:bCs/>
                      <w:color w:val="auto"/>
                      <w:szCs w:val="21"/>
                    </w:rPr>
                    <w:t>序号</w:t>
                  </w:r>
                </w:p>
              </w:tc>
              <w:tc>
                <w:tcPr>
                  <w:tcW w:w="1329" w:type="dxa"/>
                  <w:vAlign w:val="center"/>
                </w:tcPr>
                <w:p>
                  <w:pPr>
                    <w:jc w:val="center"/>
                    <w:rPr>
                      <w:b/>
                      <w:bCs/>
                      <w:color w:val="auto"/>
                      <w:szCs w:val="21"/>
                    </w:rPr>
                  </w:pPr>
                  <w:r>
                    <w:rPr>
                      <w:b/>
                      <w:bCs/>
                      <w:color w:val="auto"/>
                      <w:szCs w:val="21"/>
                    </w:rPr>
                    <w:t>排放口编号</w:t>
                  </w:r>
                </w:p>
              </w:tc>
              <w:tc>
                <w:tcPr>
                  <w:tcW w:w="1513" w:type="dxa"/>
                  <w:vAlign w:val="center"/>
                </w:tcPr>
                <w:p>
                  <w:pPr>
                    <w:jc w:val="center"/>
                    <w:rPr>
                      <w:b/>
                      <w:bCs/>
                      <w:color w:val="auto"/>
                      <w:szCs w:val="21"/>
                    </w:rPr>
                  </w:pPr>
                  <w:r>
                    <w:rPr>
                      <w:b/>
                      <w:bCs/>
                      <w:color w:val="auto"/>
                      <w:szCs w:val="21"/>
                    </w:rPr>
                    <w:t>污染物</w:t>
                  </w:r>
                </w:p>
              </w:tc>
              <w:tc>
                <w:tcPr>
                  <w:tcW w:w="1513" w:type="dxa"/>
                  <w:vAlign w:val="center"/>
                </w:tcPr>
                <w:p>
                  <w:pPr>
                    <w:jc w:val="center"/>
                    <w:rPr>
                      <w:b/>
                      <w:bCs/>
                      <w:color w:val="auto"/>
                      <w:szCs w:val="21"/>
                    </w:rPr>
                  </w:pPr>
                  <w:r>
                    <w:rPr>
                      <w:b/>
                      <w:bCs/>
                      <w:color w:val="auto"/>
                      <w:szCs w:val="21"/>
                    </w:rPr>
                    <w:t>核算排放浓度</w:t>
                  </w:r>
                </w:p>
                <w:p>
                  <w:pPr>
                    <w:jc w:val="center"/>
                    <w:rPr>
                      <w:b/>
                      <w:bCs/>
                      <w:color w:val="auto"/>
                      <w:szCs w:val="21"/>
                    </w:rPr>
                  </w:pPr>
                  <w:r>
                    <w:rPr>
                      <w:b/>
                      <w:bCs/>
                      <w:color w:val="auto"/>
                      <w:szCs w:val="21"/>
                    </w:rPr>
                    <w:t>（mg/m³）</w:t>
                  </w:r>
                </w:p>
              </w:tc>
              <w:tc>
                <w:tcPr>
                  <w:tcW w:w="1511" w:type="dxa"/>
                  <w:vAlign w:val="center"/>
                </w:tcPr>
                <w:p>
                  <w:pPr>
                    <w:jc w:val="center"/>
                    <w:rPr>
                      <w:b/>
                      <w:bCs/>
                      <w:color w:val="auto"/>
                      <w:szCs w:val="21"/>
                    </w:rPr>
                  </w:pPr>
                  <w:r>
                    <w:rPr>
                      <w:b/>
                      <w:bCs/>
                      <w:color w:val="auto"/>
                      <w:szCs w:val="21"/>
                    </w:rPr>
                    <w:t>核算排放速率</w:t>
                  </w:r>
                </w:p>
                <w:p>
                  <w:pPr>
                    <w:jc w:val="center"/>
                    <w:rPr>
                      <w:b/>
                      <w:bCs/>
                      <w:color w:val="auto"/>
                      <w:szCs w:val="21"/>
                    </w:rPr>
                  </w:pPr>
                  <w:r>
                    <w:rPr>
                      <w:b/>
                      <w:bCs/>
                      <w:color w:val="auto"/>
                      <w:szCs w:val="21"/>
                    </w:rPr>
                    <w:t>（kg/h）</w:t>
                  </w:r>
                </w:p>
              </w:tc>
              <w:tc>
                <w:tcPr>
                  <w:tcW w:w="1513" w:type="dxa"/>
                  <w:vAlign w:val="center"/>
                </w:tcPr>
                <w:p>
                  <w:pPr>
                    <w:jc w:val="center"/>
                    <w:rPr>
                      <w:b/>
                      <w:bCs/>
                      <w:color w:val="auto"/>
                      <w:szCs w:val="21"/>
                    </w:rPr>
                  </w:pPr>
                  <w:r>
                    <w:rPr>
                      <w:b/>
                      <w:bCs/>
                      <w:color w:val="auto"/>
                      <w:szCs w:val="21"/>
                    </w:rPr>
                    <w:t>核算年排放量</w:t>
                  </w:r>
                </w:p>
                <w:p>
                  <w:pPr>
                    <w:jc w:val="center"/>
                    <w:rPr>
                      <w:b/>
                      <w:bCs/>
                      <w:color w:val="auto"/>
                      <w:szCs w:val="21"/>
                    </w:rPr>
                  </w:pPr>
                  <w:r>
                    <w:rPr>
                      <w:b/>
                      <w:bCs/>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9180" w:type="dxa"/>
                  <w:gridSpan w:val="6"/>
                  <w:vAlign w:val="center"/>
                </w:tcPr>
                <w:p>
                  <w:pPr>
                    <w:jc w:val="center"/>
                    <w:rPr>
                      <w:color w:val="auto"/>
                      <w:szCs w:val="21"/>
                    </w:rPr>
                  </w:pPr>
                  <w:r>
                    <w:rPr>
                      <w:color w:val="auto"/>
                      <w:szCs w:val="21"/>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801" w:type="dxa"/>
                  <w:vMerge w:val="restart"/>
                  <w:vAlign w:val="center"/>
                </w:tcPr>
                <w:p>
                  <w:pPr>
                    <w:jc w:val="center"/>
                    <w:rPr>
                      <w:color w:val="auto"/>
                      <w:szCs w:val="21"/>
                    </w:rPr>
                  </w:pPr>
                  <w:r>
                    <w:rPr>
                      <w:color w:val="auto"/>
                      <w:szCs w:val="21"/>
                    </w:rPr>
                    <w:t>1</w:t>
                  </w:r>
                </w:p>
              </w:tc>
              <w:tc>
                <w:tcPr>
                  <w:tcW w:w="1329" w:type="dxa"/>
                  <w:vMerge w:val="restart"/>
                  <w:vAlign w:val="center"/>
                </w:tcPr>
                <w:p>
                  <w:pPr>
                    <w:widowControl/>
                    <w:adjustRightInd w:val="0"/>
                    <w:snapToGrid w:val="0"/>
                    <w:jc w:val="center"/>
                    <w:rPr>
                      <w:color w:val="auto"/>
                      <w:szCs w:val="21"/>
                    </w:rPr>
                  </w:pPr>
                  <w:r>
                    <w:rPr>
                      <w:color w:val="auto"/>
                      <w:szCs w:val="21"/>
                    </w:rPr>
                    <w:t>G1</w:t>
                  </w:r>
                </w:p>
              </w:tc>
              <w:tc>
                <w:tcPr>
                  <w:tcW w:w="1513" w:type="dxa"/>
                  <w:vAlign w:val="center"/>
                </w:tcPr>
                <w:p>
                  <w:pPr>
                    <w:adjustRightInd w:val="0"/>
                    <w:snapToGrid w:val="0"/>
                    <w:jc w:val="center"/>
                    <w:rPr>
                      <w:color w:val="auto"/>
                      <w:szCs w:val="21"/>
                    </w:rPr>
                  </w:pPr>
                  <w:r>
                    <w:rPr>
                      <w:rFonts w:hint="eastAsia"/>
                      <w:bCs/>
                      <w:color w:val="auto"/>
                      <w:szCs w:val="21"/>
                      <w:lang w:val="en-US" w:eastAsia="zh-CN"/>
                    </w:rPr>
                    <w:t>PM</w:t>
                  </w:r>
                  <w:r>
                    <w:rPr>
                      <w:rFonts w:hint="eastAsia"/>
                      <w:bCs/>
                      <w:color w:val="auto"/>
                      <w:szCs w:val="21"/>
                      <w:vertAlign w:val="subscript"/>
                      <w:lang w:val="en-US" w:eastAsia="zh-CN"/>
                    </w:rPr>
                    <w:t>10</w:t>
                  </w:r>
                </w:p>
              </w:tc>
              <w:tc>
                <w:tcPr>
                  <w:tcW w:w="1513" w:type="dxa"/>
                  <w:vAlign w:val="center"/>
                </w:tcPr>
                <w:p>
                  <w:pPr>
                    <w:jc w:val="center"/>
                    <w:rPr>
                      <w:color w:val="auto"/>
                      <w:szCs w:val="21"/>
                    </w:rPr>
                  </w:pPr>
                  <w:r>
                    <w:rPr>
                      <w:rFonts w:hint="eastAsia"/>
                      <w:color w:val="auto"/>
                      <w:szCs w:val="21"/>
                      <w:lang w:val="en-US" w:eastAsia="zh-CN"/>
                    </w:rPr>
                    <w:t>0.177</w:t>
                  </w:r>
                </w:p>
              </w:tc>
              <w:tc>
                <w:tcPr>
                  <w:tcW w:w="1511" w:type="dxa"/>
                  <w:vAlign w:val="center"/>
                </w:tcPr>
                <w:p>
                  <w:pPr>
                    <w:jc w:val="center"/>
                    <w:rPr>
                      <w:color w:val="auto"/>
                      <w:szCs w:val="21"/>
                    </w:rPr>
                  </w:pPr>
                  <w:r>
                    <w:rPr>
                      <w:rFonts w:hint="eastAsia"/>
                      <w:color w:val="auto"/>
                      <w:szCs w:val="21"/>
                      <w:lang w:val="en-US" w:eastAsia="zh-CN"/>
                    </w:rPr>
                    <w:t>0.004</w:t>
                  </w:r>
                </w:p>
              </w:tc>
              <w:tc>
                <w:tcPr>
                  <w:tcW w:w="1513" w:type="dxa"/>
                  <w:vAlign w:val="center"/>
                </w:tcPr>
                <w:p>
                  <w:pPr>
                    <w:jc w:val="center"/>
                    <w:rPr>
                      <w:color w:val="auto"/>
                      <w:szCs w:val="21"/>
                    </w:rPr>
                  </w:pPr>
                  <w:r>
                    <w:rPr>
                      <w:rFonts w:hint="eastAsia"/>
                      <w:color w:val="auto"/>
                      <w:szCs w:val="21"/>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801" w:type="dxa"/>
                  <w:vMerge w:val="continue"/>
                  <w:vAlign w:val="center"/>
                </w:tcPr>
                <w:p>
                  <w:pPr>
                    <w:jc w:val="center"/>
                    <w:rPr>
                      <w:color w:val="auto"/>
                      <w:szCs w:val="21"/>
                    </w:rPr>
                  </w:pPr>
                </w:p>
              </w:tc>
              <w:tc>
                <w:tcPr>
                  <w:tcW w:w="1329" w:type="dxa"/>
                  <w:vMerge w:val="continue"/>
                  <w:vAlign w:val="center"/>
                </w:tcPr>
                <w:p>
                  <w:pPr>
                    <w:widowControl/>
                    <w:adjustRightInd w:val="0"/>
                    <w:snapToGrid w:val="0"/>
                    <w:jc w:val="center"/>
                    <w:rPr>
                      <w:color w:val="auto"/>
                      <w:szCs w:val="21"/>
                    </w:rPr>
                  </w:pPr>
                </w:p>
              </w:tc>
              <w:tc>
                <w:tcPr>
                  <w:tcW w:w="1513" w:type="dxa"/>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hAnsi="宋体" w:cs="Times New Roman"/>
                      <w:bCs/>
                      <w:color w:val="auto"/>
                      <w:kern w:val="0"/>
                      <w:sz w:val="21"/>
                      <w:szCs w:val="22"/>
                      <w:highlight w:val="none"/>
                      <w:lang w:val="en-US" w:eastAsia="zh-CN" w:bidi="zh-CN"/>
                    </w:rPr>
                    <w:t>非甲烷总烃</w:t>
                  </w:r>
                </w:p>
              </w:tc>
              <w:tc>
                <w:tcPr>
                  <w:tcW w:w="1513"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0.102</w:t>
                  </w:r>
                </w:p>
              </w:tc>
              <w:tc>
                <w:tcPr>
                  <w:tcW w:w="1511"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0.003</w:t>
                  </w:r>
                </w:p>
              </w:tc>
              <w:tc>
                <w:tcPr>
                  <w:tcW w:w="1513" w:type="dxa"/>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801" w:type="dxa"/>
                  <w:vAlign w:val="center"/>
                </w:tcPr>
                <w:p>
                  <w:pPr>
                    <w:jc w:val="center"/>
                    <w:rPr>
                      <w:rFonts w:hint="eastAsia" w:eastAsia="宋体"/>
                      <w:color w:val="auto"/>
                      <w:szCs w:val="21"/>
                      <w:lang w:val="en-US" w:eastAsia="zh-CN"/>
                    </w:rPr>
                  </w:pPr>
                  <w:r>
                    <w:rPr>
                      <w:rFonts w:hint="eastAsia"/>
                      <w:color w:val="auto"/>
                      <w:szCs w:val="21"/>
                      <w:lang w:val="en-US" w:eastAsia="zh-CN"/>
                    </w:rPr>
                    <w:t>2</w:t>
                  </w:r>
                </w:p>
              </w:tc>
              <w:tc>
                <w:tcPr>
                  <w:tcW w:w="1329" w:type="dxa"/>
                  <w:vAlign w:val="center"/>
                </w:tcPr>
                <w:p>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G2</w:t>
                  </w:r>
                </w:p>
              </w:tc>
              <w:tc>
                <w:tcPr>
                  <w:tcW w:w="1513" w:type="dxa"/>
                  <w:vAlign w:val="center"/>
                </w:tcPr>
                <w:p>
                  <w:pPr>
                    <w:adjustRightInd w:val="0"/>
                    <w:snapToGrid w:val="0"/>
                    <w:jc w:val="center"/>
                    <w:rPr>
                      <w:rFonts w:hint="eastAsia" w:ascii="Times New Roman" w:cs="Times New Roman"/>
                      <w:bCs/>
                      <w:color w:val="auto"/>
                      <w:sz w:val="21"/>
                      <w:szCs w:val="21"/>
                    </w:rPr>
                  </w:pPr>
                  <w:r>
                    <w:rPr>
                      <w:rFonts w:hint="eastAsia"/>
                      <w:bCs/>
                      <w:color w:val="auto"/>
                      <w:szCs w:val="21"/>
                      <w:lang w:val="en-US" w:eastAsia="zh-CN"/>
                    </w:rPr>
                    <w:t>PM</w:t>
                  </w:r>
                  <w:r>
                    <w:rPr>
                      <w:rFonts w:hint="eastAsia"/>
                      <w:bCs/>
                      <w:color w:val="auto"/>
                      <w:szCs w:val="21"/>
                      <w:vertAlign w:val="subscript"/>
                      <w:lang w:val="en-US" w:eastAsia="zh-CN"/>
                    </w:rPr>
                    <w:t>10</w:t>
                  </w:r>
                </w:p>
              </w:tc>
              <w:tc>
                <w:tcPr>
                  <w:tcW w:w="1513" w:type="dxa"/>
                  <w:vAlign w:val="center"/>
                </w:tcPr>
                <w:p>
                  <w:pPr>
                    <w:jc w:val="center"/>
                    <w:rPr>
                      <w:rFonts w:hint="eastAsia" w:ascii="Times New Roman" w:eastAsia="宋体"/>
                      <w:color w:val="auto"/>
                      <w:kern w:val="0"/>
                      <w:szCs w:val="21"/>
                      <w:lang w:val="en-US" w:eastAsia="zh-CN"/>
                    </w:rPr>
                  </w:pPr>
                  <w:r>
                    <w:rPr>
                      <w:rFonts w:hint="eastAsia"/>
                      <w:color w:val="auto"/>
                      <w:szCs w:val="21"/>
                      <w:lang w:val="en-US" w:eastAsia="zh-CN"/>
                    </w:rPr>
                    <w:t>0.006</w:t>
                  </w:r>
                </w:p>
              </w:tc>
              <w:tc>
                <w:tcPr>
                  <w:tcW w:w="1511" w:type="dxa"/>
                  <w:vAlign w:val="center"/>
                </w:tcPr>
                <w:p>
                  <w:pPr>
                    <w:jc w:val="center"/>
                    <w:rPr>
                      <w:rFonts w:hint="eastAsia" w:ascii="Times New Roman" w:eastAsia="宋体"/>
                      <w:bCs/>
                      <w:color w:val="auto"/>
                      <w:szCs w:val="21"/>
                      <w:lang w:val="en-US" w:eastAsia="zh-CN"/>
                    </w:rPr>
                  </w:pPr>
                  <w:r>
                    <w:rPr>
                      <w:rFonts w:hint="eastAsia"/>
                      <w:color w:val="auto"/>
                      <w:szCs w:val="21"/>
                    </w:rPr>
                    <w:t>0.00</w:t>
                  </w:r>
                  <w:r>
                    <w:rPr>
                      <w:rFonts w:hint="eastAsia"/>
                      <w:color w:val="auto"/>
                      <w:szCs w:val="21"/>
                      <w:lang w:val="en-US" w:eastAsia="zh-CN"/>
                    </w:rPr>
                    <w:t>04</w:t>
                  </w:r>
                </w:p>
              </w:tc>
              <w:tc>
                <w:tcPr>
                  <w:tcW w:w="1513" w:type="dxa"/>
                  <w:vAlign w:val="center"/>
                </w:tcPr>
                <w:p>
                  <w:pPr>
                    <w:jc w:val="center"/>
                    <w:rPr>
                      <w:rFonts w:hint="eastAsia" w:ascii="Times New Roman" w:eastAsia="宋体"/>
                      <w:color w:val="auto"/>
                      <w:kern w:val="0"/>
                      <w:szCs w:val="21"/>
                      <w:lang w:val="en-US" w:eastAsia="zh-CN"/>
                    </w:rPr>
                  </w:pPr>
                  <w:r>
                    <w:rPr>
                      <w:rFonts w:hint="eastAsia"/>
                      <w:color w:val="auto"/>
                      <w:szCs w:val="21"/>
                      <w:lang w:val="en-US" w:eastAsia="zh-CN"/>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9180" w:type="dxa"/>
                  <w:gridSpan w:val="6"/>
                  <w:vAlign w:val="center"/>
                </w:tcPr>
                <w:p>
                  <w:pPr>
                    <w:jc w:val="center"/>
                    <w:rPr>
                      <w:color w:val="auto"/>
                      <w:szCs w:val="21"/>
                    </w:rPr>
                  </w:pPr>
                  <w:r>
                    <w:rPr>
                      <w:color w:val="auto"/>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801" w:type="dxa"/>
                  <w:vMerge w:val="restart"/>
                  <w:vAlign w:val="center"/>
                </w:tcPr>
                <w:p>
                  <w:pPr>
                    <w:jc w:val="center"/>
                    <w:rPr>
                      <w:color w:val="auto"/>
                      <w:szCs w:val="21"/>
                    </w:rPr>
                  </w:pPr>
                  <w:r>
                    <w:rPr>
                      <w:color w:val="auto"/>
                      <w:szCs w:val="21"/>
                    </w:rPr>
                    <w:t>有组织排放总计</w:t>
                  </w:r>
                </w:p>
              </w:tc>
              <w:tc>
                <w:tcPr>
                  <w:tcW w:w="5866" w:type="dxa"/>
                  <w:gridSpan w:val="4"/>
                  <w:vAlign w:val="center"/>
                </w:tcPr>
                <w:p>
                  <w:pPr>
                    <w:adjustRightInd w:val="0"/>
                    <w:snapToGrid w:val="0"/>
                    <w:jc w:val="center"/>
                    <w:rPr>
                      <w:color w:val="auto"/>
                      <w:szCs w:val="21"/>
                    </w:rPr>
                  </w:pPr>
                  <w:r>
                    <w:rPr>
                      <w:rFonts w:hint="eastAsia"/>
                      <w:bCs/>
                      <w:color w:val="auto"/>
                      <w:szCs w:val="21"/>
                      <w:lang w:val="en-US" w:eastAsia="zh-CN"/>
                    </w:rPr>
                    <w:t>PM</w:t>
                  </w:r>
                  <w:r>
                    <w:rPr>
                      <w:rFonts w:hint="eastAsia"/>
                      <w:bCs/>
                      <w:color w:val="auto"/>
                      <w:szCs w:val="21"/>
                      <w:vertAlign w:val="subscript"/>
                      <w:lang w:val="en-US" w:eastAsia="zh-CN"/>
                    </w:rPr>
                    <w:t>10</w:t>
                  </w:r>
                </w:p>
              </w:tc>
              <w:tc>
                <w:tcPr>
                  <w:tcW w:w="1513" w:type="dxa"/>
                  <w:vAlign w:val="center"/>
                </w:tcPr>
                <w:p>
                  <w:pPr>
                    <w:widowControl/>
                    <w:jc w:val="center"/>
                    <w:textAlignment w:val="center"/>
                    <w:rPr>
                      <w:rFonts w:hint="default" w:eastAsia="宋体"/>
                      <w:color w:val="auto"/>
                      <w:szCs w:val="21"/>
                      <w:lang w:val="en-US" w:eastAsia="zh-CN"/>
                    </w:rPr>
                  </w:pPr>
                  <w:r>
                    <w:rPr>
                      <w:rFonts w:hint="eastAsia"/>
                      <w:color w:val="auto"/>
                      <w:szCs w:val="21"/>
                      <w:lang w:val="en-US" w:eastAsia="zh-CN"/>
                    </w:rPr>
                    <w:t>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801" w:type="dxa"/>
                  <w:vMerge w:val="continue"/>
                  <w:vAlign w:val="center"/>
                </w:tcPr>
                <w:p>
                  <w:pPr>
                    <w:jc w:val="center"/>
                    <w:rPr>
                      <w:color w:val="auto"/>
                      <w:szCs w:val="21"/>
                    </w:rPr>
                  </w:pPr>
                </w:p>
              </w:tc>
              <w:tc>
                <w:tcPr>
                  <w:tcW w:w="5866" w:type="dxa"/>
                  <w:gridSpan w:val="4"/>
                  <w:vAlign w:val="center"/>
                </w:tcPr>
                <w:p>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hAnsi="宋体" w:cs="Times New Roman"/>
                      <w:bCs/>
                      <w:color w:val="auto"/>
                      <w:kern w:val="0"/>
                      <w:sz w:val="21"/>
                      <w:szCs w:val="22"/>
                      <w:highlight w:val="none"/>
                      <w:lang w:val="en-US" w:eastAsia="zh-CN" w:bidi="zh-CN"/>
                    </w:rPr>
                    <w:t>非甲烷总烃</w:t>
                  </w:r>
                </w:p>
              </w:tc>
              <w:tc>
                <w:tcPr>
                  <w:tcW w:w="1513" w:type="dxa"/>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0.006</w:t>
                  </w:r>
                </w:p>
              </w:tc>
            </w:tr>
          </w:tbl>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大气污染物无组织排放量核算表</w:t>
            </w:r>
          </w:p>
          <w:tbl>
            <w:tblPr>
              <w:tblStyle w:val="41"/>
              <w:tblW w:w="92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654"/>
              <w:gridCol w:w="1158"/>
              <w:gridCol w:w="1067"/>
              <w:gridCol w:w="1225"/>
              <w:gridCol w:w="2212"/>
              <w:gridCol w:w="1185"/>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0" w:hRule="atLeast"/>
              </w:trPr>
              <w:tc>
                <w:tcPr>
                  <w:tcW w:w="660" w:type="dxa"/>
                  <w:vMerge w:val="restart"/>
                  <w:vAlign w:val="center"/>
                </w:tcPr>
                <w:p>
                  <w:pPr>
                    <w:jc w:val="center"/>
                    <w:rPr>
                      <w:b/>
                      <w:bCs/>
                      <w:color w:val="auto"/>
                      <w:szCs w:val="21"/>
                    </w:rPr>
                  </w:pPr>
                  <w:r>
                    <w:rPr>
                      <w:b/>
                      <w:bCs/>
                      <w:color w:val="auto"/>
                      <w:szCs w:val="21"/>
                    </w:rPr>
                    <w:t>序号</w:t>
                  </w:r>
                </w:p>
              </w:tc>
              <w:tc>
                <w:tcPr>
                  <w:tcW w:w="654" w:type="dxa"/>
                  <w:vMerge w:val="restart"/>
                  <w:vAlign w:val="center"/>
                </w:tcPr>
                <w:p>
                  <w:pPr>
                    <w:jc w:val="center"/>
                    <w:rPr>
                      <w:b/>
                      <w:bCs/>
                      <w:color w:val="auto"/>
                      <w:szCs w:val="21"/>
                    </w:rPr>
                  </w:pPr>
                  <w:r>
                    <w:rPr>
                      <w:b/>
                      <w:bCs/>
                      <w:color w:val="auto"/>
                      <w:szCs w:val="21"/>
                    </w:rPr>
                    <w:t>排放口编号</w:t>
                  </w:r>
                </w:p>
              </w:tc>
              <w:tc>
                <w:tcPr>
                  <w:tcW w:w="1158" w:type="dxa"/>
                  <w:vMerge w:val="restart"/>
                  <w:vAlign w:val="center"/>
                </w:tcPr>
                <w:p>
                  <w:pPr>
                    <w:jc w:val="center"/>
                    <w:rPr>
                      <w:b/>
                      <w:bCs/>
                      <w:color w:val="auto"/>
                      <w:szCs w:val="21"/>
                    </w:rPr>
                  </w:pPr>
                  <w:r>
                    <w:rPr>
                      <w:b/>
                      <w:bCs/>
                      <w:color w:val="auto"/>
                      <w:szCs w:val="21"/>
                    </w:rPr>
                    <w:t>产物环节</w:t>
                  </w:r>
                </w:p>
              </w:tc>
              <w:tc>
                <w:tcPr>
                  <w:tcW w:w="1067" w:type="dxa"/>
                  <w:vMerge w:val="restart"/>
                  <w:vAlign w:val="center"/>
                </w:tcPr>
                <w:p>
                  <w:pPr>
                    <w:jc w:val="center"/>
                    <w:rPr>
                      <w:b/>
                      <w:bCs/>
                      <w:color w:val="auto"/>
                      <w:szCs w:val="21"/>
                    </w:rPr>
                  </w:pPr>
                  <w:r>
                    <w:rPr>
                      <w:b/>
                      <w:bCs/>
                      <w:color w:val="auto"/>
                      <w:szCs w:val="21"/>
                    </w:rPr>
                    <w:t>污染物</w:t>
                  </w:r>
                </w:p>
              </w:tc>
              <w:tc>
                <w:tcPr>
                  <w:tcW w:w="1225" w:type="dxa"/>
                  <w:vMerge w:val="restart"/>
                  <w:vAlign w:val="center"/>
                </w:tcPr>
                <w:p>
                  <w:pPr>
                    <w:jc w:val="center"/>
                    <w:rPr>
                      <w:b/>
                      <w:bCs/>
                      <w:color w:val="auto"/>
                      <w:szCs w:val="21"/>
                    </w:rPr>
                  </w:pPr>
                  <w:r>
                    <w:rPr>
                      <w:b/>
                      <w:bCs/>
                      <w:color w:val="auto"/>
                      <w:szCs w:val="21"/>
                    </w:rPr>
                    <w:t>主要污染防治措施</w:t>
                  </w:r>
                </w:p>
              </w:tc>
              <w:tc>
                <w:tcPr>
                  <w:tcW w:w="3397" w:type="dxa"/>
                  <w:gridSpan w:val="2"/>
                  <w:vAlign w:val="center"/>
                </w:tcPr>
                <w:p>
                  <w:pPr>
                    <w:jc w:val="center"/>
                    <w:rPr>
                      <w:b/>
                      <w:bCs/>
                      <w:color w:val="auto"/>
                      <w:szCs w:val="21"/>
                    </w:rPr>
                  </w:pPr>
                  <w:r>
                    <w:rPr>
                      <w:b/>
                      <w:bCs/>
                      <w:color w:val="auto"/>
                      <w:szCs w:val="21"/>
                    </w:rPr>
                    <w:t>国家或地方污染物排放标准</w:t>
                  </w:r>
                </w:p>
              </w:tc>
              <w:tc>
                <w:tcPr>
                  <w:tcW w:w="1079" w:type="dxa"/>
                  <w:vMerge w:val="restart"/>
                  <w:vAlign w:val="center"/>
                </w:tcPr>
                <w:p>
                  <w:pPr>
                    <w:jc w:val="center"/>
                    <w:rPr>
                      <w:b/>
                      <w:bCs/>
                      <w:color w:val="auto"/>
                      <w:szCs w:val="21"/>
                    </w:rPr>
                  </w:pPr>
                  <w:r>
                    <w:rPr>
                      <w:b/>
                      <w:bCs/>
                      <w:color w:val="auto"/>
                      <w:szCs w:val="21"/>
                    </w:rPr>
                    <w:t>年排放量</w:t>
                  </w:r>
                </w:p>
                <w:p>
                  <w:pPr>
                    <w:jc w:val="center"/>
                    <w:rPr>
                      <w:b/>
                      <w:bCs/>
                      <w:color w:val="auto"/>
                      <w:szCs w:val="21"/>
                    </w:rPr>
                  </w:pPr>
                  <w:r>
                    <w:rPr>
                      <w:b/>
                      <w:bCs/>
                      <w:color w:val="auto"/>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60" w:type="dxa"/>
                  <w:vMerge w:val="continue"/>
                  <w:vAlign w:val="center"/>
                </w:tcPr>
                <w:p>
                  <w:pPr>
                    <w:spacing w:line="360" w:lineRule="auto"/>
                    <w:jc w:val="center"/>
                    <w:rPr>
                      <w:color w:val="auto"/>
                      <w:szCs w:val="21"/>
                    </w:rPr>
                  </w:pPr>
                </w:p>
              </w:tc>
              <w:tc>
                <w:tcPr>
                  <w:tcW w:w="654" w:type="dxa"/>
                  <w:vMerge w:val="continue"/>
                  <w:vAlign w:val="center"/>
                </w:tcPr>
                <w:p>
                  <w:pPr>
                    <w:spacing w:line="360" w:lineRule="auto"/>
                    <w:jc w:val="center"/>
                    <w:rPr>
                      <w:color w:val="auto"/>
                      <w:szCs w:val="21"/>
                    </w:rPr>
                  </w:pPr>
                </w:p>
              </w:tc>
              <w:tc>
                <w:tcPr>
                  <w:tcW w:w="1158" w:type="dxa"/>
                  <w:vMerge w:val="continue"/>
                  <w:vAlign w:val="center"/>
                </w:tcPr>
                <w:p>
                  <w:pPr>
                    <w:spacing w:line="360" w:lineRule="auto"/>
                    <w:jc w:val="center"/>
                    <w:rPr>
                      <w:color w:val="auto"/>
                      <w:szCs w:val="21"/>
                    </w:rPr>
                  </w:pPr>
                </w:p>
              </w:tc>
              <w:tc>
                <w:tcPr>
                  <w:tcW w:w="1067" w:type="dxa"/>
                  <w:vMerge w:val="continue"/>
                  <w:vAlign w:val="center"/>
                </w:tcPr>
                <w:p>
                  <w:pPr>
                    <w:spacing w:line="360" w:lineRule="auto"/>
                    <w:jc w:val="center"/>
                    <w:rPr>
                      <w:color w:val="auto"/>
                      <w:szCs w:val="21"/>
                    </w:rPr>
                  </w:pPr>
                </w:p>
              </w:tc>
              <w:tc>
                <w:tcPr>
                  <w:tcW w:w="1225" w:type="dxa"/>
                  <w:vMerge w:val="continue"/>
                  <w:vAlign w:val="center"/>
                </w:tcPr>
                <w:p>
                  <w:pPr>
                    <w:spacing w:line="360" w:lineRule="auto"/>
                    <w:jc w:val="center"/>
                    <w:rPr>
                      <w:color w:val="auto"/>
                      <w:szCs w:val="21"/>
                    </w:rPr>
                  </w:pPr>
                </w:p>
              </w:tc>
              <w:tc>
                <w:tcPr>
                  <w:tcW w:w="2212" w:type="dxa"/>
                  <w:vAlign w:val="center"/>
                </w:tcPr>
                <w:p>
                  <w:pPr>
                    <w:jc w:val="center"/>
                    <w:rPr>
                      <w:b/>
                      <w:bCs/>
                      <w:color w:val="auto"/>
                      <w:szCs w:val="21"/>
                    </w:rPr>
                  </w:pPr>
                  <w:r>
                    <w:rPr>
                      <w:b/>
                      <w:bCs/>
                      <w:color w:val="auto"/>
                      <w:szCs w:val="21"/>
                    </w:rPr>
                    <w:t>标准名称</w:t>
                  </w:r>
                </w:p>
              </w:tc>
              <w:tc>
                <w:tcPr>
                  <w:tcW w:w="1185" w:type="dxa"/>
                  <w:vAlign w:val="center"/>
                </w:tcPr>
                <w:p>
                  <w:pPr>
                    <w:jc w:val="center"/>
                    <w:rPr>
                      <w:b/>
                      <w:bCs/>
                      <w:color w:val="auto"/>
                      <w:szCs w:val="21"/>
                    </w:rPr>
                  </w:pPr>
                  <w:r>
                    <w:rPr>
                      <w:b/>
                      <w:bCs/>
                      <w:color w:val="auto"/>
                      <w:szCs w:val="21"/>
                    </w:rPr>
                    <w:t>浓度限值（mg/m³）</w:t>
                  </w:r>
                </w:p>
              </w:tc>
              <w:tc>
                <w:tcPr>
                  <w:tcW w:w="1079" w:type="dxa"/>
                  <w:vMerge w:val="continue"/>
                  <w:vAlign w:val="center"/>
                </w:tcPr>
                <w:p>
                  <w:pPr>
                    <w:spacing w:line="360" w:lineRule="auto"/>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660" w:type="dxa"/>
                  <w:vMerge w:val="restart"/>
                  <w:vAlign w:val="center"/>
                </w:tcPr>
                <w:p>
                  <w:pPr>
                    <w:spacing w:line="360" w:lineRule="auto"/>
                    <w:jc w:val="center"/>
                    <w:rPr>
                      <w:color w:val="auto"/>
                      <w:szCs w:val="21"/>
                    </w:rPr>
                  </w:pPr>
                  <w:r>
                    <w:rPr>
                      <w:color w:val="auto"/>
                      <w:szCs w:val="21"/>
                    </w:rPr>
                    <w:t>1</w:t>
                  </w:r>
                </w:p>
              </w:tc>
              <w:tc>
                <w:tcPr>
                  <w:tcW w:w="654" w:type="dxa"/>
                  <w:vMerge w:val="restart"/>
                  <w:vAlign w:val="center"/>
                </w:tcPr>
                <w:p>
                  <w:pPr>
                    <w:jc w:val="center"/>
                    <w:rPr>
                      <w:color w:val="auto"/>
                      <w:szCs w:val="21"/>
                    </w:rPr>
                  </w:pPr>
                  <w:r>
                    <w:rPr>
                      <w:rFonts w:hint="eastAsia"/>
                      <w:color w:val="auto"/>
                      <w:szCs w:val="21"/>
                    </w:rPr>
                    <w:t>生产</w:t>
                  </w:r>
                  <w:r>
                    <w:rPr>
                      <w:color w:val="auto"/>
                      <w:szCs w:val="21"/>
                    </w:rPr>
                    <w:t>车间</w:t>
                  </w:r>
                </w:p>
              </w:tc>
              <w:tc>
                <w:tcPr>
                  <w:tcW w:w="1158" w:type="dxa"/>
                  <w:vAlign w:val="center"/>
                </w:tcPr>
                <w:p>
                  <w:pPr>
                    <w:widowControl/>
                    <w:autoSpaceDE w:val="0"/>
                    <w:autoSpaceDN w:val="0"/>
                    <w:adjustRightInd w:val="0"/>
                    <w:jc w:val="center"/>
                    <w:textAlignment w:val="baseline"/>
                    <w:rPr>
                      <w:color w:val="auto"/>
                      <w:sz w:val="21"/>
                      <w:szCs w:val="21"/>
                    </w:rPr>
                  </w:pPr>
                  <w:r>
                    <w:rPr>
                      <w:rFonts w:hint="eastAsia" w:cs="Times New Roman"/>
                      <w:color w:val="auto"/>
                      <w:sz w:val="21"/>
                      <w:szCs w:val="21"/>
                      <w:lang w:eastAsia="zh-CN"/>
                    </w:rPr>
                    <w:t>熔化、铸造</w:t>
                  </w:r>
                  <w:r>
                    <w:rPr>
                      <w:rFonts w:hint="default" w:ascii="Times New Roman" w:hAnsi="Times New Roman" w:cs="Times New Roman"/>
                      <w:color w:val="auto"/>
                      <w:sz w:val="21"/>
                      <w:szCs w:val="21"/>
                    </w:rPr>
                    <w:t>工序</w:t>
                  </w:r>
                </w:p>
              </w:tc>
              <w:tc>
                <w:tcPr>
                  <w:tcW w:w="1067" w:type="dxa"/>
                  <w:vAlign w:val="center"/>
                </w:tcPr>
                <w:p>
                  <w:pPr>
                    <w:pStyle w:val="47"/>
                    <w:jc w:val="center"/>
                    <w:rPr>
                      <w:color w:val="auto"/>
                      <w:szCs w:val="21"/>
                    </w:rPr>
                  </w:pPr>
                  <w:r>
                    <w:rPr>
                      <w:rFonts w:hint="eastAsia" w:ascii="Times New Roman" w:cs="Times New Roman"/>
                      <w:color w:val="auto"/>
                      <w:sz w:val="21"/>
                      <w:szCs w:val="21"/>
                    </w:rPr>
                    <w:t>TSP</w:t>
                  </w:r>
                </w:p>
              </w:tc>
              <w:tc>
                <w:tcPr>
                  <w:tcW w:w="1225" w:type="dxa"/>
                  <w:vMerge w:val="restart"/>
                  <w:vAlign w:val="center"/>
                </w:tcPr>
                <w:p>
                  <w:pPr>
                    <w:jc w:val="center"/>
                    <w:rPr>
                      <w:color w:val="auto"/>
                      <w:szCs w:val="21"/>
                    </w:rPr>
                  </w:pPr>
                  <w:r>
                    <w:rPr>
                      <w:color w:val="auto"/>
                      <w:szCs w:val="21"/>
                    </w:rPr>
                    <w:t>加强车间机械通风</w:t>
                  </w:r>
                </w:p>
              </w:tc>
              <w:tc>
                <w:tcPr>
                  <w:tcW w:w="2212" w:type="dxa"/>
                  <w:vMerge w:val="restart"/>
                  <w:vAlign w:val="center"/>
                </w:tcPr>
                <w:p>
                  <w:pPr>
                    <w:jc w:val="center"/>
                    <w:rPr>
                      <w:color w:val="auto"/>
                      <w:szCs w:val="21"/>
                    </w:rPr>
                  </w:pPr>
                  <w:r>
                    <w:rPr>
                      <w:color w:val="auto"/>
                      <w:szCs w:val="21"/>
                    </w:rPr>
                    <w:t>广东省地方标准《大气污染物排放限值》（DB44/27－2001）第二时段无组织排放监控浓度限值</w:t>
                  </w:r>
                </w:p>
              </w:tc>
              <w:tc>
                <w:tcPr>
                  <w:tcW w:w="1185" w:type="dxa"/>
                  <w:vAlign w:val="center"/>
                </w:tcPr>
                <w:p>
                  <w:pPr>
                    <w:pStyle w:val="29"/>
                    <w:ind w:firstLine="0"/>
                    <w:jc w:val="center"/>
                    <w:rPr>
                      <w:color w:val="auto"/>
                      <w:sz w:val="21"/>
                      <w:szCs w:val="21"/>
                    </w:rPr>
                  </w:pPr>
                  <w:r>
                    <w:rPr>
                      <w:rFonts w:hint="eastAsia"/>
                      <w:color w:val="auto"/>
                      <w:sz w:val="21"/>
                      <w:szCs w:val="21"/>
                      <w:lang w:val="en-US" w:eastAsia="zh-CN"/>
                    </w:rPr>
                    <w:t>1</w:t>
                  </w:r>
                </w:p>
              </w:tc>
              <w:tc>
                <w:tcPr>
                  <w:tcW w:w="1079" w:type="dxa"/>
                  <w:vAlign w:val="center"/>
                </w:tcPr>
                <w:p>
                  <w:pPr>
                    <w:jc w:val="center"/>
                    <w:rPr>
                      <w:rFonts w:hint="default" w:eastAsia="宋体"/>
                      <w:color w:val="auto"/>
                      <w:szCs w:val="21"/>
                      <w:lang w:val="en-US" w:eastAsia="zh-CN"/>
                    </w:rPr>
                  </w:pPr>
                  <w:r>
                    <w:rPr>
                      <w:rFonts w:hint="eastAsia"/>
                      <w:color w:val="auto"/>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660" w:type="dxa"/>
                  <w:vMerge w:val="continue"/>
                  <w:vAlign w:val="center"/>
                </w:tcPr>
                <w:p>
                  <w:pPr>
                    <w:spacing w:line="360" w:lineRule="auto"/>
                    <w:jc w:val="center"/>
                    <w:rPr>
                      <w:color w:val="auto"/>
                      <w:szCs w:val="21"/>
                    </w:rPr>
                  </w:pPr>
                </w:p>
              </w:tc>
              <w:tc>
                <w:tcPr>
                  <w:tcW w:w="654" w:type="dxa"/>
                  <w:vMerge w:val="continue"/>
                  <w:vAlign w:val="center"/>
                </w:tcPr>
                <w:p>
                  <w:pPr>
                    <w:jc w:val="center"/>
                    <w:rPr>
                      <w:rFonts w:hint="eastAsia"/>
                      <w:color w:val="auto"/>
                      <w:szCs w:val="21"/>
                    </w:rPr>
                  </w:pPr>
                </w:p>
              </w:tc>
              <w:tc>
                <w:tcPr>
                  <w:tcW w:w="1158" w:type="dxa"/>
                  <w:vAlign w:val="center"/>
                </w:tcPr>
                <w:p>
                  <w:pPr>
                    <w:widowControl/>
                    <w:autoSpaceDE w:val="0"/>
                    <w:autoSpaceDN w:val="0"/>
                    <w:adjustRightInd w:val="0"/>
                    <w:jc w:val="center"/>
                    <w:textAlignment w:val="baseline"/>
                    <w:rPr>
                      <w:rFonts w:hint="eastAsia" w:ascii="Times New Roman" w:hAnsi="Times New Roman" w:eastAsia="宋体" w:cs="Times New Roman"/>
                      <w:color w:val="auto"/>
                      <w:kern w:val="2"/>
                      <w:sz w:val="21"/>
                      <w:szCs w:val="21"/>
                      <w:lang w:val="en-US" w:eastAsia="zh-CN" w:bidi="ar-SA"/>
                    </w:rPr>
                  </w:pPr>
                  <w:r>
                    <w:rPr>
                      <w:rFonts w:hint="eastAsia"/>
                      <w:color w:val="auto"/>
                      <w:kern w:val="2"/>
                      <w:sz w:val="21"/>
                      <w:szCs w:val="21"/>
                      <w:shd w:val="clear" w:color="auto" w:fill="auto"/>
                      <w:lang w:val="en-US" w:eastAsia="zh-CN"/>
                    </w:rPr>
                    <w:t>制芯、铸造</w:t>
                  </w:r>
                  <w:r>
                    <w:rPr>
                      <w:rFonts w:hint="eastAsia" w:ascii="Times New Roman" w:eastAsia="宋体"/>
                      <w:color w:val="auto"/>
                      <w:kern w:val="2"/>
                      <w:sz w:val="21"/>
                      <w:szCs w:val="21"/>
                      <w:shd w:val="clear" w:color="auto" w:fill="auto"/>
                      <w:lang w:val="en-US" w:eastAsia="zh-CN"/>
                    </w:rPr>
                    <w:t>工序</w:t>
                  </w:r>
                </w:p>
              </w:tc>
              <w:tc>
                <w:tcPr>
                  <w:tcW w:w="1067" w:type="dxa"/>
                  <w:vAlign w:val="center"/>
                </w:tcPr>
                <w:p>
                  <w:pPr>
                    <w:pStyle w:val="47"/>
                    <w:jc w:val="center"/>
                    <w:rPr>
                      <w:rFonts w:hint="eastAsia" w:ascii="宋体" w:hAnsi="Times New Roman" w:eastAsia="宋体" w:cs="宋体"/>
                      <w:color w:val="auto"/>
                      <w:kern w:val="2"/>
                      <w:sz w:val="24"/>
                      <w:szCs w:val="21"/>
                      <w:lang w:val="en-US" w:eastAsia="zh-CN" w:bidi="ar-SA"/>
                    </w:rPr>
                  </w:pPr>
                  <w:r>
                    <w:rPr>
                      <w:rFonts w:hint="eastAsia" w:hAnsi="宋体" w:cs="Times New Roman"/>
                      <w:bCs/>
                      <w:color w:val="auto"/>
                      <w:kern w:val="0"/>
                      <w:sz w:val="21"/>
                      <w:szCs w:val="22"/>
                      <w:highlight w:val="none"/>
                      <w:lang w:val="en-US" w:eastAsia="zh-CN" w:bidi="zh-CN"/>
                    </w:rPr>
                    <w:t>非甲烷总烃</w:t>
                  </w:r>
                </w:p>
              </w:tc>
              <w:tc>
                <w:tcPr>
                  <w:tcW w:w="1225" w:type="dxa"/>
                  <w:vMerge w:val="continue"/>
                  <w:vAlign w:val="center"/>
                </w:tcPr>
                <w:p>
                  <w:pPr>
                    <w:jc w:val="center"/>
                    <w:rPr>
                      <w:color w:val="auto"/>
                      <w:szCs w:val="21"/>
                    </w:rPr>
                  </w:pPr>
                </w:p>
              </w:tc>
              <w:tc>
                <w:tcPr>
                  <w:tcW w:w="2212" w:type="dxa"/>
                  <w:vMerge w:val="continue"/>
                  <w:vAlign w:val="center"/>
                </w:tcPr>
                <w:p>
                  <w:pPr>
                    <w:jc w:val="center"/>
                    <w:rPr>
                      <w:color w:val="auto"/>
                      <w:szCs w:val="21"/>
                    </w:rPr>
                  </w:pPr>
                </w:p>
              </w:tc>
              <w:tc>
                <w:tcPr>
                  <w:tcW w:w="1185" w:type="dxa"/>
                  <w:vAlign w:val="center"/>
                </w:tcPr>
                <w:p>
                  <w:pPr>
                    <w:pStyle w:val="29"/>
                    <w:ind w:firstLine="0"/>
                    <w:jc w:val="center"/>
                    <w:rPr>
                      <w:rFonts w:hint="default"/>
                      <w:color w:val="auto"/>
                      <w:sz w:val="21"/>
                      <w:szCs w:val="21"/>
                      <w:lang w:val="en-US" w:eastAsia="zh-CN"/>
                    </w:rPr>
                  </w:pPr>
                  <w:r>
                    <w:rPr>
                      <w:rFonts w:hint="eastAsia"/>
                      <w:color w:val="auto"/>
                      <w:sz w:val="21"/>
                      <w:szCs w:val="21"/>
                      <w:lang w:val="en-US" w:eastAsia="zh-CN"/>
                    </w:rPr>
                    <w:t>4.0</w:t>
                  </w:r>
                </w:p>
              </w:tc>
              <w:tc>
                <w:tcPr>
                  <w:tcW w:w="1079" w:type="dxa"/>
                  <w:vAlign w:val="center"/>
                </w:tcPr>
                <w:p>
                  <w:pPr>
                    <w:jc w:val="center"/>
                    <w:rPr>
                      <w:rFonts w:hint="default" w:ascii="Times New Roman" w:eastAsia="宋体"/>
                      <w:color w:val="auto"/>
                      <w:szCs w:val="21"/>
                      <w:lang w:val="en-US" w:eastAsia="zh-CN"/>
                    </w:rPr>
                  </w:pPr>
                  <w:r>
                    <w:rPr>
                      <w:rFonts w:hint="eastAsia"/>
                      <w:color w:val="auto"/>
                      <w:szCs w:val="21"/>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660" w:type="dxa"/>
                  <w:vMerge w:val="continue"/>
                  <w:vAlign w:val="center"/>
                </w:tcPr>
                <w:p>
                  <w:pPr>
                    <w:spacing w:line="360" w:lineRule="auto"/>
                    <w:jc w:val="center"/>
                    <w:rPr>
                      <w:color w:val="auto"/>
                      <w:szCs w:val="21"/>
                    </w:rPr>
                  </w:pPr>
                </w:p>
              </w:tc>
              <w:tc>
                <w:tcPr>
                  <w:tcW w:w="654" w:type="dxa"/>
                  <w:vMerge w:val="continue"/>
                  <w:vAlign w:val="center"/>
                </w:tcPr>
                <w:p>
                  <w:pPr>
                    <w:jc w:val="center"/>
                    <w:rPr>
                      <w:rFonts w:hint="eastAsia"/>
                      <w:color w:val="auto"/>
                      <w:szCs w:val="21"/>
                    </w:rPr>
                  </w:pPr>
                </w:p>
              </w:tc>
              <w:tc>
                <w:tcPr>
                  <w:tcW w:w="1158" w:type="dxa"/>
                  <w:vAlign w:val="center"/>
                </w:tcPr>
                <w:p>
                  <w:pPr>
                    <w:widowControl/>
                    <w:autoSpaceDE w:val="0"/>
                    <w:autoSpaceDN w:val="0"/>
                    <w:adjustRightInd w:val="0"/>
                    <w:jc w:val="center"/>
                    <w:textAlignment w:val="baseline"/>
                    <w:rPr>
                      <w:rFonts w:hint="eastAsia" w:eastAsia="宋体"/>
                      <w:color w:val="auto"/>
                      <w:sz w:val="21"/>
                      <w:szCs w:val="21"/>
                      <w:lang w:eastAsia="zh-CN"/>
                    </w:rPr>
                  </w:pPr>
                  <w:r>
                    <w:rPr>
                      <w:rFonts w:hint="eastAsia"/>
                      <w:color w:val="auto"/>
                      <w:sz w:val="21"/>
                      <w:szCs w:val="21"/>
                      <w:lang w:eastAsia="zh-CN"/>
                    </w:rPr>
                    <w:t>滚砂、机加工、抛光工序</w:t>
                  </w:r>
                </w:p>
              </w:tc>
              <w:tc>
                <w:tcPr>
                  <w:tcW w:w="1067" w:type="dxa"/>
                  <w:vAlign w:val="center"/>
                </w:tcPr>
                <w:p>
                  <w:pPr>
                    <w:pStyle w:val="47"/>
                    <w:jc w:val="center"/>
                    <w:rPr>
                      <w:color w:val="auto"/>
                      <w:szCs w:val="21"/>
                    </w:rPr>
                  </w:pPr>
                  <w:r>
                    <w:rPr>
                      <w:rFonts w:hint="eastAsia" w:ascii="Times New Roman" w:cs="Times New Roman"/>
                      <w:color w:val="auto"/>
                      <w:sz w:val="21"/>
                      <w:szCs w:val="21"/>
                    </w:rPr>
                    <w:t>TSP</w:t>
                  </w:r>
                </w:p>
              </w:tc>
              <w:tc>
                <w:tcPr>
                  <w:tcW w:w="1225" w:type="dxa"/>
                  <w:vMerge w:val="continue"/>
                  <w:vAlign w:val="center"/>
                </w:tcPr>
                <w:p>
                  <w:pPr>
                    <w:jc w:val="center"/>
                    <w:rPr>
                      <w:color w:val="auto"/>
                      <w:szCs w:val="21"/>
                    </w:rPr>
                  </w:pPr>
                </w:p>
              </w:tc>
              <w:tc>
                <w:tcPr>
                  <w:tcW w:w="2212" w:type="dxa"/>
                  <w:vMerge w:val="continue"/>
                  <w:vAlign w:val="center"/>
                </w:tcPr>
                <w:p>
                  <w:pPr>
                    <w:jc w:val="center"/>
                    <w:rPr>
                      <w:color w:val="auto"/>
                      <w:szCs w:val="21"/>
                    </w:rPr>
                  </w:pPr>
                </w:p>
              </w:tc>
              <w:tc>
                <w:tcPr>
                  <w:tcW w:w="1185" w:type="dxa"/>
                  <w:vAlign w:val="center"/>
                </w:tcPr>
                <w:p>
                  <w:pPr>
                    <w:pStyle w:val="29"/>
                    <w:ind w:firstLine="0"/>
                    <w:jc w:val="center"/>
                    <w:rPr>
                      <w:rFonts w:hint="default" w:eastAsia="宋体"/>
                      <w:color w:val="auto"/>
                      <w:sz w:val="21"/>
                      <w:szCs w:val="21"/>
                      <w:lang w:val="en-US" w:eastAsia="zh-CN"/>
                    </w:rPr>
                  </w:pPr>
                  <w:r>
                    <w:rPr>
                      <w:rFonts w:hint="eastAsia"/>
                      <w:color w:val="auto"/>
                      <w:sz w:val="21"/>
                      <w:szCs w:val="21"/>
                      <w:lang w:val="en-US" w:eastAsia="zh-CN"/>
                    </w:rPr>
                    <w:t>1.0</w:t>
                  </w:r>
                </w:p>
              </w:tc>
              <w:tc>
                <w:tcPr>
                  <w:tcW w:w="1079" w:type="dxa"/>
                  <w:vAlign w:val="center"/>
                </w:tcPr>
                <w:p>
                  <w:pPr>
                    <w:jc w:val="center"/>
                    <w:rPr>
                      <w:rFonts w:hint="default" w:ascii="Times New Roman" w:eastAsia="宋体"/>
                      <w:color w:val="auto"/>
                      <w:szCs w:val="21"/>
                      <w:lang w:val="en-US" w:eastAsia="zh-CN"/>
                    </w:rPr>
                  </w:pPr>
                  <w:r>
                    <w:rPr>
                      <w:rFonts w:hint="eastAsia"/>
                      <w:color w:val="auto"/>
                      <w:szCs w:val="21"/>
                      <w:lang w:val="en-US" w:eastAsia="zh-CN"/>
                    </w:rPr>
                    <w:t>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40" w:type="dxa"/>
                  <w:gridSpan w:val="8"/>
                  <w:vAlign w:val="center"/>
                </w:tcPr>
                <w:p>
                  <w:pPr>
                    <w:spacing w:line="360" w:lineRule="auto"/>
                    <w:jc w:val="center"/>
                    <w:rPr>
                      <w:color w:val="auto"/>
                      <w:szCs w:val="21"/>
                    </w:rPr>
                  </w:pPr>
                  <w:r>
                    <w:rPr>
                      <w:color w:val="auto"/>
                      <w:szCs w:val="21"/>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72" w:type="dxa"/>
                  <w:gridSpan w:val="3"/>
                  <w:vMerge w:val="restart"/>
                  <w:vAlign w:val="center"/>
                </w:tcPr>
                <w:p>
                  <w:pPr>
                    <w:spacing w:line="360" w:lineRule="auto"/>
                    <w:jc w:val="center"/>
                    <w:rPr>
                      <w:color w:val="auto"/>
                      <w:szCs w:val="21"/>
                    </w:rPr>
                  </w:pPr>
                  <w:r>
                    <w:rPr>
                      <w:color w:val="auto"/>
                      <w:szCs w:val="21"/>
                    </w:rPr>
                    <w:t>无组织排放总计</w:t>
                  </w:r>
                </w:p>
              </w:tc>
              <w:tc>
                <w:tcPr>
                  <w:tcW w:w="5689" w:type="dxa"/>
                  <w:gridSpan w:val="4"/>
                  <w:vAlign w:val="center"/>
                </w:tcPr>
                <w:p>
                  <w:pPr>
                    <w:pStyle w:val="47"/>
                    <w:jc w:val="center"/>
                    <w:rPr>
                      <w:color w:val="auto"/>
                      <w:szCs w:val="21"/>
                    </w:rPr>
                  </w:pPr>
                  <w:r>
                    <w:rPr>
                      <w:rFonts w:hint="eastAsia" w:ascii="Times New Roman" w:cs="Times New Roman"/>
                      <w:color w:val="auto"/>
                      <w:sz w:val="21"/>
                      <w:szCs w:val="21"/>
                    </w:rPr>
                    <w:t>TSP</w:t>
                  </w:r>
                </w:p>
              </w:tc>
              <w:tc>
                <w:tcPr>
                  <w:tcW w:w="1079" w:type="dxa"/>
                  <w:vAlign w:val="center"/>
                </w:tcPr>
                <w:p>
                  <w:pPr>
                    <w:jc w:val="center"/>
                    <w:rPr>
                      <w:rFonts w:hint="default"/>
                      <w:color w:val="auto"/>
                      <w:szCs w:val="21"/>
                      <w:lang w:val="en-US"/>
                    </w:rPr>
                  </w:pPr>
                  <w:r>
                    <w:rPr>
                      <w:rFonts w:hint="eastAsia"/>
                      <w:color w:val="auto"/>
                      <w:szCs w:val="21"/>
                      <w:lang w:val="en-US" w:eastAsia="zh-CN"/>
                    </w:rPr>
                    <w:t>0.056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72" w:type="dxa"/>
                  <w:gridSpan w:val="3"/>
                  <w:vMerge w:val="continue"/>
                  <w:vAlign w:val="center"/>
                </w:tcPr>
                <w:p>
                  <w:pPr>
                    <w:spacing w:line="360" w:lineRule="auto"/>
                    <w:jc w:val="center"/>
                    <w:rPr>
                      <w:color w:val="auto"/>
                      <w:szCs w:val="21"/>
                    </w:rPr>
                  </w:pPr>
                </w:p>
              </w:tc>
              <w:tc>
                <w:tcPr>
                  <w:tcW w:w="5689" w:type="dxa"/>
                  <w:gridSpan w:val="4"/>
                  <w:vAlign w:val="center"/>
                </w:tcPr>
                <w:p>
                  <w:pPr>
                    <w:pStyle w:val="47"/>
                    <w:jc w:val="center"/>
                    <w:rPr>
                      <w:color w:val="auto"/>
                      <w:szCs w:val="21"/>
                    </w:rPr>
                  </w:pPr>
                  <w:r>
                    <w:rPr>
                      <w:rFonts w:hint="eastAsia" w:hAnsi="宋体" w:cs="Times New Roman"/>
                      <w:bCs/>
                      <w:color w:val="auto"/>
                      <w:kern w:val="0"/>
                      <w:sz w:val="21"/>
                      <w:szCs w:val="22"/>
                      <w:highlight w:val="none"/>
                      <w:lang w:val="en-US" w:eastAsia="zh-CN" w:bidi="zh-CN"/>
                    </w:rPr>
                    <w:t>非甲烷总烃</w:t>
                  </w:r>
                </w:p>
              </w:tc>
              <w:tc>
                <w:tcPr>
                  <w:tcW w:w="1079" w:type="dxa"/>
                  <w:vAlign w:val="center"/>
                </w:tcPr>
                <w:p>
                  <w:pPr>
                    <w:jc w:val="center"/>
                    <w:rPr>
                      <w:rFonts w:hint="default"/>
                      <w:color w:val="auto"/>
                      <w:szCs w:val="21"/>
                      <w:lang w:val="en-US"/>
                    </w:rPr>
                  </w:pPr>
                  <w:r>
                    <w:rPr>
                      <w:rFonts w:hint="eastAsia"/>
                      <w:color w:val="auto"/>
                      <w:szCs w:val="21"/>
                      <w:lang w:val="en-US" w:eastAsia="zh-CN"/>
                    </w:rPr>
                    <w:t>0.002</w:t>
                  </w:r>
                </w:p>
              </w:tc>
            </w:tr>
          </w:tbl>
          <w:p>
            <w:pPr>
              <w:pStyle w:val="139"/>
              <w:numPr>
                <w:ilvl w:val="0"/>
                <w:numId w:val="5"/>
              </w:numPr>
              <w:tabs>
                <w:tab w:val="left" w:pos="420"/>
              </w:tabs>
              <w:spacing w:line="360" w:lineRule="auto"/>
              <w:ind w:left="0" w:firstLine="471"/>
              <w:rPr>
                <w:rFonts w:eastAsia="宋体" w:cs="Times New Roman"/>
                <w:b/>
                <w:color w:val="auto"/>
                <w:sz w:val="21"/>
                <w:szCs w:val="21"/>
              </w:rPr>
            </w:pPr>
            <w:r>
              <w:rPr>
                <w:rFonts w:eastAsia="宋体" w:cs="Times New Roman"/>
                <w:b/>
                <w:color w:val="auto"/>
                <w:sz w:val="21"/>
                <w:szCs w:val="21"/>
              </w:rPr>
              <w:t>大气污染物年排放量核算表</w:t>
            </w:r>
          </w:p>
          <w:tbl>
            <w:tblPr>
              <w:tblStyle w:val="41"/>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5"/>
              <w:gridCol w:w="3362"/>
              <w:gridCol w:w="3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rPr>
                  </w:pPr>
                  <w:r>
                    <w:rPr>
                      <w:b/>
                      <w:bCs/>
                      <w:color w:val="auto"/>
                      <w:szCs w:val="21"/>
                    </w:rPr>
                    <w:t>序号</w:t>
                  </w:r>
                </w:p>
              </w:tc>
              <w:tc>
                <w:tcPr>
                  <w:tcW w:w="3362" w:type="dxa"/>
                  <w:vAlign w:val="center"/>
                </w:tcPr>
                <w:p>
                  <w:pPr>
                    <w:spacing w:line="360" w:lineRule="auto"/>
                    <w:jc w:val="center"/>
                    <w:rPr>
                      <w:b/>
                      <w:bCs/>
                      <w:color w:val="auto"/>
                      <w:szCs w:val="21"/>
                    </w:rPr>
                  </w:pPr>
                  <w:r>
                    <w:rPr>
                      <w:b/>
                      <w:bCs/>
                      <w:color w:val="auto"/>
                      <w:szCs w:val="21"/>
                    </w:rPr>
                    <w:t>污染物</w:t>
                  </w:r>
                </w:p>
              </w:tc>
              <w:tc>
                <w:tcPr>
                  <w:tcW w:w="3363" w:type="dxa"/>
                  <w:vAlign w:val="center"/>
                </w:tcPr>
                <w:p>
                  <w:pPr>
                    <w:spacing w:line="360" w:lineRule="auto"/>
                    <w:jc w:val="center"/>
                    <w:rPr>
                      <w:b/>
                      <w:bCs/>
                      <w:color w:val="auto"/>
                      <w:szCs w:val="21"/>
                    </w:rPr>
                  </w:pPr>
                  <w:r>
                    <w:rPr>
                      <w:b/>
                      <w:bCs/>
                      <w:color w:val="auto"/>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rPr>
                  </w:pPr>
                  <w:r>
                    <w:rPr>
                      <w:b/>
                      <w:bCs/>
                      <w:color w:val="auto"/>
                      <w:szCs w:val="21"/>
                    </w:rPr>
                    <w:t>1</w:t>
                  </w:r>
                </w:p>
              </w:tc>
              <w:tc>
                <w:tcPr>
                  <w:tcW w:w="3362" w:type="dxa"/>
                  <w:vAlign w:val="center"/>
                </w:tcPr>
                <w:p>
                  <w:pPr>
                    <w:pStyle w:val="47"/>
                    <w:jc w:val="center"/>
                    <w:rPr>
                      <w:rFonts w:hint="default" w:eastAsia="宋体"/>
                      <w:b/>
                      <w:bCs/>
                      <w:color w:val="auto"/>
                      <w:szCs w:val="21"/>
                      <w:lang w:val="en-US" w:eastAsia="zh-CN"/>
                    </w:rPr>
                  </w:pPr>
                  <w:r>
                    <w:rPr>
                      <w:rFonts w:hint="default" w:ascii="Times New Roman" w:hAnsi="Times New Roman" w:cs="Times New Roman"/>
                      <w:b w:val="0"/>
                      <w:bCs w:val="0"/>
                      <w:color w:val="auto"/>
                      <w:szCs w:val="21"/>
                      <w:lang w:val="en-US" w:eastAsia="zh-CN"/>
                    </w:rPr>
                    <w:t>PM</w:t>
                  </w:r>
                  <w:r>
                    <w:rPr>
                      <w:rFonts w:hint="default" w:ascii="Times New Roman" w:hAnsi="Times New Roman" w:cs="Times New Roman"/>
                      <w:b w:val="0"/>
                      <w:bCs w:val="0"/>
                      <w:color w:val="auto"/>
                      <w:szCs w:val="21"/>
                      <w:vertAlign w:val="subscript"/>
                      <w:lang w:val="en-US" w:eastAsia="zh-CN"/>
                    </w:rPr>
                    <w:t>10</w:t>
                  </w:r>
                </w:p>
              </w:tc>
              <w:tc>
                <w:tcPr>
                  <w:tcW w:w="3363" w:type="dxa"/>
                  <w:vAlign w:val="center"/>
                </w:tcPr>
                <w:p>
                  <w:pPr>
                    <w:snapToGrid w:val="0"/>
                    <w:spacing w:line="360" w:lineRule="auto"/>
                    <w:jc w:val="center"/>
                    <w:rPr>
                      <w:rFonts w:hint="default" w:eastAsia="宋体"/>
                      <w:b/>
                      <w:bCs/>
                      <w:color w:val="auto"/>
                      <w:szCs w:val="21"/>
                      <w:lang w:val="en-US" w:eastAsia="zh-CN"/>
                    </w:rPr>
                  </w:pPr>
                  <w:r>
                    <w:rPr>
                      <w:rFonts w:hint="eastAsia"/>
                      <w:color w:val="auto"/>
                      <w:szCs w:val="21"/>
                      <w:lang w:val="en-US" w:eastAsia="zh-CN"/>
                    </w:rPr>
                    <w:t>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b/>
                      <w:bCs/>
                      <w:color w:val="auto"/>
                      <w:szCs w:val="21"/>
                    </w:rPr>
                  </w:pPr>
                  <w:r>
                    <w:rPr>
                      <w:rFonts w:hint="eastAsia"/>
                      <w:b/>
                      <w:bCs/>
                      <w:color w:val="auto"/>
                      <w:szCs w:val="21"/>
                    </w:rPr>
                    <w:t>2</w:t>
                  </w:r>
                </w:p>
              </w:tc>
              <w:tc>
                <w:tcPr>
                  <w:tcW w:w="3362" w:type="dxa"/>
                  <w:vAlign w:val="center"/>
                </w:tcPr>
                <w:p>
                  <w:pPr>
                    <w:pStyle w:val="47"/>
                    <w:jc w:val="center"/>
                    <w:rPr>
                      <w:color w:val="auto"/>
                      <w:szCs w:val="21"/>
                    </w:rPr>
                  </w:pPr>
                  <w:r>
                    <w:rPr>
                      <w:rFonts w:hint="eastAsia" w:hAnsi="宋体" w:cs="Times New Roman"/>
                      <w:bCs/>
                      <w:color w:val="auto"/>
                      <w:kern w:val="0"/>
                      <w:sz w:val="21"/>
                      <w:szCs w:val="22"/>
                      <w:highlight w:val="none"/>
                      <w:lang w:val="en-US" w:eastAsia="zh-CN" w:bidi="zh-CN"/>
                    </w:rPr>
                    <w:t>非甲烷总烃</w:t>
                  </w:r>
                </w:p>
              </w:tc>
              <w:tc>
                <w:tcPr>
                  <w:tcW w:w="3363" w:type="dxa"/>
                  <w:vAlign w:val="center"/>
                </w:tcPr>
                <w:p>
                  <w:pPr>
                    <w:jc w:val="center"/>
                    <w:rPr>
                      <w:rFonts w:hint="default"/>
                      <w:color w:val="auto"/>
                      <w:szCs w:val="21"/>
                      <w:lang w:val="en-US"/>
                    </w:rPr>
                  </w:pPr>
                  <w:r>
                    <w:rPr>
                      <w:rFonts w:hint="eastAsia"/>
                      <w:color w:val="auto"/>
                      <w:szCs w:val="21"/>
                      <w:lang w:val="en-US" w:eastAsia="zh-CN"/>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5" w:type="dxa"/>
                  <w:vAlign w:val="center"/>
                </w:tcPr>
                <w:p>
                  <w:pPr>
                    <w:spacing w:line="360" w:lineRule="auto"/>
                    <w:jc w:val="center"/>
                    <w:rPr>
                      <w:rFonts w:hint="eastAsia" w:eastAsia="宋体"/>
                      <w:b/>
                      <w:bCs/>
                      <w:color w:val="auto"/>
                      <w:szCs w:val="21"/>
                      <w:lang w:val="en-US" w:eastAsia="zh-CN"/>
                    </w:rPr>
                  </w:pPr>
                  <w:r>
                    <w:rPr>
                      <w:rFonts w:hint="eastAsia" w:ascii="Times New Roman" w:eastAsia="宋体"/>
                      <w:b/>
                      <w:bCs/>
                      <w:color w:val="auto"/>
                      <w:szCs w:val="21"/>
                      <w:lang w:val="en-US" w:eastAsia="zh-CN"/>
                    </w:rPr>
                    <w:t>3</w:t>
                  </w:r>
                </w:p>
              </w:tc>
              <w:tc>
                <w:tcPr>
                  <w:tcW w:w="3362" w:type="dxa"/>
                  <w:vAlign w:val="center"/>
                </w:tcPr>
                <w:p>
                  <w:pPr>
                    <w:pStyle w:val="47"/>
                    <w:jc w:val="center"/>
                    <w:rPr>
                      <w:rFonts w:hint="eastAsia"/>
                      <w:color w:val="auto"/>
                      <w:szCs w:val="21"/>
                    </w:rPr>
                  </w:pPr>
                  <w:r>
                    <w:rPr>
                      <w:rFonts w:hint="eastAsia" w:ascii="Times New Roman" w:cs="Times New Roman"/>
                      <w:color w:val="auto"/>
                      <w:sz w:val="21"/>
                      <w:szCs w:val="21"/>
                    </w:rPr>
                    <w:t>TSP</w:t>
                  </w:r>
                </w:p>
              </w:tc>
              <w:tc>
                <w:tcPr>
                  <w:tcW w:w="3363" w:type="dxa"/>
                  <w:vAlign w:val="center"/>
                </w:tcPr>
                <w:p>
                  <w:pPr>
                    <w:jc w:val="center"/>
                    <w:rPr>
                      <w:rFonts w:hint="default"/>
                      <w:color w:val="auto"/>
                      <w:szCs w:val="21"/>
                      <w:lang w:val="en-US"/>
                    </w:rPr>
                  </w:pPr>
                  <w:r>
                    <w:rPr>
                      <w:rFonts w:hint="eastAsia"/>
                      <w:color w:val="auto"/>
                      <w:szCs w:val="21"/>
                      <w:lang w:val="en-US" w:eastAsia="zh-CN"/>
                    </w:rPr>
                    <w:t>0.056</w:t>
                  </w:r>
                </w:p>
              </w:tc>
            </w:tr>
          </w:tbl>
          <w:p>
            <w:pPr>
              <w:pStyle w:val="29"/>
              <w:spacing w:line="336" w:lineRule="auto"/>
              <w:ind w:firstLine="472" w:firstLineChars="196"/>
              <w:rPr>
                <w:b/>
                <w:color w:val="auto"/>
                <w:kern w:val="2"/>
                <w:shd w:val="clear" w:color="auto" w:fill="auto"/>
              </w:rPr>
            </w:pPr>
            <w:r>
              <w:rPr>
                <w:rFonts w:hint="eastAsia"/>
                <w:b/>
                <w:color w:val="auto"/>
                <w:kern w:val="2"/>
                <w:shd w:val="clear" w:color="auto" w:fill="auto"/>
              </w:rPr>
              <w:t>二、水环境影响</w:t>
            </w:r>
            <w:bookmarkEnd w:id="21"/>
            <w:r>
              <w:rPr>
                <w:rFonts w:hint="eastAsia"/>
                <w:b/>
                <w:color w:val="auto"/>
                <w:kern w:val="2"/>
                <w:shd w:val="clear" w:color="auto" w:fill="auto"/>
              </w:rPr>
              <w:t>分析</w:t>
            </w:r>
          </w:p>
          <w:p>
            <w:pPr>
              <w:adjustRightInd w:val="0"/>
              <w:spacing w:line="360" w:lineRule="auto"/>
              <w:ind w:firstLine="482" w:firstLineChars="200"/>
              <w:rPr>
                <w:rFonts w:hint="eastAsia"/>
                <w:color w:val="auto"/>
                <w:sz w:val="24"/>
                <w:highlight w:val="none"/>
                <w:lang w:eastAsia="zh-CN"/>
              </w:rPr>
            </w:pPr>
            <w:r>
              <w:rPr>
                <w:rFonts w:hint="eastAsia" w:hAnsi="宋体"/>
                <w:b/>
                <w:color w:val="auto"/>
                <w:sz w:val="24"/>
                <w:shd w:val="clear" w:color="auto" w:fill="auto"/>
                <w:lang w:val="en-US" w:eastAsia="zh-CN"/>
              </w:rPr>
              <w:t>冷</w:t>
            </w:r>
            <w:r>
              <w:rPr>
                <w:rFonts w:hAnsi="宋体"/>
                <w:b/>
                <w:color w:val="auto"/>
                <w:sz w:val="24"/>
                <w:shd w:val="clear" w:color="auto" w:fill="auto"/>
              </w:rPr>
              <w:t>却用水：</w:t>
            </w:r>
            <w:r>
              <w:rPr>
                <w:rFonts w:hAnsi="宋体"/>
                <w:color w:val="auto"/>
                <w:sz w:val="24"/>
                <w:shd w:val="clear" w:color="auto" w:fill="auto"/>
              </w:rPr>
              <w:t>项目</w:t>
            </w:r>
            <w:r>
              <w:rPr>
                <w:rFonts w:hint="eastAsia" w:hAnsi="宋体"/>
                <w:color w:val="auto"/>
                <w:sz w:val="24"/>
                <w:shd w:val="clear" w:color="auto" w:fill="auto"/>
                <w:lang w:val="en-US" w:eastAsia="zh-CN"/>
              </w:rPr>
              <w:t>铸造</w:t>
            </w:r>
            <w:r>
              <w:rPr>
                <w:rFonts w:hAnsi="宋体"/>
                <w:color w:val="auto"/>
                <w:sz w:val="24"/>
                <w:shd w:val="clear" w:color="auto" w:fill="auto"/>
              </w:rPr>
              <w:t>工序中</w:t>
            </w:r>
            <w:r>
              <w:rPr>
                <w:rFonts w:hint="eastAsia" w:hAnsi="宋体"/>
                <w:color w:val="auto"/>
                <w:sz w:val="24"/>
                <w:shd w:val="clear" w:color="auto" w:fill="auto"/>
              </w:rPr>
              <w:t>需使用冷却塔进行</w:t>
            </w:r>
            <w:r>
              <w:rPr>
                <w:rFonts w:hAnsi="宋体"/>
                <w:color w:val="auto"/>
                <w:sz w:val="24"/>
                <w:shd w:val="clear" w:color="auto" w:fill="auto"/>
              </w:rPr>
              <w:t>冷却，冷却方式为间接冷却，冷却用水为普通的自来水，其中无需添加矿物油、乳化液等冷却剂，根据建设单位提供资料，</w:t>
            </w:r>
            <w:r>
              <w:rPr>
                <w:rFonts w:hint="eastAsia" w:hAnsi="宋体"/>
                <w:color w:val="auto"/>
                <w:sz w:val="24"/>
              </w:rPr>
              <w:t>项目冷却塔</w:t>
            </w:r>
            <w:r>
              <w:rPr>
                <w:rFonts w:hAnsi="宋体"/>
                <w:color w:val="auto"/>
                <w:sz w:val="24"/>
              </w:rPr>
              <w:t>循环水量为</w:t>
            </w:r>
            <w:r>
              <w:rPr>
                <w:rFonts w:hint="eastAsia"/>
                <w:color w:val="auto"/>
                <w:sz w:val="24"/>
                <w:lang w:val="en-US" w:eastAsia="zh-CN"/>
              </w:rPr>
              <w:t>2</w:t>
            </w:r>
            <w:r>
              <w:rPr>
                <w:rFonts w:hint="eastAsia"/>
                <w:color w:val="auto"/>
                <w:sz w:val="24"/>
              </w:rPr>
              <w:t>t</w:t>
            </w:r>
            <w:r>
              <w:rPr>
                <w:rStyle w:val="46"/>
                <w:rFonts w:hint="eastAsia"/>
                <w:color w:val="auto"/>
                <w:lang w:val="en-US" w:eastAsia="zh-CN"/>
              </w:rPr>
              <w:t>/h</w:t>
            </w:r>
            <w:r>
              <w:rPr>
                <w:rFonts w:hAnsi="宋体"/>
                <w:color w:val="auto"/>
                <w:sz w:val="24"/>
              </w:rPr>
              <w:t>，该冷却水循环使用，不外排，</w:t>
            </w:r>
            <w:r>
              <w:rPr>
                <w:rFonts w:hint="eastAsia"/>
                <w:color w:val="auto"/>
                <w:sz w:val="24"/>
              </w:rPr>
              <w:t>因受热等因素损失，需定期补充新鲜水，</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adjustRightInd w:val="0"/>
              <w:spacing w:line="360" w:lineRule="auto"/>
              <w:ind w:firstLine="482" w:firstLineChars="200"/>
              <w:rPr>
                <w:rFonts w:hint="eastAsia" w:hAnsi="宋体" w:eastAsia="宋体"/>
                <w:b/>
                <w:bCs/>
                <w:color w:val="auto"/>
                <w:sz w:val="24"/>
                <w:shd w:val="clear" w:color="auto" w:fill="auto"/>
                <w:lang w:eastAsia="zh-CN"/>
              </w:rPr>
            </w:pPr>
            <w:r>
              <w:rPr>
                <w:rFonts w:hint="eastAsia" w:hAnsi="宋体"/>
                <w:b/>
                <w:bCs/>
                <w:color w:val="auto"/>
                <w:sz w:val="24"/>
                <w:shd w:val="clear" w:color="auto" w:fill="auto"/>
                <w:lang w:eastAsia="zh-CN"/>
              </w:rPr>
              <w:t>测试用水：</w:t>
            </w:r>
            <w:r>
              <w:rPr>
                <w:rFonts w:hint="eastAsia" w:hAnsi="宋体"/>
                <w:b w:val="0"/>
                <w:bCs w:val="0"/>
                <w:color w:val="auto"/>
                <w:sz w:val="24"/>
                <w:shd w:val="clear" w:color="auto" w:fill="auto"/>
                <w:lang w:eastAsia="zh-CN"/>
              </w:rPr>
              <w:t>项目测试工序使用试水机对产品进行测试其性能，该</w:t>
            </w:r>
            <w:r>
              <w:rPr>
                <w:rFonts w:hAnsi="宋体"/>
                <w:color w:val="auto"/>
                <w:sz w:val="24"/>
                <w:shd w:val="clear" w:color="auto" w:fill="auto"/>
              </w:rPr>
              <w:t>用水为普通的自来水</w:t>
            </w:r>
            <w:r>
              <w:rPr>
                <w:rFonts w:hint="eastAsia" w:hAnsi="宋体"/>
                <w:b w:val="0"/>
                <w:bCs w:val="0"/>
                <w:color w:val="auto"/>
                <w:sz w:val="24"/>
                <w:shd w:val="clear" w:color="auto" w:fill="auto"/>
                <w:lang w:eastAsia="zh-CN"/>
              </w:rPr>
              <w:t>。</w:t>
            </w:r>
            <w:r>
              <w:rPr>
                <w:rFonts w:hAnsi="宋体"/>
                <w:color w:val="auto"/>
                <w:sz w:val="24"/>
                <w:shd w:val="clear" w:color="auto" w:fill="auto"/>
              </w:rPr>
              <w:t>根据建设单位提供资料，</w:t>
            </w:r>
            <w:r>
              <w:rPr>
                <w:rFonts w:hint="eastAsia" w:hAnsi="宋体"/>
                <w:b w:val="0"/>
                <w:bCs w:val="0"/>
                <w:color w:val="auto"/>
                <w:sz w:val="24"/>
                <w:shd w:val="clear" w:color="auto" w:fill="auto"/>
                <w:lang w:eastAsia="zh-CN"/>
              </w:rPr>
              <w:t>测试用水量较少，且循环使用，定期补充，不外排，年用量约3t/a。</w:t>
            </w:r>
          </w:p>
          <w:p>
            <w:pPr>
              <w:widowControl w:val="0"/>
              <w:spacing w:after="0" w:line="360" w:lineRule="auto"/>
              <w:ind w:right="170" w:firstLine="472" w:firstLineChars="196"/>
              <w:jc w:val="both"/>
              <w:rPr>
                <w:rFonts w:hint="default" w:ascii="Times New Roman" w:hAnsi="Times New Roman" w:eastAsia="宋体" w:cs="Times New Roman"/>
                <w:color w:val="auto"/>
                <w:kern w:val="2"/>
                <w:sz w:val="24"/>
                <w:szCs w:val="24"/>
              </w:rPr>
            </w:pPr>
            <w:r>
              <w:rPr>
                <w:rFonts w:hint="eastAsia" w:hAnsi="宋体"/>
                <w:b/>
                <w:color w:val="auto"/>
                <w:sz w:val="24"/>
                <w:lang w:eastAsia="zh-CN"/>
              </w:rPr>
              <w:t>喷淋废水</w:t>
            </w:r>
            <w:r>
              <w:rPr>
                <w:rFonts w:hint="eastAsia" w:hAnsi="宋体"/>
                <w:b/>
                <w:color w:val="auto"/>
                <w:sz w:val="24"/>
              </w:rPr>
              <w:t>：</w:t>
            </w:r>
            <w:r>
              <w:rPr>
                <w:rFonts w:hint="eastAsia" w:hAnsi="宋体"/>
                <w:color w:val="auto"/>
                <w:sz w:val="24"/>
              </w:rPr>
              <w:t>项目采用水喷淋</w:t>
            </w:r>
            <w:r>
              <w:rPr>
                <w:rFonts w:hint="eastAsia" w:hAnsi="宋体"/>
                <w:color w:val="auto"/>
                <w:sz w:val="24"/>
                <w:lang w:val="en-US" w:eastAsia="zh-CN"/>
              </w:rPr>
              <w:t>+UV光解</w:t>
            </w:r>
            <w:r>
              <w:rPr>
                <w:rFonts w:hint="eastAsia" w:hAnsi="宋体"/>
                <w:color w:val="auto"/>
                <w:sz w:val="24"/>
              </w:rPr>
              <w:t>装置对</w:t>
            </w:r>
            <w:r>
              <w:rPr>
                <w:rFonts w:hint="eastAsia" w:hAnsi="宋体"/>
                <w:color w:val="auto"/>
                <w:sz w:val="24"/>
                <w:lang w:val="en-US" w:eastAsia="zh-CN"/>
              </w:rPr>
              <w:t>熔化、铸造、制芯</w:t>
            </w:r>
            <w:r>
              <w:rPr>
                <w:rFonts w:hint="eastAsia" w:hAnsi="宋体"/>
                <w:color w:val="auto"/>
                <w:sz w:val="24"/>
              </w:rPr>
              <w:t>工序产生的</w:t>
            </w:r>
            <w:r>
              <w:rPr>
                <w:rFonts w:hint="eastAsia" w:hAnsi="宋体"/>
                <w:color w:val="auto"/>
                <w:sz w:val="24"/>
                <w:lang w:eastAsia="zh-CN"/>
              </w:rPr>
              <w:t>废气</w:t>
            </w:r>
            <w:r>
              <w:rPr>
                <w:rFonts w:hint="eastAsia" w:hAnsi="宋体"/>
                <w:color w:val="auto"/>
                <w:sz w:val="24"/>
              </w:rPr>
              <w:t>进行处理，</w:t>
            </w:r>
            <w:r>
              <w:rPr>
                <w:rFonts w:hint="eastAsia" w:hAnsi="宋体"/>
                <w:color w:val="auto"/>
                <w:sz w:val="24"/>
                <w:lang w:eastAsia="zh-CN"/>
              </w:rPr>
              <w:t>喷淋废水</w:t>
            </w:r>
            <w:r>
              <w:rPr>
                <w:rFonts w:hint="default" w:ascii="Times New Roman" w:hAnsi="Times New Roman" w:eastAsia="宋体" w:cs="Times New Roman"/>
                <w:color w:val="auto"/>
                <w:kern w:val="2"/>
                <w:sz w:val="24"/>
                <w:szCs w:val="24"/>
              </w:rPr>
              <w:t>经喷淋塔配套循环水池循环后使用，</w:t>
            </w:r>
            <w:r>
              <w:rPr>
                <w:rFonts w:hint="default" w:ascii="Times New Roman" w:hAnsi="Times New Roman" w:cs="Times New Roman"/>
                <w:color w:val="auto"/>
                <w:sz w:val="24"/>
              </w:rPr>
              <w:t>因受热等因素损失，需定期补充新鲜水，</w:t>
            </w:r>
            <w:r>
              <w:rPr>
                <w:rFonts w:hint="default" w:ascii="Times New Roman" w:hAnsi="Times New Roman" w:cs="Times New Roman"/>
                <w:color w:val="auto"/>
                <w:sz w:val="24"/>
                <w:lang w:eastAsia="zh-CN"/>
              </w:rPr>
              <w:t>根据建设单位提供的资料，水喷淋装置循环水池有效水容积为</w:t>
            </w:r>
            <w:r>
              <w:rPr>
                <w:rFonts w:hint="eastAsia" w:cs="Times New Roman"/>
                <w:color w:val="auto"/>
                <w:sz w:val="24"/>
                <w:lang w:val="en-US" w:eastAsia="zh-CN"/>
              </w:rPr>
              <w:t>1.5</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，水泵流量为0.5t/h</w:t>
            </w:r>
            <w:r>
              <w:rPr>
                <w:rFonts w:hint="eastAsia" w:cs="Times New Roman"/>
                <w:color w:val="auto"/>
                <w:sz w:val="24"/>
                <w:lang w:eastAsia="zh-CN"/>
              </w:rPr>
              <w:t>，每天工作8h，循环水量为4t/d</w:t>
            </w:r>
            <w:r>
              <w:rPr>
                <w:rFonts w:hint="default" w:ascii="Times New Roman" w:hAnsi="Times New Roman" w:cs="Times New Roman"/>
                <w:color w:val="auto"/>
                <w:sz w:val="24"/>
                <w:lang w:val="en-US" w:eastAsia="zh-CN"/>
              </w:rPr>
              <w:t>，</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s="Times New Roman"/>
                <w:color w:val="auto"/>
                <w:sz w:val="24"/>
                <w:lang w:val="en-US" w:eastAsia="zh-CN"/>
              </w:rPr>
              <w:t>0.08</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w:t>
            </w:r>
            <w:r>
              <w:rPr>
                <w:rFonts w:hint="eastAsia" w:cs="Times New Roman"/>
                <w:color w:val="auto"/>
                <w:sz w:val="24"/>
                <w:lang w:val="en-US" w:eastAsia="zh-CN"/>
              </w:rPr>
              <w:t>24</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喷淋废水</w:t>
            </w:r>
            <w:r>
              <w:rPr>
                <w:rFonts w:hint="eastAsia" w:ascii="Times New Roman" w:hAnsi="Times New Roman" w:cs="Times New Roman"/>
                <w:bCs/>
                <w:color w:val="auto"/>
                <w:sz w:val="24"/>
                <w:szCs w:val="24"/>
                <w:highlight w:val="none"/>
                <w:lang w:eastAsia="zh-CN"/>
              </w:rPr>
              <w:t>循环</w:t>
            </w:r>
            <w:r>
              <w:rPr>
                <w:rFonts w:hint="default" w:ascii="Times New Roman" w:hAnsi="Times New Roman" w:cs="Times New Roman"/>
                <w:bCs/>
                <w:color w:val="auto"/>
                <w:sz w:val="24"/>
                <w:szCs w:val="24"/>
                <w:highlight w:val="none"/>
              </w:rPr>
              <w:t>一段时间后需定期更换</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2"/>
                <w:highlight w:val="none"/>
              </w:rPr>
              <w:t>每</w:t>
            </w:r>
            <w:r>
              <w:rPr>
                <w:rFonts w:hint="eastAsia"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rPr>
              <w:t>个月更换一次，更换水量为</w:t>
            </w:r>
            <w:r>
              <w:rPr>
                <w:rFonts w:hint="eastAsia" w:cs="Times New Roman"/>
                <w:color w:val="auto"/>
                <w:sz w:val="24"/>
                <w:szCs w:val="22"/>
                <w:highlight w:val="none"/>
                <w:lang w:val="en-US" w:eastAsia="zh-CN"/>
              </w:rPr>
              <w:t>1.5</w:t>
            </w:r>
            <w:r>
              <w:rPr>
                <w:rFonts w:hint="default" w:ascii="Times New Roman" w:hAnsi="Times New Roman" w:cs="Times New Roman"/>
                <w:color w:val="auto"/>
                <w:sz w:val="24"/>
                <w:szCs w:val="22"/>
                <w:highlight w:val="none"/>
              </w:rPr>
              <w:t>吨/次，则更换废水产生量为</w:t>
            </w:r>
            <w:r>
              <w:rPr>
                <w:rFonts w:hint="eastAsia" w:cs="Times New Roman"/>
                <w:color w:val="auto"/>
                <w:sz w:val="24"/>
                <w:szCs w:val="22"/>
                <w:highlight w:val="none"/>
                <w:lang w:val="en-US" w:eastAsia="zh-CN"/>
              </w:rPr>
              <w:t>6</w:t>
            </w:r>
            <w:r>
              <w:rPr>
                <w:rFonts w:hint="default" w:ascii="Times New Roman" w:hAnsi="Times New Roman" w:cs="Times New Roman"/>
                <w:color w:val="auto"/>
                <w:sz w:val="24"/>
                <w:szCs w:val="22"/>
                <w:highlight w:val="none"/>
              </w:rPr>
              <w:t>t/a。该废水经收集后</w:t>
            </w:r>
            <w:r>
              <w:rPr>
                <w:rFonts w:hint="eastAsia" w:cs="Times New Roman"/>
                <w:color w:val="auto"/>
                <w:sz w:val="24"/>
                <w:szCs w:val="22"/>
                <w:highlight w:val="none"/>
                <w:lang w:eastAsia="zh-CN"/>
              </w:rPr>
              <w:t>定期交具有零星废水处理资质的单位处理，不外排</w:t>
            </w:r>
            <w:r>
              <w:rPr>
                <w:rFonts w:hint="default" w:ascii="Times New Roman" w:hAnsi="Times New Roman" w:cs="Times New Roman"/>
                <w:color w:val="auto"/>
                <w:sz w:val="24"/>
                <w:szCs w:val="22"/>
                <w:highlight w:val="none"/>
              </w:rPr>
              <w:t>。</w:t>
            </w:r>
          </w:p>
          <w:p>
            <w:pPr>
              <w:spacing w:line="360" w:lineRule="auto"/>
              <w:ind w:firstLine="482" w:firstLineChars="200"/>
              <w:rPr>
                <w:bCs/>
                <w:color w:val="auto"/>
                <w:sz w:val="24"/>
                <w:szCs w:val="20"/>
                <w:shd w:val="clear" w:color="auto" w:fill="auto"/>
              </w:rPr>
            </w:pPr>
            <w:r>
              <w:rPr>
                <w:rFonts w:hint="eastAsia"/>
                <w:b/>
                <w:color w:val="auto"/>
                <w:sz w:val="24"/>
                <w:shd w:val="clear" w:color="auto" w:fill="auto"/>
              </w:rPr>
              <w:t>生活污水：</w:t>
            </w:r>
            <w:r>
              <w:rPr>
                <w:rFonts w:hint="eastAsia"/>
                <w:color w:val="auto"/>
                <w:sz w:val="24"/>
                <w:shd w:val="clear" w:color="auto" w:fill="auto"/>
              </w:rPr>
              <w:t>项目</w:t>
            </w:r>
            <w:r>
              <w:rPr>
                <w:color w:val="auto"/>
                <w:sz w:val="24"/>
                <w:shd w:val="clear" w:color="auto" w:fill="auto"/>
              </w:rPr>
              <w:t>员工生活污水排放量为</w:t>
            </w:r>
            <w:r>
              <w:rPr>
                <w:rFonts w:hint="eastAsia"/>
                <w:color w:val="auto"/>
                <w:sz w:val="24"/>
                <w:shd w:val="clear" w:color="auto" w:fill="auto"/>
                <w:lang w:val="en-US" w:eastAsia="zh-CN"/>
              </w:rPr>
              <w:t>756</w:t>
            </w:r>
            <w:r>
              <w:rPr>
                <w:color w:val="auto"/>
                <w:sz w:val="24"/>
                <w:shd w:val="clear" w:color="auto" w:fill="auto"/>
              </w:rPr>
              <w:t>t/a</w:t>
            </w:r>
            <w:r>
              <w:rPr>
                <w:rFonts w:hint="eastAsia"/>
                <w:color w:val="auto"/>
                <w:sz w:val="24"/>
                <w:shd w:val="clear" w:color="auto" w:fill="auto"/>
              </w:rPr>
              <w:t>，</w:t>
            </w:r>
            <w:r>
              <w:rPr>
                <w:color w:val="auto"/>
                <w:sz w:val="24"/>
                <w:shd w:val="clear" w:color="auto" w:fill="auto"/>
              </w:rPr>
              <w:t>主要污染物为COD</w:t>
            </w:r>
            <w:r>
              <w:rPr>
                <w:color w:val="auto"/>
                <w:sz w:val="24"/>
                <w:shd w:val="clear" w:color="auto" w:fill="auto"/>
                <w:vertAlign w:val="subscript"/>
              </w:rPr>
              <w:t>cr</w:t>
            </w:r>
            <w:r>
              <w:rPr>
                <w:color w:val="auto"/>
                <w:sz w:val="24"/>
                <w:shd w:val="clear" w:color="auto" w:fill="auto"/>
              </w:rPr>
              <w:t>、BOD</w:t>
            </w:r>
            <w:r>
              <w:rPr>
                <w:color w:val="auto"/>
                <w:sz w:val="24"/>
                <w:shd w:val="clear" w:color="auto" w:fill="auto"/>
                <w:vertAlign w:val="subscript"/>
              </w:rPr>
              <w:t>5</w:t>
            </w:r>
            <w:r>
              <w:rPr>
                <w:color w:val="auto"/>
                <w:sz w:val="24"/>
                <w:shd w:val="clear" w:color="auto" w:fill="auto"/>
              </w:rPr>
              <w:t>、SS、NH</w:t>
            </w:r>
            <w:r>
              <w:rPr>
                <w:color w:val="auto"/>
                <w:sz w:val="24"/>
                <w:shd w:val="clear" w:color="auto" w:fill="auto"/>
                <w:vertAlign w:val="subscript"/>
              </w:rPr>
              <w:t>3</w:t>
            </w:r>
            <w:r>
              <w:rPr>
                <w:color w:val="auto"/>
                <w:sz w:val="24"/>
                <w:shd w:val="clear" w:color="auto" w:fill="auto"/>
              </w:rPr>
              <w:t>-N等。</w:t>
            </w:r>
            <w:r>
              <w:rPr>
                <w:rFonts w:hint="eastAsia"/>
                <w:bCs/>
                <w:color w:val="auto"/>
                <w:sz w:val="24"/>
                <w:shd w:val="clear" w:color="auto" w:fill="auto"/>
              </w:rPr>
              <w:t>项目生活污水经三级化粪池预处理后，</w:t>
            </w:r>
            <w:r>
              <w:rPr>
                <w:rFonts w:hint="eastAsia" w:cs="Times New Roman"/>
                <w:color w:val="auto"/>
                <w:sz w:val="24"/>
                <w:szCs w:val="24"/>
                <w:highlight w:val="none"/>
                <w:lang w:eastAsia="zh-CN"/>
              </w:rPr>
              <w:t>达到广东省地方标准《水污染物排放限值》（DB44/26-2001）第二时段三级标准和《污水排入城镇下水道水质标准》(GB/T31962-2015 )B级标准较严者排放至市政污水管网，然后引至开平市水口污水处理厂处理后达到《城镇污水处理厂污染物排放标准》（GB18918-2002）中一级A 标准及广东省地方标准《水污染物排放限值》（DB44/26-2001）第二时段一级标准的较严值后排放。</w:t>
            </w:r>
            <w:r>
              <w:rPr>
                <w:color w:val="auto"/>
                <w:sz w:val="24"/>
                <w:shd w:val="clear" w:color="auto" w:fill="auto"/>
              </w:rPr>
              <w:t>项目产生</w:t>
            </w:r>
            <w:r>
              <w:rPr>
                <w:rFonts w:hint="eastAsia"/>
                <w:color w:val="auto"/>
                <w:sz w:val="24"/>
                <w:shd w:val="clear" w:color="auto" w:fill="auto"/>
                <w:lang w:eastAsia="zh-CN"/>
              </w:rPr>
              <w:t>的</w:t>
            </w:r>
            <w:r>
              <w:rPr>
                <w:color w:val="auto"/>
                <w:sz w:val="24"/>
                <w:shd w:val="clear" w:color="auto" w:fill="auto"/>
              </w:rPr>
              <w:t>污水经处理后水污染物得到一定量削减，减轻了污水排放对纳污水体的污染负荷，有利于水环境保护</w:t>
            </w:r>
            <w:r>
              <w:rPr>
                <w:rFonts w:hint="eastAsia"/>
                <w:color w:val="auto"/>
                <w:sz w:val="24"/>
                <w:shd w:val="clear" w:color="auto" w:fill="auto"/>
              </w:rPr>
              <w:t>，</w:t>
            </w:r>
            <w:r>
              <w:rPr>
                <w:bCs/>
                <w:color w:val="auto"/>
                <w:sz w:val="24"/>
                <w:szCs w:val="20"/>
                <w:shd w:val="clear" w:color="auto" w:fill="auto"/>
              </w:rPr>
              <w:t>则项目污水对周围环境影响不大。</w:t>
            </w:r>
          </w:p>
          <w:p>
            <w:pPr>
              <w:spacing w:line="360" w:lineRule="auto"/>
              <w:ind w:firstLine="482" w:firstLineChars="200"/>
              <w:rPr>
                <w:rFonts w:hint="eastAsia" w:eastAsia="宋体"/>
                <w:b/>
                <w:color w:val="auto"/>
                <w:sz w:val="24"/>
                <w:shd w:val="clear" w:color="auto" w:fill="auto"/>
                <w:lang w:eastAsia="zh-CN"/>
              </w:rPr>
            </w:pPr>
            <w:r>
              <w:rPr>
                <w:b/>
                <w:color w:val="auto"/>
                <w:sz w:val="24"/>
                <w:shd w:val="clear" w:color="auto" w:fill="auto"/>
              </w:rPr>
              <w:t>污水处理厂简介：</w:t>
            </w:r>
            <w:r>
              <w:rPr>
                <w:rFonts w:hint="eastAsia"/>
                <w:b w:val="0"/>
                <w:bCs/>
                <w:color w:val="auto"/>
                <w:sz w:val="24"/>
                <w:shd w:val="clear" w:color="auto" w:fill="auto"/>
              </w:rPr>
              <w:t>水口污水处理厂位于水口镇泮兴路16号，设计处理规模为</w:t>
            </w:r>
            <w:r>
              <w:rPr>
                <w:rFonts w:hint="eastAsia"/>
                <w:b w:val="0"/>
                <w:bCs/>
                <w:color w:val="auto"/>
                <w:sz w:val="24"/>
                <w:shd w:val="clear" w:color="auto" w:fill="auto"/>
                <w:lang w:val="en-US" w:eastAsia="zh-CN"/>
              </w:rPr>
              <w:t>15000</w:t>
            </w:r>
            <w:r>
              <w:rPr>
                <w:rFonts w:hint="eastAsia"/>
                <w:b w:val="0"/>
                <w:bCs/>
                <w:color w:val="auto"/>
                <w:sz w:val="24"/>
                <w:shd w:val="clear" w:color="auto" w:fill="auto"/>
              </w:rPr>
              <w:t>吨/天，水口污水处理厂主要收集水口镇新市、东方红、泮村、泮南、永安等管理区和第二、第四工业园的生活污水</w:t>
            </w:r>
            <w:r>
              <w:rPr>
                <w:rFonts w:hint="eastAsia"/>
                <w:b w:val="0"/>
                <w:bCs/>
                <w:color w:val="auto"/>
                <w:sz w:val="24"/>
                <w:shd w:val="clear" w:color="auto" w:fill="auto"/>
                <w:lang w:eastAsia="zh-CN"/>
              </w:rPr>
              <w:t>。</w:t>
            </w:r>
            <w:r>
              <w:rPr>
                <w:rFonts w:hint="eastAsia"/>
                <w:b w:val="0"/>
                <w:bCs/>
                <w:color w:val="auto"/>
                <w:sz w:val="24"/>
                <w:shd w:val="clear" w:color="auto" w:fill="auto"/>
              </w:rPr>
              <w:t>工程占地面积</w:t>
            </w:r>
            <w:r>
              <w:rPr>
                <w:rFonts w:hint="eastAsia"/>
                <w:b w:val="0"/>
                <w:bCs/>
                <w:color w:val="auto"/>
                <w:sz w:val="24"/>
                <w:shd w:val="clear" w:color="auto" w:fill="auto"/>
                <w:lang w:val="en-US" w:eastAsia="zh-CN"/>
              </w:rPr>
              <w:t>12000</w:t>
            </w:r>
            <w:r>
              <w:rPr>
                <w:rFonts w:hint="eastAsia"/>
                <w:b w:val="0"/>
                <w:bCs/>
                <w:color w:val="auto"/>
                <w:sz w:val="24"/>
                <w:shd w:val="clear" w:color="auto" w:fill="auto"/>
              </w:rPr>
              <w:t>平方米。水口污水处理厂于2007 年开始开工建设，于2009年12月建成并开始试运行，采用“CASS”处理工艺，该方案成熟可靠，在正常运营的情况下，尾水完全可以达到既定标准的要求</w:t>
            </w:r>
            <w:r>
              <w:rPr>
                <w:rFonts w:hint="eastAsia"/>
                <w:b w:val="0"/>
                <w:bCs/>
                <w:color w:val="auto"/>
                <w:sz w:val="24"/>
                <w:shd w:val="clear" w:color="auto" w:fill="auto"/>
                <w:lang w:eastAsia="zh-CN"/>
              </w:rPr>
              <w:t>。</w:t>
            </w:r>
          </w:p>
          <w:p>
            <w:pPr>
              <w:widowControl w:val="0"/>
              <w:spacing w:line="360" w:lineRule="auto"/>
              <w:ind w:firstLine="482" w:firstLineChars="200"/>
              <w:jc w:val="both"/>
              <w:rPr>
                <w:rFonts w:hint="default" w:ascii="Times New Roman" w:hAnsi="Times New Roman" w:cs="Times New Roman" w:eastAsiaTheme="minorEastAsia"/>
                <w:b/>
                <w:bCs/>
                <w:color w:val="auto"/>
                <w:kern w:val="2"/>
                <w:sz w:val="24"/>
                <w:szCs w:val="24"/>
                <w:highlight w:val="none"/>
                <w:lang w:val="en-US" w:eastAsia="zh-CN" w:bidi="ar-SA"/>
              </w:rPr>
            </w:pPr>
            <w:bookmarkStart w:id="22" w:name="_Toc364331276"/>
            <w:bookmarkStart w:id="23" w:name="_Toc364763647"/>
            <w:r>
              <w:rPr>
                <w:rFonts w:hint="default" w:ascii="Times New Roman" w:hAnsi="Times New Roman" w:cs="Times New Roman" w:eastAsiaTheme="minorEastAsia"/>
                <w:b/>
                <w:bCs/>
                <w:color w:val="auto"/>
                <w:kern w:val="2"/>
                <w:sz w:val="24"/>
                <w:szCs w:val="24"/>
                <w:highlight w:val="none"/>
                <w:lang w:val="en-US" w:eastAsia="zh-CN" w:bidi="ar-SA"/>
              </w:rPr>
              <w:t>地表水环境影响评价</w:t>
            </w:r>
          </w:p>
          <w:p>
            <w:pPr>
              <w:widowControl w:val="0"/>
              <w:spacing w:line="360" w:lineRule="auto"/>
              <w:ind w:firstLine="480" w:firstLineChars="200"/>
              <w:jc w:val="both"/>
              <w:rPr>
                <w:rFonts w:hint="default" w:ascii="Times New Roman" w:hAnsi="Times New Roman" w:cs="Times New Roman" w:eastAsiaTheme="minorEastAsia"/>
                <w:color w:val="auto"/>
                <w:kern w:val="2"/>
                <w:sz w:val="24"/>
                <w:szCs w:val="24"/>
                <w:highlight w:val="none"/>
                <w:lang w:val="en-US" w:eastAsia="zh-CN" w:bidi="ar-SA"/>
              </w:rPr>
            </w:pPr>
            <w:r>
              <w:rPr>
                <w:rFonts w:hint="default" w:ascii="Times New Roman" w:hAnsi="Times New Roman" w:cs="Times New Roman" w:eastAsiaTheme="minorEastAsia"/>
                <w:color w:val="auto"/>
                <w:kern w:val="2"/>
                <w:sz w:val="24"/>
                <w:szCs w:val="24"/>
                <w:highlight w:val="none"/>
                <w:lang w:val="en-US" w:eastAsia="zh-CN" w:bidi="ar-SA"/>
              </w:rPr>
              <w:t>（1）评价等级确定</w:t>
            </w:r>
          </w:p>
          <w:p>
            <w:pPr>
              <w:widowControl w:val="0"/>
              <w:spacing w:line="360" w:lineRule="auto"/>
              <w:ind w:firstLine="480" w:firstLineChars="200"/>
              <w:jc w:val="both"/>
              <w:rPr>
                <w:rFonts w:hint="default" w:ascii="Times New Roman" w:hAnsi="Times New Roman" w:cs="Times New Roman"/>
                <w:color w:val="auto"/>
                <w:highlight w:val="none"/>
                <w:lang w:val="en-US" w:eastAsia="zh-CN"/>
              </w:rPr>
            </w:pPr>
            <w:r>
              <w:rPr>
                <w:rFonts w:hint="default" w:ascii="Times New Roman" w:hAnsi="Times New Roman" w:cs="Times New Roman" w:eastAsiaTheme="minorEastAsia"/>
                <w:color w:val="auto"/>
                <w:kern w:val="2"/>
                <w:sz w:val="24"/>
                <w:szCs w:val="24"/>
                <w:highlight w:val="none"/>
                <w:lang w:val="en-US" w:eastAsia="zh-CN" w:bidi="ar-SA"/>
              </w:rPr>
              <w:t>根据《环境影响评价技术导则地表水环境（HJ 2.3</w:t>
            </w:r>
            <w:r>
              <w:rPr>
                <w:rFonts w:hint="eastAsia" w:ascii="Times New Roman" w:hAnsi="Times New Roman" w:cs="Times New Roman" w:eastAsiaTheme="minorEastAsia"/>
                <w:color w:val="auto"/>
                <w:kern w:val="2"/>
                <w:sz w:val="24"/>
                <w:szCs w:val="24"/>
                <w:highlight w:val="none"/>
                <w:lang w:val="en-US" w:eastAsia="zh-CN" w:bidi="ar-SA"/>
              </w:rPr>
              <w:t>-</w:t>
            </w:r>
            <w:r>
              <w:rPr>
                <w:rFonts w:hint="default" w:ascii="Times New Roman" w:hAnsi="Times New Roman" w:cs="Times New Roman" w:eastAsiaTheme="minorEastAsia"/>
                <w:color w:val="auto"/>
                <w:kern w:val="2"/>
                <w:sz w:val="24"/>
                <w:szCs w:val="24"/>
                <w:highlight w:val="none"/>
                <w:lang w:val="en-US" w:eastAsia="zh-CN" w:bidi="ar-SA"/>
              </w:rPr>
              <w:t>2018）》按照建设项目的影响类型、排放方式、排放量或影响情况、受纳水体环境质量现状、水环境保护目标等综合确定，水污染影响型建设项目评价等级判定依据见表</w:t>
            </w:r>
            <w:r>
              <w:rPr>
                <w:rFonts w:hint="eastAsia" w:ascii="Times New Roman" w:hAnsi="Times New Roman" w:cs="Times New Roman" w:eastAsiaTheme="minorEastAsia"/>
                <w:color w:val="auto"/>
                <w:kern w:val="2"/>
                <w:sz w:val="24"/>
                <w:szCs w:val="24"/>
                <w:highlight w:val="none"/>
                <w:lang w:val="en-US" w:eastAsia="zh-CN" w:bidi="ar-SA"/>
              </w:rPr>
              <w:t>4</w:t>
            </w:r>
            <w:r>
              <w:rPr>
                <w:rFonts w:hint="eastAsia" w:cs="Times New Roman" w:eastAsiaTheme="minorEastAsia"/>
                <w:color w:val="auto"/>
                <w:kern w:val="2"/>
                <w:sz w:val="24"/>
                <w:szCs w:val="24"/>
                <w:highlight w:val="none"/>
                <w:lang w:val="en-US" w:eastAsia="zh-CN" w:bidi="ar-SA"/>
              </w:rPr>
              <w:t>6</w:t>
            </w:r>
            <w:r>
              <w:rPr>
                <w:rFonts w:hint="default" w:ascii="Times New Roman" w:hAnsi="Times New Roman" w:cs="Times New Roman" w:eastAsiaTheme="minorEastAsia"/>
                <w:color w:val="auto"/>
                <w:kern w:val="2"/>
                <w:sz w:val="24"/>
                <w:szCs w:val="24"/>
                <w:highlight w:val="none"/>
                <w:lang w:val="en-US" w:eastAsia="zh-CN" w:bidi="ar-SA"/>
              </w:rPr>
              <w:t>。根据工程分析，本项目的等级判定参数见</w:t>
            </w:r>
            <w:r>
              <w:rPr>
                <w:rFonts w:hint="eastAsia" w:ascii="Times New Roman" w:hAnsi="Times New Roman" w:cs="Times New Roman" w:eastAsiaTheme="minorEastAsia"/>
                <w:color w:val="auto"/>
                <w:kern w:val="2"/>
                <w:sz w:val="24"/>
                <w:szCs w:val="24"/>
                <w:highlight w:val="none"/>
                <w:lang w:val="en-US" w:eastAsia="zh-CN" w:bidi="ar-SA"/>
              </w:rPr>
              <w:t>表4</w:t>
            </w:r>
            <w:r>
              <w:rPr>
                <w:rFonts w:hint="eastAsia" w:cs="Times New Roman" w:eastAsiaTheme="minorEastAsia"/>
                <w:color w:val="auto"/>
                <w:kern w:val="2"/>
                <w:sz w:val="24"/>
                <w:szCs w:val="24"/>
                <w:highlight w:val="none"/>
                <w:lang w:val="en-US" w:eastAsia="zh-CN" w:bidi="ar-SA"/>
              </w:rPr>
              <w:t>7</w:t>
            </w:r>
            <w:r>
              <w:rPr>
                <w:rFonts w:hint="default" w:ascii="Times New Roman" w:hAnsi="Times New Roman" w:cs="Times New Roman" w:eastAsiaTheme="minorEastAsia"/>
                <w:color w:val="auto"/>
                <w:kern w:val="2"/>
                <w:sz w:val="24"/>
                <w:szCs w:val="24"/>
                <w:highlight w:val="none"/>
                <w:lang w:val="en-US" w:eastAsia="zh-CN" w:bidi="ar-SA"/>
              </w:rPr>
              <w:t>，判定结果为三级B。</w:t>
            </w:r>
          </w:p>
          <w:p>
            <w:pPr>
              <w:widowControl/>
              <w:numPr>
                <w:ilvl w:val="0"/>
                <w:numId w:val="5"/>
              </w:numPr>
              <w:tabs>
                <w:tab w:val="left" w:pos="420"/>
              </w:tabs>
              <w:adjustRightInd w:val="0"/>
              <w:snapToGrid w:val="0"/>
              <w:spacing w:line="36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 xml:space="preserve">  水污染影响型建设项目评价等级判定依据</w:t>
            </w:r>
          </w:p>
          <w:tbl>
            <w:tblPr>
              <w:tblStyle w:val="40"/>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9"/>
              <w:gridCol w:w="2949"/>
              <w:gridCol w:w="2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评价等级</w:t>
                  </w:r>
                </w:p>
              </w:tc>
              <w:tc>
                <w:tcPr>
                  <w:tcW w:w="5895" w:type="dxa"/>
                  <w:gridSpan w:val="2"/>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排放方式</w:t>
                  </w:r>
                </w:p>
              </w:tc>
              <w:tc>
                <w:tcPr>
                  <w:tcW w:w="294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废水排放量（Q/m</w:t>
                  </w:r>
                  <w:r>
                    <w:rPr>
                      <w:rFonts w:hint="default" w:ascii="Times New Roman" w:hAnsi="Times New Roman" w:cs="Times New Roman" w:eastAsiaTheme="minorEastAsia"/>
                      <w:color w:val="auto"/>
                      <w:kern w:val="2"/>
                      <w:sz w:val="21"/>
                      <w:szCs w:val="21"/>
                      <w:highlight w:val="none"/>
                      <w:vertAlign w:val="superscript"/>
                      <w:lang w:val="en-US" w:eastAsia="zh-CN" w:bidi="ar-SA"/>
                    </w:rPr>
                    <w:t>3</w:t>
                  </w:r>
                  <w:r>
                    <w:rPr>
                      <w:rFonts w:hint="default" w:ascii="Times New Roman" w:hAnsi="Times New Roman" w:cs="Times New Roman" w:eastAsiaTheme="minorEastAsia"/>
                      <w:color w:val="auto"/>
                      <w:kern w:val="2"/>
                      <w:sz w:val="21"/>
                      <w:szCs w:val="21"/>
                      <w:highlight w:val="none"/>
                      <w:lang w:val="en-US" w:eastAsia="zh-CN" w:bidi="ar-SA"/>
                    </w:rPr>
                    <w:t>/d）</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一级</w:t>
                  </w:r>
                </w:p>
              </w:tc>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直接排放</w:t>
                  </w:r>
                </w:p>
              </w:tc>
              <w:tc>
                <w:tcPr>
                  <w:tcW w:w="294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二级</w:t>
                  </w:r>
                </w:p>
              </w:tc>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直接排放</w:t>
                  </w:r>
                </w:p>
              </w:tc>
              <w:tc>
                <w:tcPr>
                  <w:tcW w:w="294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三级A</w:t>
                  </w:r>
                </w:p>
              </w:tc>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直接排放</w:t>
                  </w:r>
                </w:p>
              </w:tc>
              <w:tc>
                <w:tcPr>
                  <w:tcW w:w="294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三级B</w:t>
                  </w:r>
                </w:p>
              </w:tc>
              <w:tc>
                <w:tcPr>
                  <w:tcW w:w="294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间接排放</w:t>
                  </w:r>
                </w:p>
              </w:tc>
              <w:tc>
                <w:tcPr>
                  <w:tcW w:w="294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w:t>
                  </w:r>
                </w:p>
              </w:tc>
            </w:tr>
          </w:tbl>
          <w:p>
            <w:pPr>
              <w:widowControl/>
              <w:numPr>
                <w:ilvl w:val="0"/>
                <w:numId w:val="5"/>
              </w:numPr>
              <w:tabs>
                <w:tab w:val="left" w:pos="420"/>
              </w:tabs>
              <w:adjustRightInd w:val="0"/>
              <w:snapToGrid w:val="0"/>
              <w:spacing w:line="36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 xml:space="preserve"> 本项目的等级判定结果</w:t>
            </w:r>
          </w:p>
          <w:tbl>
            <w:tblPr>
              <w:tblStyle w:val="41"/>
              <w:tblW w:w="88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6"/>
              <w:gridCol w:w="2713"/>
              <w:gridCol w:w="4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09" w:type="dxa"/>
                  <w:gridSpan w:val="2"/>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影响类型</w:t>
                  </w:r>
                </w:p>
              </w:tc>
              <w:tc>
                <w:tcPr>
                  <w:tcW w:w="458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水污染影响型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4309" w:type="dxa"/>
                  <w:gridSpan w:val="2"/>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排放方式</w:t>
                  </w:r>
                </w:p>
              </w:tc>
              <w:tc>
                <w:tcPr>
                  <w:tcW w:w="458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间接排放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6"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水环境保护目标</w:t>
                  </w:r>
                </w:p>
              </w:tc>
              <w:tc>
                <w:tcPr>
                  <w:tcW w:w="271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是否涉及保护目标</w:t>
                  </w:r>
                </w:p>
              </w:tc>
              <w:tc>
                <w:tcPr>
                  <w:tcW w:w="458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59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271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保护目标</w:t>
                  </w:r>
                </w:p>
              </w:tc>
              <w:tc>
                <w:tcPr>
                  <w:tcW w:w="458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09" w:type="dxa"/>
                  <w:gridSpan w:val="2"/>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等级判定结果</w:t>
                  </w:r>
                </w:p>
              </w:tc>
              <w:tc>
                <w:tcPr>
                  <w:tcW w:w="4586"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三级B</w:t>
                  </w:r>
                </w:p>
              </w:tc>
            </w:tr>
          </w:tbl>
          <w:p>
            <w:pPr>
              <w:widowControl/>
              <w:numPr>
                <w:ilvl w:val="0"/>
                <w:numId w:val="5"/>
              </w:numPr>
              <w:tabs>
                <w:tab w:val="left" w:pos="420"/>
              </w:tabs>
              <w:adjustRightInd w:val="0"/>
              <w:snapToGrid w:val="0"/>
              <w:spacing w:line="36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废水类别、污染物及污染治理设施信息表</w:t>
            </w:r>
          </w:p>
          <w:tbl>
            <w:tblPr>
              <w:tblStyle w:val="41"/>
              <w:tblW w:w="91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40"/>
              <w:gridCol w:w="532"/>
              <w:gridCol w:w="815"/>
              <w:gridCol w:w="534"/>
              <w:gridCol w:w="1105"/>
              <w:gridCol w:w="824"/>
              <w:gridCol w:w="921"/>
              <w:gridCol w:w="921"/>
              <w:gridCol w:w="858"/>
              <w:gridCol w:w="741"/>
              <w:gridCol w:w="1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8" w:hRule="atLeast"/>
                <w:jc w:val="center"/>
              </w:trPr>
              <w:tc>
                <w:tcPr>
                  <w:tcW w:w="34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序号</w:t>
                  </w:r>
                </w:p>
              </w:tc>
              <w:tc>
                <w:tcPr>
                  <w:tcW w:w="532"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废水类别</w:t>
                  </w:r>
                </w:p>
              </w:tc>
              <w:tc>
                <w:tcPr>
                  <w:tcW w:w="81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污染物种类</w:t>
                  </w:r>
                </w:p>
              </w:tc>
              <w:tc>
                <w:tcPr>
                  <w:tcW w:w="534"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排放去向</w:t>
                  </w:r>
                </w:p>
              </w:tc>
              <w:tc>
                <w:tcPr>
                  <w:tcW w:w="110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排放规律</w:t>
                  </w:r>
                </w:p>
              </w:tc>
              <w:tc>
                <w:tcPr>
                  <w:tcW w:w="2666" w:type="dxa"/>
                  <w:gridSpan w:val="3"/>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污染防治设施</w:t>
                  </w:r>
                </w:p>
              </w:tc>
              <w:tc>
                <w:tcPr>
                  <w:tcW w:w="858"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排放口</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编号</w:t>
                  </w:r>
                </w:p>
              </w:tc>
              <w:tc>
                <w:tcPr>
                  <w:tcW w:w="741"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排放口设置是否符合要求</w:t>
                  </w:r>
                </w:p>
              </w:tc>
              <w:tc>
                <w:tcPr>
                  <w:tcW w:w="1534"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9" w:hRule="atLeast"/>
                <w:jc w:val="center"/>
              </w:trPr>
              <w:tc>
                <w:tcPr>
                  <w:tcW w:w="34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53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81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534"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10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82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污染设施施编号</w:t>
                  </w:r>
                </w:p>
              </w:tc>
              <w:tc>
                <w:tcPr>
                  <w:tcW w:w="921"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污染治理设施名称</w:t>
                  </w:r>
                </w:p>
              </w:tc>
              <w:tc>
                <w:tcPr>
                  <w:tcW w:w="921"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污染治理设施工艺</w:t>
                  </w:r>
                </w:p>
              </w:tc>
              <w:tc>
                <w:tcPr>
                  <w:tcW w:w="858"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74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534"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17" w:hRule="atLeast"/>
                <w:jc w:val="center"/>
              </w:trPr>
              <w:tc>
                <w:tcPr>
                  <w:tcW w:w="340"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w:t>
                  </w:r>
                </w:p>
              </w:tc>
              <w:tc>
                <w:tcPr>
                  <w:tcW w:w="532"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生活污水</w:t>
                  </w:r>
                </w:p>
              </w:tc>
              <w:tc>
                <w:tcPr>
                  <w:tcW w:w="815"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COD、</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BOD、</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氨氮等</w:t>
                  </w:r>
                </w:p>
              </w:tc>
              <w:tc>
                <w:tcPr>
                  <w:tcW w:w="53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进入</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城市</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污水</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处理厂</w:t>
                  </w:r>
                </w:p>
              </w:tc>
              <w:tc>
                <w:tcPr>
                  <w:tcW w:w="1105"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间断排放，排放期间流量不稳定且无规律，但不属于冲击型排放</w:t>
                  </w:r>
                </w:p>
              </w:tc>
              <w:tc>
                <w:tcPr>
                  <w:tcW w:w="82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w:t>
                  </w:r>
                </w:p>
              </w:tc>
              <w:tc>
                <w:tcPr>
                  <w:tcW w:w="921"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化粪池</w:t>
                  </w:r>
                </w:p>
              </w:tc>
              <w:tc>
                <w:tcPr>
                  <w:tcW w:w="921"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分格沉淀、厌氧消化</w:t>
                  </w:r>
                </w:p>
              </w:tc>
              <w:tc>
                <w:tcPr>
                  <w:tcW w:w="858"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WS-01</w:t>
                  </w:r>
                </w:p>
              </w:tc>
              <w:tc>
                <w:tcPr>
                  <w:tcW w:w="741"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√是</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□否</w:t>
                  </w:r>
                </w:p>
              </w:tc>
              <w:tc>
                <w:tcPr>
                  <w:tcW w:w="153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√企业总排</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□雨水排放</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□清净下水排放</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□温排水排放</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□车间或车间处理设施排放口</w:t>
                  </w:r>
                </w:p>
              </w:tc>
            </w:tr>
          </w:tbl>
          <w:p>
            <w:pPr>
              <w:widowControl/>
              <w:numPr>
                <w:ilvl w:val="0"/>
                <w:numId w:val="5"/>
              </w:numPr>
              <w:tabs>
                <w:tab w:val="left" w:pos="420"/>
              </w:tabs>
              <w:adjustRightInd w:val="0"/>
              <w:snapToGrid w:val="0"/>
              <w:spacing w:line="36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废水间接排放口基本情况表</w:t>
            </w:r>
          </w:p>
          <w:tbl>
            <w:tblPr>
              <w:tblStyle w:val="41"/>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10"/>
              <w:gridCol w:w="529"/>
              <w:gridCol w:w="870"/>
              <w:gridCol w:w="780"/>
              <w:gridCol w:w="855"/>
              <w:gridCol w:w="720"/>
              <w:gridCol w:w="1571"/>
              <w:gridCol w:w="435"/>
              <w:gridCol w:w="825"/>
              <w:gridCol w:w="822"/>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序号</w:t>
                  </w:r>
                </w:p>
              </w:tc>
              <w:tc>
                <w:tcPr>
                  <w:tcW w:w="529"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排放口</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编号</w:t>
                  </w:r>
                </w:p>
              </w:tc>
              <w:tc>
                <w:tcPr>
                  <w:tcW w:w="1650" w:type="dxa"/>
                  <w:gridSpan w:val="2"/>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排放口地理坐标</w:t>
                  </w:r>
                </w:p>
              </w:tc>
              <w:tc>
                <w:tcPr>
                  <w:tcW w:w="85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废水</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排放量</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（万t/a）</w:t>
                  </w:r>
                </w:p>
              </w:tc>
              <w:tc>
                <w:tcPr>
                  <w:tcW w:w="72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排放</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去向</w:t>
                  </w:r>
                </w:p>
              </w:tc>
              <w:tc>
                <w:tcPr>
                  <w:tcW w:w="1571"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排放</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规律</w:t>
                  </w:r>
                </w:p>
              </w:tc>
              <w:tc>
                <w:tcPr>
                  <w:tcW w:w="43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间歇</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排放</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时段</w:t>
                  </w:r>
                </w:p>
              </w:tc>
              <w:tc>
                <w:tcPr>
                  <w:tcW w:w="2846" w:type="dxa"/>
                  <w:gridSpan w:val="3"/>
                  <w:vMerge w:val="restart"/>
                  <w:vAlign w:val="center"/>
                </w:tcPr>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41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52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7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经度</w:t>
                  </w:r>
                  <w:r>
                    <w:rPr>
                      <w:rFonts w:hint="default" w:ascii="Times New Roman" w:hAnsi="Times New Roman" w:eastAsia="宋体" w:cs="Times New Roman"/>
                      <w:b/>
                      <w:color w:val="auto"/>
                      <w:sz w:val="21"/>
                      <w:szCs w:val="21"/>
                      <w:highlight w:val="none"/>
                      <w:shd w:val="clear" w:color="auto" w:fill="auto"/>
                    </w:rPr>
                    <w:t>/</w:t>
                  </w:r>
                  <w:r>
                    <w:rPr>
                      <w:rFonts w:hint="default" w:ascii="Times New Roman" w:hAnsi="Times New Roman" w:cs="Times New Roman" w:eastAsiaTheme="minorEastAsia"/>
                      <w:color w:val="auto"/>
                      <w:kern w:val="2"/>
                      <w:sz w:val="21"/>
                      <w:szCs w:val="21"/>
                      <w:highlight w:val="none"/>
                      <w:lang w:val="en-US" w:eastAsia="zh-CN" w:bidi="ar-SA"/>
                    </w:rPr>
                    <w:t>°</w:t>
                  </w:r>
                </w:p>
              </w:tc>
              <w:tc>
                <w:tcPr>
                  <w:tcW w:w="78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纬度</w:t>
                  </w:r>
                  <w:r>
                    <w:rPr>
                      <w:rFonts w:hint="default" w:ascii="Times New Roman" w:hAnsi="Times New Roman" w:eastAsia="宋体" w:cs="Times New Roman"/>
                      <w:b/>
                      <w:color w:val="auto"/>
                      <w:sz w:val="21"/>
                      <w:szCs w:val="21"/>
                      <w:highlight w:val="none"/>
                      <w:shd w:val="clear" w:color="auto" w:fill="auto"/>
                    </w:rPr>
                    <w:t>/</w:t>
                  </w:r>
                  <w:r>
                    <w:rPr>
                      <w:rFonts w:hint="default" w:ascii="Times New Roman" w:hAnsi="Times New Roman" w:cs="Times New Roman" w:eastAsiaTheme="minorEastAsia"/>
                      <w:color w:val="auto"/>
                      <w:kern w:val="2"/>
                      <w:sz w:val="21"/>
                      <w:szCs w:val="21"/>
                      <w:highlight w:val="none"/>
                      <w:lang w:val="en-US" w:eastAsia="zh-CN" w:bidi="ar-SA"/>
                    </w:rPr>
                    <w:t>°</w:t>
                  </w:r>
                </w:p>
              </w:tc>
              <w:tc>
                <w:tcPr>
                  <w:tcW w:w="85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2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157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43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2846" w:type="dxa"/>
                  <w:gridSpan w:val="3"/>
                  <w:vMerge w:val="continue"/>
                  <w:vAlign w:val="center"/>
                </w:tcPr>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30" w:hRule="atLeast"/>
                <w:jc w:val="center"/>
              </w:trPr>
              <w:tc>
                <w:tcPr>
                  <w:tcW w:w="41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52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7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8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5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2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157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43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5" w:type="dxa"/>
                  <w:vAlign w:val="center"/>
                </w:tcPr>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名称</w:t>
                  </w:r>
                </w:p>
              </w:tc>
              <w:tc>
                <w:tcPr>
                  <w:tcW w:w="822" w:type="dxa"/>
                  <w:vAlign w:val="center"/>
                </w:tcPr>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污染物种类</w:t>
                  </w:r>
                </w:p>
              </w:tc>
              <w:tc>
                <w:tcPr>
                  <w:tcW w:w="1199" w:type="dxa"/>
                  <w:vAlign w:val="center"/>
                </w:tcPr>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国家或</w:t>
                  </w:r>
                </w:p>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地方污染</w:t>
                  </w:r>
                </w:p>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物排放</w:t>
                  </w:r>
                </w:p>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标准浓度</w:t>
                  </w:r>
                </w:p>
                <w:p>
                  <w:pPr>
                    <w:widowControl w:val="0"/>
                    <w:spacing w:line="240"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41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1</w:t>
                  </w:r>
                </w:p>
              </w:tc>
              <w:tc>
                <w:tcPr>
                  <w:tcW w:w="529"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WS-01</w:t>
                  </w:r>
                </w:p>
              </w:tc>
              <w:tc>
                <w:tcPr>
                  <w:tcW w:w="87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112.7749</w:t>
                  </w:r>
                </w:p>
              </w:tc>
              <w:tc>
                <w:tcPr>
                  <w:tcW w:w="78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22.4613</w:t>
                  </w:r>
                </w:p>
              </w:tc>
              <w:tc>
                <w:tcPr>
                  <w:tcW w:w="85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eastAsia" w:ascii="Times New Roman" w:hAnsi="Times New Roman" w:cs="Times New Roman" w:eastAsiaTheme="minorEastAsia"/>
                      <w:snapToGrid w:val="0"/>
                      <w:color w:val="auto"/>
                      <w:kern w:val="2"/>
                      <w:sz w:val="21"/>
                      <w:szCs w:val="21"/>
                      <w:highlight w:val="none"/>
                      <w:lang w:val="en-US" w:eastAsia="zh-CN" w:bidi="ar-SA"/>
                    </w:rPr>
                    <w:t>0.0756</w:t>
                  </w:r>
                </w:p>
              </w:tc>
              <w:tc>
                <w:tcPr>
                  <w:tcW w:w="720"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进入</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城市</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污水</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处理厂</w:t>
                  </w:r>
                </w:p>
              </w:tc>
              <w:tc>
                <w:tcPr>
                  <w:tcW w:w="1571"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间断排放，排放期间流量不稳定且无规律，但不属于冲击型排放</w:t>
                  </w:r>
                </w:p>
              </w:tc>
              <w:tc>
                <w:tcPr>
                  <w:tcW w:w="43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w:t>
                  </w:r>
                </w:p>
              </w:tc>
              <w:tc>
                <w:tcPr>
                  <w:tcW w:w="825"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开平市水口污水处理厂</w:t>
                  </w:r>
                </w:p>
              </w:tc>
              <w:tc>
                <w:tcPr>
                  <w:tcW w:w="822"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pH</w:t>
                  </w:r>
                </w:p>
              </w:tc>
              <w:tc>
                <w:tcPr>
                  <w:tcW w:w="1199"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6.0~9.0</w:t>
                  </w:r>
                </w:p>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41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52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7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8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5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2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157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43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2"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COD</w:t>
                  </w:r>
                  <w:r>
                    <w:rPr>
                      <w:rFonts w:hint="default" w:ascii="Times New Roman" w:hAnsi="Times New Roman" w:cs="Times New Roman" w:eastAsiaTheme="minorEastAsia"/>
                      <w:snapToGrid w:val="0"/>
                      <w:color w:val="auto"/>
                      <w:kern w:val="2"/>
                      <w:sz w:val="21"/>
                      <w:szCs w:val="21"/>
                      <w:highlight w:val="none"/>
                      <w:vertAlign w:val="subscript"/>
                      <w:lang w:val="en-US" w:eastAsia="zh-CN" w:bidi="ar-SA"/>
                    </w:rPr>
                    <w:t>Cr</w:t>
                  </w:r>
                </w:p>
              </w:tc>
              <w:tc>
                <w:tcPr>
                  <w:tcW w:w="1199"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52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7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8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5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2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157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43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2"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BOD</w:t>
                  </w:r>
                  <w:r>
                    <w:rPr>
                      <w:rFonts w:hint="default" w:ascii="Times New Roman" w:hAnsi="Times New Roman" w:cs="Times New Roman" w:eastAsiaTheme="minorEastAsia"/>
                      <w:snapToGrid w:val="0"/>
                      <w:color w:val="auto"/>
                      <w:kern w:val="2"/>
                      <w:sz w:val="21"/>
                      <w:szCs w:val="21"/>
                      <w:highlight w:val="none"/>
                      <w:vertAlign w:val="subscript"/>
                      <w:lang w:val="en-US" w:eastAsia="zh-CN" w:bidi="ar-SA"/>
                    </w:rPr>
                    <w:t>5</w:t>
                  </w:r>
                </w:p>
              </w:tc>
              <w:tc>
                <w:tcPr>
                  <w:tcW w:w="1199"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eastAsia" w:ascii="Times New Roman" w:hAnsi="Times New Roman" w:cs="Times New Roman" w:eastAsiaTheme="minorEastAsia"/>
                      <w:snapToGrid w:val="0"/>
                      <w:color w:val="auto"/>
                      <w:kern w:val="2"/>
                      <w:sz w:val="21"/>
                      <w:szCs w:val="21"/>
                      <w:highlight w:val="none"/>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 w:hRule="atLeast"/>
                <w:jc w:val="center"/>
              </w:trPr>
              <w:tc>
                <w:tcPr>
                  <w:tcW w:w="41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52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7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8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5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2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157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43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2"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SS</w:t>
                  </w:r>
                </w:p>
              </w:tc>
              <w:tc>
                <w:tcPr>
                  <w:tcW w:w="1199"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eastAsia" w:ascii="Times New Roman" w:hAnsi="Times New Roman" w:cs="Times New Roman" w:eastAsiaTheme="minorEastAsia"/>
                      <w:snapToGrid w:val="0"/>
                      <w:color w:val="auto"/>
                      <w:kern w:val="2"/>
                      <w:sz w:val="21"/>
                      <w:szCs w:val="21"/>
                      <w:highlight w:val="none"/>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4" w:hRule="atLeast"/>
                <w:jc w:val="center"/>
              </w:trPr>
              <w:tc>
                <w:tcPr>
                  <w:tcW w:w="41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52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7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8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5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720"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157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43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5"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p>
              </w:tc>
              <w:tc>
                <w:tcPr>
                  <w:tcW w:w="822"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default" w:ascii="Times New Roman" w:hAnsi="Times New Roman" w:cs="Times New Roman" w:eastAsiaTheme="minorEastAsia"/>
                      <w:snapToGrid w:val="0"/>
                      <w:color w:val="auto"/>
                      <w:kern w:val="2"/>
                      <w:sz w:val="21"/>
                      <w:szCs w:val="21"/>
                      <w:highlight w:val="none"/>
                      <w:lang w:val="en-US" w:eastAsia="zh-CN" w:bidi="ar-SA"/>
                    </w:rPr>
                    <w:t>NH</w:t>
                  </w:r>
                  <w:r>
                    <w:rPr>
                      <w:rFonts w:hint="default" w:ascii="Times New Roman" w:hAnsi="Times New Roman" w:cs="Times New Roman" w:eastAsiaTheme="minorEastAsia"/>
                      <w:snapToGrid w:val="0"/>
                      <w:color w:val="auto"/>
                      <w:kern w:val="2"/>
                      <w:sz w:val="21"/>
                      <w:szCs w:val="21"/>
                      <w:highlight w:val="none"/>
                      <w:vertAlign w:val="subscript"/>
                      <w:lang w:val="en-US" w:eastAsia="zh-CN" w:bidi="ar-SA"/>
                    </w:rPr>
                    <w:t>3</w:t>
                  </w:r>
                  <w:r>
                    <w:rPr>
                      <w:rFonts w:hint="default" w:ascii="Times New Roman" w:hAnsi="Times New Roman" w:cs="Times New Roman" w:eastAsiaTheme="minorEastAsia"/>
                      <w:snapToGrid w:val="0"/>
                      <w:color w:val="auto"/>
                      <w:kern w:val="2"/>
                      <w:sz w:val="21"/>
                      <w:szCs w:val="21"/>
                      <w:highlight w:val="none"/>
                      <w:lang w:val="en-US" w:eastAsia="zh-CN" w:bidi="ar-SA"/>
                    </w:rPr>
                    <w:t>-N</w:t>
                  </w:r>
                </w:p>
              </w:tc>
              <w:tc>
                <w:tcPr>
                  <w:tcW w:w="1199" w:type="dxa"/>
                  <w:vAlign w:val="center"/>
                </w:tcPr>
                <w:p>
                  <w:pPr>
                    <w:widowControl w:val="0"/>
                    <w:spacing w:line="276" w:lineRule="auto"/>
                    <w:ind w:firstLine="0" w:firstLineChars="0"/>
                    <w:jc w:val="center"/>
                    <w:rPr>
                      <w:rFonts w:hint="default" w:ascii="Times New Roman" w:hAnsi="Times New Roman" w:cs="Times New Roman" w:eastAsiaTheme="minorEastAsia"/>
                      <w:snapToGrid w:val="0"/>
                      <w:color w:val="auto"/>
                      <w:kern w:val="2"/>
                      <w:sz w:val="21"/>
                      <w:szCs w:val="21"/>
                      <w:highlight w:val="none"/>
                      <w:lang w:val="en-US" w:eastAsia="zh-CN" w:bidi="ar-SA"/>
                    </w:rPr>
                  </w:pPr>
                  <w:r>
                    <w:rPr>
                      <w:rFonts w:hint="eastAsia" w:ascii="Times New Roman" w:hAnsi="Times New Roman" w:cs="Times New Roman" w:eastAsiaTheme="minorEastAsia"/>
                      <w:snapToGrid w:val="0"/>
                      <w:color w:val="auto"/>
                      <w:kern w:val="2"/>
                      <w:sz w:val="21"/>
                      <w:szCs w:val="21"/>
                      <w:highlight w:val="none"/>
                      <w:lang w:val="en-US" w:eastAsia="zh-CN" w:bidi="ar-SA"/>
                    </w:rPr>
                    <w:t>5</w:t>
                  </w:r>
                </w:p>
              </w:tc>
            </w:tr>
          </w:tbl>
          <w:p>
            <w:pPr>
              <w:widowControl/>
              <w:numPr>
                <w:ilvl w:val="0"/>
                <w:numId w:val="5"/>
              </w:numPr>
              <w:tabs>
                <w:tab w:val="left" w:pos="420"/>
              </w:tabs>
              <w:adjustRightInd w:val="0"/>
              <w:snapToGrid w:val="0"/>
              <w:spacing w:line="360" w:lineRule="auto"/>
              <w:ind w:left="0" w:firstLine="471"/>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en-US" w:eastAsia="zh-CN" w:bidi="ar-SA"/>
              </w:rPr>
              <w:t>废水污染物排放执行标准表</w:t>
            </w:r>
          </w:p>
          <w:tbl>
            <w:tblPr>
              <w:tblStyle w:val="41"/>
              <w:tblW w:w="90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52"/>
              <w:gridCol w:w="1446"/>
              <w:gridCol w:w="1284"/>
              <w:gridCol w:w="3651"/>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4" w:hRule="atLeast"/>
                <w:jc w:val="center"/>
              </w:trPr>
              <w:tc>
                <w:tcPr>
                  <w:tcW w:w="552"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序号</w:t>
                  </w:r>
                </w:p>
              </w:tc>
              <w:tc>
                <w:tcPr>
                  <w:tcW w:w="1446"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排放口</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编号</w:t>
                  </w:r>
                </w:p>
              </w:tc>
              <w:tc>
                <w:tcPr>
                  <w:tcW w:w="1284"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污染物种类</w:t>
                  </w:r>
                </w:p>
              </w:tc>
              <w:tc>
                <w:tcPr>
                  <w:tcW w:w="5734" w:type="dxa"/>
                  <w:gridSpan w:val="2"/>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44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284"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5734" w:type="dxa"/>
                  <w:gridSpan w:val="2"/>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1" w:hRule="atLeast"/>
                <w:jc w:val="center"/>
              </w:trPr>
              <w:tc>
                <w:tcPr>
                  <w:tcW w:w="55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44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284"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3651"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名称</w:t>
                  </w:r>
                </w:p>
              </w:tc>
              <w:tc>
                <w:tcPr>
                  <w:tcW w:w="208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0" w:hRule="atLeast"/>
                <w:jc w:val="center"/>
              </w:trPr>
              <w:tc>
                <w:tcPr>
                  <w:tcW w:w="552"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w:t>
                  </w:r>
                </w:p>
              </w:tc>
              <w:tc>
                <w:tcPr>
                  <w:tcW w:w="1446"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WS-01</w:t>
                  </w:r>
                </w:p>
              </w:tc>
              <w:tc>
                <w:tcPr>
                  <w:tcW w:w="128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pH</w:t>
                  </w:r>
                </w:p>
              </w:tc>
              <w:tc>
                <w:tcPr>
                  <w:tcW w:w="3651"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Style w:val="46"/>
                      <w:rFonts w:hint="default" w:ascii="Times New Roman" w:hAnsi="Times New Roman" w:cs="Times New Roman"/>
                      <w:color w:val="auto"/>
                      <w:highlight w:val="none"/>
                    </w:rPr>
                    <w:t>广东省地方标准《水污染物排放限值》（DB44/26-2001）第二时段三级标准和</w:t>
                  </w:r>
                  <w:r>
                    <w:rPr>
                      <w:rStyle w:val="46"/>
                      <w:rFonts w:hint="eastAsia" w:ascii="Times New Roman" w:hAnsi="Times New Roman" w:cs="Times New Roman"/>
                      <w:color w:val="auto"/>
                      <w:highlight w:val="none"/>
                      <w:lang w:eastAsia="zh-CN"/>
                    </w:rPr>
                    <w:t>《污水排入城镇下水道水质标准》(GB/T31962-2015 )B级标准</w:t>
                  </w:r>
                  <w:r>
                    <w:rPr>
                      <w:rStyle w:val="46"/>
                      <w:rFonts w:hint="default" w:ascii="Times New Roman" w:hAnsi="Times New Roman" w:cs="Times New Roman"/>
                      <w:color w:val="auto"/>
                      <w:highlight w:val="none"/>
                    </w:rPr>
                    <w:t>较严者</w:t>
                  </w:r>
                </w:p>
              </w:tc>
              <w:tc>
                <w:tcPr>
                  <w:tcW w:w="208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6.0~9.0</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55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44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28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COD</w:t>
                  </w:r>
                  <w:r>
                    <w:rPr>
                      <w:rFonts w:hint="default" w:ascii="Times New Roman" w:hAnsi="Times New Roman" w:cs="Times New Roman" w:eastAsiaTheme="minorEastAsia"/>
                      <w:color w:val="auto"/>
                      <w:kern w:val="2"/>
                      <w:sz w:val="21"/>
                      <w:szCs w:val="21"/>
                      <w:highlight w:val="none"/>
                      <w:vertAlign w:val="subscript"/>
                      <w:lang w:val="en-US" w:eastAsia="zh-CN" w:bidi="ar-SA"/>
                    </w:rPr>
                    <w:t>Cr</w:t>
                  </w:r>
                </w:p>
              </w:tc>
              <w:tc>
                <w:tcPr>
                  <w:tcW w:w="365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208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44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28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BOD</w:t>
                  </w:r>
                  <w:r>
                    <w:rPr>
                      <w:rFonts w:hint="default" w:ascii="Times New Roman" w:hAnsi="Times New Roman" w:cs="Times New Roman" w:eastAsiaTheme="minorEastAsia"/>
                      <w:color w:val="auto"/>
                      <w:kern w:val="2"/>
                      <w:sz w:val="21"/>
                      <w:szCs w:val="21"/>
                      <w:highlight w:val="none"/>
                      <w:vertAlign w:val="subscript"/>
                      <w:lang w:val="en-US" w:eastAsia="zh-CN" w:bidi="ar-SA"/>
                    </w:rPr>
                    <w:t>5</w:t>
                  </w:r>
                </w:p>
              </w:tc>
              <w:tc>
                <w:tcPr>
                  <w:tcW w:w="365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208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jc w:val="center"/>
              </w:trPr>
              <w:tc>
                <w:tcPr>
                  <w:tcW w:w="55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44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28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SS</w:t>
                  </w:r>
                </w:p>
              </w:tc>
              <w:tc>
                <w:tcPr>
                  <w:tcW w:w="365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208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7" w:hRule="atLeast"/>
                <w:jc w:val="center"/>
              </w:trPr>
              <w:tc>
                <w:tcPr>
                  <w:tcW w:w="552"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446"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28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NH</w:t>
                  </w:r>
                  <w:r>
                    <w:rPr>
                      <w:rFonts w:hint="default" w:ascii="Times New Roman" w:hAnsi="Times New Roman" w:cs="Times New Roman" w:eastAsiaTheme="minorEastAsia"/>
                      <w:color w:val="auto"/>
                      <w:kern w:val="2"/>
                      <w:sz w:val="21"/>
                      <w:szCs w:val="21"/>
                      <w:highlight w:val="none"/>
                      <w:vertAlign w:val="subscript"/>
                      <w:lang w:val="en-US" w:eastAsia="zh-CN" w:bidi="ar-SA"/>
                    </w:rPr>
                    <w:t>3</w:t>
                  </w:r>
                  <w:r>
                    <w:rPr>
                      <w:rFonts w:hint="default" w:ascii="Times New Roman" w:hAnsi="Times New Roman" w:cs="Times New Roman" w:eastAsiaTheme="minorEastAsia"/>
                      <w:color w:val="auto"/>
                      <w:kern w:val="2"/>
                      <w:sz w:val="21"/>
                      <w:szCs w:val="21"/>
                      <w:highlight w:val="none"/>
                      <w:lang w:val="en-US" w:eastAsia="zh-CN" w:bidi="ar-SA"/>
                    </w:rPr>
                    <w:t>-N</w:t>
                  </w:r>
                </w:p>
              </w:tc>
              <w:tc>
                <w:tcPr>
                  <w:tcW w:w="3651"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2083"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45</w:t>
                  </w:r>
                </w:p>
              </w:tc>
            </w:tr>
          </w:tbl>
          <w:p>
            <w:pPr>
              <w:widowControl/>
              <w:numPr>
                <w:ilvl w:val="0"/>
                <w:numId w:val="5"/>
              </w:numPr>
              <w:tabs>
                <w:tab w:val="left" w:pos="420"/>
              </w:tabs>
              <w:adjustRightInd w:val="0"/>
              <w:snapToGrid w:val="0"/>
              <w:spacing w:line="360" w:lineRule="auto"/>
              <w:ind w:left="0" w:firstLine="471"/>
              <w:jc w:val="center"/>
              <w:rPr>
                <w:rFonts w:hint="default" w:ascii="Times New Roman" w:hAnsi="Times New Roman" w:eastAsia="宋体" w:cs="Times New Roman"/>
                <w:b/>
                <w:color w:val="auto"/>
                <w:kern w:val="0"/>
                <w:sz w:val="21"/>
                <w:szCs w:val="21"/>
                <w:highlight w:val="none"/>
                <w:lang w:val="en-GB" w:eastAsia="zh-TW" w:bidi="ar-SA"/>
              </w:rPr>
            </w:pPr>
            <w:r>
              <w:rPr>
                <w:rFonts w:hint="default" w:ascii="Times New Roman" w:hAnsi="Times New Roman" w:cs="Times New Roman" w:eastAsiaTheme="minorEastAsia"/>
                <w:color w:val="auto"/>
                <w:kern w:val="0"/>
                <w:sz w:val="24"/>
                <w:szCs w:val="24"/>
                <w:highlight w:val="none"/>
                <w:lang w:val="en-US" w:eastAsia="zh-CN" w:bidi="ar-SA"/>
              </w:rPr>
              <w:t xml:space="preserve"> </w:t>
            </w:r>
            <w:r>
              <w:rPr>
                <w:rFonts w:hint="default" w:ascii="Times New Roman" w:hAnsi="Times New Roman" w:eastAsia="宋体" w:cs="Times New Roman"/>
                <w:b/>
                <w:color w:val="auto"/>
                <w:kern w:val="0"/>
                <w:sz w:val="21"/>
                <w:szCs w:val="21"/>
                <w:highlight w:val="none"/>
                <w:lang w:val="en-GB" w:eastAsia="zh-TW" w:bidi="ar-SA"/>
              </w:rPr>
              <w:t>废水污染物排放信息表</w:t>
            </w:r>
          </w:p>
          <w:tbl>
            <w:tblPr>
              <w:tblStyle w:val="41"/>
              <w:tblW w:w="90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9"/>
              <w:gridCol w:w="1769"/>
              <w:gridCol w:w="1769"/>
              <w:gridCol w:w="1554"/>
              <w:gridCol w:w="1560"/>
              <w:gridCol w:w="14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序号</w:t>
                  </w:r>
                </w:p>
              </w:tc>
              <w:tc>
                <w:tcPr>
                  <w:tcW w:w="176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排放口编号</w:t>
                  </w:r>
                </w:p>
              </w:tc>
              <w:tc>
                <w:tcPr>
                  <w:tcW w:w="176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污染物种类</w:t>
                  </w:r>
                </w:p>
              </w:tc>
              <w:tc>
                <w:tcPr>
                  <w:tcW w:w="1554"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排放浓度</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（mg/L）</w:t>
                  </w:r>
                </w:p>
              </w:tc>
              <w:tc>
                <w:tcPr>
                  <w:tcW w:w="1560"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日排放量</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（t/d）</w:t>
                  </w:r>
                </w:p>
              </w:tc>
              <w:tc>
                <w:tcPr>
                  <w:tcW w:w="1475"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年排放量</w:t>
                  </w:r>
                </w:p>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7" w:hRule="atLeast"/>
                <w:jc w:val="center"/>
              </w:trPr>
              <w:tc>
                <w:tcPr>
                  <w:tcW w:w="889"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1</w:t>
                  </w:r>
                </w:p>
              </w:tc>
              <w:tc>
                <w:tcPr>
                  <w:tcW w:w="1769" w:type="dxa"/>
                  <w:vMerge w:val="restart"/>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WS-01</w:t>
                  </w:r>
                </w:p>
              </w:tc>
              <w:tc>
                <w:tcPr>
                  <w:tcW w:w="176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CODcr</w:t>
                  </w:r>
                </w:p>
              </w:tc>
              <w:tc>
                <w:tcPr>
                  <w:tcW w:w="1554" w:type="dxa"/>
                  <w:vAlign w:val="center"/>
                </w:tcPr>
                <w:p>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kern w:val="0"/>
                      <w:sz w:val="21"/>
                      <w:szCs w:val="21"/>
                      <w:highlight w:val="none"/>
                    </w:rPr>
                    <w:t>200</w:t>
                  </w:r>
                </w:p>
              </w:tc>
              <w:tc>
                <w:tcPr>
                  <w:tcW w:w="1560" w:type="dxa"/>
                  <w:vAlign w:val="bottom"/>
                </w:tcPr>
                <w:p>
                  <w:pPr>
                    <w:keepNext w:val="0"/>
                    <w:keepLines w:val="0"/>
                    <w:widowControl/>
                    <w:suppressLineNumbers w:val="0"/>
                    <w:jc w:val="center"/>
                    <w:textAlignment w:val="bottom"/>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0.00050</w:t>
                  </w:r>
                </w:p>
              </w:tc>
              <w:tc>
                <w:tcPr>
                  <w:tcW w:w="1475" w:type="dxa"/>
                  <w:vAlign w:val="center"/>
                </w:tcPr>
                <w:p>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0.151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2" w:hRule="atLeast"/>
                <w:jc w:val="center"/>
              </w:trPr>
              <w:tc>
                <w:tcPr>
                  <w:tcW w:w="88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76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76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BOD</w:t>
                  </w:r>
                  <w:r>
                    <w:rPr>
                      <w:rFonts w:hint="default" w:ascii="Times New Roman" w:hAnsi="Times New Roman" w:cs="Times New Roman" w:eastAsiaTheme="minorEastAsia"/>
                      <w:color w:val="auto"/>
                      <w:kern w:val="2"/>
                      <w:sz w:val="21"/>
                      <w:szCs w:val="21"/>
                      <w:highlight w:val="none"/>
                      <w:vertAlign w:val="subscript"/>
                      <w:lang w:val="en-US" w:eastAsia="zh-CN" w:bidi="ar-SA"/>
                    </w:rPr>
                    <w:t>5</w:t>
                  </w:r>
                </w:p>
              </w:tc>
              <w:tc>
                <w:tcPr>
                  <w:tcW w:w="1554" w:type="dxa"/>
                  <w:vAlign w:val="center"/>
                </w:tcPr>
                <w:p>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kern w:val="0"/>
                      <w:sz w:val="21"/>
                      <w:szCs w:val="21"/>
                      <w:highlight w:val="none"/>
                    </w:rPr>
                    <w:t>120</w:t>
                  </w:r>
                </w:p>
              </w:tc>
              <w:tc>
                <w:tcPr>
                  <w:tcW w:w="1560" w:type="dxa"/>
                  <w:vAlign w:val="bottom"/>
                </w:tcPr>
                <w:p>
                  <w:pPr>
                    <w:keepNext w:val="0"/>
                    <w:keepLines w:val="0"/>
                    <w:widowControl/>
                    <w:suppressLineNumbers w:val="0"/>
                    <w:jc w:val="center"/>
                    <w:textAlignment w:val="bottom"/>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0.00030</w:t>
                  </w:r>
                </w:p>
              </w:tc>
              <w:tc>
                <w:tcPr>
                  <w:tcW w:w="1475" w:type="dxa"/>
                  <w:vAlign w:val="center"/>
                </w:tcPr>
                <w:p>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0.091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jc w:val="center"/>
              </w:trPr>
              <w:tc>
                <w:tcPr>
                  <w:tcW w:w="88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76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76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SS</w:t>
                  </w:r>
                </w:p>
              </w:tc>
              <w:tc>
                <w:tcPr>
                  <w:tcW w:w="1554" w:type="dxa"/>
                  <w:vAlign w:val="center"/>
                </w:tcPr>
                <w:p>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kern w:val="0"/>
                      <w:sz w:val="21"/>
                      <w:szCs w:val="21"/>
                      <w:highlight w:val="none"/>
                    </w:rPr>
                    <w:t>120</w:t>
                  </w:r>
                </w:p>
              </w:tc>
              <w:tc>
                <w:tcPr>
                  <w:tcW w:w="1560" w:type="dxa"/>
                  <w:vAlign w:val="bottom"/>
                </w:tcPr>
                <w:p>
                  <w:pPr>
                    <w:keepNext w:val="0"/>
                    <w:keepLines w:val="0"/>
                    <w:widowControl/>
                    <w:suppressLineNumbers w:val="0"/>
                    <w:jc w:val="center"/>
                    <w:textAlignment w:val="bottom"/>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0.00030</w:t>
                  </w:r>
                </w:p>
              </w:tc>
              <w:tc>
                <w:tcPr>
                  <w:tcW w:w="1475" w:type="dxa"/>
                  <w:vAlign w:val="center"/>
                </w:tcPr>
                <w:p>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769" w:type="dxa"/>
                  <w:vMerge w:val="continue"/>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p>
              </w:tc>
              <w:tc>
                <w:tcPr>
                  <w:tcW w:w="1769" w:type="dxa"/>
                  <w:vAlign w:val="center"/>
                </w:tcPr>
                <w:p>
                  <w:pPr>
                    <w:widowControl w:val="0"/>
                    <w:spacing w:line="276" w:lineRule="auto"/>
                    <w:ind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氨氮</w:t>
                  </w:r>
                </w:p>
              </w:tc>
              <w:tc>
                <w:tcPr>
                  <w:tcW w:w="1554" w:type="dxa"/>
                  <w:vAlign w:val="center"/>
                </w:tcPr>
                <w:p>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kern w:val="0"/>
                      <w:sz w:val="21"/>
                      <w:szCs w:val="21"/>
                      <w:highlight w:val="none"/>
                    </w:rPr>
                    <w:t>20</w:t>
                  </w:r>
                </w:p>
              </w:tc>
              <w:tc>
                <w:tcPr>
                  <w:tcW w:w="1560" w:type="dxa"/>
                  <w:vAlign w:val="bottom"/>
                </w:tcPr>
                <w:p>
                  <w:pPr>
                    <w:keepNext w:val="0"/>
                    <w:keepLines w:val="0"/>
                    <w:widowControl/>
                    <w:suppressLineNumbers w:val="0"/>
                    <w:jc w:val="center"/>
                    <w:textAlignment w:val="bottom"/>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0.00005</w:t>
                  </w:r>
                </w:p>
              </w:tc>
              <w:tc>
                <w:tcPr>
                  <w:tcW w:w="1475" w:type="dxa"/>
                  <w:vAlign w:val="center"/>
                </w:tcPr>
                <w:p>
                  <w:pPr>
                    <w:keepNext w:val="0"/>
                    <w:keepLines w:val="0"/>
                    <w:widowControl/>
                    <w:suppressLineNumbers w:val="0"/>
                    <w:jc w:val="center"/>
                    <w:textAlignment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0.015</w:t>
                  </w:r>
                </w:p>
              </w:tc>
            </w:tr>
          </w:tbl>
          <w:p>
            <w:pPr>
              <w:widowControl/>
              <w:spacing w:line="336" w:lineRule="auto"/>
              <w:ind w:firstLine="472" w:firstLineChars="196"/>
              <w:jc w:val="left"/>
              <w:rPr>
                <w:rFonts w:ascii="Times New Roman" w:hAnsi="Times New Roman" w:eastAsia="宋体" w:cs="Times New Roman"/>
                <w:b/>
                <w:color w:val="auto"/>
                <w:kern w:val="2"/>
                <w:sz w:val="24"/>
                <w:szCs w:val="20"/>
                <w:highlight w:val="none"/>
                <w:shd w:val="clear" w:color="auto" w:fill="auto"/>
                <w:lang w:val="en-US" w:eastAsia="zh-CN" w:bidi="ar-SA"/>
              </w:rPr>
            </w:pPr>
            <w:r>
              <w:rPr>
                <w:rFonts w:hint="eastAsia" w:ascii="Times New Roman" w:hAnsi="Times New Roman" w:eastAsia="宋体" w:cs="Times New Roman"/>
                <w:b/>
                <w:color w:val="auto"/>
                <w:kern w:val="2"/>
                <w:sz w:val="24"/>
                <w:szCs w:val="20"/>
                <w:highlight w:val="none"/>
                <w:shd w:val="clear" w:color="auto" w:fill="auto"/>
                <w:lang w:val="en-US" w:eastAsia="zh-CN" w:bidi="ar-SA"/>
              </w:rPr>
              <w:t>三、噪声影响分析</w:t>
            </w:r>
            <w:bookmarkEnd w:id="22"/>
            <w:bookmarkEnd w:id="23"/>
          </w:p>
          <w:p>
            <w:pPr>
              <w:adjustRightInd w:val="0"/>
              <w:snapToGrid w:val="0"/>
              <w:spacing w:line="360" w:lineRule="auto"/>
              <w:ind w:firstLine="480" w:firstLineChars="200"/>
              <w:rPr>
                <w:rFonts w:hAnsi="宋体"/>
                <w:color w:val="auto"/>
                <w:sz w:val="24"/>
              </w:rPr>
            </w:pPr>
            <w:r>
              <w:rPr>
                <w:color w:val="auto"/>
                <w:sz w:val="24"/>
              </w:rPr>
              <w:t>项目的主要噪声为：</w:t>
            </w:r>
            <w:r>
              <w:rPr>
                <w:rFonts w:hint="eastAsia"/>
                <w:color w:val="auto"/>
                <w:sz w:val="24"/>
              </w:rPr>
              <w:t>车间各主要工艺设备</w:t>
            </w:r>
            <w:r>
              <w:rPr>
                <w:color w:val="auto"/>
                <w:sz w:val="24"/>
              </w:rPr>
              <w:t>的运行噪声，噪声值约为70～</w:t>
            </w:r>
            <w:r>
              <w:rPr>
                <w:rFonts w:hint="eastAsia"/>
                <w:color w:val="auto"/>
                <w:sz w:val="24"/>
              </w:rPr>
              <w:t>80</w:t>
            </w:r>
            <w:r>
              <w:rPr>
                <w:color w:val="auto"/>
                <w:sz w:val="24"/>
              </w:rPr>
              <w:t>dB（A）；空压机</w:t>
            </w:r>
            <w:r>
              <w:rPr>
                <w:rFonts w:hint="eastAsia"/>
                <w:color w:val="auto"/>
                <w:sz w:val="24"/>
                <w:lang w:eastAsia="zh-CN"/>
              </w:rPr>
              <w:t>、冷却塔</w:t>
            </w:r>
            <w:r>
              <w:rPr>
                <w:color w:val="auto"/>
                <w:sz w:val="24"/>
              </w:rPr>
              <w:t>的运行噪声，噪声值约为</w:t>
            </w:r>
            <w:r>
              <w:rPr>
                <w:rFonts w:hint="eastAsia"/>
                <w:color w:val="auto"/>
                <w:sz w:val="24"/>
              </w:rPr>
              <w:t>80</w:t>
            </w:r>
            <w:r>
              <w:rPr>
                <w:color w:val="auto"/>
                <w:sz w:val="24"/>
              </w:rPr>
              <w:t>～</w:t>
            </w:r>
            <w:r>
              <w:rPr>
                <w:rFonts w:hint="eastAsia"/>
                <w:color w:val="auto"/>
                <w:sz w:val="24"/>
              </w:rPr>
              <w:t>90</w:t>
            </w:r>
            <w:r>
              <w:rPr>
                <w:color w:val="auto"/>
                <w:sz w:val="24"/>
              </w:rPr>
              <w:t>dB（A）；机械通风所用通风机运行时产生的噪声，其噪声级</w:t>
            </w:r>
            <w:r>
              <w:rPr>
                <w:rFonts w:hint="eastAsia"/>
                <w:color w:val="auto"/>
                <w:sz w:val="24"/>
              </w:rPr>
              <w:t>约</w:t>
            </w:r>
            <w:r>
              <w:rPr>
                <w:color w:val="auto"/>
                <w:sz w:val="24"/>
              </w:rPr>
              <w:t>为70～75dB（A）</w:t>
            </w:r>
            <w:r>
              <w:rPr>
                <w:rFonts w:hAnsi="宋体"/>
                <w:color w:val="auto"/>
                <w:sz w:val="24"/>
              </w:rPr>
              <w:t>。</w:t>
            </w:r>
          </w:p>
          <w:p>
            <w:pPr>
              <w:spacing w:line="360" w:lineRule="auto"/>
              <w:ind w:firstLine="480" w:firstLineChars="200"/>
              <w:rPr>
                <w:rFonts w:hint="default"/>
                <w:color w:val="auto"/>
                <w:sz w:val="24"/>
                <w:lang w:val="en-US" w:eastAsia="zh-CN"/>
              </w:rPr>
            </w:pPr>
            <w:r>
              <w:rPr>
                <w:rFonts w:hint="default" w:ascii="Times New Roman" w:hAnsi="Times New Roman" w:eastAsia="宋体" w:cs="Times New Roman"/>
                <w:color w:val="auto"/>
                <w:sz w:val="24"/>
                <w:highlight w:val="none"/>
              </w:rPr>
              <w:t>根据《关于印发&lt;江门市声环境功能区划&gt;的通知》（江环（2019）378号）</w:t>
            </w:r>
            <w:r>
              <w:rPr>
                <w:rFonts w:hint="eastAsia"/>
                <w:color w:val="auto"/>
                <w:sz w:val="24"/>
                <w:lang w:eastAsia="zh-CN"/>
              </w:rPr>
              <w:t>以及《环境影响评价技术导则 声环境》（HJ 2.4-2009）</w:t>
            </w:r>
            <w:r>
              <w:rPr>
                <w:rFonts w:hint="eastAsia"/>
                <w:color w:val="auto"/>
                <w:sz w:val="24"/>
              </w:rPr>
              <w:t>，</w:t>
            </w:r>
            <w:r>
              <w:rPr>
                <w:rFonts w:hint="eastAsia"/>
                <w:color w:val="auto"/>
                <w:sz w:val="24"/>
                <w:lang w:eastAsia="zh-CN"/>
              </w:rPr>
              <w:t>项目</w:t>
            </w:r>
            <w:r>
              <w:rPr>
                <w:rFonts w:hint="eastAsia"/>
                <w:color w:val="auto"/>
                <w:sz w:val="24"/>
              </w:rPr>
              <w:t>属2类</w:t>
            </w:r>
            <w:r>
              <w:rPr>
                <w:rFonts w:hint="eastAsia"/>
                <w:color w:val="auto"/>
                <w:sz w:val="24"/>
                <w:lang w:eastAsia="zh-CN"/>
              </w:rPr>
              <w:t>和</w:t>
            </w:r>
            <w:r>
              <w:rPr>
                <w:rFonts w:hint="eastAsia"/>
                <w:color w:val="auto"/>
                <w:sz w:val="24"/>
                <w:lang w:val="en-US" w:eastAsia="zh-CN"/>
              </w:rPr>
              <w:t>4a类</w:t>
            </w:r>
            <w:r>
              <w:rPr>
                <w:rFonts w:hint="eastAsia"/>
                <w:color w:val="auto"/>
                <w:sz w:val="24"/>
                <w:lang w:eastAsia="zh-CN"/>
              </w:rPr>
              <w:t>声功能区</w:t>
            </w:r>
            <w:r>
              <w:rPr>
                <w:rFonts w:hint="eastAsia"/>
                <w:color w:val="auto"/>
                <w:sz w:val="24"/>
              </w:rPr>
              <w:t>，</w:t>
            </w:r>
            <w:r>
              <w:rPr>
                <w:rFonts w:hint="eastAsia"/>
                <w:color w:val="auto"/>
                <w:sz w:val="24"/>
                <w:lang w:eastAsia="zh-CN"/>
              </w:rPr>
              <w:t>因此本项目噪声评价等级为二级。</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为评价项目产生的噪声对周围声环境和敏感点的影响情况，本环评对所有生产设备进行预测评估，具体预测结果如下：</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根据以下公式：</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fldChar w:fldCharType="begin"/>
            </w:r>
            <w:r>
              <w:rPr>
                <w:rFonts w:ascii="Times New Roman" w:hAnsi="Times New Roman" w:cs="Times New Roman"/>
                <w:color w:val="auto"/>
                <w:sz w:val="24"/>
              </w:rPr>
              <w:instrText xml:space="preserve"> = 1 \* GB3 </w:instrText>
            </w:r>
            <w:r>
              <w:rPr>
                <w:rFonts w:ascii="Times New Roman" w:hAnsi="Times New Roman" w:cs="Times New Roman"/>
                <w:color w:val="auto"/>
                <w:sz w:val="24"/>
              </w:rPr>
              <w:fldChar w:fldCharType="separate"/>
            </w:r>
            <w:r>
              <w:rPr>
                <w:rFonts w:ascii="Times New Roman" w:hAnsi="Times New Roman" w:cs="Times New Roman"/>
                <w:color w:val="auto"/>
                <w:sz w:val="24"/>
              </w:rPr>
              <w:t>①</w:t>
            </w:r>
            <w:r>
              <w:rPr>
                <w:rFonts w:ascii="Times New Roman" w:hAnsi="Times New Roman" w:cs="Times New Roman"/>
                <w:color w:val="auto"/>
                <w:sz w:val="24"/>
              </w:rPr>
              <w:fldChar w:fldCharType="end"/>
            </w:r>
            <w:r>
              <w:rPr>
                <w:rFonts w:ascii="Times New Roman" w:hAnsi="Times New Roman" w:cs="Times New Roman"/>
                <w:color w:val="auto"/>
                <w:sz w:val="24"/>
              </w:rPr>
              <w:t>噪声叠加模式：L</w:t>
            </w:r>
            <w:r>
              <w:rPr>
                <w:rFonts w:ascii="Times New Roman" w:hAnsi="Times New Roman" w:cs="Times New Roman"/>
                <w:color w:val="auto"/>
                <w:sz w:val="24"/>
                <w:vertAlign w:val="subscript"/>
              </w:rPr>
              <w:t>总</w:t>
            </w:r>
            <w:r>
              <w:rPr>
                <w:rFonts w:ascii="Times New Roman" w:hAnsi="Times New Roman" w:cs="Times New Roman"/>
                <w:color w:val="auto"/>
                <w:sz w:val="24"/>
              </w:rPr>
              <w:t>= 10lg(</w:t>
            </w:r>
            <w:r>
              <w:rPr>
                <w:rFonts w:ascii="Times New Roman" w:hAnsi="Times New Roman" w:cs="Times New Roman"/>
                <w:color w:val="auto"/>
                <w:position w:val="-28"/>
                <w:sz w:val="24"/>
              </w:rPr>
              <w:object>
                <v:shape id="_x0000_i1026" o:spt="75" type="#_x0000_t75" style="height:30.9pt;width:44.7pt;" o:ole="t" filled="f" o:preferrelative="t" stroked="f" coordsize="21600,21600">
                  <v:path/>
                  <v:fill on="f" focussize="0,0"/>
                  <v:stroke on="f"/>
                  <v:imagedata r:id="rId42" o:title=""/>
                  <o:lock v:ext="edit" aspectratio="t"/>
                  <w10:wrap type="none"/>
                  <w10:anchorlock/>
                </v:shape>
                <o:OLEObject Type="Embed" ProgID="Equation.3" ShapeID="_x0000_i1026" DrawAspect="Content" ObjectID="_1468075726" r:id="rId41">
                  <o:LockedField>false</o:LockedField>
                </o:OLEObject>
              </w:object>
            </w:r>
            <w:r>
              <w:rPr>
                <w:rFonts w:ascii="Times New Roman" w:hAnsi="Times New Roman" w:cs="Times New Roman"/>
                <w:color w:val="auto"/>
                <w:sz w:val="24"/>
              </w:rPr>
              <w:t>)；</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fldChar w:fldCharType="begin"/>
            </w:r>
            <w:r>
              <w:rPr>
                <w:rFonts w:ascii="Times New Roman" w:hAnsi="Times New Roman" w:cs="Times New Roman"/>
                <w:color w:val="auto"/>
                <w:sz w:val="24"/>
              </w:rPr>
              <w:instrText xml:space="preserve"> = 2 \* GB3 </w:instrText>
            </w:r>
            <w:r>
              <w:rPr>
                <w:rFonts w:ascii="Times New Roman" w:hAnsi="Times New Roman" w:cs="Times New Roman"/>
                <w:color w:val="auto"/>
                <w:sz w:val="24"/>
              </w:rPr>
              <w:fldChar w:fldCharType="separate"/>
            </w:r>
            <w:r>
              <w:rPr>
                <w:rFonts w:ascii="Times New Roman" w:hAnsi="Times New Roman" w:cs="Times New Roman"/>
                <w:color w:val="auto"/>
                <w:sz w:val="24"/>
              </w:rPr>
              <w:t>②</w:t>
            </w:r>
            <w:r>
              <w:rPr>
                <w:rFonts w:ascii="Times New Roman" w:hAnsi="Times New Roman" w:cs="Times New Roman"/>
                <w:color w:val="auto"/>
                <w:sz w:val="24"/>
              </w:rPr>
              <w:fldChar w:fldCharType="end"/>
            </w:r>
            <w:r>
              <w:rPr>
                <w:rFonts w:ascii="Times New Roman" w:hAnsi="Times New Roman" w:cs="Times New Roman"/>
                <w:color w:val="auto"/>
                <w:sz w:val="24"/>
              </w:rPr>
              <w:t>噪声衰减模式：L（r）= L（r0）－</w:t>
            </w:r>
            <w:r>
              <w:rPr>
                <w:rFonts w:ascii="Times New Roman" w:hAnsi="Times New Roman" w:cs="Times New Roman"/>
                <w:color w:val="auto"/>
                <w:sz w:val="24"/>
                <w:vertAlign w:val="subscript"/>
              </w:rPr>
              <w:t>△</w:t>
            </w:r>
            <w:r>
              <w:rPr>
                <w:rFonts w:ascii="Times New Roman" w:hAnsi="Times New Roman" w:cs="Times New Roman"/>
                <w:color w:val="auto"/>
                <w:sz w:val="24"/>
              </w:rPr>
              <w:t>L－A= L（r</w:t>
            </w:r>
            <w:r>
              <w:rPr>
                <w:rFonts w:ascii="Times New Roman" w:hAnsi="Times New Roman" w:cs="Times New Roman"/>
                <w:color w:val="auto"/>
                <w:sz w:val="24"/>
                <w:vertAlign w:val="subscript"/>
              </w:rPr>
              <w:t>0</w:t>
            </w:r>
            <w:r>
              <w:rPr>
                <w:rFonts w:ascii="Times New Roman" w:hAnsi="Times New Roman" w:cs="Times New Roman"/>
                <w:color w:val="auto"/>
                <w:sz w:val="24"/>
              </w:rPr>
              <w:t>）－20 lg r/ r</w:t>
            </w:r>
            <w:r>
              <w:rPr>
                <w:rFonts w:ascii="Times New Roman" w:hAnsi="Times New Roman" w:cs="Times New Roman"/>
                <w:color w:val="auto"/>
                <w:sz w:val="24"/>
                <w:vertAlign w:val="subscript"/>
              </w:rPr>
              <w:t>0</w:t>
            </w:r>
            <w:r>
              <w:rPr>
                <w:rFonts w:ascii="Times New Roman" w:hAnsi="Times New Roman" w:cs="Times New Roman"/>
                <w:color w:val="auto"/>
                <w:sz w:val="24"/>
              </w:rPr>
              <w:t>－A；式中：</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L总——几个声压级相加后的总声压级，dB；</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Li——某一个声压级，dB；</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r、r</w:t>
            </w:r>
            <w:r>
              <w:rPr>
                <w:rFonts w:ascii="Times New Roman" w:hAnsi="Times New Roman" w:cs="Times New Roman"/>
                <w:color w:val="auto"/>
                <w:sz w:val="24"/>
                <w:vertAlign w:val="subscript"/>
              </w:rPr>
              <w:t>0</w:t>
            </w:r>
            <w:r>
              <w:rPr>
                <w:rFonts w:ascii="Times New Roman" w:hAnsi="Times New Roman" w:cs="Times New Roman"/>
                <w:color w:val="auto"/>
                <w:sz w:val="24"/>
              </w:rPr>
              <w:t>——点声源至受声点的距离（m）；</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L（r）——距点声源r处的噪声值（dB）；</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L（r</w:t>
            </w:r>
            <w:r>
              <w:rPr>
                <w:rFonts w:ascii="Times New Roman" w:hAnsi="Times New Roman" w:cs="Times New Roman"/>
                <w:color w:val="auto"/>
                <w:sz w:val="24"/>
                <w:vertAlign w:val="subscript"/>
              </w:rPr>
              <w:t>0</w:t>
            </w:r>
            <w:r>
              <w:rPr>
                <w:rFonts w:ascii="Times New Roman" w:hAnsi="Times New Roman" w:cs="Times New Roman"/>
                <w:color w:val="auto"/>
                <w:sz w:val="24"/>
              </w:rPr>
              <w:t>）——距点声源r</w:t>
            </w:r>
            <w:r>
              <w:rPr>
                <w:rFonts w:ascii="Times New Roman" w:hAnsi="Times New Roman" w:cs="Times New Roman"/>
                <w:color w:val="auto"/>
                <w:sz w:val="24"/>
                <w:vertAlign w:val="subscript"/>
              </w:rPr>
              <w:t>0</w:t>
            </w:r>
            <w:r>
              <w:rPr>
                <w:rFonts w:ascii="Times New Roman" w:hAnsi="Times New Roman" w:cs="Times New Roman"/>
                <w:color w:val="auto"/>
                <w:sz w:val="24"/>
              </w:rPr>
              <w:t>处的噪声值（dB）；</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vertAlign w:val="subscript"/>
              </w:rPr>
              <w:t>△</w:t>
            </w:r>
            <w:r>
              <w:rPr>
                <w:rFonts w:ascii="Times New Roman" w:hAnsi="Times New Roman" w:cs="Times New Roman"/>
                <w:color w:val="auto"/>
                <w:sz w:val="24"/>
              </w:rPr>
              <w:t>L——距离增加产生的噪声衰减值；</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A—— 代表厂房墙体、门窗隔声量，一般为23 dB(A)。</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根据项目最大量情况下同时投入运作的设备数量及各设备的声压级，计算出项目在同一区域内总声压级为90.5 dB(A)。</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根据项目噪声源，利用预测模式计算项目厂界的噪声值和经过距离衰减到敏感点的贡献值，见下表。</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项目采取措施前</w:t>
            </w:r>
            <w:r>
              <w:rPr>
                <w:rFonts w:ascii="Times New Roman" w:hAnsi="Times New Roman" w:eastAsia="宋体" w:cs="Times New Roman"/>
                <w:b/>
                <w:color w:val="auto"/>
                <w:kern w:val="0"/>
                <w:sz w:val="21"/>
                <w:szCs w:val="21"/>
                <w:lang w:val="en-US" w:eastAsia="zh-CN" w:bidi="ar-SA"/>
              </w:rPr>
              <w:t>噪声预测结果（单位：Leq dB(A)）</w:t>
            </w:r>
          </w:p>
          <w:tbl>
            <w:tblPr>
              <w:tblStyle w:val="40"/>
              <w:tblW w:w="871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785"/>
              <w:gridCol w:w="2797"/>
              <w:gridCol w:w="313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车间噪声叠加值</w:t>
                  </w:r>
                </w:p>
              </w:tc>
              <w:tc>
                <w:tcPr>
                  <w:tcW w:w="5930" w:type="dxa"/>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90.5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噪声衰减量</w:t>
                  </w:r>
                </w:p>
              </w:tc>
              <w:tc>
                <w:tcPr>
                  <w:tcW w:w="5930" w:type="dxa"/>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噪声预测值（厂界外1米处）</w:t>
                  </w:r>
                </w:p>
              </w:tc>
              <w:tc>
                <w:tcPr>
                  <w:tcW w:w="5930" w:type="dxa"/>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67.5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敏感点位置</w:t>
                  </w:r>
                  <w:r>
                    <w:rPr>
                      <w:rFonts w:hint="eastAsia" w:ascii="Times New Roman" w:hAnsi="Times New Roman" w:cs="Times New Roman"/>
                      <w:b/>
                      <w:color w:val="auto"/>
                      <w:szCs w:val="21"/>
                    </w:rPr>
                    <w:t>（200m内）</w:t>
                  </w:r>
                </w:p>
              </w:tc>
              <w:tc>
                <w:tcPr>
                  <w:tcW w:w="2797" w:type="dxa"/>
                  <w:tcBorders>
                    <w:right w:val="single" w:color="auto" w:sz="4" w:space="0"/>
                  </w:tcBorders>
                  <w:vAlign w:val="center"/>
                </w:tcPr>
                <w:p>
                  <w:pPr>
                    <w:adjustRightInd w:val="0"/>
                    <w:snapToGrid w:val="0"/>
                    <w:jc w:val="center"/>
                    <w:rPr>
                      <w:rFonts w:hint="eastAsia" w:ascii="Times New Roman" w:hAnsi="Times New Roman" w:eastAsia="宋体" w:cs="Times New Roman"/>
                      <w:b/>
                      <w:color w:val="auto"/>
                      <w:szCs w:val="21"/>
                      <w:lang w:eastAsia="zh-CN"/>
                    </w:rPr>
                  </w:pPr>
                  <w:r>
                    <w:rPr>
                      <w:rFonts w:hint="eastAsia" w:ascii="Times New Roman" w:hAnsi="Times New Roman" w:cs="Times New Roman"/>
                      <w:b/>
                      <w:color w:val="auto"/>
                      <w:szCs w:val="21"/>
                      <w:lang w:eastAsia="zh-CN"/>
                    </w:rPr>
                    <w:t>西面平冈村</w:t>
                  </w:r>
                  <w:r>
                    <w:rPr>
                      <w:rFonts w:hint="eastAsia" w:cs="Times New Roman"/>
                      <w:b/>
                      <w:color w:val="auto"/>
                      <w:szCs w:val="21"/>
                      <w:lang w:eastAsia="zh-CN"/>
                    </w:rPr>
                    <w:t>、平冈卫生站</w:t>
                  </w:r>
                </w:p>
              </w:tc>
              <w:tc>
                <w:tcPr>
                  <w:tcW w:w="3133" w:type="dxa"/>
                  <w:tcBorders>
                    <w:left w:val="single" w:color="auto" w:sz="4" w:space="0"/>
                  </w:tcBorders>
                  <w:vAlign w:val="center"/>
                </w:tcPr>
                <w:p>
                  <w:pPr>
                    <w:adjustRightInd w:val="0"/>
                    <w:snapToGrid w:val="0"/>
                    <w:jc w:val="center"/>
                    <w:rPr>
                      <w:rFonts w:hint="eastAsia" w:ascii="Times New Roman" w:hAnsi="Times New Roman" w:cs="Times New Roman"/>
                      <w:b/>
                      <w:color w:val="auto"/>
                      <w:szCs w:val="21"/>
                      <w:lang w:eastAsia="zh-CN"/>
                    </w:rPr>
                  </w:pPr>
                  <w:r>
                    <w:rPr>
                      <w:rFonts w:hint="eastAsia" w:ascii="Times New Roman" w:hAnsi="Times New Roman" w:cs="Times New Roman"/>
                      <w:b/>
                      <w:color w:val="auto"/>
                      <w:szCs w:val="21"/>
                      <w:lang w:eastAsia="zh-CN"/>
                    </w:rPr>
                    <w:t>西北面罗岗村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衰减距离</w:t>
                  </w:r>
                </w:p>
              </w:tc>
              <w:tc>
                <w:tcPr>
                  <w:tcW w:w="2797" w:type="dxa"/>
                  <w:tcBorders>
                    <w:right w:val="single" w:color="auto" w:sz="4" w:space="0"/>
                  </w:tcBorders>
                  <w:vAlign w:val="center"/>
                </w:tcPr>
                <w:p>
                  <w:pPr>
                    <w:adjustRightInd w:val="0"/>
                    <w:snapToGrid w:val="0"/>
                    <w:jc w:val="center"/>
                    <w:rPr>
                      <w:rFonts w:ascii="Times New Roman" w:hAnsi="Times New Roman" w:cs="Times New Roman"/>
                      <w:bCs/>
                      <w:color w:val="auto"/>
                      <w:szCs w:val="21"/>
                    </w:rPr>
                  </w:pPr>
                  <w:r>
                    <w:rPr>
                      <w:rFonts w:hint="eastAsia" w:ascii="Times New Roman" w:hAnsi="Times New Roman" w:cs="Times New Roman"/>
                      <w:bCs/>
                      <w:color w:val="auto"/>
                      <w:szCs w:val="21"/>
                      <w:lang w:val="en-US" w:eastAsia="zh-CN"/>
                    </w:rPr>
                    <w:t>13</w:t>
                  </w:r>
                  <w:r>
                    <w:rPr>
                      <w:rFonts w:ascii="Times New Roman" w:hAnsi="Times New Roman" w:cs="Times New Roman"/>
                      <w:bCs/>
                      <w:color w:val="auto"/>
                      <w:szCs w:val="21"/>
                    </w:rPr>
                    <w:t>m</w:t>
                  </w:r>
                </w:p>
              </w:tc>
              <w:tc>
                <w:tcPr>
                  <w:tcW w:w="3133" w:type="dxa"/>
                  <w:tcBorders>
                    <w:left w:val="single" w:color="auto" w:sz="4" w:space="0"/>
                  </w:tcBorders>
                  <w:vAlign w:val="center"/>
                </w:tcPr>
                <w:p>
                  <w:pPr>
                    <w:adjustRightInd w:val="0"/>
                    <w:snapToGrid w:val="0"/>
                    <w:jc w:val="center"/>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145m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贡献值</w:t>
                  </w:r>
                </w:p>
              </w:tc>
              <w:tc>
                <w:tcPr>
                  <w:tcW w:w="2797" w:type="dxa"/>
                  <w:tcBorders>
                    <w:right w:val="single" w:color="auto" w:sz="4" w:space="0"/>
                  </w:tcBorders>
                  <w:vAlign w:val="center"/>
                </w:tcPr>
                <w:p>
                  <w:pPr>
                    <w:adjustRightInd w:val="0"/>
                    <w:snapToGrid w:val="0"/>
                    <w:jc w:val="center"/>
                    <w:rPr>
                      <w:rFonts w:hint="default" w:ascii="Times New Roman" w:hAnsi="Times New Roman" w:eastAsia="宋体" w:cs="Times New Roman"/>
                      <w:bCs/>
                      <w:color w:val="auto"/>
                      <w:szCs w:val="21"/>
                      <w:lang w:val="en-US" w:eastAsia="zh-CN"/>
                    </w:rPr>
                  </w:pPr>
                  <w:r>
                    <w:rPr>
                      <w:rFonts w:hint="eastAsia" w:ascii="Times New Roman" w:hAnsi="Times New Roman" w:cs="Times New Roman"/>
                      <w:bCs/>
                      <w:color w:val="auto"/>
                      <w:szCs w:val="21"/>
                      <w:lang w:val="en-US" w:eastAsia="zh-CN"/>
                    </w:rPr>
                    <w:t>45.2</w:t>
                  </w:r>
                </w:p>
              </w:tc>
              <w:tc>
                <w:tcPr>
                  <w:tcW w:w="3133" w:type="dxa"/>
                  <w:tcBorders>
                    <w:left w:val="single" w:color="auto" w:sz="4" w:space="0"/>
                  </w:tcBorders>
                  <w:vAlign w:val="center"/>
                </w:tcPr>
                <w:p>
                  <w:pPr>
                    <w:adjustRightInd w:val="0"/>
                    <w:snapToGrid w:val="0"/>
                    <w:jc w:val="center"/>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24.3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执行标准</w:t>
                  </w:r>
                </w:p>
              </w:tc>
              <w:tc>
                <w:tcPr>
                  <w:tcW w:w="5930" w:type="dxa"/>
                  <w:gridSpan w:val="2"/>
                  <w:vAlign w:val="center"/>
                </w:tcPr>
                <w:p>
                  <w:pPr>
                    <w:adjustRightInd w:val="0"/>
                    <w:snapToGrid w:val="0"/>
                    <w:ind w:firstLine="420" w:firstLineChars="200"/>
                    <w:jc w:val="center"/>
                    <w:rPr>
                      <w:rFonts w:ascii="Times New Roman" w:hAnsi="Times New Roman" w:cs="Times New Roman"/>
                      <w:color w:val="auto"/>
                      <w:szCs w:val="21"/>
                    </w:rPr>
                  </w:pPr>
                  <w:r>
                    <w:rPr>
                      <w:rFonts w:ascii="Times New Roman" w:hAnsi="Times New Roman" w:cs="Times New Roman"/>
                      <w:color w:val="auto"/>
                      <w:szCs w:val="21"/>
                    </w:rPr>
                    <w:t>昼间≤60</w:t>
                  </w:r>
                </w:p>
              </w:tc>
            </w:tr>
          </w:tbl>
          <w:p>
            <w:pPr>
              <w:adjustRightInd w:val="0"/>
              <w:snapToGrid w:val="0"/>
              <w:spacing w:line="360" w:lineRule="auto"/>
              <w:ind w:firstLine="420" w:firstLineChars="200"/>
              <w:rPr>
                <w:rFonts w:ascii="Times New Roman" w:hAnsi="Times New Roman" w:cs="Times New Roman"/>
                <w:color w:val="auto"/>
                <w:szCs w:val="21"/>
              </w:rPr>
            </w:pPr>
            <w:r>
              <w:rPr>
                <w:rFonts w:ascii="Times New Roman" w:hAnsi="Times New Roman" w:cs="Times New Roman"/>
                <w:color w:val="auto"/>
                <w:szCs w:val="21"/>
              </w:rPr>
              <w:t>注：室内声源衰减量按门窗、墙体隔声23分贝为准；衰减距离按厂房到敏感点的距离计算。</w:t>
            </w:r>
          </w:p>
          <w:p>
            <w:pPr>
              <w:snapToGrid w:val="0"/>
              <w:spacing w:line="360" w:lineRule="auto"/>
              <w:ind w:firstLine="482"/>
              <w:rPr>
                <w:rFonts w:ascii="Times New Roman" w:hAnsi="Times New Roman" w:cs="Times New Roman"/>
                <w:color w:val="auto"/>
                <w:sz w:val="24"/>
              </w:rPr>
            </w:pPr>
            <w:r>
              <w:rPr>
                <w:rFonts w:ascii="Times New Roman" w:hAnsi="Times New Roman" w:cs="Times New Roman"/>
                <w:color w:val="auto"/>
                <w:sz w:val="24"/>
              </w:rPr>
              <w:t>根据以上计算可知，项目厂界外1米处的噪声预测值超过《工业企业厂界环境噪声排放标准》（GB12348-2008）中2类标准要求，厂房噪声经过距离衰减到周边敏感点的贡献值均</w:t>
            </w:r>
            <w:r>
              <w:rPr>
                <w:rFonts w:ascii="Times New Roman" w:hAnsi="Times New Roman" w:cs="Times New Roman"/>
                <w:bCs/>
                <w:color w:val="auto"/>
                <w:sz w:val="24"/>
              </w:rPr>
              <w:t>达到所在区域声环境功能区划标准的要求（《声环境质量标准》（GB 3096-2008）中2类标准昼间噪声限值）。</w:t>
            </w:r>
          </w:p>
          <w:p>
            <w:pPr>
              <w:widowControl w:val="0"/>
              <w:adjustRightInd w:val="0"/>
              <w:spacing w:line="360" w:lineRule="auto"/>
              <w:ind w:firstLine="480" w:firstLineChars="200"/>
              <w:jc w:val="both"/>
              <w:textAlignment w:val="baseline"/>
              <w:rPr>
                <w:rFonts w:ascii="Times New Roman" w:hAnsi="Times New Roman" w:eastAsia="宋体" w:cs="Times New Roman"/>
                <w:snapToGrid w:val="0"/>
                <w:color w:val="auto"/>
                <w:kern w:val="36"/>
                <w:sz w:val="24"/>
                <w:szCs w:val="24"/>
                <w:lang w:val="en-US" w:eastAsia="zh-CN" w:bidi="ar-SA"/>
              </w:rPr>
            </w:pPr>
            <w:r>
              <w:rPr>
                <w:rFonts w:ascii="Times New Roman" w:hAnsi="Times New Roman" w:eastAsia="宋体" w:cs="Times New Roman"/>
                <w:color w:val="auto"/>
                <w:kern w:val="0"/>
                <w:sz w:val="24"/>
                <w:szCs w:val="24"/>
                <w:lang w:val="en-US" w:eastAsia="zh-CN" w:bidi="ar-SA"/>
              </w:rPr>
              <w:t>为使项目车间设备噪声经过墙体隔声、距离衰减后，厂界外1米处噪声值可达到《工业企业厂界环境噪声排放标准》（GB12348-2008）中2类标准限值，</w:t>
            </w:r>
            <w:r>
              <w:rPr>
                <w:rFonts w:ascii="Times New Roman" w:hAnsi="Times New Roman" w:eastAsia="宋体" w:cs="Times New Roman"/>
                <w:snapToGrid w:val="0"/>
                <w:color w:val="auto"/>
                <w:kern w:val="36"/>
                <w:sz w:val="24"/>
                <w:szCs w:val="24"/>
                <w:lang w:val="en-US" w:eastAsia="zh-CN" w:bidi="ar-SA"/>
              </w:rPr>
              <w:t>项目拟采取以下措施：</w:t>
            </w:r>
          </w:p>
          <w:p>
            <w:pPr>
              <w:widowControl w:val="0"/>
              <w:adjustRightInd w:val="0"/>
              <w:spacing w:line="348" w:lineRule="auto"/>
              <w:ind w:firstLine="480" w:firstLineChars="200"/>
              <w:jc w:val="both"/>
              <w:textAlignment w:val="baseline"/>
              <w:rPr>
                <w:rFonts w:ascii="Times New Roman" w:hAnsi="Times New Roman" w:eastAsia="宋体" w:cs="Times New Roman"/>
                <w:color w:val="auto"/>
                <w:kern w:val="0"/>
                <w:sz w:val="24"/>
                <w:szCs w:val="20"/>
                <w:lang w:val="en-US" w:eastAsia="zh-CN" w:bidi="ar-SA"/>
              </w:rPr>
            </w:pPr>
            <w:r>
              <w:rPr>
                <w:rFonts w:ascii="Times New Roman" w:hAnsi="Times New Roman" w:eastAsia="宋体" w:cs="Times New Roman"/>
                <w:color w:val="auto"/>
                <w:kern w:val="0"/>
                <w:sz w:val="24"/>
                <w:szCs w:val="20"/>
                <w:lang w:val="en-US" w:eastAsia="zh-CN" w:bidi="ar-SA"/>
              </w:rPr>
              <w:t>①防治措施</w:t>
            </w:r>
          </w:p>
          <w:p>
            <w:pPr>
              <w:adjustRightInd w:val="0"/>
              <w:snapToGrid w:val="0"/>
              <w:spacing w:line="348" w:lineRule="auto"/>
              <w:ind w:firstLine="480" w:firstLineChars="200"/>
              <w:rPr>
                <w:rFonts w:ascii="Times New Roman" w:hAnsi="Times New Roman" w:cs="Times New Roman"/>
                <w:color w:val="auto"/>
                <w:sz w:val="24"/>
              </w:rPr>
            </w:pPr>
            <w:r>
              <w:rPr>
                <w:rFonts w:ascii="Times New Roman" w:hAnsi="Times New Roman" w:cs="Times New Roman"/>
                <w:color w:val="auto"/>
                <w:sz w:val="24"/>
              </w:rPr>
              <w:t>A、在设备选型方面，在满足工艺生产的前提下，选用精度高、装配质量好、噪声低的设备；对于某些设备运行时由振动产生的噪声，应对设备基础进行减振，能降低噪声级10~15分贝。</w:t>
            </w:r>
          </w:p>
          <w:p>
            <w:pPr>
              <w:adjustRightInd w:val="0"/>
              <w:snapToGrid w:val="0"/>
              <w:spacing w:line="348" w:lineRule="auto"/>
              <w:ind w:firstLine="480" w:firstLineChars="200"/>
              <w:rPr>
                <w:rFonts w:ascii="Times New Roman" w:hAnsi="Times New Roman" w:cs="Times New Roman"/>
                <w:color w:val="auto"/>
                <w:sz w:val="24"/>
              </w:rPr>
            </w:pPr>
            <w:r>
              <w:rPr>
                <w:rFonts w:ascii="Times New Roman" w:hAnsi="Times New Roman" w:cs="Times New Roman"/>
                <w:color w:val="auto"/>
                <w:sz w:val="24"/>
              </w:rPr>
              <w:t>B、重视厂房的使用状况，尽量采用密闭形式，不设门窗或设隔声玻璃门窗，能降低噪声级10~15分贝；在厂房内可使用隔声材料进行降噪，主要有多孔材料如（玻璃棉、矿棉、丝棉、聚氨脂泡沫塑料、珍珠岩吸声砖），穿孔板吸声结构和薄板共振吸声结构，能降低噪声级10~20分贝。</w:t>
            </w:r>
          </w:p>
          <w:p>
            <w:pPr>
              <w:keepNext/>
              <w:keepLines/>
              <w:widowControl w:val="0"/>
              <w:autoSpaceDE w:val="0"/>
              <w:autoSpaceDN w:val="0"/>
              <w:adjustRightInd w:val="0"/>
              <w:snapToGrid w:val="0"/>
              <w:spacing w:before="0" w:after="0" w:line="348" w:lineRule="auto"/>
              <w:ind w:firstLine="480" w:firstLineChars="200"/>
              <w:jc w:val="both"/>
              <w:textAlignment w:val="baseline"/>
              <w:outlineLvl w:val="1"/>
              <w:rPr>
                <w:rFonts w:ascii="Times New Roman" w:hAnsi="Times New Roman" w:eastAsia="宋体" w:cs="Times New Roman"/>
                <w:b w:val="0"/>
                <w:bCs/>
                <w:color w:val="auto"/>
                <w:kern w:val="24"/>
                <w:sz w:val="24"/>
                <w:szCs w:val="24"/>
                <w:lang w:val="en-US" w:eastAsia="zh-CN" w:bidi="ar-SA"/>
              </w:rPr>
            </w:pPr>
            <w:r>
              <w:rPr>
                <w:rFonts w:ascii="Times New Roman" w:hAnsi="Times New Roman" w:eastAsia="宋体" w:cs="Times New Roman"/>
                <w:b w:val="0"/>
                <w:bCs/>
                <w:color w:val="auto"/>
                <w:kern w:val="24"/>
                <w:sz w:val="24"/>
                <w:szCs w:val="24"/>
                <w:lang w:val="en-US" w:eastAsia="zh-CN" w:bidi="ar-SA"/>
              </w:rPr>
              <w:t>C、对高噪声设备（如空压机）设单独隔声间放置，对墙体做隔声墙，并铺覆一层吸声材料。</w:t>
            </w:r>
          </w:p>
          <w:p>
            <w:pPr>
              <w:spacing w:line="348" w:lineRule="auto"/>
              <w:ind w:firstLine="480" w:firstLineChars="200"/>
              <w:rPr>
                <w:rFonts w:ascii="Times New Roman" w:hAnsi="Times New Roman" w:cs="Times New Roman"/>
                <w:color w:val="auto"/>
                <w:sz w:val="24"/>
              </w:rPr>
            </w:pPr>
            <w:r>
              <w:rPr>
                <w:rFonts w:ascii="Times New Roman" w:hAnsi="Times New Roman" w:cs="Times New Roman"/>
                <w:color w:val="auto"/>
                <w:sz w:val="24"/>
              </w:rPr>
              <w:t>②加强管理建立设备定期维护、保养的管理制度，以防止设备故障形成的非生产噪声，同时确保环保措施发挥最有效的功能；加强职工环保意识教育，提倡文明生产，防止人为噪声；对于厂区内流动声源（汽车），应强化行车管理制度，严禁鸣号，进入厂区低速行使，最大限度减少流动噪声源。</w:t>
            </w:r>
          </w:p>
          <w:p>
            <w:p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③生产时间安排</w:t>
            </w:r>
          </w:p>
          <w:p>
            <w:pPr>
              <w:spacing w:line="360" w:lineRule="auto"/>
              <w:ind w:firstLine="480"/>
              <w:rPr>
                <w:rFonts w:ascii="Times New Roman" w:hAnsi="Times New Roman" w:cs="Times New Roman"/>
                <w:color w:val="auto"/>
                <w:sz w:val="24"/>
              </w:rPr>
            </w:pPr>
            <w:r>
              <w:rPr>
                <w:rFonts w:ascii="Times New Roman" w:hAnsi="Times New Roman" w:cs="Times New Roman"/>
                <w:color w:val="auto"/>
                <w:sz w:val="24"/>
              </w:rPr>
              <w:t>项目生产安排在昼间进行生产，若特殊情况夜间必须生产应控制夜间生产时间，特别夜间应停止高噪声设备，减少机械的噪声影响，同时减少夜间交通运输活动。</w:t>
            </w:r>
          </w:p>
          <w:p>
            <w:pPr>
              <w:widowControl w:val="0"/>
              <w:adjustRightInd w:val="0"/>
              <w:spacing w:line="360" w:lineRule="auto"/>
              <w:ind w:firstLine="480" w:firstLineChars="200"/>
              <w:jc w:val="both"/>
              <w:textAlignment w:val="baseline"/>
              <w:rPr>
                <w:rFonts w:ascii="Times New Roman" w:hAnsi="Times New Roman" w:eastAsia="宋体" w:cs="Times New Roman"/>
                <w:color w:val="auto"/>
                <w:kern w:val="0"/>
                <w:sz w:val="24"/>
                <w:szCs w:val="20"/>
                <w:lang w:val="en-US" w:eastAsia="zh-CN" w:bidi="ar-SA"/>
              </w:rPr>
            </w:pPr>
            <w:r>
              <w:rPr>
                <w:rFonts w:ascii="Times New Roman" w:hAnsi="Times New Roman" w:eastAsia="宋体" w:cs="Times New Roman"/>
                <w:color w:val="auto"/>
                <w:kern w:val="0"/>
                <w:sz w:val="24"/>
                <w:szCs w:val="24"/>
                <w:lang w:val="en-US" w:eastAsia="zh-CN" w:bidi="ar-SA"/>
              </w:rPr>
              <w:t>综上所述，项目采取以上措施后，</w:t>
            </w:r>
            <w:r>
              <w:rPr>
                <w:rFonts w:ascii="Times New Roman" w:hAnsi="Times New Roman" w:eastAsia="宋体" w:cs="Times New Roman"/>
                <w:color w:val="auto"/>
                <w:kern w:val="0"/>
                <w:sz w:val="24"/>
                <w:szCs w:val="20"/>
                <w:lang w:val="en-US" w:eastAsia="zh-CN" w:bidi="ar-SA"/>
              </w:rPr>
              <w:t>项目的</w:t>
            </w:r>
            <w:r>
              <w:rPr>
                <w:rFonts w:ascii="Times New Roman" w:hAnsi="Times New Roman" w:eastAsia="宋体" w:cs="Times New Roman"/>
                <w:color w:val="auto"/>
                <w:kern w:val="0"/>
                <w:sz w:val="24"/>
                <w:szCs w:val="20"/>
                <w:lang w:val="zh-CN" w:eastAsia="zh-CN" w:bidi="ar-SA"/>
              </w:rPr>
              <w:t>主要</w:t>
            </w:r>
            <w:r>
              <w:rPr>
                <w:rFonts w:ascii="Times New Roman" w:hAnsi="Times New Roman" w:eastAsia="宋体" w:cs="Times New Roman"/>
                <w:color w:val="auto"/>
                <w:kern w:val="0"/>
                <w:sz w:val="24"/>
                <w:szCs w:val="20"/>
                <w:lang w:val="en-US" w:eastAsia="zh-CN" w:bidi="ar-SA"/>
              </w:rPr>
              <w:t>噪声源为</w:t>
            </w:r>
            <w:r>
              <w:rPr>
                <w:rFonts w:hint="eastAsia" w:ascii="Times New Roman" w:hAnsi="Times New Roman" w:eastAsia="宋体" w:cs="Times New Roman"/>
                <w:color w:val="auto"/>
                <w:kern w:val="0"/>
                <w:sz w:val="24"/>
                <w:szCs w:val="20"/>
                <w:lang w:val="en-US" w:eastAsia="zh-CN" w:bidi="ar-SA"/>
              </w:rPr>
              <w:t>车间各主要工艺设备</w:t>
            </w:r>
            <w:r>
              <w:rPr>
                <w:rFonts w:ascii="Times New Roman" w:hAnsi="Times New Roman" w:eastAsia="宋体" w:cs="Times New Roman"/>
                <w:color w:val="auto"/>
                <w:kern w:val="0"/>
                <w:sz w:val="24"/>
                <w:szCs w:val="20"/>
                <w:lang w:val="en-US" w:eastAsia="zh-CN" w:bidi="ar-SA"/>
              </w:rPr>
              <w:t>运行噪声，噪声值约为55-65 dB（A）；空压机</w:t>
            </w:r>
            <w:r>
              <w:rPr>
                <w:rFonts w:hint="eastAsia"/>
                <w:color w:val="auto"/>
                <w:sz w:val="24"/>
                <w:lang w:eastAsia="zh-CN"/>
              </w:rPr>
              <w:t>、冷却塔</w:t>
            </w:r>
            <w:r>
              <w:rPr>
                <w:rFonts w:ascii="Times New Roman" w:hAnsi="Times New Roman" w:eastAsia="宋体" w:cs="Times New Roman"/>
                <w:color w:val="auto"/>
                <w:kern w:val="0"/>
                <w:sz w:val="24"/>
                <w:szCs w:val="20"/>
                <w:lang w:val="en-US" w:eastAsia="zh-CN" w:bidi="ar-SA"/>
              </w:rPr>
              <w:t>运行噪声值约为60~70dB（A）；车间机械通风所用风机运行时产生的噪声，其噪声级为50~55dB（A）</w:t>
            </w:r>
            <w:r>
              <w:rPr>
                <w:rFonts w:ascii="Times New Roman" w:hAnsi="Times New Roman" w:eastAsia="宋体" w:cs="Times New Roman"/>
                <w:color w:val="auto"/>
                <w:kern w:val="2"/>
                <w:sz w:val="24"/>
                <w:szCs w:val="24"/>
                <w:lang w:val="en-US" w:eastAsia="zh-CN" w:bidi="ar-SA"/>
              </w:rPr>
              <w:t>。则</w:t>
            </w:r>
            <w:r>
              <w:rPr>
                <w:rFonts w:ascii="Times New Roman" w:hAnsi="Times New Roman" w:eastAsia="宋体" w:cs="Times New Roman"/>
                <w:color w:val="auto"/>
                <w:kern w:val="0"/>
                <w:sz w:val="24"/>
                <w:szCs w:val="20"/>
                <w:lang w:val="en-US" w:eastAsia="zh-CN" w:bidi="ar-SA"/>
              </w:rPr>
              <w:t>项目最大量情况下同时投入运作的设备数量及各设备同一区域内总声压级为71.3dB(A)。</w:t>
            </w:r>
          </w:p>
          <w:p>
            <w:pPr>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根据项目噪声源，利用预测模式计算项目厂界的噪声值和经过距离衰减到敏感点的贡献值，见下表。</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项目采取措施后</w:t>
            </w:r>
            <w:r>
              <w:rPr>
                <w:rFonts w:ascii="Times New Roman" w:hAnsi="Times New Roman" w:eastAsia="宋体" w:cs="Times New Roman"/>
                <w:b/>
                <w:color w:val="auto"/>
                <w:kern w:val="0"/>
                <w:sz w:val="21"/>
                <w:szCs w:val="21"/>
                <w:lang w:val="en-US" w:eastAsia="zh-CN" w:bidi="ar-SA"/>
              </w:rPr>
              <w:t>噪声预测结果（单位：Leq dB(A)）</w:t>
            </w:r>
          </w:p>
          <w:tbl>
            <w:tblPr>
              <w:tblStyle w:val="40"/>
              <w:tblW w:w="871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785"/>
              <w:gridCol w:w="2769"/>
              <w:gridCol w:w="316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车间噪声叠加值</w:t>
                  </w:r>
                </w:p>
              </w:tc>
              <w:tc>
                <w:tcPr>
                  <w:tcW w:w="5930" w:type="dxa"/>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71.3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噪声衰减量</w:t>
                  </w:r>
                </w:p>
              </w:tc>
              <w:tc>
                <w:tcPr>
                  <w:tcW w:w="5930" w:type="dxa"/>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噪声预测值（厂界外1米处）</w:t>
                  </w:r>
                </w:p>
              </w:tc>
              <w:tc>
                <w:tcPr>
                  <w:tcW w:w="5930" w:type="dxa"/>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48.3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敏感点位置</w:t>
                  </w:r>
                  <w:r>
                    <w:rPr>
                      <w:rFonts w:hint="eastAsia" w:ascii="Times New Roman" w:hAnsi="Times New Roman" w:cs="Times New Roman"/>
                      <w:b/>
                      <w:color w:val="auto"/>
                      <w:szCs w:val="21"/>
                    </w:rPr>
                    <w:t>（200m内）</w:t>
                  </w:r>
                </w:p>
              </w:tc>
              <w:tc>
                <w:tcPr>
                  <w:tcW w:w="2769" w:type="dxa"/>
                  <w:tcBorders>
                    <w:right w:val="single" w:color="auto" w:sz="4" w:space="0"/>
                  </w:tcBorders>
                  <w:vAlign w:val="center"/>
                </w:tcPr>
                <w:p>
                  <w:pPr>
                    <w:adjustRightInd w:val="0"/>
                    <w:snapToGrid w:val="0"/>
                    <w:jc w:val="center"/>
                    <w:rPr>
                      <w:rFonts w:ascii="Times New Roman" w:hAnsi="Times New Roman" w:cs="Times New Roman"/>
                      <w:b/>
                      <w:color w:val="auto"/>
                      <w:szCs w:val="21"/>
                    </w:rPr>
                  </w:pPr>
                  <w:r>
                    <w:rPr>
                      <w:rFonts w:hint="eastAsia" w:ascii="Times New Roman" w:hAnsi="Times New Roman" w:cs="Times New Roman"/>
                      <w:b/>
                      <w:color w:val="auto"/>
                      <w:szCs w:val="21"/>
                      <w:lang w:eastAsia="zh-CN"/>
                    </w:rPr>
                    <w:t>西面平冈村</w:t>
                  </w:r>
                  <w:r>
                    <w:rPr>
                      <w:rFonts w:hint="eastAsia" w:cs="Times New Roman"/>
                      <w:b/>
                      <w:color w:val="auto"/>
                      <w:szCs w:val="21"/>
                      <w:lang w:eastAsia="zh-CN"/>
                    </w:rPr>
                    <w:t>、平冈卫生站</w:t>
                  </w:r>
                </w:p>
              </w:tc>
              <w:tc>
                <w:tcPr>
                  <w:tcW w:w="3161" w:type="dxa"/>
                  <w:tcBorders>
                    <w:left w:val="single" w:color="auto" w:sz="4" w:space="0"/>
                  </w:tcBorders>
                  <w:vAlign w:val="center"/>
                </w:tcPr>
                <w:p>
                  <w:pPr>
                    <w:adjustRightInd w:val="0"/>
                    <w:snapToGrid w:val="0"/>
                    <w:jc w:val="center"/>
                    <w:rPr>
                      <w:rFonts w:hint="eastAsia" w:ascii="Times New Roman" w:hAnsi="Times New Roman" w:cs="Times New Roman"/>
                      <w:b/>
                      <w:color w:val="auto"/>
                      <w:szCs w:val="21"/>
                      <w:lang w:eastAsia="zh-CN"/>
                    </w:rPr>
                  </w:pPr>
                  <w:r>
                    <w:rPr>
                      <w:rFonts w:hint="eastAsia" w:ascii="Times New Roman" w:hAnsi="Times New Roman" w:cs="Times New Roman"/>
                      <w:b/>
                      <w:color w:val="auto"/>
                      <w:szCs w:val="21"/>
                      <w:lang w:eastAsia="zh-CN"/>
                    </w:rPr>
                    <w:t>西北面罗岗村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衰减距离</w:t>
                  </w:r>
                </w:p>
              </w:tc>
              <w:tc>
                <w:tcPr>
                  <w:tcW w:w="2769" w:type="dxa"/>
                  <w:tcBorders>
                    <w:right w:val="single" w:color="auto" w:sz="4" w:space="0"/>
                  </w:tcBorders>
                  <w:vAlign w:val="center"/>
                </w:tcPr>
                <w:p>
                  <w:pPr>
                    <w:adjustRightInd w:val="0"/>
                    <w:snapToGrid w:val="0"/>
                    <w:jc w:val="center"/>
                    <w:rPr>
                      <w:rFonts w:ascii="Times New Roman" w:hAnsi="Times New Roman" w:cs="Times New Roman"/>
                      <w:bCs/>
                      <w:color w:val="auto"/>
                      <w:szCs w:val="21"/>
                    </w:rPr>
                  </w:pPr>
                  <w:r>
                    <w:rPr>
                      <w:rFonts w:hint="eastAsia" w:ascii="Times New Roman" w:hAnsi="Times New Roman" w:cs="Times New Roman"/>
                      <w:bCs/>
                      <w:color w:val="auto"/>
                      <w:szCs w:val="21"/>
                      <w:lang w:val="en-US" w:eastAsia="zh-CN"/>
                    </w:rPr>
                    <w:t>13</w:t>
                  </w:r>
                  <w:r>
                    <w:rPr>
                      <w:rFonts w:ascii="Times New Roman" w:hAnsi="Times New Roman" w:cs="Times New Roman"/>
                      <w:bCs/>
                      <w:color w:val="auto"/>
                      <w:szCs w:val="21"/>
                    </w:rPr>
                    <w:t>m</w:t>
                  </w:r>
                </w:p>
              </w:tc>
              <w:tc>
                <w:tcPr>
                  <w:tcW w:w="3161" w:type="dxa"/>
                  <w:tcBorders>
                    <w:left w:val="single" w:color="auto" w:sz="4" w:space="0"/>
                  </w:tcBorders>
                  <w:vAlign w:val="center"/>
                </w:tcPr>
                <w:p>
                  <w:pPr>
                    <w:adjustRightInd w:val="0"/>
                    <w:snapToGrid w:val="0"/>
                    <w:jc w:val="center"/>
                    <w:rPr>
                      <w:rFonts w:hint="eastAsia"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145m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贡献值</w:t>
                  </w:r>
                </w:p>
              </w:tc>
              <w:tc>
                <w:tcPr>
                  <w:tcW w:w="2769" w:type="dxa"/>
                  <w:tcBorders>
                    <w:right w:val="single" w:color="auto" w:sz="4" w:space="0"/>
                  </w:tcBorders>
                  <w:vAlign w:val="center"/>
                </w:tcPr>
                <w:p>
                  <w:pPr>
                    <w:adjustRightInd w:val="0"/>
                    <w:snapToGrid w:val="0"/>
                    <w:jc w:val="center"/>
                    <w:rPr>
                      <w:rFonts w:hint="default" w:ascii="Times New Roman" w:hAnsi="Times New Roman" w:eastAsia="宋体" w:cs="Times New Roman"/>
                      <w:bCs/>
                      <w:color w:val="auto"/>
                      <w:szCs w:val="21"/>
                      <w:lang w:val="en-US" w:eastAsia="zh-CN"/>
                    </w:rPr>
                  </w:pPr>
                  <w:r>
                    <w:rPr>
                      <w:rFonts w:hint="eastAsia" w:ascii="Times New Roman" w:hAnsi="Times New Roman" w:cs="Times New Roman"/>
                      <w:bCs/>
                      <w:color w:val="auto"/>
                      <w:szCs w:val="21"/>
                      <w:lang w:val="en-US" w:eastAsia="zh-CN"/>
                    </w:rPr>
                    <w:t>26.0</w:t>
                  </w:r>
                </w:p>
              </w:tc>
              <w:tc>
                <w:tcPr>
                  <w:tcW w:w="3161" w:type="dxa"/>
                  <w:tcBorders>
                    <w:left w:val="single" w:color="auto" w:sz="4" w:space="0"/>
                  </w:tcBorders>
                  <w:vAlign w:val="center"/>
                </w:tcPr>
                <w:p>
                  <w:pPr>
                    <w:adjustRightInd w:val="0"/>
                    <w:snapToGrid w:val="0"/>
                    <w:jc w:val="center"/>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5.1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hint="eastAsia" w:ascii="Times New Roman" w:hAnsi="Times New Roman" w:cs="Times New Roman"/>
                      <w:color w:val="auto"/>
                      <w:szCs w:val="21"/>
                    </w:rPr>
                    <w:t>背景值</w:t>
                  </w:r>
                </w:p>
              </w:tc>
              <w:tc>
                <w:tcPr>
                  <w:tcW w:w="2769" w:type="dxa"/>
                  <w:tcBorders>
                    <w:right w:val="single" w:color="auto" w:sz="4" w:space="0"/>
                  </w:tcBorders>
                  <w:vAlign w:val="center"/>
                </w:tcPr>
                <w:p>
                  <w:pPr>
                    <w:adjustRightInd w:val="0"/>
                    <w:snapToGrid w:val="0"/>
                    <w:jc w:val="center"/>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昼间：59.3</w:t>
                  </w:r>
                </w:p>
              </w:tc>
              <w:tc>
                <w:tcPr>
                  <w:tcW w:w="3161" w:type="dxa"/>
                  <w:tcBorders>
                    <w:left w:val="single" w:color="auto" w:sz="4" w:space="0"/>
                  </w:tcBorders>
                  <w:vAlign w:val="center"/>
                </w:tcPr>
                <w:p>
                  <w:pPr>
                    <w:adjustRightInd w:val="0"/>
                    <w:snapToGrid w:val="0"/>
                    <w:jc w:val="center"/>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昼间：59.3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ascii="Times New Roman" w:hAnsi="Times New Roman" w:cs="Times New Roman"/>
                      <w:color w:val="auto"/>
                      <w:szCs w:val="21"/>
                    </w:rPr>
                  </w:pPr>
                  <w:r>
                    <w:rPr>
                      <w:rFonts w:hint="eastAsia" w:ascii="Times New Roman" w:hAnsi="Times New Roman" w:cs="Times New Roman"/>
                      <w:color w:val="auto"/>
                      <w:szCs w:val="21"/>
                    </w:rPr>
                    <w:t>叠加值</w:t>
                  </w:r>
                </w:p>
              </w:tc>
              <w:tc>
                <w:tcPr>
                  <w:tcW w:w="2769" w:type="dxa"/>
                  <w:tcBorders>
                    <w:right w:val="single" w:color="auto" w:sz="4" w:space="0"/>
                  </w:tcBorders>
                  <w:vAlign w:val="center"/>
                </w:tcPr>
                <w:p>
                  <w:pPr>
                    <w:adjustRightInd w:val="0"/>
                    <w:snapToGrid w:val="0"/>
                    <w:jc w:val="center"/>
                    <w:rPr>
                      <w:rFonts w:hint="default"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昼间：59.3</w:t>
                  </w:r>
                </w:p>
              </w:tc>
              <w:tc>
                <w:tcPr>
                  <w:tcW w:w="3161" w:type="dxa"/>
                  <w:tcBorders>
                    <w:left w:val="single" w:color="auto" w:sz="4" w:space="0"/>
                  </w:tcBorders>
                  <w:vAlign w:val="center"/>
                </w:tcPr>
                <w:p>
                  <w:pPr>
                    <w:adjustRightInd w:val="0"/>
                    <w:snapToGrid w:val="0"/>
                    <w:jc w:val="center"/>
                    <w:rPr>
                      <w:rFonts w:hint="eastAsia"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昼间：59.3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340" w:hRule="atLeast"/>
                <w:jc w:val="center"/>
              </w:trPr>
              <w:tc>
                <w:tcPr>
                  <w:tcW w:w="2785" w:type="dxa"/>
                  <w:vAlign w:val="center"/>
                </w:tcPr>
                <w:p>
                  <w:pPr>
                    <w:adjustRightInd w:val="0"/>
                    <w:snapToGrid w:val="0"/>
                    <w:jc w:val="center"/>
                    <w:rPr>
                      <w:rFonts w:hint="eastAsia"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执行标准</w:t>
                  </w:r>
                </w:p>
              </w:tc>
              <w:tc>
                <w:tcPr>
                  <w:tcW w:w="5930" w:type="dxa"/>
                  <w:gridSpan w:val="2"/>
                  <w:vAlign w:val="center"/>
                </w:tcPr>
                <w:p>
                  <w:pPr>
                    <w:adjustRightInd w:val="0"/>
                    <w:snapToGrid w:val="0"/>
                    <w:jc w:val="center"/>
                    <w:rPr>
                      <w:rFonts w:hint="eastAsia" w:ascii="Times New Roman" w:hAnsi="Times New Roman" w:cs="Times New Roman"/>
                      <w:bCs/>
                      <w:color w:val="auto"/>
                      <w:szCs w:val="21"/>
                      <w:lang w:val="en-US" w:eastAsia="zh-CN"/>
                    </w:rPr>
                  </w:pPr>
                  <w:r>
                    <w:rPr>
                      <w:rFonts w:hint="eastAsia" w:ascii="Times New Roman" w:hAnsi="Times New Roman" w:cs="Times New Roman"/>
                      <w:bCs/>
                      <w:color w:val="auto"/>
                      <w:szCs w:val="21"/>
                      <w:lang w:val="en-US" w:eastAsia="zh-CN"/>
                    </w:rPr>
                    <w:t>昼间≤60</w:t>
                  </w:r>
                </w:p>
              </w:tc>
            </w:tr>
          </w:tbl>
          <w:p>
            <w:pPr>
              <w:adjustRightInd w:val="0"/>
              <w:snapToGrid w:val="0"/>
              <w:spacing w:line="360" w:lineRule="auto"/>
              <w:ind w:firstLine="420" w:firstLineChars="200"/>
              <w:rPr>
                <w:rFonts w:ascii="Times New Roman" w:hAnsi="Times New Roman" w:cs="Times New Roman"/>
                <w:color w:val="auto"/>
                <w:szCs w:val="21"/>
              </w:rPr>
            </w:pPr>
            <w:r>
              <w:rPr>
                <w:rFonts w:ascii="Times New Roman" w:hAnsi="Times New Roman" w:cs="Times New Roman"/>
                <w:color w:val="auto"/>
                <w:szCs w:val="21"/>
              </w:rPr>
              <w:t>注：</w:t>
            </w:r>
            <w:r>
              <w:rPr>
                <w:rFonts w:hint="eastAsia" w:ascii="Times New Roman" w:hAnsi="Times New Roman" w:cs="Times New Roman"/>
                <w:color w:val="auto"/>
                <w:szCs w:val="21"/>
                <w:lang w:eastAsia="zh-CN"/>
              </w:rPr>
              <w:t>背景值以项目声环境现状检测的昼间最大值来取值；</w:t>
            </w:r>
            <w:r>
              <w:rPr>
                <w:rFonts w:ascii="Times New Roman" w:hAnsi="Times New Roman" w:cs="Times New Roman"/>
                <w:color w:val="auto"/>
                <w:szCs w:val="21"/>
              </w:rPr>
              <w:t>室内声源衰减量按门窗、墙体隔声23分贝为准；衰减距离按厂房到敏感点的距离计算。</w:t>
            </w:r>
          </w:p>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kern w:val="0"/>
                <w:sz w:val="24"/>
                <w:szCs w:val="20"/>
              </w:rPr>
              <w:t>综上所述，采取上述措施，再通过一定的距离的衰减，项目厂界噪声达到《工业企业厂界环境噪声排放标准》(GB12348－2008) 2类</w:t>
            </w:r>
            <w:r>
              <w:rPr>
                <w:color w:val="auto"/>
                <w:sz w:val="24"/>
              </w:rPr>
              <w:t>和4类</w:t>
            </w:r>
            <w:r>
              <w:rPr>
                <w:rFonts w:ascii="Times New Roman" w:hAnsi="Times New Roman" w:cs="Times New Roman"/>
                <w:color w:val="auto"/>
                <w:kern w:val="0"/>
                <w:sz w:val="24"/>
                <w:szCs w:val="20"/>
              </w:rPr>
              <w:t>标准要求，对周边敏感点和周边环境影响甚微。</w:t>
            </w:r>
          </w:p>
          <w:p>
            <w:pPr>
              <w:pStyle w:val="29"/>
              <w:spacing w:line="336" w:lineRule="auto"/>
              <w:ind w:firstLine="501" w:firstLineChars="208"/>
              <w:rPr>
                <w:b/>
                <w:color w:val="auto"/>
                <w:kern w:val="2"/>
                <w:shd w:val="clear" w:color="auto" w:fill="auto"/>
              </w:rPr>
            </w:pPr>
            <w:r>
              <w:rPr>
                <w:rFonts w:hint="eastAsia"/>
                <w:b/>
                <w:color w:val="auto"/>
                <w:kern w:val="2"/>
                <w:shd w:val="clear" w:color="auto" w:fill="auto"/>
              </w:rPr>
              <w:t>四、固体废物影响分析</w:t>
            </w:r>
          </w:p>
          <w:p>
            <w:pPr>
              <w:pStyle w:val="54"/>
              <w:autoSpaceDE/>
              <w:autoSpaceDN/>
              <w:snapToGrid w:val="0"/>
              <w:spacing w:line="336" w:lineRule="auto"/>
              <w:ind w:firstLine="475" w:firstLineChars="197"/>
              <w:textAlignment w:val="auto"/>
              <w:rPr>
                <w:rFonts w:hAnsi="宋体" w:eastAsia="宋体"/>
                <w:bCs/>
                <w:color w:val="auto"/>
                <w:shd w:val="clear" w:color="auto" w:fill="auto"/>
              </w:rPr>
            </w:pPr>
            <w:r>
              <w:rPr>
                <w:rFonts w:hint="eastAsia" w:ascii="宋体" w:hAnsi="宋体" w:eastAsia="宋体"/>
                <w:b/>
                <w:color w:val="auto"/>
                <w:kern w:val="2"/>
                <w:szCs w:val="24"/>
                <w:shd w:val="clear" w:color="auto" w:fill="auto"/>
              </w:rPr>
              <w:t>生活垃圾：</w:t>
            </w:r>
            <w:r>
              <w:rPr>
                <w:rFonts w:hint="eastAsia" w:hAnsi="宋体" w:eastAsia="宋体"/>
                <w:bCs/>
                <w:color w:val="auto"/>
                <w:shd w:val="clear" w:color="auto" w:fill="auto"/>
              </w:rPr>
              <w:t>生活垃圾包括平时生活使用的废旧塑料袋、饮料罐、纸盒等。生活垃圾中铝制罐、塑料瓶、玻璃瓶、报纸等可回收利用物质，分类收集再利用。对堆放点进行消毒杀菌，不能再利用的剩余垃圾交予环卫部门进行集中填埋处理处置。</w:t>
            </w:r>
          </w:p>
          <w:p>
            <w:pPr>
              <w:adjustRightInd w:val="0"/>
              <w:snapToGrid w:val="0"/>
              <w:spacing w:line="360" w:lineRule="auto"/>
              <w:ind w:firstLine="482" w:firstLineChars="200"/>
              <w:rPr>
                <w:color w:val="auto"/>
                <w:sz w:val="24"/>
              </w:rPr>
            </w:pPr>
            <w:r>
              <w:rPr>
                <w:rFonts w:hint="eastAsia" w:ascii="宋体" w:hAnsi="宋体"/>
                <w:b/>
                <w:color w:val="auto"/>
                <w:sz w:val="24"/>
              </w:rPr>
              <w:t>一般工业固废</w:t>
            </w:r>
            <w:r>
              <w:rPr>
                <w:rFonts w:hint="eastAsia"/>
                <w:color w:val="auto"/>
                <w:sz w:val="24"/>
              </w:rPr>
              <w:t>：</w:t>
            </w:r>
            <w:r>
              <w:rPr>
                <w:color w:val="auto"/>
                <w:sz w:val="24"/>
                <w:szCs w:val="22"/>
              </w:rPr>
              <w:t>根据建设单位提供的资料，</w:t>
            </w:r>
            <w:r>
              <w:rPr>
                <w:bCs/>
                <w:color w:val="auto"/>
                <w:sz w:val="24"/>
              </w:rPr>
              <w:t>项目</w:t>
            </w:r>
            <w:r>
              <w:rPr>
                <w:rFonts w:hint="eastAsia"/>
                <w:bCs/>
                <w:color w:val="auto"/>
                <w:sz w:val="24"/>
                <w:lang w:eastAsia="zh-CN"/>
              </w:rPr>
              <w:t>熔化</w:t>
            </w:r>
            <w:r>
              <w:rPr>
                <w:rFonts w:hint="eastAsia"/>
                <w:bCs/>
                <w:color w:val="auto"/>
                <w:sz w:val="24"/>
              </w:rPr>
              <w:t>工序</w:t>
            </w:r>
            <w:r>
              <w:rPr>
                <w:bCs/>
                <w:color w:val="auto"/>
                <w:sz w:val="24"/>
              </w:rPr>
              <w:t>产生</w:t>
            </w:r>
            <w:r>
              <w:rPr>
                <w:rFonts w:hint="eastAsia"/>
                <w:bCs/>
                <w:color w:val="auto"/>
                <w:sz w:val="24"/>
              </w:rPr>
              <w:t>少量</w:t>
            </w:r>
            <w:r>
              <w:rPr>
                <w:rFonts w:hint="eastAsia"/>
                <w:bCs/>
                <w:color w:val="auto"/>
                <w:sz w:val="24"/>
                <w:lang w:eastAsia="zh-CN"/>
              </w:rPr>
              <w:t>炉渣</w:t>
            </w:r>
            <w:r>
              <w:rPr>
                <w:bCs/>
                <w:color w:val="auto"/>
                <w:sz w:val="24"/>
              </w:rPr>
              <w:t>，产生量约为</w:t>
            </w:r>
            <w:r>
              <w:rPr>
                <w:rFonts w:hint="eastAsia"/>
                <w:bCs/>
                <w:color w:val="auto"/>
                <w:sz w:val="24"/>
                <w:lang w:val="en-US" w:eastAsia="zh-CN"/>
              </w:rPr>
              <w:t>1</w:t>
            </w:r>
            <w:r>
              <w:rPr>
                <w:color w:val="auto"/>
                <w:spacing w:val="-2"/>
                <w:sz w:val="24"/>
              </w:rPr>
              <w:t>t/a</w:t>
            </w:r>
            <w:r>
              <w:rPr>
                <w:bCs/>
                <w:color w:val="auto"/>
                <w:sz w:val="24"/>
              </w:rPr>
              <w:t>；</w:t>
            </w:r>
            <w:r>
              <w:rPr>
                <w:rFonts w:hint="eastAsia"/>
                <w:bCs/>
                <w:color w:val="auto"/>
                <w:sz w:val="24"/>
                <w:lang w:eastAsia="zh-CN"/>
              </w:rPr>
              <w:t>滚砂工序产生废砂，产生量约为</w:t>
            </w:r>
            <w:r>
              <w:rPr>
                <w:rFonts w:hint="eastAsia"/>
                <w:bCs/>
                <w:color w:val="auto"/>
                <w:sz w:val="24"/>
                <w:lang w:val="en-US" w:eastAsia="zh-CN"/>
              </w:rPr>
              <w:t>91.8</w:t>
            </w:r>
            <w:r>
              <w:rPr>
                <w:color w:val="auto"/>
                <w:spacing w:val="-2"/>
                <w:sz w:val="24"/>
              </w:rPr>
              <w:t>t/a</w:t>
            </w:r>
            <w:r>
              <w:rPr>
                <w:rFonts w:hint="eastAsia"/>
                <w:color w:val="auto"/>
                <w:spacing w:val="-2"/>
                <w:sz w:val="24"/>
                <w:lang w:eastAsia="zh-CN"/>
              </w:rPr>
              <w:t>；机加工工序产生少量金属边角料，产生量约为</w:t>
            </w:r>
            <w:r>
              <w:rPr>
                <w:rFonts w:hint="eastAsia"/>
                <w:color w:val="auto"/>
                <w:spacing w:val="-2"/>
                <w:sz w:val="24"/>
                <w:lang w:val="en-US" w:eastAsia="zh-CN"/>
              </w:rPr>
              <w:t>2</w:t>
            </w:r>
            <w:r>
              <w:rPr>
                <w:color w:val="auto"/>
                <w:spacing w:val="-2"/>
                <w:sz w:val="24"/>
              </w:rPr>
              <w:t>t/a</w:t>
            </w:r>
            <w:r>
              <w:rPr>
                <w:rFonts w:hint="eastAsia"/>
                <w:color w:val="auto"/>
                <w:spacing w:val="-2"/>
                <w:sz w:val="24"/>
                <w:lang w:eastAsia="zh-CN"/>
              </w:rPr>
              <w:t>；</w:t>
            </w:r>
            <w:r>
              <w:rPr>
                <w:rFonts w:hint="eastAsia"/>
                <w:bCs/>
                <w:color w:val="auto"/>
                <w:sz w:val="24"/>
                <w:lang w:eastAsia="zh-CN"/>
              </w:rPr>
              <w:t>测试</w:t>
            </w:r>
            <w:r>
              <w:rPr>
                <w:rFonts w:hint="eastAsia"/>
                <w:bCs/>
                <w:color w:val="auto"/>
                <w:sz w:val="24"/>
              </w:rPr>
              <w:t>工序产生少量不合格品，产生量约为</w:t>
            </w:r>
            <w:r>
              <w:rPr>
                <w:rFonts w:hint="eastAsia"/>
                <w:bCs/>
                <w:color w:val="auto"/>
                <w:sz w:val="24"/>
                <w:lang w:val="en-US" w:eastAsia="zh-CN"/>
              </w:rPr>
              <w:t>2</w:t>
            </w:r>
            <w:r>
              <w:rPr>
                <w:color w:val="auto"/>
                <w:spacing w:val="-2"/>
                <w:sz w:val="24"/>
              </w:rPr>
              <w:t>t/a</w:t>
            </w:r>
            <w:r>
              <w:rPr>
                <w:rFonts w:hint="eastAsia"/>
                <w:color w:val="auto"/>
                <w:spacing w:val="-2"/>
                <w:sz w:val="24"/>
              </w:rPr>
              <w:t>；</w:t>
            </w:r>
            <w:r>
              <w:rPr>
                <w:rFonts w:hint="eastAsia" w:cs="Times New Roman"/>
                <w:bCs/>
                <w:color w:val="auto"/>
                <w:sz w:val="24"/>
                <w:szCs w:val="24"/>
                <w:highlight w:val="none"/>
                <w:lang w:eastAsia="zh-CN"/>
              </w:rPr>
              <w:t>抛光工序产生废抛光轮，产生量约为</w:t>
            </w:r>
            <w:r>
              <w:rPr>
                <w:rFonts w:hint="eastAsia" w:cs="Times New Roman"/>
                <w:bCs/>
                <w:color w:val="auto"/>
                <w:sz w:val="24"/>
                <w:szCs w:val="24"/>
                <w:highlight w:val="none"/>
                <w:lang w:val="en-US" w:eastAsia="zh-CN"/>
              </w:rPr>
              <w:t>0.3</w:t>
            </w:r>
            <w:r>
              <w:rPr>
                <w:rFonts w:hint="default" w:ascii="Times New Roman" w:hAnsi="Times New Roman" w:cs="Times New Roman"/>
                <w:color w:val="auto"/>
                <w:spacing w:val="-2"/>
                <w:sz w:val="24"/>
              </w:rPr>
              <w:t>t/a</w:t>
            </w:r>
            <w:r>
              <w:rPr>
                <w:rFonts w:hint="eastAsia" w:cs="Times New Roman"/>
                <w:color w:val="auto"/>
                <w:spacing w:val="-2"/>
                <w:sz w:val="24"/>
                <w:lang w:eastAsia="zh-CN"/>
              </w:rPr>
              <w:t>；</w:t>
            </w:r>
            <w:r>
              <w:rPr>
                <w:rFonts w:hint="eastAsia"/>
                <w:color w:val="auto"/>
                <w:spacing w:val="-2"/>
                <w:sz w:val="24"/>
              </w:rPr>
              <w:t>包装工序产生少量废包装材料</w:t>
            </w:r>
            <w:r>
              <w:rPr>
                <w:rFonts w:hint="eastAsia"/>
                <w:bCs/>
                <w:color w:val="auto"/>
                <w:sz w:val="24"/>
              </w:rPr>
              <w:t>，产生量约为0.</w:t>
            </w:r>
            <w:r>
              <w:rPr>
                <w:rFonts w:hint="eastAsia"/>
                <w:bCs/>
                <w:color w:val="auto"/>
                <w:sz w:val="24"/>
                <w:lang w:val="en-US" w:eastAsia="zh-CN"/>
              </w:rPr>
              <w:t>1</w:t>
            </w:r>
            <w:r>
              <w:rPr>
                <w:color w:val="auto"/>
                <w:spacing w:val="-2"/>
                <w:sz w:val="24"/>
              </w:rPr>
              <w:t>t/a</w:t>
            </w:r>
            <w:r>
              <w:rPr>
                <w:rFonts w:hint="eastAsia"/>
                <w:color w:val="auto"/>
                <w:spacing w:val="-2"/>
                <w:sz w:val="24"/>
                <w:lang w:eastAsia="zh-CN"/>
              </w:rPr>
              <w:t>；</w:t>
            </w:r>
            <w:r>
              <w:rPr>
                <w:rFonts w:hint="eastAsia"/>
                <w:color w:val="auto"/>
                <w:spacing w:val="-2"/>
                <w:sz w:val="24"/>
                <w:highlight w:val="none"/>
              </w:rPr>
              <w:t>布袋除尘</w:t>
            </w:r>
            <w:r>
              <w:rPr>
                <w:bCs/>
                <w:color w:val="auto"/>
                <w:sz w:val="24"/>
                <w:highlight w:val="none"/>
              </w:rPr>
              <w:t>装置收集的粉尘，产生量约为</w:t>
            </w:r>
            <w:r>
              <w:rPr>
                <w:rFonts w:hint="eastAsia"/>
                <w:bCs/>
                <w:color w:val="auto"/>
                <w:sz w:val="24"/>
                <w:highlight w:val="none"/>
                <w:lang w:val="en-US" w:eastAsia="zh-CN"/>
              </w:rPr>
              <w:t>0.096</w:t>
            </w:r>
            <w:r>
              <w:rPr>
                <w:bCs/>
                <w:color w:val="auto"/>
                <w:sz w:val="24"/>
                <w:highlight w:val="none"/>
              </w:rPr>
              <w:t>*</w:t>
            </w:r>
            <w:r>
              <w:rPr>
                <w:rFonts w:hint="eastAsia"/>
                <w:bCs/>
                <w:color w:val="auto"/>
                <w:sz w:val="24"/>
                <w:highlight w:val="none"/>
              </w:rPr>
              <w:t>99</w:t>
            </w:r>
            <w:r>
              <w:rPr>
                <w:bCs/>
                <w:color w:val="auto"/>
                <w:sz w:val="24"/>
                <w:highlight w:val="none"/>
              </w:rPr>
              <w:t>%≈</w:t>
            </w:r>
            <w:r>
              <w:rPr>
                <w:rFonts w:hint="eastAsia"/>
                <w:bCs/>
                <w:color w:val="auto"/>
                <w:sz w:val="24"/>
                <w:highlight w:val="none"/>
                <w:lang w:val="en-US" w:eastAsia="zh-CN"/>
              </w:rPr>
              <w:t>0.1</w:t>
            </w:r>
            <w:r>
              <w:rPr>
                <w:color w:val="auto"/>
                <w:spacing w:val="-2"/>
                <w:sz w:val="24"/>
                <w:highlight w:val="none"/>
              </w:rPr>
              <w:t>t/a</w:t>
            </w:r>
            <w:r>
              <w:rPr>
                <w:rFonts w:hint="eastAsia"/>
                <w:bCs/>
                <w:color w:val="auto"/>
                <w:sz w:val="24"/>
                <w:highlight w:val="none"/>
              </w:rPr>
              <w:t>。</w:t>
            </w:r>
            <w:r>
              <w:rPr>
                <w:color w:val="auto"/>
                <w:sz w:val="24"/>
              </w:rPr>
              <w:t>综上所述，项目一般固废产生量为</w:t>
            </w:r>
            <w:r>
              <w:rPr>
                <w:rFonts w:hint="eastAsia"/>
                <w:color w:val="auto"/>
                <w:sz w:val="24"/>
                <w:szCs w:val="24"/>
                <w:lang w:val="en-US" w:eastAsia="zh-CN"/>
              </w:rPr>
              <w:t>97.3</w:t>
            </w:r>
            <w:r>
              <w:rPr>
                <w:color w:val="auto"/>
                <w:spacing w:val="-2"/>
                <w:sz w:val="24"/>
                <w:szCs w:val="24"/>
              </w:rPr>
              <w:t>t/a</w:t>
            </w:r>
            <w:r>
              <w:rPr>
                <w:color w:val="auto"/>
                <w:sz w:val="24"/>
              </w:rPr>
              <w:t>，经收集后</w:t>
            </w:r>
            <w:r>
              <w:rPr>
                <w:color w:val="auto"/>
                <w:spacing w:val="-2"/>
                <w:sz w:val="24"/>
              </w:rPr>
              <w:t>交专业公司回收处理</w:t>
            </w:r>
            <w:r>
              <w:rPr>
                <w:color w:val="auto"/>
                <w:sz w:val="24"/>
              </w:rPr>
              <w:t>。</w:t>
            </w:r>
          </w:p>
          <w:p>
            <w:pPr>
              <w:adjustRightInd w:val="0"/>
              <w:snapToGrid w:val="0"/>
              <w:spacing w:line="360" w:lineRule="auto"/>
              <w:ind w:firstLine="482"/>
              <w:rPr>
                <w:rFonts w:hint="eastAsia" w:ascii="Times New Roman" w:hAnsi="Times New Roman" w:cs="宋体"/>
                <w:color w:val="auto"/>
                <w:kern w:val="0"/>
                <w:sz w:val="24"/>
                <w:szCs w:val="24"/>
              </w:rPr>
            </w:pPr>
            <w:r>
              <w:rPr>
                <w:rFonts w:hint="default" w:ascii="Times New Roman" w:hAnsi="Times New Roman" w:cs="Times New Roman"/>
                <w:b/>
                <w:color w:val="auto"/>
                <w:sz w:val="24"/>
                <w:highlight w:val="none"/>
              </w:rPr>
              <w:t>危险废物</w:t>
            </w:r>
            <w:r>
              <w:rPr>
                <w:rFonts w:hint="default" w:ascii="Times New Roman" w:hAnsi="Times New Roman" w:cs="Times New Roman"/>
                <w:color w:val="auto"/>
                <w:sz w:val="24"/>
                <w:highlight w:val="none"/>
              </w:rPr>
              <w:t>：</w:t>
            </w:r>
            <w:r>
              <w:rPr>
                <w:rFonts w:hint="eastAsia" w:ascii="Times New Roman" w:hAnsi="Times New Roman" w:cs="Times New Roman"/>
                <w:color w:val="auto"/>
                <w:sz w:val="24"/>
                <w:szCs w:val="24"/>
                <w:highlight w:val="none"/>
                <w:lang w:eastAsia="zh-CN"/>
              </w:rPr>
              <w:t>项目危险废物主要包括废树脂桶、废机油、废机油油桶、</w:t>
            </w:r>
            <w:r>
              <w:rPr>
                <w:rFonts w:hint="eastAsia" w:ascii="Times New Roman" w:hAnsi="Times New Roman"/>
                <w:color w:val="auto"/>
                <w:kern w:val="0"/>
                <w:sz w:val="24"/>
                <w:lang w:val="en-US" w:eastAsia="zh-CN"/>
              </w:rPr>
              <w:t>含油废抹布、</w:t>
            </w:r>
            <w:r>
              <w:rPr>
                <w:rFonts w:hint="eastAsia" w:ascii="Times New Roman" w:hAnsi="Times New Roman" w:cs="Times New Roman"/>
                <w:color w:val="auto"/>
                <w:sz w:val="24"/>
                <w:szCs w:val="24"/>
                <w:highlight w:val="none"/>
                <w:lang w:eastAsia="zh-CN"/>
              </w:rPr>
              <w:t>废</w:t>
            </w:r>
            <w:r>
              <w:rPr>
                <w:rFonts w:hint="eastAsia" w:ascii="Times New Roman" w:hAnsi="Times New Roman" w:cs="Times New Roman"/>
                <w:color w:val="auto"/>
                <w:sz w:val="24"/>
                <w:szCs w:val="24"/>
                <w:highlight w:val="none"/>
                <w:lang w:val="en-US" w:eastAsia="zh-CN"/>
              </w:rPr>
              <w:t>UV灯管</w:t>
            </w:r>
            <w:r>
              <w:rPr>
                <w:rFonts w:hint="eastAsia" w:ascii="Times New Roman" w:hAnsi="Times New Roman" w:cs="Times New Roman"/>
                <w:color w:val="auto"/>
                <w:sz w:val="24"/>
                <w:szCs w:val="24"/>
                <w:highlight w:val="none"/>
                <w:lang w:eastAsia="zh-CN"/>
              </w:rPr>
              <w:t>。</w:t>
            </w:r>
            <w:r>
              <w:rPr>
                <w:rFonts w:hint="eastAsia" w:ascii="Times New Roman" w:hAnsi="Times New Roman" w:cs="宋体"/>
                <w:color w:val="auto"/>
                <w:kern w:val="0"/>
                <w:sz w:val="24"/>
                <w:szCs w:val="24"/>
              </w:rPr>
              <w:t>危险废物</w:t>
            </w:r>
            <w:r>
              <w:rPr>
                <w:rFonts w:hint="eastAsia" w:ascii="Times New Roman" w:hAnsi="Times New Roman" w:cs="Times New Roman"/>
                <w:color w:val="auto"/>
                <w:kern w:val="0"/>
                <w:sz w:val="24"/>
                <w:szCs w:val="20"/>
                <w:lang w:val="en-US" w:eastAsia="zh-CN"/>
              </w:rPr>
              <w:t>应暂存于危废暂存区，</w:t>
            </w:r>
            <w:r>
              <w:rPr>
                <w:rFonts w:hint="eastAsia" w:ascii="Times New Roman" w:hAnsi="Times New Roman" w:eastAsia="宋体" w:cs="Times New Roman"/>
                <w:color w:val="auto"/>
                <w:kern w:val="0"/>
                <w:sz w:val="24"/>
                <w:szCs w:val="20"/>
                <w:lang w:val="en-US" w:eastAsia="zh-CN"/>
              </w:rPr>
              <w:t>定期</w:t>
            </w:r>
            <w:r>
              <w:rPr>
                <w:rFonts w:hint="eastAsia" w:ascii="Times New Roman" w:hAnsi="Times New Roman" w:cs="Times New Roman"/>
                <w:color w:val="auto"/>
                <w:sz w:val="24"/>
                <w:szCs w:val="24"/>
                <w:highlight w:val="none"/>
                <w:lang w:val="en-US" w:eastAsia="zh-CN"/>
              </w:rPr>
              <w:t>交给有危险废物处置资质单位处置</w:t>
            </w:r>
            <w:r>
              <w:rPr>
                <w:rFonts w:hint="eastAsia" w:ascii="Times New Roman" w:hAnsi="Times New Roman" w:cs="Times New Roman"/>
                <w:color w:val="auto"/>
                <w:kern w:val="0"/>
                <w:sz w:val="24"/>
                <w:szCs w:val="20"/>
                <w:lang w:val="en-US" w:eastAsia="zh-CN"/>
              </w:rPr>
              <w:t>。</w:t>
            </w:r>
          </w:p>
          <w:p>
            <w:pPr>
              <w:spacing w:line="360" w:lineRule="auto"/>
              <w:ind w:firstLine="480" w:firstLineChars="200"/>
              <w:rPr>
                <w:rFonts w:hint="eastAsia" w:ascii="Times New Roman" w:hAnsi="Times New Roman" w:cs="Times New Roman"/>
                <w:color w:val="auto"/>
                <w:sz w:val="24"/>
                <w:szCs w:val="24"/>
              </w:rPr>
            </w:pPr>
            <w:r>
              <w:rPr>
                <w:rFonts w:hint="eastAsia" w:ascii="Times New Roman" w:hAnsi="Times New Roman" w:cs="Times New Roman"/>
                <w:color w:val="auto"/>
                <w:sz w:val="24"/>
                <w:szCs w:val="24"/>
              </w:rPr>
              <w:t>根据自2016年8月1日起施行《国家危险废物名录》相关规定，建设方需对危险废物进行管理，要求企业在厂区内</w:t>
            </w:r>
            <w:r>
              <w:rPr>
                <w:rFonts w:hint="eastAsia" w:ascii="Times New Roman" w:hAnsi="Times New Roman" w:cs="Times New Roman"/>
                <w:bCs/>
                <w:color w:val="auto"/>
                <w:sz w:val="24"/>
                <w:szCs w:val="24"/>
              </w:rPr>
              <w:t>按照</w:t>
            </w:r>
            <w:r>
              <w:rPr>
                <w:rFonts w:ascii="Times New Roman" w:hAnsi="Times New Roman" w:cs="Times New Roman"/>
                <w:bCs/>
                <w:color w:val="auto"/>
                <w:sz w:val="24"/>
                <w:szCs w:val="24"/>
              </w:rPr>
              <w:t>《危险废物贮存污染控制标准》（GB18597-2001）</w:t>
            </w:r>
            <w:r>
              <w:rPr>
                <w:rFonts w:hint="eastAsia" w:ascii="Times New Roman" w:hAnsi="Times New Roman" w:cs="Times New Roman"/>
                <w:bCs/>
                <w:color w:val="auto"/>
                <w:sz w:val="24"/>
                <w:szCs w:val="24"/>
              </w:rPr>
              <w:t>及2013年修改单要求设置</w:t>
            </w:r>
            <w:r>
              <w:rPr>
                <w:rFonts w:ascii="Times New Roman" w:hAnsi="Times New Roman" w:cs="Times New Roman"/>
                <w:bCs/>
                <w:color w:val="auto"/>
                <w:sz w:val="24"/>
                <w:szCs w:val="24"/>
              </w:rPr>
              <w:t>专门危废存放区</w:t>
            </w:r>
            <w:r>
              <w:rPr>
                <w:rFonts w:hint="eastAsia" w:ascii="Times New Roman" w:hAnsi="Times New Roman" w:cs="Times New Roman"/>
                <w:color w:val="auto"/>
                <w:sz w:val="24"/>
                <w:szCs w:val="24"/>
              </w:rPr>
              <w:t>；危险废物使用符合标准的容器盛装；盛装危险废物的容器必须粘贴标签，标签内包括废物类别、行业来源、废物代码、危险废物和危险特性以及符合防风、防雨、防晒、防渗透的要求。危险废物</w:t>
            </w:r>
            <w:r>
              <w:rPr>
                <w:rFonts w:hint="eastAsia" w:ascii="Times New Roman" w:hAnsi="Times New Roman" w:cs="Times New Roman"/>
                <w:color w:val="auto"/>
                <w:sz w:val="24"/>
                <w:szCs w:val="24"/>
                <w:highlight w:val="none"/>
                <w:lang w:val="en-US" w:eastAsia="zh-CN"/>
              </w:rPr>
              <w:t>交给有危险废物处置资质单位处置</w:t>
            </w:r>
            <w:r>
              <w:rPr>
                <w:rFonts w:hint="eastAsia" w:ascii="Times New Roman" w:hAnsi="Times New Roman" w:cs="Times New Roman"/>
                <w:color w:val="auto"/>
                <w:sz w:val="24"/>
                <w:szCs w:val="24"/>
              </w:rPr>
              <w:t>。</w:t>
            </w:r>
          </w:p>
          <w:p>
            <w:pPr>
              <w:widowControl/>
              <w:numPr>
                <w:ilvl w:val="0"/>
                <w:numId w:val="5"/>
              </w:numPr>
              <w:tabs>
                <w:tab w:val="left" w:pos="420"/>
              </w:tabs>
              <w:adjustRightInd w:val="0"/>
              <w:snapToGrid w:val="0"/>
              <w:spacing w:line="360" w:lineRule="auto"/>
              <w:ind w:left="0" w:firstLine="471"/>
              <w:jc w:val="center"/>
              <w:rPr>
                <w:rFonts w:hint="eastAsia"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本项目危险废物贮存场所（设施）基本情况表</w:t>
            </w:r>
          </w:p>
          <w:tbl>
            <w:tblPr>
              <w:tblStyle w:val="40"/>
              <w:tblW w:w="90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350"/>
              <w:gridCol w:w="1200"/>
              <w:gridCol w:w="1110"/>
              <w:gridCol w:w="836"/>
              <w:gridCol w:w="439"/>
              <w:gridCol w:w="769"/>
              <w:gridCol w:w="905"/>
              <w:gridCol w:w="905"/>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4"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序号</w:t>
                  </w:r>
                </w:p>
              </w:tc>
              <w:tc>
                <w:tcPr>
                  <w:tcW w:w="1350"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Cs w:val="21"/>
                    </w:rPr>
                  </w:pPr>
                  <w:r>
                    <w:rPr>
                      <w:rFonts w:ascii="Times New Roman" w:hAnsi="Times New Roman" w:cs="Times New Roman"/>
                      <w:color w:val="auto"/>
                      <w:szCs w:val="21"/>
                    </w:rPr>
                    <w:t>贮存场所</w:t>
                  </w:r>
                </w:p>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名称</w:t>
                  </w:r>
                </w:p>
              </w:tc>
              <w:tc>
                <w:tcPr>
                  <w:tcW w:w="1200"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危险废物名称</w:t>
                  </w:r>
                </w:p>
              </w:tc>
              <w:tc>
                <w:tcPr>
                  <w:tcW w:w="1110"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危险废物类别</w:t>
                  </w:r>
                </w:p>
              </w:tc>
              <w:tc>
                <w:tcPr>
                  <w:tcW w:w="836"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危险废物代码</w:t>
                  </w:r>
                </w:p>
              </w:tc>
              <w:tc>
                <w:tcPr>
                  <w:tcW w:w="439"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位置</w:t>
                  </w:r>
                </w:p>
              </w:tc>
              <w:tc>
                <w:tcPr>
                  <w:tcW w:w="769"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占地面积</w:t>
                  </w:r>
                </w:p>
              </w:tc>
              <w:tc>
                <w:tcPr>
                  <w:tcW w:w="905"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贮存方式</w:t>
                  </w:r>
                </w:p>
              </w:tc>
              <w:tc>
                <w:tcPr>
                  <w:tcW w:w="905"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Cs w:val="21"/>
                    </w:rPr>
                  </w:pPr>
                  <w:r>
                    <w:rPr>
                      <w:rFonts w:ascii="Times New Roman" w:hAnsi="Times New Roman" w:cs="Times New Roman"/>
                      <w:color w:val="auto"/>
                      <w:szCs w:val="21"/>
                    </w:rPr>
                    <w:t>贮存</w:t>
                  </w:r>
                </w:p>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能力</w:t>
                  </w:r>
                </w:p>
              </w:tc>
              <w:tc>
                <w:tcPr>
                  <w:tcW w:w="905" w:type="dxa"/>
                  <w:tcBorders>
                    <w:tl2br w:val="nil"/>
                    <w:tr2bl w:val="nil"/>
                  </w:tcBorders>
                  <w:vAlign w:val="center"/>
                </w:tcPr>
                <w:p>
                  <w:pPr>
                    <w:tabs>
                      <w:tab w:val="left" w:pos="7580"/>
                    </w:tabs>
                    <w:spacing w:before="50" w:line="240" w:lineRule="auto"/>
                    <w:jc w:val="center"/>
                    <w:rPr>
                      <w:rFonts w:ascii="Times New Roman" w:hAnsi="Times New Roman" w:cs="Times New Roman"/>
                      <w:color w:val="auto"/>
                      <w:szCs w:val="21"/>
                    </w:rPr>
                  </w:pPr>
                  <w:r>
                    <w:rPr>
                      <w:rFonts w:ascii="Times New Roman" w:hAnsi="Times New Roman" w:cs="Times New Roman"/>
                      <w:color w:val="auto"/>
                      <w:szCs w:val="21"/>
                    </w:rPr>
                    <w:t>贮存</w:t>
                  </w:r>
                </w:p>
                <w:p>
                  <w:pPr>
                    <w:tabs>
                      <w:tab w:val="left" w:pos="7580"/>
                    </w:tabs>
                    <w:spacing w:before="50" w:line="240" w:lineRule="auto"/>
                    <w:jc w:val="center"/>
                    <w:rPr>
                      <w:rFonts w:ascii="Times New Roman" w:hAnsi="Times New Roman" w:cs="Times New Roman"/>
                      <w:color w:val="auto"/>
                      <w:sz w:val="24"/>
                      <w:szCs w:val="24"/>
                    </w:rPr>
                  </w:pPr>
                  <w:r>
                    <w:rPr>
                      <w:rFonts w:ascii="Times New Roman" w:hAnsi="Times New Roman" w:cs="Times New Roman"/>
                      <w:color w:val="auto"/>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trPr>
              <w:tc>
                <w:tcPr>
                  <w:tcW w:w="624" w:type="dxa"/>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cs="Times New Roman"/>
                      <w:color w:val="auto"/>
                      <w:szCs w:val="21"/>
                    </w:rPr>
                    <w:t>1</w:t>
                  </w:r>
                </w:p>
              </w:tc>
              <w:tc>
                <w:tcPr>
                  <w:tcW w:w="1350" w:type="dxa"/>
                  <w:vMerge w:val="restart"/>
                  <w:tcBorders>
                    <w:tl2br w:val="nil"/>
                    <w:tr2bl w:val="nil"/>
                  </w:tcBorders>
                  <w:vAlign w:val="center"/>
                </w:tcPr>
                <w:p>
                  <w:pPr>
                    <w:tabs>
                      <w:tab w:val="left" w:pos="7580"/>
                    </w:tabs>
                    <w:spacing w:before="5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eastAsia="zh-CN"/>
                    </w:rPr>
                    <w:t>危废暂存区</w:t>
                  </w:r>
                </w:p>
              </w:tc>
              <w:tc>
                <w:tcPr>
                  <w:tcW w:w="1200" w:type="dxa"/>
                  <w:tcBorders>
                    <w:tl2br w:val="nil"/>
                    <w:tr2bl w:val="nil"/>
                  </w:tcBorders>
                  <w:vAlign w:val="center"/>
                </w:tcPr>
                <w:p>
                  <w:pPr>
                    <w:tabs>
                      <w:tab w:val="left" w:pos="7580"/>
                    </w:tabs>
                    <w:spacing w:before="5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highlight w:val="none"/>
                    </w:rPr>
                    <w:t>废树脂桶、废机油油桶、含油废抹布</w:t>
                  </w:r>
                </w:p>
              </w:tc>
              <w:tc>
                <w:tcPr>
                  <w:tcW w:w="1110" w:type="dxa"/>
                  <w:tcBorders>
                    <w:tl2br w:val="nil"/>
                    <w:tr2bl w:val="nil"/>
                  </w:tcBorders>
                  <w:vAlign w:val="center"/>
                </w:tcPr>
                <w:p>
                  <w:pPr>
                    <w:autoSpaceDE w:val="0"/>
                    <w:autoSpaceDN w:val="0"/>
                    <w:adjustRightInd w:val="0"/>
                    <w:spacing w:line="320" w:lineRule="atLeast"/>
                    <w:jc w:val="center"/>
                    <w:rPr>
                      <w:rFonts w:ascii="Times New Roman" w:hAnsi="Times New Roman" w:eastAsia="宋体" w:cs="Times New Roman"/>
                      <w:color w:val="auto"/>
                      <w:kern w:val="2"/>
                      <w:sz w:val="21"/>
                      <w:szCs w:val="21"/>
                      <w:lang w:val="en-US" w:eastAsia="zh-CN" w:bidi="ar-SA"/>
                    </w:rPr>
                  </w:pPr>
                  <w:r>
                    <w:rPr>
                      <w:rFonts w:ascii="Times New Roman" w:hAnsi="Times New Roman" w:cs="Times New Roman"/>
                      <w:color w:val="auto"/>
                      <w:kern w:val="0"/>
                      <w:szCs w:val="21"/>
                    </w:rPr>
                    <w:t>HW49类其他废物</w:t>
                  </w:r>
                </w:p>
              </w:tc>
              <w:tc>
                <w:tcPr>
                  <w:tcW w:w="836" w:type="dxa"/>
                  <w:tcBorders>
                    <w:tl2br w:val="nil"/>
                    <w:tr2bl w:val="nil"/>
                  </w:tcBorders>
                  <w:vAlign w:val="center"/>
                </w:tcPr>
                <w:p>
                  <w:pPr>
                    <w:autoSpaceDE w:val="0"/>
                    <w:autoSpaceDN w:val="0"/>
                    <w:adjustRightInd w:val="0"/>
                    <w:spacing w:line="320" w:lineRule="atLeast"/>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900-041-49</w:t>
                  </w:r>
                </w:p>
              </w:tc>
              <w:tc>
                <w:tcPr>
                  <w:tcW w:w="439" w:type="dxa"/>
                  <w:vMerge w:val="restart"/>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eastAsia="宋体"/>
                      <w:color w:val="auto"/>
                      <w:kern w:val="0"/>
                      <w:sz w:val="21"/>
                      <w:szCs w:val="21"/>
                      <w:highlight w:val="none"/>
                      <w:u w:val="none" w:color="auto"/>
                    </w:rPr>
                    <w:t>设</w:t>
                  </w:r>
                  <w:r>
                    <w:rPr>
                      <w:rFonts w:hint="eastAsia"/>
                      <w:color w:val="auto"/>
                      <w:kern w:val="0"/>
                      <w:sz w:val="21"/>
                      <w:szCs w:val="21"/>
                      <w:highlight w:val="none"/>
                      <w:u w:val="none" w:color="auto"/>
                      <w:lang w:eastAsia="zh-CN"/>
                    </w:rPr>
                    <w:t>在机加工车间</w:t>
                  </w:r>
                  <w:r>
                    <w:rPr>
                      <w:rFonts w:hint="eastAsia"/>
                      <w:color w:val="auto"/>
                      <w:kern w:val="0"/>
                      <w:sz w:val="21"/>
                      <w:szCs w:val="21"/>
                      <w:highlight w:val="none"/>
                      <w:u w:val="none" w:color="auto"/>
                      <w:lang w:val="en-US" w:eastAsia="zh-CN"/>
                    </w:rPr>
                    <w:t>内</w:t>
                  </w:r>
                </w:p>
              </w:tc>
              <w:tc>
                <w:tcPr>
                  <w:tcW w:w="769" w:type="dxa"/>
                  <w:vMerge w:val="restart"/>
                  <w:tcBorders>
                    <w:tl2br w:val="nil"/>
                    <w:tr2bl w:val="nil"/>
                  </w:tcBorders>
                  <w:vAlign w:val="center"/>
                </w:tcPr>
                <w:p>
                  <w:pPr>
                    <w:tabs>
                      <w:tab w:val="left" w:pos="7580"/>
                    </w:tabs>
                    <w:spacing w:before="5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4</w:t>
                  </w:r>
                  <w:r>
                    <w:rPr>
                      <w:rFonts w:ascii="Times New Roman" w:hAnsi="Times New Roman" w:cs="Times New Roman"/>
                      <w:color w:val="auto"/>
                      <w:szCs w:val="21"/>
                    </w:rPr>
                    <w:t>m</w:t>
                  </w:r>
                  <w:r>
                    <w:rPr>
                      <w:rFonts w:hint="eastAsia" w:ascii="Times New Roman" w:hAnsi="Times New Roman" w:cs="Times New Roman"/>
                      <w:color w:val="auto"/>
                      <w:szCs w:val="21"/>
                      <w:vertAlign w:val="superscript"/>
                      <w:lang w:val="en-US" w:eastAsia="zh-CN"/>
                    </w:rPr>
                    <w:t>2</w:t>
                  </w:r>
                </w:p>
              </w:tc>
              <w:tc>
                <w:tcPr>
                  <w:tcW w:w="905" w:type="dxa"/>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cs="Times New Roman"/>
                      <w:color w:val="auto"/>
                      <w:szCs w:val="21"/>
                    </w:rPr>
                    <w:t>桶装</w:t>
                  </w:r>
                </w:p>
              </w:tc>
              <w:tc>
                <w:tcPr>
                  <w:tcW w:w="905" w:type="dxa"/>
                  <w:vMerge w:val="restart"/>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eastAsia="宋体" w:cs="Times New Roman"/>
                      <w:color w:val="auto"/>
                      <w:kern w:val="0"/>
                      <w:sz w:val="21"/>
                      <w:szCs w:val="21"/>
                    </w:rPr>
                    <w:t>可储存</w:t>
                  </w:r>
                  <w:r>
                    <w:rPr>
                      <w:rFonts w:hint="eastAsia" w:ascii="Times New Roman" w:hAnsi="Times New Roman" w:eastAsia="宋体" w:cs="Times New Roman"/>
                      <w:color w:val="auto"/>
                      <w:kern w:val="0"/>
                      <w:sz w:val="21"/>
                      <w:szCs w:val="21"/>
                    </w:rPr>
                    <w:t>1年</w:t>
                  </w:r>
                  <w:r>
                    <w:rPr>
                      <w:rFonts w:ascii="Times New Roman" w:hAnsi="Times New Roman" w:eastAsia="宋体" w:cs="Times New Roman"/>
                      <w:color w:val="auto"/>
                      <w:kern w:val="0"/>
                      <w:sz w:val="21"/>
                      <w:szCs w:val="21"/>
                    </w:rPr>
                    <w:t>的转移量</w:t>
                  </w:r>
                </w:p>
              </w:tc>
              <w:tc>
                <w:tcPr>
                  <w:tcW w:w="905" w:type="dxa"/>
                  <w:vMerge w:val="restart"/>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hint="eastAsia" w:ascii="Times New Roman" w:hAnsi="Times New Roman" w:eastAsia="宋体" w:cs="Times New Roman"/>
                      <w:color w:val="auto"/>
                      <w:kern w:val="0"/>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cs="Times New Roman"/>
                      <w:color w:val="auto"/>
                      <w:szCs w:val="21"/>
                    </w:rPr>
                    <w:t>2</w:t>
                  </w:r>
                </w:p>
              </w:tc>
              <w:tc>
                <w:tcPr>
                  <w:tcW w:w="1350"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1200" w:type="dxa"/>
                  <w:tcBorders>
                    <w:tl2br w:val="nil"/>
                    <w:tr2bl w:val="nil"/>
                  </w:tcBorders>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ascii="Times New Roman" w:hAnsi="Times New Roman" w:eastAsia="宋体"/>
                      <w:bCs/>
                      <w:color w:val="auto"/>
                      <w:sz w:val="21"/>
                      <w:szCs w:val="21"/>
                      <w:highlight w:val="none"/>
                    </w:rPr>
                    <w:t>废</w:t>
                  </w:r>
                  <w:r>
                    <w:rPr>
                      <w:rFonts w:hint="eastAsia"/>
                      <w:bCs/>
                      <w:color w:val="auto"/>
                      <w:sz w:val="21"/>
                      <w:szCs w:val="21"/>
                      <w:highlight w:val="none"/>
                      <w:lang w:eastAsia="zh-CN"/>
                    </w:rPr>
                    <w:t>机油</w:t>
                  </w:r>
                </w:p>
              </w:tc>
              <w:tc>
                <w:tcPr>
                  <w:tcW w:w="1110" w:type="dxa"/>
                  <w:tcBorders>
                    <w:tl2br w:val="nil"/>
                    <w:tr2bl w:val="nil"/>
                  </w:tcBorders>
                  <w:vAlign w:val="center"/>
                </w:tcPr>
                <w:p>
                  <w:pPr>
                    <w:topLinePunct/>
                    <w:adjustRightInd w:val="0"/>
                    <w:snapToGrid w:val="0"/>
                    <w:spacing w:line="240" w:lineRule="auto"/>
                    <w:ind w:firstLine="0" w:firstLineChars="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bCs/>
                      <w:color w:val="auto"/>
                      <w:sz w:val="21"/>
                      <w:szCs w:val="21"/>
                      <w:highlight w:val="none"/>
                    </w:rPr>
                    <w:t>HW08</w:t>
                  </w:r>
                  <w:r>
                    <w:rPr>
                      <w:rFonts w:ascii="Times New Roman" w:hAnsi="Times New Roman" w:eastAsia="宋体"/>
                      <w:bCs/>
                      <w:color w:val="auto"/>
                      <w:sz w:val="21"/>
                      <w:szCs w:val="21"/>
                      <w:highlight w:val="none"/>
                    </w:rPr>
                    <w:t>废矿物油与含矿物油废物</w:t>
                  </w:r>
                </w:p>
              </w:tc>
              <w:tc>
                <w:tcPr>
                  <w:tcW w:w="836" w:type="dxa"/>
                  <w:tcBorders>
                    <w:tl2br w:val="nil"/>
                    <w:tr2bl w:val="nil"/>
                  </w:tcBorders>
                  <w:vAlign w:val="center"/>
                </w:tcPr>
                <w:p>
                  <w:pPr>
                    <w:topLinePunct/>
                    <w:adjustRightInd w:val="0"/>
                    <w:snapToGrid w:val="0"/>
                    <w:spacing w:line="240" w:lineRule="auto"/>
                    <w:ind w:firstLine="0" w:firstLineChars="0"/>
                    <w:jc w:val="center"/>
                    <w:rPr>
                      <w:rFonts w:ascii="Times New Roman" w:hAnsi="Times New Roman" w:eastAsia="宋体" w:cs="Times New Roman"/>
                      <w:color w:val="auto"/>
                      <w:kern w:val="2"/>
                      <w:sz w:val="21"/>
                      <w:szCs w:val="20"/>
                      <w:lang w:val="en-US" w:eastAsia="zh-CN" w:bidi="ar-SA"/>
                    </w:rPr>
                  </w:pPr>
                  <w:r>
                    <w:rPr>
                      <w:rFonts w:ascii="Times New Roman" w:hAnsi="Times New Roman"/>
                      <w:color w:val="auto"/>
                      <w:sz w:val="21"/>
                      <w:szCs w:val="21"/>
                      <w:highlight w:val="none"/>
                    </w:rPr>
                    <w:t>900-217-08</w:t>
                  </w:r>
                </w:p>
              </w:tc>
              <w:tc>
                <w:tcPr>
                  <w:tcW w:w="439"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769"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905" w:type="dxa"/>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cs="Times New Roman"/>
                      <w:color w:val="auto"/>
                      <w:szCs w:val="21"/>
                    </w:rPr>
                    <w:t>桶装</w:t>
                  </w:r>
                </w:p>
              </w:tc>
              <w:tc>
                <w:tcPr>
                  <w:tcW w:w="905"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905"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624" w:type="dxa"/>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cs="Times New Roman"/>
                      <w:color w:val="auto"/>
                      <w:szCs w:val="21"/>
                    </w:rPr>
                    <w:t>3</w:t>
                  </w:r>
                </w:p>
              </w:tc>
              <w:tc>
                <w:tcPr>
                  <w:tcW w:w="1350"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1200" w:type="dxa"/>
                  <w:tcBorders>
                    <w:tl2br w:val="nil"/>
                    <w:tr2bl w:val="nil"/>
                  </w:tcBorders>
                  <w:vAlign w:val="center"/>
                </w:tcPr>
                <w:p>
                  <w:pPr>
                    <w:tabs>
                      <w:tab w:val="left" w:pos="7580"/>
                    </w:tabs>
                    <w:spacing w:before="5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0"/>
                      <w:szCs w:val="21"/>
                    </w:rPr>
                    <w:t>废UV灯管</w:t>
                  </w:r>
                </w:p>
              </w:tc>
              <w:tc>
                <w:tcPr>
                  <w:tcW w:w="1110" w:type="dxa"/>
                  <w:tcBorders>
                    <w:tl2br w:val="nil"/>
                    <w:tr2bl w:val="nil"/>
                  </w:tcBorders>
                  <w:vAlign w:val="center"/>
                </w:tcPr>
                <w:p>
                  <w:pPr>
                    <w:autoSpaceDE w:val="0"/>
                    <w:autoSpaceDN w:val="0"/>
                    <w:adjustRightInd w:val="0"/>
                    <w:spacing w:line="320" w:lineRule="atLeast"/>
                    <w:jc w:val="center"/>
                    <w:rPr>
                      <w:rFonts w:hint="eastAsia" w:ascii="Times New Roman" w:hAnsi="Times New Roman" w:cs="Times New Roman"/>
                      <w:color w:val="auto"/>
                      <w:kern w:val="0"/>
                      <w:szCs w:val="21"/>
                      <w:lang w:eastAsia="zh-CN"/>
                    </w:rPr>
                  </w:pPr>
                  <w:r>
                    <w:rPr>
                      <w:rFonts w:hint="eastAsia" w:ascii="Times New Roman" w:hAnsi="Times New Roman" w:cs="Times New Roman"/>
                      <w:color w:val="auto"/>
                      <w:kern w:val="0"/>
                      <w:szCs w:val="21"/>
                    </w:rPr>
                    <w:t>HW29</w:t>
                  </w:r>
                  <w:r>
                    <w:rPr>
                      <w:rFonts w:hint="eastAsia" w:ascii="Times New Roman" w:hAnsi="Times New Roman" w:eastAsia="宋体" w:cs="Times New Roman"/>
                      <w:color w:val="auto"/>
                      <w:kern w:val="0"/>
                      <w:szCs w:val="21"/>
                      <w:lang w:eastAsia="zh-CN"/>
                    </w:rPr>
                    <w:t>类</w:t>
                  </w:r>
                </w:p>
                <w:p>
                  <w:pPr>
                    <w:autoSpaceDE w:val="0"/>
                    <w:autoSpaceDN w:val="0"/>
                    <w:adjustRightInd w:val="0"/>
                    <w:spacing w:line="320" w:lineRule="atLeast"/>
                    <w:jc w:val="center"/>
                    <w:rPr>
                      <w:rFonts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Cs w:val="21"/>
                    </w:rPr>
                    <w:t>含汞废物</w:t>
                  </w:r>
                </w:p>
              </w:tc>
              <w:tc>
                <w:tcPr>
                  <w:tcW w:w="836" w:type="dxa"/>
                  <w:tcBorders>
                    <w:tl2br w:val="nil"/>
                    <w:tr2bl w:val="nil"/>
                  </w:tcBorders>
                  <w:vAlign w:val="center"/>
                </w:tcPr>
                <w:p>
                  <w:pPr>
                    <w:autoSpaceDE w:val="0"/>
                    <w:autoSpaceDN w:val="0"/>
                    <w:adjustRightInd w:val="0"/>
                    <w:spacing w:line="320" w:lineRule="atLeast"/>
                    <w:jc w:val="center"/>
                    <w:rPr>
                      <w:rFonts w:ascii="Times New Roman" w:hAnsi="Times New Roman" w:eastAsia="宋体" w:cs="Times New Roman"/>
                      <w:color w:val="auto"/>
                      <w:kern w:val="2"/>
                      <w:sz w:val="21"/>
                      <w:szCs w:val="20"/>
                      <w:lang w:val="en-US" w:eastAsia="zh-CN" w:bidi="ar-SA"/>
                    </w:rPr>
                  </w:pPr>
                  <w:r>
                    <w:rPr>
                      <w:rFonts w:hint="eastAsia" w:ascii="Times New Roman" w:hAnsi="Times New Roman" w:cs="Times New Roman"/>
                      <w:color w:val="auto"/>
                      <w:szCs w:val="21"/>
                    </w:rPr>
                    <w:t>900-023-29</w:t>
                  </w:r>
                </w:p>
              </w:tc>
              <w:tc>
                <w:tcPr>
                  <w:tcW w:w="439"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769"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905" w:type="dxa"/>
                  <w:tcBorders>
                    <w:tl2br w:val="nil"/>
                    <w:tr2bl w:val="nil"/>
                  </w:tcBorders>
                  <w:vAlign w:val="center"/>
                </w:tcPr>
                <w:p>
                  <w:pPr>
                    <w:tabs>
                      <w:tab w:val="left" w:pos="7580"/>
                    </w:tabs>
                    <w:spacing w:before="50"/>
                    <w:jc w:val="center"/>
                    <w:rPr>
                      <w:rFonts w:ascii="Times New Roman" w:hAnsi="Times New Roman" w:cs="Times New Roman"/>
                      <w:color w:val="auto"/>
                      <w:szCs w:val="21"/>
                    </w:rPr>
                  </w:pPr>
                  <w:r>
                    <w:rPr>
                      <w:rFonts w:ascii="Times New Roman" w:hAnsi="Times New Roman" w:cs="Times New Roman"/>
                      <w:color w:val="auto"/>
                      <w:szCs w:val="21"/>
                    </w:rPr>
                    <w:t>桶装</w:t>
                  </w:r>
                </w:p>
              </w:tc>
              <w:tc>
                <w:tcPr>
                  <w:tcW w:w="905"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c>
                <w:tcPr>
                  <w:tcW w:w="905" w:type="dxa"/>
                  <w:vMerge w:val="continue"/>
                  <w:tcBorders>
                    <w:tl2br w:val="nil"/>
                    <w:tr2bl w:val="nil"/>
                  </w:tcBorders>
                  <w:vAlign w:val="center"/>
                </w:tcPr>
                <w:p>
                  <w:pPr>
                    <w:tabs>
                      <w:tab w:val="left" w:pos="7580"/>
                    </w:tabs>
                    <w:spacing w:before="50"/>
                    <w:jc w:val="center"/>
                    <w:rPr>
                      <w:rFonts w:ascii="Times New Roman" w:hAnsi="Times New Roman" w:cs="Times New Roman"/>
                      <w:color w:val="auto"/>
                      <w:szCs w:val="21"/>
                    </w:rPr>
                  </w:pPr>
                </w:p>
              </w:tc>
            </w:tr>
          </w:tbl>
          <w:p>
            <w:pPr>
              <w:widowControl w:val="0"/>
              <w:spacing w:after="0" w:line="360" w:lineRule="auto"/>
              <w:ind w:firstLine="480" w:firstLineChars="200"/>
              <w:jc w:val="both"/>
              <w:rPr>
                <w:rFonts w:hint="eastAsia" w:ascii="Times New Roman" w:hAnsi="Times New Roman" w:cs="Times New Roman"/>
                <w:color w:val="auto"/>
                <w:kern w:val="0"/>
                <w:sz w:val="24"/>
                <w:szCs w:val="22"/>
                <w:lang w:val="en-US" w:eastAsia="zh-CN"/>
              </w:rPr>
            </w:pPr>
            <w:r>
              <w:rPr>
                <w:rFonts w:ascii="Times New Roman" w:hAnsi="Times New Roman" w:eastAsia="宋体" w:cs="Times New Roman"/>
                <w:color w:val="auto"/>
                <w:kern w:val="2"/>
                <w:sz w:val="24"/>
                <w:szCs w:val="24"/>
              </w:rPr>
              <w:t>经上述措施治理后，项目产生的固体废物对周边环境的影响不大。</w:t>
            </w:r>
          </w:p>
          <w:p>
            <w:pPr>
              <w:spacing w:line="360" w:lineRule="auto"/>
              <w:ind w:firstLine="482" w:firstLineChars="200"/>
              <w:rPr>
                <w:rFonts w:ascii="Times New Roman" w:hAnsi="Times New Roman" w:cs="Times New Roman"/>
                <w:b/>
                <w:color w:val="auto"/>
                <w:sz w:val="24"/>
                <w:highlight w:val="yellow"/>
              </w:rPr>
            </w:pPr>
            <w:r>
              <w:rPr>
                <w:rFonts w:hint="eastAsia" w:ascii="Times New Roman" w:hAnsi="Times New Roman" w:cs="Times New Roman"/>
                <w:b/>
                <w:color w:val="auto"/>
                <w:sz w:val="24"/>
                <w:lang w:val="en-US" w:eastAsia="zh-CN"/>
              </w:rPr>
              <w:t>五、</w:t>
            </w:r>
            <w:r>
              <w:rPr>
                <w:rFonts w:hint="eastAsia" w:ascii="Times New Roman" w:hAnsi="Times New Roman" w:cs="Times New Roman"/>
                <w:b/>
                <w:color w:val="auto"/>
                <w:sz w:val="24"/>
              </w:rPr>
              <w:t>环境风险影响分析</w:t>
            </w:r>
          </w:p>
          <w:p>
            <w:pPr>
              <w:spacing w:line="360" w:lineRule="auto"/>
              <w:ind w:firstLine="480" w:firstLineChars="200"/>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环境风险评价的目的是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spacing w:line="360" w:lineRule="auto"/>
              <w:ind w:firstLine="480" w:firstLineChars="200"/>
              <w:rPr>
                <w:rFonts w:ascii="Times New Roman" w:hAnsi="Times New Roman" w:cs="Times New Roman"/>
                <w:color w:val="auto"/>
                <w:kern w:val="0"/>
                <w:sz w:val="24"/>
              </w:rPr>
            </w:pPr>
            <w:bookmarkStart w:id="24" w:name="_Toc1698"/>
            <w:bookmarkStart w:id="25" w:name="_Toc32585"/>
            <w:bookmarkStart w:id="26" w:name="_Toc5681"/>
            <w:bookmarkStart w:id="27" w:name="_Toc1185"/>
            <w:bookmarkStart w:id="28" w:name="_Toc21432"/>
            <w:bookmarkStart w:id="29" w:name="_Toc2791"/>
            <w:bookmarkStart w:id="30" w:name="_Toc419969485"/>
            <w:bookmarkStart w:id="31" w:name="_Toc20313"/>
            <w:bookmarkStart w:id="32" w:name="_Toc26501"/>
            <w:bookmarkStart w:id="33" w:name="_Toc30266"/>
            <w:bookmarkStart w:id="34" w:name="_Toc28577"/>
            <w:bookmarkStart w:id="35" w:name="_Toc28157"/>
            <w:bookmarkStart w:id="36" w:name="_Toc909"/>
            <w:bookmarkStart w:id="37" w:name="_Toc4390"/>
            <w:r>
              <w:rPr>
                <w:rFonts w:hint="eastAsia" w:ascii="Times New Roman" w:hAnsi="Times New Roman" w:cs="Times New Roman"/>
                <w:color w:val="auto"/>
                <w:kern w:val="0"/>
                <w:sz w:val="24"/>
              </w:rPr>
              <w:t>（一）评价工作等级</w:t>
            </w:r>
            <w:bookmarkEnd w:id="24"/>
            <w:bookmarkEnd w:id="25"/>
            <w:bookmarkEnd w:id="26"/>
            <w:bookmarkEnd w:id="27"/>
            <w:bookmarkEnd w:id="28"/>
            <w:bookmarkEnd w:id="29"/>
            <w:bookmarkEnd w:id="30"/>
            <w:bookmarkEnd w:id="31"/>
            <w:bookmarkEnd w:id="32"/>
            <w:bookmarkEnd w:id="33"/>
            <w:bookmarkEnd w:id="34"/>
            <w:bookmarkEnd w:id="35"/>
            <w:bookmarkEnd w:id="36"/>
            <w:bookmarkEnd w:id="37"/>
            <w:r>
              <w:rPr>
                <w:rFonts w:hint="eastAsia" w:ascii="Times New Roman" w:hAnsi="Times New Roman" w:cs="Times New Roman"/>
                <w:color w:val="auto"/>
                <w:kern w:val="0"/>
                <w:sz w:val="24"/>
              </w:rPr>
              <w:t xml:space="preserve"> </w:t>
            </w:r>
          </w:p>
          <w:p>
            <w:pPr>
              <w:spacing w:line="360" w:lineRule="auto"/>
              <w:ind w:firstLine="480" w:firstLineChars="200"/>
              <w:rPr>
                <w:rFonts w:ascii="Times New Roman" w:hAnsi="Times New Roman" w:cs="Times New Roman"/>
                <w:color w:val="auto"/>
                <w:kern w:val="0"/>
                <w:sz w:val="24"/>
              </w:rPr>
            </w:pPr>
            <w:r>
              <w:rPr>
                <w:rFonts w:hint="eastAsia" w:ascii="Times New Roman" w:hAnsi="Times New Roman" w:cs="Times New Roman"/>
                <w:color w:val="auto"/>
                <w:kern w:val="0"/>
                <w:sz w:val="24"/>
              </w:rPr>
              <w:t xml:space="preserve">1、划分依据 </w:t>
            </w:r>
          </w:p>
          <w:p>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kern w:val="0"/>
                <w:sz w:val="24"/>
              </w:rPr>
              <w:t>根据建设项目涉及的</w:t>
            </w:r>
            <w:r>
              <w:rPr>
                <w:rFonts w:hint="eastAsia" w:ascii="Times New Roman" w:hAnsi="Times New Roman" w:cs="Times New Roman"/>
                <w:color w:val="auto"/>
                <w:sz w:val="24"/>
              </w:rPr>
              <w:t>物质及工艺系统危险性和所在地的环境敏感性确定环境风险潜势，按照下表确定工作等级。风险潜势为</w:t>
            </w:r>
            <w:r>
              <w:rPr>
                <w:rFonts w:hint="eastAsia" w:ascii="宋体" w:hAnsi="宋体" w:cs="宋体"/>
                <w:color w:val="auto"/>
                <w:sz w:val="24"/>
              </w:rPr>
              <w:t>Ⅳ</w:t>
            </w:r>
            <w:r>
              <w:rPr>
                <w:rFonts w:hint="eastAsia" w:ascii="Times New Roman" w:hAnsi="Times New Roman" w:cs="Times New Roman"/>
                <w:color w:val="auto"/>
                <w:sz w:val="24"/>
              </w:rPr>
              <w:t>及以上，进行一级评级；风险潜势为</w:t>
            </w:r>
            <w:r>
              <w:rPr>
                <w:rFonts w:hint="eastAsia" w:ascii="宋体" w:hAnsi="宋体" w:cs="宋体"/>
                <w:color w:val="auto"/>
                <w:sz w:val="24"/>
              </w:rPr>
              <w:t>Ⅲ</w:t>
            </w:r>
            <w:r>
              <w:rPr>
                <w:rFonts w:hint="eastAsia" w:ascii="Times New Roman" w:hAnsi="Times New Roman" w:cs="Times New Roman"/>
                <w:color w:val="auto"/>
                <w:sz w:val="24"/>
              </w:rPr>
              <w:t>，进行二级评价；风险潜势为</w:t>
            </w:r>
            <w:r>
              <w:rPr>
                <w:rFonts w:hint="eastAsia" w:ascii="微软雅黑" w:hAnsi="微软雅黑" w:eastAsia="微软雅黑" w:cs="微软雅黑"/>
                <w:color w:val="auto"/>
                <w:sz w:val="24"/>
              </w:rPr>
              <w:t>Ⅱ</w:t>
            </w:r>
            <w:r>
              <w:rPr>
                <w:rFonts w:hint="eastAsia" w:ascii="Times New Roman" w:hAnsi="Times New Roman" w:cs="Times New Roman"/>
                <w:color w:val="auto"/>
                <w:sz w:val="24"/>
              </w:rPr>
              <w:t>，进行三级评价；风险潜势为</w:t>
            </w:r>
            <w:r>
              <w:rPr>
                <w:rFonts w:hint="eastAsia" w:ascii="微软雅黑" w:hAnsi="微软雅黑" w:eastAsia="微软雅黑" w:cs="微软雅黑"/>
                <w:color w:val="auto"/>
                <w:sz w:val="24"/>
              </w:rPr>
              <w:t>Ⅰ</w:t>
            </w:r>
            <w:r>
              <w:rPr>
                <w:rFonts w:hint="eastAsia" w:ascii="Times New Roman" w:hAnsi="Times New Roman" w:cs="Times New Roman"/>
                <w:color w:val="auto"/>
                <w:sz w:val="24"/>
              </w:rPr>
              <w:t>，可开展简单分析。</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评价工作等级划分</w:t>
            </w:r>
          </w:p>
          <w:tbl>
            <w:tblPr>
              <w:tblStyle w:val="4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700"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环境风险潜势</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Ⅳ、Ⅳ</w:t>
                  </w:r>
                  <w:r>
                    <w:rPr>
                      <w:rFonts w:ascii="Times New Roman" w:hAnsi="Times New Roman" w:cs="Times New Roman"/>
                      <w:color w:val="auto"/>
                      <w:szCs w:val="21"/>
                      <w:vertAlign w:val="superscript"/>
                    </w:rPr>
                    <w:t>+</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eastAsia="微软雅黑" w:cs="Times New Roman"/>
                      <w:color w:val="auto"/>
                      <w:szCs w:val="21"/>
                    </w:rPr>
                    <w:t>Ⅱ</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eastAsia="微软雅黑" w:cs="Times New Roman"/>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700"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hint="eastAsia" w:ascii="Times New Roman" w:hAnsi="Times New Roman" w:cs="Times New Roman"/>
                      <w:color w:val="auto"/>
                      <w:szCs w:val="21"/>
                    </w:rPr>
                    <w:t>评价工作等级</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hint="eastAsia" w:ascii="Times New Roman" w:hAnsi="Times New Roman" w:cs="Times New Roman"/>
                      <w:color w:val="auto"/>
                      <w:szCs w:val="21"/>
                    </w:rPr>
                    <w:t>一</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hint="eastAsia" w:ascii="Times New Roman" w:hAnsi="Times New Roman" w:cs="Times New Roman"/>
                      <w:color w:val="auto"/>
                      <w:szCs w:val="21"/>
                    </w:rPr>
                    <w:t>二</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hint="eastAsia" w:ascii="Times New Roman" w:hAnsi="Times New Roman" w:cs="Times New Roman"/>
                      <w:color w:val="auto"/>
                      <w:szCs w:val="21"/>
                    </w:rPr>
                    <w:t>三</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hint="eastAsia" w:ascii="Times New Roman" w:hAnsi="Times New Roman" w:cs="Times New Roman"/>
                      <w:color w:val="auto"/>
                      <w:szCs w:val="21"/>
                    </w:rPr>
                    <w:t>简单分析</w:t>
                  </w:r>
                </w:p>
              </w:tc>
            </w:tr>
          </w:tbl>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（二）环境风险潜势初判</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1、环境风险潜势划分</w:t>
            </w:r>
          </w:p>
          <w:p>
            <w:pPr>
              <w:autoSpaceDE w:val="0"/>
              <w:autoSpaceDN w:val="0"/>
              <w:spacing w:line="360" w:lineRule="auto"/>
              <w:ind w:firstLine="480" w:firstLineChars="200"/>
              <w:rPr>
                <w:color w:val="auto"/>
              </w:rPr>
            </w:pPr>
            <w:r>
              <w:rPr>
                <w:rFonts w:hint="eastAsia" w:ascii="Times New Roman" w:hAnsi="Times New Roman" w:cs="Times New Roman"/>
                <w:color w:val="auto"/>
                <w:sz w:val="24"/>
              </w:rPr>
              <w:t>根据建设项目涉及的物质和工艺系统的危险性及其所在地的环境敏感程度，结合事故情形下环境影响途径，对建设项目潜在环境危害程度进行概化分析，按照下表确定环境风险潜势。</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建设项目环境风险潜势划分</w:t>
            </w:r>
          </w:p>
          <w:tbl>
            <w:tblPr>
              <w:tblStyle w:val="41"/>
              <w:tblW w:w="86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1606"/>
              <w:gridCol w:w="1545"/>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restart"/>
                  <w:tcBorders>
                    <w:tl2br w:val="nil"/>
                    <w:tr2bl w:val="nil"/>
                  </w:tcBorders>
                  <w:vAlign w:val="center"/>
                </w:tcPr>
                <w:p>
                  <w:pPr>
                    <w:autoSpaceDE w:val="0"/>
                    <w:autoSpaceDN w:val="0"/>
                    <w:jc w:val="center"/>
                    <w:rPr>
                      <w:rFonts w:ascii="Times New Roman" w:hAnsi="Times New Roman" w:cs="Times New Roman"/>
                      <w:b/>
                      <w:bCs/>
                      <w:color w:val="auto"/>
                      <w:szCs w:val="21"/>
                    </w:rPr>
                  </w:pPr>
                  <w:r>
                    <w:rPr>
                      <w:rFonts w:ascii="Times New Roman" w:hAnsi="Times New Roman" w:cs="Times New Roman"/>
                      <w:b/>
                      <w:bCs/>
                      <w:color w:val="auto"/>
                      <w:szCs w:val="21"/>
                    </w:rPr>
                    <w:t>环境敏感程度（E）</w:t>
                  </w:r>
                </w:p>
              </w:tc>
              <w:tc>
                <w:tcPr>
                  <w:tcW w:w="6553" w:type="dxa"/>
                  <w:gridSpan w:val="4"/>
                  <w:tcBorders>
                    <w:tl2br w:val="nil"/>
                    <w:tr2bl w:val="nil"/>
                  </w:tcBorders>
                  <w:vAlign w:val="center"/>
                </w:tcPr>
                <w:p>
                  <w:pPr>
                    <w:autoSpaceDE w:val="0"/>
                    <w:autoSpaceDN w:val="0"/>
                    <w:jc w:val="center"/>
                    <w:rPr>
                      <w:rFonts w:ascii="Times New Roman" w:hAnsi="Times New Roman" w:cs="Times New Roman"/>
                      <w:b/>
                      <w:bCs/>
                      <w:color w:val="auto"/>
                      <w:szCs w:val="21"/>
                    </w:rPr>
                  </w:pPr>
                  <w:r>
                    <w:rPr>
                      <w:rFonts w:ascii="Times New Roman" w:hAnsi="Times New Roman" w:cs="Times New Roman"/>
                      <w:b/>
                      <w:bCs/>
                      <w:color w:val="auto"/>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continue"/>
                  <w:tcBorders>
                    <w:tl2br w:val="nil"/>
                    <w:tr2bl w:val="nil"/>
                  </w:tcBorders>
                  <w:vAlign w:val="center"/>
                </w:tcPr>
                <w:p>
                  <w:pPr>
                    <w:autoSpaceDE w:val="0"/>
                    <w:autoSpaceDN w:val="0"/>
                    <w:jc w:val="center"/>
                    <w:rPr>
                      <w:rFonts w:ascii="Times New Roman" w:hAnsi="Times New Roman" w:cs="Times New Roman"/>
                      <w:b/>
                      <w:bCs/>
                      <w:color w:val="auto"/>
                      <w:szCs w:val="21"/>
                    </w:rPr>
                  </w:pPr>
                </w:p>
              </w:tc>
              <w:tc>
                <w:tcPr>
                  <w:tcW w:w="1606" w:type="dxa"/>
                  <w:tcBorders>
                    <w:tl2br w:val="nil"/>
                    <w:tr2bl w:val="nil"/>
                  </w:tcBorders>
                  <w:vAlign w:val="center"/>
                </w:tcPr>
                <w:p>
                  <w:pPr>
                    <w:autoSpaceDE w:val="0"/>
                    <w:autoSpaceDN w:val="0"/>
                    <w:jc w:val="center"/>
                    <w:rPr>
                      <w:rFonts w:ascii="Times New Roman" w:hAnsi="Times New Roman" w:cs="Times New Roman"/>
                      <w:b/>
                      <w:bCs/>
                      <w:color w:val="auto"/>
                      <w:szCs w:val="21"/>
                    </w:rPr>
                  </w:pPr>
                  <w:r>
                    <w:rPr>
                      <w:rFonts w:ascii="Times New Roman" w:hAnsi="Times New Roman" w:cs="Times New Roman"/>
                      <w:b/>
                      <w:bCs/>
                      <w:color w:val="auto"/>
                      <w:szCs w:val="21"/>
                    </w:rPr>
                    <w:t>极高危害（P1）</w:t>
                  </w:r>
                </w:p>
              </w:tc>
              <w:tc>
                <w:tcPr>
                  <w:tcW w:w="1545" w:type="dxa"/>
                  <w:tcBorders>
                    <w:tl2br w:val="nil"/>
                    <w:tr2bl w:val="nil"/>
                  </w:tcBorders>
                  <w:vAlign w:val="center"/>
                </w:tcPr>
                <w:p>
                  <w:pPr>
                    <w:autoSpaceDE w:val="0"/>
                    <w:autoSpaceDN w:val="0"/>
                    <w:jc w:val="center"/>
                    <w:rPr>
                      <w:rFonts w:ascii="Times New Roman" w:hAnsi="Times New Roman" w:cs="Times New Roman"/>
                      <w:b/>
                      <w:bCs/>
                      <w:color w:val="auto"/>
                      <w:szCs w:val="21"/>
                    </w:rPr>
                  </w:pPr>
                  <w:r>
                    <w:rPr>
                      <w:rFonts w:ascii="Times New Roman" w:hAnsi="Times New Roman" w:cs="Times New Roman"/>
                      <w:b/>
                      <w:bCs/>
                      <w:color w:val="auto"/>
                      <w:szCs w:val="21"/>
                    </w:rPr>
                    <w:t>高度危害（P2）</w:t>
                  </w:r>
                </w:p>
              </w:tc>
              <w:tc>
                <w:tcPr>
                  <w:tcW w:w="1701" w:type="dxa"/>
                  <w:tcBorders>
                    <w:tl2br w:val="nil"/>
                    <w:tr2bl w:val="nil"/>
                  </w:tcBorders>
                  <w:vAlign w:val="center"/>
                </w:tcPr>
                <w:p>
                  <w:pPr>
                    <w:autoSpaceDE w:val="0"/>
                    <w:autoSpaceDN w:val="0"/>
                    <w:jc w:val="center"/>
                    <w:rPr>
                      <w:rFonts w:ascii="Times New Roman" w:hAnsi="Times New Roman" w:cs="Times New Roman"/>
                      <w:b/>
                      <w:bCs/>
                      <w:color w:val="auto"/>
                      <w:szCs w:val="21"/>
                    </w:rPr>
                  </w:pPr>
                  <w:r>
                    <w:rPr>
                      <w:rFonts w:ascii="Times New Roman" w:hAnsi="Times New Roman" w:cs="Times New Roman"/>
                      <w:b/>
                      <w:bCs/>
                      <w:color w:val="auto"/>
                      <w:szCs w:val="21"/>
                    </w:rPr>
                    <w:t>中度危害（P3）</w:t>
                  </w:r>
                </w:p>
              </w:tc>
              <w:tc>
                <w:tcPr>
                  <w:tcW w:w="1701" w:type="dxa"/>
                  <w:tcBorders>
                    <w:tl2br w:val="nil"/>
                    <w:tr2bl w:val="nil"/>
                  </w:tcBorders>
                  <w:vAlign w:val="center"/>
                </w:tcPr>
                <w:p>
                  <w:pPr>
                    <w:autoSpaceDE w:val="0"/>
                    <w:autoSpaceDN w:val="0"/>
                    <w:jc w:val="center"/>
                    <w:rPr>
                      <w:rFonts w:ascii="Times New Roman" w:hAnsi="Times New Roman" w:cs="Times New Roman"/>
                      <w:b/>
                      <w:bCs/>
                      <w:color w:val="auto"/>
                      <w:szCs w:val="21"/>
                    </w:rPr>
                  </w:pPr>
                  <w:r>
                    <w:rPr>
                      <w:rFonts w:ascii="Times New Roman" w:hAnsi="Times New Roman" w:cs="Times New Roman"/>
                      <w:b/>
                      <w:bCs/>
                      <w:color w:val="auto"/>
                      <w:szCs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环境高度敏感区（E1）</w:t>
                  </w:r>
                </w:p>
              </w:tc>
              <w:tc>
                <w:tcPr>
                  <w:tcW w:w="1606"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Ⅳ</w:t>
                  </w:r>
                  <w:r>
                    <w:rPr>
                      <w:rFonts w:ascii="Times New Roman" w:hAnsi="Times New Roman" w:cs="Times New Roman"/>
                      <w:color w:val="auto"/>
                      <w:szCs w:val="21"/>
                      <w:vertAlign w:val="superscript"/>
                    </w:rPr>
                    <w:t>+</w:t>
                  </w:r>
                </w:p>
              </w:tc>
              <w:tc>
                <w:tcPr>
                  <w:tcW w:w="1545"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Ⅳ</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环境中度敏感区（E2）</w:t>
                  </w:r>
                </w:p>
              </w:tc>
              <w:tc>
                <w:tcPr>
                  <w:tcW w:w="1606"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Ⅳ</w:t>
                  </w:r>
                </w:p>
              </w:tc>
              <w:tc>
                <w:tcPr>
                  <w:tcW w:w="1545"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环境低度敏感区（E3）</w:t>
                  </w:r>
                </w:p>
              </w:tc>
              <w:tc>
                <w:tcPr>
                  <w:tcW w:w="1606"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c>
                <w:tcPr>
                  <w:tcW w:w="1545"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Ⅲ</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Ⅱ</w:t>
                  </w:r>
                </w:p>
              </w:tc>
              <w:tc>
                <w:tcPr>
                  <w:tcW w:w="1701" w:type="dxa"/>
                  <w:tcBorders>
                    <w:tl2br w:val="nil"/>
                    <w:tr2bl w:val="nil"/>
                  </w:tcBorders>
                  <w:vAlign w:val="center"/>
                </w:tcPr>
                <w:p>
                  <w:pPr>
                    <w:autoSpaceDE w:val="0"/>
                    <w:autoSpaceDN w:val="0"/>
                    <w:jc w:val="center"/>
                    <w:rPr>
                      <w:rFonts w:ascii="Times New Roman" w:hAnsi="Times New Roman" w:cs="Times New Roman"/>
                      <w:color w:val="auto"/>
                      <w:szCs w:val="21"/>
                    </w:rPr>
                  </w:pPr>
                  <w:r>
                    <w:rPr>
                      <w:rFonts w:ascii="Times New Roman" w:hAnsi="Times New Roman" w:cs="Times New Roman"/>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3" w:type="dxa"/>
                  <w:gridSpan w:val="5"/>
                  <w:tcBorders>
                    <w:tl2br w:val="nil"/>
                    <w:tr2bl w:val="nil"/>
                  </w:tcBorders>
                  <w:vAlign w:val="center"/>
                </w:tcPr>
                <w:p>
                  <w:pPr>
                    <w:autoSpaceDE w:val="0"/>
                    <w:autoSpaceDN w:val="0"/>
                    <w:jc w:val="left"/>
                    <w:rPr>
                      <w:rFonts w:ascii="Times New Roman" w:hAnsi="Times New Roman" w:cs="Times New Roman"/>
                      <w:color w:val="auto"/>
                      <w:szCs w:val="21"/>
                    </w:rPr>
                  </w:pPr>
                  <w:r>
                    <w:rPr>
                      <w:rFonts w:hint="eastAsia" w:ascii="Times New Roman" w:hAnsi="Times New Roman" w:cs="Times New Roman"/>
                      <w:color w:val="auto"/>
                      <w:szCs w:val="21"/>
                    </w:rPr>
                    <w:t>注：</w:t>
                  </w:r>
                  <w:r>
                    <w:rPr>
                      <w:rFonts w:ascii="Times New Roman" w:hAnsi="Times New Roman" w:cs="Times New Roman"/>
                      <w:color w:val="auto"/>
                      <w:szCs w:val="21"/>
                    </w:rPr>
                    <w:t>Ⅳ</w:t>
                  </w:r>
                  <w:r>
                    <w:rPr>
                      <w:rFonts w:ascii="Times New Roman" w:hAnsi="Times New Roman" w:cs="Times New Roman"/>
                      <w:color w:val="auto"/>
                      <w:szCs w:val="21"/>
                      <w:vertAlign w:val="superscript"/>
                    </w:rPr>
                    <w:t>+</w:t>
                  </w:r>
                  <w:r>
                    <w:rPr>
                      <w:rFonts w:hint="eastAsia" w:ascii="Times New Roman" w:hAnsi="Times New Roman" w:cs="Times New Roman"/>
                      <w:color w:val="auto"/>
                      <w:szCs w:val="21"/>
                    </w:rPr>
                    <w:t>为极高环境风险。</w:t>
                  </w:r>
                </w:p>
              </w:tc>
            </w:tr>
          </w:tbl>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2、P的分级确定</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定量分析危险物质数量与临界量的比值（Q）和所属行业及生产工艺特点（M），对危险物质及工艺系统危险性（P）等级进行判断。</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计算所涉及的每种危险物质在厂界内的最大存在总量与其在</w:t>
            </w:r>
            <w:r>
              <w:rPr>
                <w:rFonts w:ascii="Times New Roman" w:hAnsi="Times New Roman" w:cs="Times New Roman"/>
                <w:color w:val="auto"/>
                <w:sz w:val="24"/>
              </w:rPr>
              <w:t>《建设项目环境风险评价技术导则》（</w:t>
            </w:r>
            <w:r>
              <w:rPr>
                <w:rFonts w:hint="eastAsia" w:ascii="Times New Roman" w:hAnsi="Times New Roman" w:cs="Times New Roman"/>
                <w:color w:val="auto"/>
                <w:sz w:val="24"/>
              </w:rPr>
              <w:t>HJ 169-2018</w:t>
            </w:r>
            <w:r>
              <w:rPr>
                <w:rFonts w:ascii="Times New Roman" w:hAnsi="Times New Roman" w:cs="Times New Roman"/>
                <w:color w:val="auto"/>
                <w:sz w:val="24"/>
              </w:rPr>
              <w:t>）</w:t>
            </w:r>
            <w:r>
              <w:rPr>
                <w:rFonts w:hint="eastAsia" w:ascii="Times New Roman" w:hAnsi="Times New Roman" w:cs="Times New Roman"/>
                <w:color w:val="auto"/>
                <w:sz w:val="24"/>
              </w:rPr>
              <w:t>附录B中对应临界量的比值Q。在不同厂区的同一种物质，按其在厂界内的最大存在总量计算。对于长输管线项目，按照两个截断阀室之间管段危险物质最大存在总量计算。</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当只涉及一种危险物质时，计算该物质的总量与其临界量比值，即为Q；</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当存在多种危险物质时，则按下式计算物质总量与其临界量比值Q：</w:t>
            </w:r>
          </w:p>
          <w:p>
            <w:pPr>
              <w:autoSpaceDE w:val="0"/>
              <w:autoSpaceDN w:val="0"/>
              <w:spacing w:line="360" w:lineRule="auto"/>
              <w:ind w:firstLine="480" w:firstLineChars="200"/>
              <w:jc w:val="center"/>
              <w:rPr>
                <w:rFonts w:ascii="Times New Roman" w:hAnsi="Times New Roman" w:cs="Times New Roman"/>
                <w:color w:val="auto"/>
                <w:sz w:val="24"/>
              </w:rPr>
            </w:pPr>
            <w:r>
              <w:rPr>
                <w:rFonts w:ascii="Times New Roman" w:hAnsi="Times New Roman" w:cs="Times New Roman"/>
                <w:color w:val="auto"/>
                <w:position w:val="-30"/>
                <w:sz w:val="24"/>
              </w:rPr>
              <w:object>
                <v:shape id="_x0000_i1027" o:spt="75" type="#_x0000_t75" style="height:33.5pt;width:117.2pt;" o:ole="t" filled="f" o:preferrelative="t" stroked="f" coordsize="21600,21600">
                  <v:path/>
                  <v:fill on="f" focussize="0,0"/>
                  <v:stroke on="f"/>
                  <v:imagedata r:id="rId44" o:title=""/>
                  <o:lock v:ext="edit" aspectratio="t"/>
                  <w10:wrap type="none"/>
                  <w10:anchorlock/>
                </v:shape>
                <o:OLEObject Type="Embed" ProgID="Equation.3" ShapeID="_x0000_i1027" DrawAspect="Content" ObjectID="_1468075727" r:id="rId43">
                  <o:LockedField>false</o:LockedField>
                </o:OLEObject>
              </w:object>
            </w:r>
          </w:p>
          <w:p>
            <w:pPr>
              <w:autoSpaceDE w:val="0"/>
              <w:autoSpaceDN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式中：</w:t>
            </w:r>
            <w:r>
              <w:rPr>
                <w:rFonts w:ascii="Times New Roman" w:hAnsi="Times New Roman" w:cs="Times New Roman"/>
                <w:color w:val="auto"/>
                <w:position w:val="-10"/>
                <w:sz w:val="24"/>
              </w:rPr>
              <w:object>
                <v:shape id="_x0000_i1028" o:spt="75" type="#_x0000_t75" style="height:17.6pt;width:11.7pt;" o:ole="t" filled="f" o:preferrelative="t" stroked="f" coordsize="21600,21600">
                  <v:path/>
                  <v:fill on="f" focussize="0,0"/>
                  <v:stroke on="f"/>
                  <v:imagedata r:id="rId46" o:title=""/>
                  <o:lock v:ext="edit" aspectratio="t"/>
                  <w10:wrap type="none"/>
                  <w10:anchorlock/>
                </v:shape>
                <o:OLEObject Type="Embed" ProgID="Equation.3" ShapeID="_x0000_i1028" DrawAspect="Content" ObjectID="_1468075728" r:id="rId45">
                  <o:LockedField>false</o:LockedField>
                </o:OLEObject>
              </w:object>
            </w:r>
            <w:r>
              <w:rPr>
                <w:rFonts w:ascii="Times New Roman" w:hAnsi="Times New Roman" w:cs="Times New Roman"/>
                <w:color w:val="auto"/>
                <w:sz w:val="24"/>
              </w:rPr>
              <w:t>、</w:t>
            </w:r>
            <w:r>
              <w:rPr>
                <w:rFonts w:ascii="Times New Roman" w:hAnsi="Times New Roman" w:cs="Times New Roman"/>
                <w:color w:val="auto"/>
                <w:position w:val="-10"/>
                <w:sz w:val="24"/>
              </w:rPr>
              <w:object>
                <v:shape id="_x0000_i1029" o:spt="75" type="#_x0000_t75" style="height:17.6pt;width:14.25pt;" o:ole="t" filled="f" o:preferrelative="t" stroked="f" coordsize="21600,21600">
                  <v:path/>
                  <v:fill on="f" focussize="0,0"/>
                  <v:stroke on="f"/>
                  <v:imagedata r:id="rId48" o:title=""/>
                  <o:lock v:ext="edit" aspectratio="t"/>
                  <w10:wrap type="none"/>
                  <w10:anchorlock/>
                </v:shape>
                <o:OLEObject Type="Embed" ProgID="Equation.3" ShapeID="_x0000_i1029" DrawAspect="Content" ObjectID="_1468075729" r:id="rId47">
                  <o:LockedField>false</o:LockedField>
                </o:OLEObject>
              </w:object>
            </w:r>
            <w:r>
              <w:rPr>
                <w:rFonts w:ascii="Times New Roman" w:hAnsi="Times New Roman" w:cs="Times New Roman"/>
                <w:color w:val="auto"/>
                <w:sz w:val="24"/>
              </w:rPr>
              <w:t>…</w:t>
            </w:r>
            <w:r>
              <w:rPr>
                <w:rFonts w:ascii="Times New Roman" w:hAnsi="Times New Roman" w:cs="Times New Roman"/>
                <w:color w:val="auto"/>
                <w:position w:val="-12"/>
                <w:sz w:val="24"/>
              </w:rPr>
              <w:object>
                <v:shape id="_x0000_i1030" o:spt="75" type="#_x0000_t75" style="height:18.4pt;width:14.25pt;" o:ole="t" filled="f" o:preferrelative="t" stroked="f" coordsize="21600,21600">
                  <v:path/>
                  <v:fill on="f" focussize="0,0"/>
                  <v:stroke on="f"/>
                  <v:imagedata r:id="rId50" o:title=""/>
                  <o:lock v:ext="edit" aspectratio="t"/>
                  <w10:wrap type="none"/>
                  <w10:anchorlock/>
                </v:shape>
                <o:OLEObject Type="Embed" ProgID="Equation.3" ShapeID="_x0000_i1030" DrawAspect="Content" ObjectID="_1468075730" r:id="rId49">
                  <o:LockedField>false</o:LockedField>
                </o:OLEObject>
              </w:object>
            </w:r>
            <w:r>
              <w:rPr>
                <w:rFonts w:hint="eastAsia" w:ascii="Times New Roman" w:hAnsi="Times New Roman" w:cs="Times New Roman"/>
                <w:color w:val="auto"/>
                <w:sz w:val="24"/>
              </w:rPr>
              <w:t>——</w:t>
            </w:r>
            <w:r>
              <w:rPr>
                <w:rFonts w:ascii="Times New Roman" w:hAnsi="Times New Roman" w:cs="Times New Roman"/>
                <w:color w:val="auto"/>
                <w:sz w:val="24"/>
              </w:rPr>
              <w:t>每种危险物品的</w:t>
            </w:r>
            <w:r>
              <w:rPr>
                <w:rFonts w:hint="eastAsia" w:ascii="Times New Roman" w:hAnsi="Times New Roman" w:cs="Times New Roman"/>
                <w:color w:val="auto"/>
                <w:sz w:val="24"/>
              </w:rPr>
              <w:t>最大存在总量，</w:t>
            </w:r>
            <w:r>
              <w:rPr>
                <w:rFonts w:ascii="Times New Roman" w:hAnsi="Times New Roman" w:cs="Times New Roman"/>
                <w:color w:val="auto"/>
                <w:sz w:val="24"/>
              </w:rPr>
              <w:t>t；</w:t>
            </w:r>
          </w:p>
          <w:p>
            <w:pPr>
              <w:autoSpaceDE w:val="0"/>
              <w:autoSpaceDN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 xml:space="preserve">      </w:t>
            </w:r>
            <w:r>
              <w:rPr>
                <w:rFonts w:ascii="Times New Roman" w:hAnsi="Times New Roman" w:cs="Times New Roman"/>
                <w:color w:val="auto"/>
                <w:position w:val="-10"/>
                <w:sz w:val="24"/>
              </w:rPr>
              <w:object>
                <v:shape id="_x0000_i1031" o:spt="75" type="#_x0000_t75" style="height:17.6pt;width:14.25pt;" o:ole="t" filled="f" o:preferrelative="t" stroked="f" coordsize="21600,21600">
                  <v:path/>
                  <v:fill on="f" focussize="0,0"/>
                  <v:stroke on="f"/>
                  <v:imagedata r:id="rId52" o:title=""/>
                  <o:lock v:ext="edit" aspectratio="t"/>
                  <w10:wrap type="none"/>
                  <w10:anchorlock/>
                </v:shape>
                <o:OLEObject Type="Embed" ProgID="Equation.3" ShapeID="_x0000_i1031" DrawAspect="Content" ObjectID="_1468075731" r:id="rId51">
                  <o:LockedField>false</o:LockedField>
                </o:OLEObject>
              </w:object>
            </w:r>
            <w:r>
              <w:rPr>
                <w:rFonts w:ascii="Times New Roman" w:hAnsi="Times New Roman" w:cs="Times New Roman"/>
                <w:color w:val="auto"/>
                <w:sz w:val="24"/>
              </w:rPr>
              <w:t>、</w:t>
            </w:r>
            <w:r>
              <w:rPr>
                <w:rFonts w:ascii="Times New Roman" w:hAnsi="Times New Roman" w:cs="Times New Roman"/>
                <w:color w:val="auto"/>
                <w:position w:val="-10"/>
                <w:sz w:val="24"/>
              </w:rPr>
              <w:object>
                <v:shape id="_x0000_i1032" o:spt="75" type="#_x0000_t75" style="height:17.6pt;width:15.9pt;" o:ole="t" filled="f" o:preferrelative="t" stroked="f" coordsize="21600,21600">
                  <v:path/>
                  <v:fill on="f" focussize="0,0"/>
                  <v:stroke on="f"/>
                  <v:imagedata r:id="rId54" o:title=""/>
                  <o:lock v:ext="edit" aspectratio="t"/>
                  <w10:wrap type="none"/>
                  <w10:anchorlock/>
                </v:shape>
                <o:OLEObject Type="Embed" ProgID="Equation.3" ShapeID="_x0000_i1032" DrawAspect="Content" ObjectID="_1468075732" r:id="rId53">
                  <o:LockedField>false</o:LockedField>
                </o:OLEObject>
              </w:object>
            </w:r>
            <w:r>
              <w:rPr>
                <w:rFonts w:ascii="Times New Roman" w:hAnsi="Times New Roman" w:cs="Times New Roman"/>
                <w:color w:val="auto"/>
                <w:sz w:val="24"/>
              </w:rPr>
              <w:t>…</w:t>
            </w:r>
            <w:r>
              <w:rPr>
                <w:rFonts w:ascii="Times New Roman" w:hAnsi="Times New Roman" w:cs="Times New Roman"/>
                <w:color w:val="auto"/>
                <w:position w:val="-12"/>
                <w:sz w:val="24"/>
              </w:rPr>
              <w:object>
                <v:shape id="_x0000_i1033" o:spt="75" type="#_x0000_t75" style="height:18.4pt;width:15.9pt;" o:ole="t" filled="f" o:preferrelative="t" stroked="f" coordsize="21600,21600">
                  <v:path/>
                  <v:fill on="f" focussize="0,0"/>
                  <v:stroke on="f"/>
                  <v:imagedata r:id="rId56" o:title=""/>
                  <o:lock v:ext="edit" aspectratio="t"/>
                  <w10:wrap type="none"/>
                  <w10:anchorlock/>
                </v:shape>
                <o:OLEObject Type="Embed" ProgID="Equation.3" ShapeID="_x0000_i1033" DrawAspect="Content" ObjectID="_1468075733" r:id="rId55">
                  <o:LockedField>false</o:LockedField>
                </o:OLEObject>
              </w:object>
            </w:r>
            <w:r>
              <w:rPr>
                <w:rFonts w:hint="eastAsia" w:ascii="Times New Roman" w:hAnsi="Times New Roman" w:cs="Times New Roman"/>
                <w:color w:val="auto"/>
                <w:sz w:val="24"/>
              </w:rPr>
              <w:t>——每种危险物质的临界量，</w:t>
            </w:r>
            <w:r>
              <w:rPr>
                <w:rFonts w:ascii="Times New Roman" w:hAnsi="Times New Roman" w:cs="Times New Roman"/>
                <w:color w:val="auto"/>
                <w:sz w:val="24"/>
              </w:rPr>
              <w:t>t。</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当Q&lt;1时，该项目环境风险潜势为</w:t>
            </w:r>
            <w:r>
              <w:rPr>
                <w:rFonts w:hint="eastAsia" w:ascii="微软雅黑" w:hAnsi="微软雅黑" w:eastAsia="微软雅黑" w:cs="微软雅黑"/>
                <w:color w:val="auto"/>
                <w:sz w:val="24"/>
              </w:rPr>
              <w:t>Ⅰ</w:t>
            </w:r>
            <w:r>
              <w:rPr>
                <w:rFonts w:hint="eastAsia" w:ascii="Times New Roman" w:hAnsi="Times New Roman" w:cs="Times New Roman"/>
                <w:color w:val="auto"/>
                <w:sz w:val="24"/>
              </w:rPr>
              <w:t>。</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当Q</w:t>
            </w:r>
            <w:r>
              <w:rPr>
                <w:rFonts w:ascii="Arial" w:hAnsi="Arial" w:cs="Arial"/>
                <w:color w:val="auto"/>
                <w:sz w:val="24"/>
              </w:rPr>
              <w:t>≥</w:t>
            </w:r>
            <w:r>
              <w:rPr>
                <w:rFonts w:hint="eastAsia" w:ascii="Times New Roman" w:hAnsi="Times New Roman" w:cs="Times New Roman"/>
                <w:color w:val="auto"/>
                <w:sz w:val="24"/>
              </w:rPr>
              <w:t>1时，将Q值划分为：（1）1</w:t>
            </w:r>
            <w:r>
              <w:rPr>
                <w:rFonts w:ascii="Arial" w:hAnsi="Arial" w:cs="Arial"/>
                <w:color w:val="auto"/>
                <w:sz w:val="24"/>
              </w:rPr>
              <w:t>≤</w:t>
            </w:r>
            <w:r>
              <w:rPr>
                <w:rFonts w:hint="eastAsia" w:ascii="Times New Roman" w:hAnsi="Times New Roman" w:cs="Times New Roman"/>
                <w:color w:val="auto"/>
                <w:sz w:val="24"/>
              </w:rPr>
              <w:t>Q&lt;10；（2）10</w:t>
            </w:r>
            <w:r>
              <w:rPr>
                <w:rFonts w:ascii="Arial" w:hAnsi="Arial" w:cs="Arial"/>
                <w:color w:val="auto"/>
                <w:sz w:val="24"/>
              </w:rPr>
              <w:t>≤</w:t>
            </w:r>
            <w:r>
              <w:rPr>
                <w:rFonts w:hint="eastAsia" w:ascii="Times New Roman" w:hAnsi="Times New Roman" w:cs="Times New Roman"/>
                <w:color w:val="auto"/>
                <w:sz w:val="24"/>
              </w:rPr>
              <w:t>Q&lt;100；（3）Q</w:t>
            </w:r>
            <w:r>
              <w:rPr>
                <w:rFonts w:ascii="Arial" w:hAnsi="Arial" w:cs="Arial"/>
                <w:color w:val="auto"/>
                <w:sz w:val="24"/>
              </w:rPr>
              <w:t>≥</w:t>
            </w:r>
            <w:r>
              <w:rPr>
                <w:rFonts w:hint="eastAsia" w:ascii="Times New Roman" w:hAnsi="Times New Roman" w:cs="Times New Roman"/>
                <w:color w:val="auto"/>
                <w:sz w:val="24"/>
              </w:rPr>
              <w:t>100。</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本项目建设项目</w:t>
            </w:r>
            <w:r>
              <w:rPr>
                <w:rFonts w:hint="eastAsia" w:ascii="Times New Roman" w:hAnsi="Times New Roman" w:cs="Times New Roman"/>
                <w:color w:val="auto"/>
                <w:sz w:val="24"/>
              </w:rPr>
              <w:object>
                <v:shape id="_x0000_i1034" o:spt="75" type="#_x0000_t75" style="height:15.9pt;width:11.7pt;" o:ole="t" filled="f" o:preferrelative="t" stroked="f" coordsize="21600,21600">
                  <v:path/>
                  <v:fill on="f" focussize="0,0"/>
                  <v:stroke on="f"/>
                  <v:imagedata r:id="rId58" o:title=""/>
                  <o:lock v:ext="edit" aspectratio="t"/>
                  <w10:wrap type="none"/>
                  <w10:anchorlock/>
                </v:shape>
                <o:OLEObject Type="Embed" ProgID="Equation.3" ShapeID="_x0000_i1034" DrawAspect="Content" ObjectID="_1468075734" r:id="rId57">
                  <o:LockedField>false</o:LockedField>
                </o:OLEObject>
              </w:object>
            </w:r>
            <w:r>
              <w:rPr>
                <w:rFonts w:hint="eastAsia" w:ascii="Times New Roman" w:hAnsi="Times New Roman" w:cs="Times New Roman"/>
                <w:color w:val="auto"/>
                <w:sz w:val="24"/>
              </w:rPr>
              <w:t>值计算见下表。</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建设项目</w:t>
            </w:r>
            <w:r>
              <w:rPr>
                <w:rFonts w:hint="eastAsia" w:ascii="Times New Roman" w:hAnsi="Times New Roman" w:eastAsia="宋体" w:cs="Times New Roman"/>
                <w:b/>
                <w:color w:val="auto"/>
                <w:kern w:val="0"/>
                <w:sz w:val="21"/>
                <w:szCs w:val="21"/>
                <w:lang w:val="en-US" w:eastAsia="zh-CN" w:bidi="ar-SA"/>
              </w:rPr>
              <w:object>
                <v:shape id="_x0000_i1035" o:spt="75" type="#_x0000_t75" style="height:15.9pt;width:11.7pt;" o:ole="t" filled="f" o:preferrelative="t" stroked="f" coordsize="21600,21600">
                  <v:path/>
                  <v:fill on="f" focussize="0,0"/>
                  <v:stroke on="f"/>
                  <v:imagedata r:id="rId58" o:title=""/>
                  <o:lock v:ext="edit" aspectratio="t"/>
                  <w10:wrap type="none"/>
                  <w10:anchorlock/>
                </v:shape>
                <o:OLEObject Type="Embed" ProgID="Equation.3" ShapeID="_x0000_i1035" DrawAspect="Content" ObjectID="_1468075735" r:id="rId59">
                  <o:LockedField>false</o:LockedField>
                </o:OLEObject>
              </w:object>
            </w:r>
            <w:r>
              <w:rPr>
                <w:rFonts w:hint="eastAsia" w:ascii="Times New Roman" w:hAnsi="Times New Roman" w:eastAsia="宋体" w:cs="Times New Roman"/>
                <w:b/>
                <w:color w:val="auto"/>
                <w:kern w:val="0"/>
                <w:sz w:val="21"/>
                <w:szCs w:val="21"/>
                <w:lang w:val="en-US" w:eastAsia="zh-CN" w:bidi="ar-SA"/>
              </w:rPr>
              <w:t>值确定表</w:t>
            </w:r>
          </w:p>
          <w:p>
            <w:pPr>
              <w:autoSpaceDE w:val="0"/>
              <w:autoSpaceDN w:val="0"/>
              <w:spacing w:before="1" w:line="30" w:lineRule="exact"/>
              <w:rPr>
                <w:rFonts w:ascii="Times New Roman" w:hAnsi="Times New Roman" w:cs="Times New Roman"/>
                <w:b/>
                <w:bCs/>
                <w:color w:val="auto"/>
              </w:rPr>
            </w:pPr>
          </w:p>
          <w:tbl>
            <w:tblPr>
              <w:tblStyle w:val="40"/>
              <w:tblW w:w="92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7"/>
              <w:gridCol w:w="1890"/>
              <w:gridCol w:w="2625"/>
              <w:gridCol w:w="1575"/>
              <w:gridCol w:w="19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tblHeader/>
                <w:jc w:val="center"/>
              </w:trPr>
              <w:tc>
                <w:tcPr>
                  <w:tcW w:w="1247" w:type="dxa"/>
                  <w:tcBorders>
                    <w:tl2br w:val="nil"/>
                    <w:tr2bl w:val="nil"/>
                  </w:tcBorders>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物质名称</w:t>
                  </w:r>
                </w:p>
              </w:tc>
              <w:tc>
                <w:tcPr>
                  <w:tcW w:w="1890" w:type="dxa"/>
                  <w:tcBorders>
                    <w:tl2br w:val="nil"/>
                    <w:tr2bl w:val="nil"/>
                  </w:tcBorders>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CAS号</w:t>
                  </w:r>
                </w:p>
              </w:tc>
              <w:tc>
                <w:tcPr>
                  <w:tcW w:w="2625" w:type="dxa"/>
                  <w:tcBorders>
                    <w:tl2br w:val="nil"/>
                    <w:tr2bl w:val="nil"/>
                  </w:tcBorders>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最大存在总量（</w:t>
                  </w:r>
                  <w:r>
                    <w:rPr>
                      <w:rFonts w:ascii="Times New Roman" w:hAnsi="Times New Roman" w:cs="Times New Roman"/>
                      <w:b/>
                      <w:color w:val="auto"/>
                      <w:position w:val="-12"/>
                      <w:szCs w:val="21"/>
                    </w:rPr>
                    <w:object>
                      <v:shape id="_x0000_i1036" o:spt="75" type="#_x0000_t75" style="height:18.4pt;width:14.25pt;" o:ole="t" filled="f" o:preferrelative="t" stroked="f" coordsize="21600,21600">
                        <v:path/>
                        <v:fill on="f" focussize="0,0"/>
                        <v:stroke on="f"/>
                        <v:imagedata r:id="rId61" o:title=""/>
                        <o:lock v:ext="edit" aspectratio="t"/>
                        <w10:wrap type="none"/>
                        <w10:anchorlock/>
                      </v:shape>
                      <o:OLEObject Type="Embed" ProgID="Equation.3" ShapeID="_x0000_i1036" DrawAspect="Content" ObjectID="_1468075736" r:id="rId60">
                        <o:LockedField>false</o:LockedField>
                      </o:OLEObject>
                    </w:object>
                  </w:r>
                  <w:r>
                    <w:rPr>
                      <w:rFonts w:ascii="Times New Roman" w:hAnsi="Times New Roman" w:cs="Times New Roman"/>
                      <w:b/>
                      <w:color w:val="auto"/>
                      <w:szCs w:val="21"/>
                    </w:rPr>
                    <w:t>），t</w:t>
                  </w:r>
                </w:p>
              </w:tc>
              <w:tc>
                <w:tcPr>
                  <w:tcW w:w="1575" w:type="dxa"/>
                  <w:tcBorders>
                    <w:tl2br w:val="nil"/>
                    <w:tr2bl w:val="nil"/>
                  </w:tcBorders>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临界量(</w:t>
                  </w:r>
                  <w:r>
                    <w:rPr>
                      <w:rFonts w:ascii="Times New Roman" w:hAnsi="Times New Roman" w:cs="Times New Roman"/>
                      <w:b/>
                      <w:color w:val="auto"/>
                      <w:position w:val="-12"/>
                      <w:szCs w:val="21"/>
                    </w:rPr>
                    <w:object>
                      <v:shape id="_x0000_i1037" o:spt="75" type="#_x0000_t75" style="height:18.4pt;width:15.9pt;" o:ole="t" filled="f" o:preferrelative="t" stroked="f" coordsize="21600,21600">
                        <v:path/>
                        <v:fill on="f" focussize="0,0"/>
                        <v:stroke on="f"/>
                        <v:imagedata r:id="rId63" o:title=""/>
                        <o:lock v:ext="edit" aspectratio="t"/>
                        <w10:wrap type="none"/>
                        <w10:anchorlock/>
                      </v:shape>
                      <o:OLEObject Type="Embed" ProgID="Equation.3" ShapeID="_x0000_i1037" DrawAspect="Content" ObjectID="_1468075737" r:id="rId62">
                        <o:LockedField>false</o:LockedField>
                      </o:OLEObject>
                    </w:object>
                  </w:r>
                  <w:r>
                    <w:rPr>
                      <w:rFonts w:ascii="Times New Roman" w:hAnsi="Times New Roman" w:cs="Times New Roman"/>
                      <w:b/>
                      <w:color w:val="auto"/>
                      <w:szCs w:val="21"/>
                    </w:rPr>
                    <w:t>)，t</w:t>
                  </w:r>
                </w:p>
              </w:tc>
              <w:tc>
                <w:tcPr>
                  <w:tcW w:w="1936" w:type="dxa"/>
                  <w:tcBorders>
                    <w:tl2br w:val="nil"/>
                    <w:tr2bl w:val="nil"/>
                  </w:tcBorders>
                  <w:vAlign w:val="center"/>
                </w:tcPr>
                <w:p>
                  <w:pPr>
                    <w:adjustRightInd w:val="0"/>
                    <w:snapToGrid w:val="0"/>
                    <w:jc w:val="center"/>
                    <w:rPr>
                      <w:rFonts w:ascii="Times New Roman" w:hAnsi="Times New Roman" w:cs="Times New Roman"/>
                      <w:b/>
                      <w:color w:val="auto"/>
                      <w:szCs w:val="21"/>
                    </w:rPr>
                  </w:pPr>
                  <w:r>
                    <w:rPr>
                      <w:rFonts w:ascii="Times New Roman" w:hAnsi="Times New Roman" w:cs="Times New Roman"/>
                      <w:b/>
                      <w:color w:val="auto"/>
                      <w:szCs w:val="21"/>
                    </w:rPr>
                    <w:t>该种危险物质</w:t>
                  </w:r>
                  <w:r>
                    <w:rPr>
                      <w:rFonts w:ascii="Times New Roman" w:hAnsi="Times New Roman" w:cs="Times New Roman"/>
                      <w:b/>
                      <w:bCs/>
                      <w:color w:val="auto"/>
                      <w:spacing w:val="1"/>
                      <w:position w:val="-10"/>
                      <w:szCs w:val="21"/>
                    </w:rPr>
                    <w:object>
                      <v:shape id="_x0000_i1038" o:spt="75" type="#_x0000_t75" style="height:15.9pt;width:11.7pt;" o:ole="t" filled="f" o:preferrelative="t" stroked="f" coordsize="21600,21600">
                        <v:path/>
                        <v:fill on="f" focussize="0,0"/>
                        <v:stroke on="f"/>
                        <v:imagedata r:id="rId58" o:title=""/>
                        <o:lock v:ext="edit" aspectratio="t"/>
                        <w10:wrap type="none"/>
                        <w10:anchorlock/>
                      </v:shape>
                      <o:OLEObject Type="Embed" ProgID="Equation.3" ShapeID="_x0000_i1038" DrawAspect="Content" ObjectID="_1468075738" r:id="rId64">
                        <o:LockedField>false</o:LockedField>
                      </o:OLEObject>
                    </w:object>
                  </w:r>
                  <w:r>
                    <w:rPr>
                      <w:rFonts w:ascii="Times New Roman" w:hAnsi="Times New Roman" w:cs="Times New Roman"/>
                      <w:b/>
                      <w:bCs/>
                      <w:color w:val="auto"/>
                      <w:spacing w:val="1"/>
                      <w:position w:val="-1"/>
                      <w:szCs w:val="21"/>
                    </w:rPr>
                    <w:t>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2" w:hRule="atLeast"/>
                <w:jc w:val="center"/>
              </w:trPr>
              <w:tc>
                <w:tcPr>
                  <w:tcW w:w="1247" w:type="dxa"/>
                  <w:tcBorders>
                    <w:tl2br w:val="nil"/>
                    <w:tr2bl w:val="nil"/>
                  </w:tcBorders>
                  <w:vAlign w:val="center"/>
                </w:tcPr>
                <w:p>
                  <w:pPr>
                    <w:adjustRightInd w:val="0"/>
                    <w:snapToGrid w:val="0"/>
                    <w:jc w:val="center"/>
                    <w:rPr>
                      <w:rFonts w:hint="eastAsia" w:ascii="Times New Roman" w:hAnsi="Times New Roman" w:eastAsia="宋体" w:cs="Times New Roman"/>
                      <w:color w:val="auto"/>
                      <w:szCs w:val="21"/>
                      <w:lang w:eastAsia="zh-CN"/>
                    </w:rPr>
                  </w:pPr>
                  <w:r>
                    <w:rPr>
                      <w:rFonts w:hint="eastAsia"/>
                      <w:color w:val="auto"/>
                      <w:sz w:val="21"/>
                      <w:szCs w:val="21"/>
                      <w:shd w:val="clear" w:color="auto" w:fill="auto"/>
                      <w:lang w:val="en-US" w:eastAsia="zh-CN"/>
                    </w:rPr>
                    <w:t>呋喃树脂</w:t>
                  </w:r>
                </w:p>
              </w:tc>
              <w:tc>
                <w:tcPr>
                  <w:tcW w:w="1890" w:type="dxa"/>
                  <w:tcBorders>
                    <w:tl2br w:val="nil"/>
                    <w:tr2bl w:val="nil"/>
                  </w:tcBorders>
                  <w:vAlign w:val="center"/>
                </w:tcPr>
                <w:p>
                  <w:pPr>
                    <w:adjustRightInd w:val="0"/>
                    <w:snapToGrid w:val="0"/>
                    <w:jc w:val="center"/>
                    <w:rPr>
                      <w:rFonts w:hint="default" w:ascii="Times New Roman" w:hAnsi="Times New Roman" w:cs="Times New Roman"/>
                      <w:color w:val="auto"/>
                      <w:szCs w:val="21"/>
                      <w:lang w:val="en-US"/>
                    </w:rPr>
                  </w:pPr>
                  <w:r>
                    <w:rPr>
                      <w:rFonts w:hint="eastAsia"/>
                      <w:color w:val="auto"/>
                      <w:szCs w:val="21"/>
                      <w:lang w:eastAsia="zh-CN"/>
                    </w:rPr>
                    <w:t>折算甲醛</w:t>
                  </w:r>
                  <w:r>
                    <w:rPr>
                      <w:rFonts w:hint="eastAsia"/>
                      <w:color w:val="auto"/>
                      <w:szCs w:val="21"/>
                      <w:lang w:val="en-US" w:eastAsia="zh-CN"/>
                    </w:rPr>
                    <w:t>50-00-0</w:t>
                  </w:r>
                </w:p>
              </w:tc>
              <w:tc>
                <w:tcPr>
                  <w:tcW w:w="2625"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olor w:val="auto"/>
                      <w:szCs w:val="21"/>
                      <w:lang w:val="en-US" w:eastAsia="zh-CN"/>
                    </w:rPr>
                    <w:t>1.8</w:t>
                  </w:r>
                  <w:r>
                    <w:rPr>
                      <w:rFonts w:hint="default" w:ascii="Arial" w:hAnsi="Arial" w:cs="Arial"/>
                      <w:color w:val="auto"/>
                      <w:szCs w:val="21"/>
                      <w:lang w:val="en-US" w:eastAsia="zh-CN"/>
                    </w:rPr>
                    <w:t>×</w:t>
                  </w:r>
                  <w:r>
                    <w:rPr>
                      <w:rFonts w:hint="eastAsia"/>
                      <w:color w:val="auto"/>
                      <w:szCs w:val="21"/>
                      <w:lang w:val="en-US" w:eastAsia="zh-CN"/>
                    </w:rPr>
                    <w:t>0.0068=0.012</w:t>
                  </w:r>
                </w:p>
              </w:tc>
              <w:tc>
                <w:tcPr>
                  <w:tcW w:w="1575" w:type="dxa"/>
                  <w:tcBorders>
                    <w:tl2br w:val="nil"/>
                    <w:tr2bl w:val="nil"/>
                  </w:tcBorders>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0.5</w:t>
                  </w:r>
                </w:p>
              </w:tc>
              <w:tc>
                <w:tcPr>
                  <w:tcW w:w="1936"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0.024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2" w:hRule="atLeast"/>
                <w:jc w:val="center"/>
              </w:trPr>
              <w:tc>
                <w:tcPr>
                  <w:tcW w:w="1247" w:type="dxa"/>
                  <w:tcBorders>
                    <w:tl2br w:val="nil"/>
                    <w:tr2bl w:val="nil"/>
                  </w:tcBorders>
                  <w:vAlign w:val="center"/>
                </w:tcPr>
                <w:p>
                  <w:pPr>
                    <w:adjustRightInd w:val="0"/>
                    <w:snapToGrid w:val="0"/>
                    <w:jc w:val="center"/>
                    <w:rPr>
                      <w:rFonts w:hint="eastAsia" w:ascii="Times New Roman" w:hAnsi="Times New Roman" w:cs="Times New Roman"/>
                      <w:color w:val="auto"/>
                      <w:szCs w:val="21"/>
                      <w:lang w:eastAsia="zh-CN"/>
                    </w:rPr>
                  </w:pPr>
                  <w:r>
                    <w:rPr>
                      <w:rFonts w:hint="eastAsia" w:ascii="Times New Roman" w:hAnsi="Times New Roman" w:cs="Times New Roman"/>
                      <w:color w:val="auto"/>
                      <w:szCs w:val="21"/>
                      <w:lang w:eastAsia="zh-CN"/>
                    </w:rPr>
                    <w:t>机油</w:t>
                  </w:r>
                </w:p>
              </w:tc>
              <w:tc>
                <w:tcPr>
                  <w:tcW w:w="1890"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w:t>
                  </w:r>
                </w:p>
              </w:tc>
              <w:tc>
                <w:tcPr>
                  <w:tcW w:w="2625" w:type="dxa"/>
                  <w:tcBorders>
                    <w:tl2br w:val="nil"/>
                    <w:tr2bl w:val="nil"/>
                  </w:tcBorders>
                  <w:vAlign w:val="center"/>
                </w:tcPr>
                <w:p>
                  <w:pPr>
                    <w:adjustRightInd w:val="0"/>
                    <w:snapToGrid w:val="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0.1</w:t>
                  </w:r>
                </w:p>
              </w:tc>
              <w:tc>
                <w:tcPr>
                  <w:tcW w:w="1575"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2500</w:t>
                  </w:r>
                </w:p>
              </w:tc>
              <w:tc>
                <w:tcPr>
                  <w:tcW w:w="1936" w:type="dxa"/>
                  <w:tcBorders>
                    <w:tl2br w:val="nil"/>
                    <w:tr2bl w:val="nil"/>
                  </w:tcBorders>
                  <w:vAlign w:val="center"/>
                </w:tcPr>
                <w:p>
                  <w:pPr>
                    <w:jc w:val="center"/>
                    <w:rPr>
                      <w:rFonts w:hint="eastAsia" w:ascii="Times New Roman" w:hAnsi="Times New Roman" w:cs="Times New Roman"/>
                      <w:color w:val="auto"/>
                      <w:szCs w:val="21"/>
                    </w:rPr>
                  </w:pPr>
                  <w:r>
                    <w:rPr>
                      <w:rFonts w:hint="eastAsia" w:ascii="Times New Roman" w:hAnsi="Times New Roman" w:cs="Times New Roman"/>
                      <w:color w:val="auto"/>
                      <w:szCs w:val="21"/>
                    </w:rPr>
                    <w:t>0.0000</w:t>
                  </w:r>
                  <w:r>
                    <w:rPr>
                      <w:rFonts w:hint="eastAsia" w:ascii="Times New Roman" w:hAnsi="Times New Roman" w:cs="Times New Roman"/>
                      <w:color w:val="auto"/>
                      <w:szCs w:val="21"/>
                      <w:lang w:val="en-US" w:eastAsia="zh-CN"/>
                    </w:rPr>
                    <w:t>4</w:t>
                  </w:r>
                </w:p>
              </w:tc>
            </w:tr>
          </w:tbl>
          <w:p>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经计算，</w:t>
            </w:r>
            <w:r>
              <w:rPr>
                <w:rFonts w:ascii="Times New Roman" w:hAnsi="Times New Roman" w:cs="Times New Roman"/>
                <w:color w:val="auto"/>
                <w:position w:val="-30"/>
                <w:sz w:val="24"/>
              </w:rPr>
              <w:object>
                <v:shape id="_x0000_i1039" o:spt="75" type="#_x0000_t75" style="height:32.65pt;width:95.55pt;" o:ole="t" filled="f" o:preferrelative="t" stroked="f" coordsize="21600,21600">
                  <v:path/>
                  <v:fill on="f" focussize="0,0"/>
                  <v:stroke on="f"/>
                  <v:imagedata r:id="rId66" o:title=""/>
                  <o:lock v:ext="edit" aspectratio="t"/>
                  <w10:wrap type="none"/>
                  <w10:anchorlock/>
                </v:shape>
                <o:OLEObject Type="Embed" ProgID="Equation.3" ShapeID="_x0000_i1039" DrawAspect="Content" ObjectID="_1468075739" r:id="rId65">
                  <o:LockedField>false</o:LockedField>
                </o:OLEObject>
              </w:object>
            </w:r>
            <w:r>
              <w:rPr>
                <w:rFonts w:ascii="Times New Roman" w:hAnsi="Times New Roman" w:cs="Times New Roman"/>
                <w:color w:val="auto"/>
                <w:sz w:val="24"/>
              </w:rPr>
              <w:t>，</w:t>
            </w:r>
            <w:r>
              <w:rPr>
                <w:rFonts w:hint="eastAsia" w:ascii="Times New Roman" w:hAnsi="Times New Roman" w:cs="Times New Roman"/>
                <w:color w:val="auto"/>
                <w:sz w:val="24"/>
              </w:rPr>
              <w:t>项目环境风险潜势为</w:t>
            </w:r>
            <w:r>
              <w:rPr>
                <w:rFonts w:hint="eastAsia" w:ascii="微软雅黑" w:hAnsi="微软雅黑" w:eastAsia="微软雅黑" w:cs="微软雅黑"/>
                <w:color w:val="auto"/>
                <w:sz w:val="24"/>
              </w:rPr>
              <w:t>Ⅰ</w:t>
            </w:r>
            <w:r>
              <w:rPr>
                <w:rFonts w:ascii="Times New Roman" w:hAnsi="Times New Roman" w:cs="Times New Roman"/>
                <w:color w:val="auto"/>
                <w:sz w:val="24"/>
              </w:rPr>
              <w:t>。</w:t>
            </w:r>
          </w:p>
          <w:p>
            <w:pPr>
              <w:autoSpaceDE w:val="0"/>
              <w:autoSpaceDN w:val="0"/>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rPr>
              <w:t>3、</w:t>
            </w:r>
            <w:r>
              <w:rPr>
                <w:rFonts w:ascii="Times New Roman" w:hAnsi="Times New Roman" w:cs="Times New Roman"/>
                <w:color w:val="auto"/>
                <w:sz w:val="24"/>
              </w:rPr>
              <w:t xml:space="preserve">评价工作等级 </w:t>
            </w:r>
          </w:p>
          <w:p>
            <w:pPr>
              <w:spacing w:line="360" w:lineRule="auto"/>
              <w:ind w:firstLine="480" w:firstLineChars="200"/>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根据《建设项目环境风险评价技术导则》（HJ169-2018），风险潜势为Ⅰ，可开展简单分析。因此本报告对本项目开展环境风险简单分析。</w:t>
            </w:r>
          </w:p>
          <w:p>
            <w:pPr>
              <w:spacing w:line="360" w:lineRule="auto"/>
              <w:ind w:firstLine="480" w:firstLineChars="200"/>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rPr>
              <w:t>三</w:t>
            </w:r>
            <w:r>
              <w:rPr>
                <w:rFonts w:ascii="Times New Roman" w:hAnsi="Times New Roman" w:cs="Times New Roman" w:eastAsiaTheme="minorEastAsia"/>
                <w:color w:val="auto"/>
                <w:sz w:val="24"/>
              </w:rPr>
              <w:t>）生产过程风险识别</w:t>
            </w:r>
          </w:p>
          <w:p>
            <w:pPr>
              <w:spacing w:line="360" w:lineRule="auto"/>
              <w:ind w:firstLine="480" w:firstLineChars="200"/>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本项目主要为危险废物储存点、仓库和废气处理设施存在环境风险，识别如下表所示：</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生产过程风险源识别</w:t>
            </w:r>
          </w:p>
          <w:tbl>
            <w:tblPr>
              <w:tblStyle w:val="41"/>
              <w:tblW w:w="9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8"/>
              <w:gridCol w:w="1200"/>
              <w:gridCol w:w="4125"/>
              <w:gridCol w:w="2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vAlign w:val="center"/>
                </w:tcPr>
                <w:p>
                  <w:pPr>
                    <w:spacing w:line="276" w:lineRule="auto"/>
                    <w:jc w:val="center"/>
                    <w:rPr>
                      <w:rFonts w:ascii="Times New Roman" w:hAnsi="Times New Roman" w:cs="Times New Roman" w:eastAsiaTheme="minorEastAsia"/>
                      <w:b/>
                      <w:bCs/>
                      <w:color w:val="auto"/>
                      <w:szCs w:val="21"/>
                    </w:rPr>
                  </w:pPr>
                  <w:r>
                    <w:rPr>
                      <w:rFonts w:ascii="Times New Roman" w:hAnsi="Times New Roman" w:cs="Times New Roman" w:eastAsiaTheme="minorEastAsia"/>
                      <w:b/>
                      <w:bCs/>
                      <w:color w:val="auto"/>
                      <w:szCs w:val="21"/>
                    </w:rPr>
                    <w:t>危险目标</w:t>
                  </w:r>
                </w:p>
              </w:tc>
              <w:tc>
                <w:tcPr>
                  <w:tcW w:w="1200" w:type="dxa"/>
                  <w:vAlign w:val="center"/>
                </w:tcPr>
                <w:p>
                  <w:pPr>
                    <w:spacing w:line="276" w:lineRule="auto"/>
                    <w:jc w:val="center"/>
                    <w:rPr>
                      <w:rFonts w:ascii="Times New Roman" w:hAnsi="Times New Roman" w:cs="Times New Roman" w:eastAsiaTheme="minorEastAsia"/>
                      <w:b/>
                      <w:bCs/>
                      <w:color w:val="auto"/>
                      <w:szCs w:val="21"/>
                    </w:rPr>
                  </w:pPr>
                  <w:r>
                    <w:rPr>
                      <w:rFonts w:ascii="Times New Roman" w:hAnsi="Times New Roman" w:cs="Times New Roman" w:eastAsiaTheme="minorEastAsia"/>
                      <w:b/>
                      <w:bCs/>
                      <w:color w:val="auto"/>
                      <w:szCs w:val="21"/>
                    </w:rPr>
                    <w:t>事故类型</w:t>
                  </w:r>
                </w:p>
              </w:tc>
              <w:tc>
                <w:tcPr>
                  <w:tcW w:w="4125" w:type="dxa"/>
                  <w:vAlign w:val="center"/>
                </w:tcPr>
                <w:p>
                  <w:pPr>
                    <w:spacing w:line="276" w:lineRule="auto"/>
                    <w:jc w:val="center"/>
                    <w:rPr>
                      <w:rFonts w:ascii="Times New Roman" w:hAnsi="Times New Roman" w:cs="Times New Roman" w:eastAsiaTheme="minorEastAsia"/>
                      <w:b/>
                      <w:bCs/>
                      <w:color w:val="auto"/>
                      <w:szCs w:val="21"/>
                    </w:rPr>
                  </w:pPr>
                  <w:r>
                    <w:rPr>
                      <w:rFonts w:ascii="Times New Roman" w:hAnsi="Times New Roman" w:cs="Times New Roman" w:eastAsiaTheme="minorEastAsia"/>
                      <w:b/>
                      <w:bCs/>
                      <w:color w:val="auto"/>
                      <w:szCs w:val="21"/>
                    </w:rPr>
                    <w:t>事故引发可能原因及后果</w:t>
                  </w:r>
                </w:p>
              </w:tc>
              <w:tc>
                <w:tcPr>
                  <w:tcW w:w="2744" w:type="dxa"/>
                  <w:vAlign w:val="center"/>
                </w:tcPr>
                <w:p>
                  <w:pPr>
                    <w:spacing w:line="276" w:lineRule="auto"/>
                    <w:jc w:val="center"/>
                    <w:rPr>
                      <w:rFonts w:ascii="Times New Roman" w:hAnsi="Times New Roman" w:cs="Times New Roman" w:eastAsiaTheme="minorEastAsia"/>
                      <w:b/>
                      <w:bCs/>
                      <w:color w:val="auto"/>
                      <w:szCs w:val="21"/>
                    </w:rPr>
                  </w:pPr>
                  <w:r>
                    <w:rPr>
                      <w:rFonts w:ascii="Times New Roman" w:hAnsi="Times New Roman" w:cs="Times New Roman" w:eastAsiaTheme="minorEastAsia"/>
                      <w:b/>
                      <w:bCs/>
                      <w:color w:val="auto"/>
                      <w:szCs w:val="21"/>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危险废物暂存点</w:t>
                  </w:r>
                </w:p>
              </w:tc>
              <w:tc>
                <w:tcPr>
                  <w:tcW w:w="1200"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泄漏</w:t>
                  </w:r>
                </w:p>
              </w:tc>
              <w:tc>
                <w:tcPr>
                  <w:tcW w:w="4125"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危险废物</w:t>
                  </w:r>
                  <w:r>
                    <w:rPr>
                      <w:rFonts w:hint="eastAsia" w:ascii="Times New Roman" w:hAnsi="Times New Roman" w:cs="Times New Roman" w:eastAsiaTheme="minorEastAsia"/>
                      <w:color w:val="auto"/>
                      <w:szCs w:val="21"/>
                      <w:lang w:eastAsia="zh-CN"/>
                    </w:rPr>
                    <w:t>在</w:t>
                  </w:r>
                  <w:r>
                    <w:rPr>
                      <w:rFonts w:ascii="Times New Roman" w:hAnsi="Times New Roman" w:cs="Times New Roman" w:eastAsiaTheme="minorEastAsia"/>
                      <w:color w:val="auto"/>
                      <w:szCs w:val="21"/>
                    </w:rPr>
                    <w:t>装卸或存储过程中可能会发生泄漏可能污染地下水，或可能由于恶劣天气影响，导致雨水渗入等</w:t>
                  </w:r>
                </w:p>
              </w:tc>
              <w:tc>
                <w:tcPr>
                  <w:tcW w:w="2744"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储存危险废物必须严实包装，储存场地硬底化，设置漫坡围堰，储存场地选择室内或设置遮雨措施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1128"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仓库</w:t>
                  </w:r>
                </w:p>
              </w:tc>
              <w:tc>
                <w:tcPr>
                  <w:tcW w:w="1200"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泄漏</w:t>
                  </w:r>
                </w:p>
              </w:tc>
              <w:tc>
                <w:tcPr>
                  <w:tcW w:w="4125" w:type="dxa"/>
                  <w:vAlign w:val="center"/>
                </w:tcPr>
                <w:p>
                  <w:pPr>
                    <w:spacing w:line="276" w:lineRule="auto"/>
                    <w:jc w:val="center"/>
                    <w:rPr>
                      <w:rFonts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lang w:eastAsia="zh-CN"/>
                    </w:rPr>
                    <w:t>化学品在</w:t>
                  </w:r>
                  <w:r>
                    <w:rPr>
                      <w:rFonts w:ascii="Times New Roman" w:hAnsi="Times New Roman" w:cs="Times New Roman" w:eastAsiaTheme="minorEastAsia"/>
                      <w:color w:val="auto"/>
                      <w:szCs w:val="21"/>
                    </w:rPr>
                    <w:t>装卸或存储过程中可能会发生泄漏可能污染地下水，或可能由于恶劣天气影响，导致雨水渗入等</w:t>
                  </w:r>
                </w:p>
              </w:tc>
              <w:tc>
                <w:tcPr>
                  <w:tcW w:w="2744"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储存化学品必须严实包装，储存场地硬底化，设置漫坡围堰，储存场地选择室内或设置遮雨措施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8"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废气收集排放系统</w:t>
                  </w:r>
                </w:p>
              </w:tc>
              <w:tc>
                <w:tcPr>
                  <w:tcW w:w="1200"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废气事故排放</w:t>
                  </w:r>
                </w:p>
              </w:tc>
              <w:tc>
                <w:tcPr>
                  <w:tcW w:w="4125" w:type="dxa"/>
                  <w:vAlign w:val="center"/>
                </w:tcPr>
                <w:p>
                  <w:pPr>
                    <w:spacing w:line="276" w:lineRule="auto"/>
                    <w:jc w:val="both"/>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设备故障，或管道损坏，会导致废气未经有效收集处理直接排放，影响周边大气环境</w:t>
                  </w:r>
                </w:p>
              </w:tc>
              <w:tc>
                <w:tcPr>
                  <w:tcW w:w="2744"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加强检修维护，确保废气收集系统的正常运行</w:t>
                  </w:r>
                </w:p>
              </w:tc>
            </w:tr>
          </w:tbl>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rPr>
              <w:t>四</w:t>
            </w:r>
            <w:r>
              <w:rPr>
                <w:rFonts w:ascii="Times New Roman" w:hAnsi="Times New Roman" w:cs="Times New Roman" w:eastAsiaTheme="minorEastAsia"/>
                <w:color w:val="auto"/>
                <w:sz w:val="24"/>
              </w:rPr>
              <w:t>）源项分析</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风险事故类型分为火灾、爆炸和泄漏三种。结合本项目的工程特征，潜在的风险事故可以分为</w:t>
            </w:r>
            <w:r>
              <w:rPr>
                <w:rFonts w:hint="eastAsia" w:ascii="Times New Roman" w:hAnsi="Times New Roman" w:cs="Times New Roman" w:eastAsiaTheme="minorEastAsia"/>
                <w:color w:val="auto"/>
                <w:sz w:val="24"/>
              </w:rPr>
              <w:t>四</w:t>
            </w:r>
            <w:r>
              <w:rPr>
                <w:rFonts w:ascii="Times New Roman" w:hAnsi="Times New Roman" w:cs="Times New Roman" w:eastAsiaTheme="minorEastAsia"/>
                <w:color w:val="auto"/>
                <w:sz w:val="24"/>
              </w:rPr>
              <w:t>大类：一是有化学品的泄漏，造成环境污染；二是</w:t>
            </w:r>
            <w:r>
              <w:rPr>
                <w:rFonts w:hint="eastAsia" w:ascii="Times New Roman" w:hAnsi="Times New Roman" w:cs="Times New Roman" w:eastAsiaTheme="minorEastAsia"/>
                <w:color w:val="auto"/>
                <w:sz w:val="24"/>
              </w:rPr>
              <w:t>大</w:t>
            </w:r>
            <w:r>
              <w:rPr>
                <w:rFonts w:ascii="Times New Roman" w:hAnsi="Times New Roman" w:cs="Times New Roman" w:eastAsiaTheme="minorEastAsia"/>
                <w:color w:val="auto"/>
                <w:sz w:val="24"/>
              </w:rPr>
              <w:t>气污染物发生风险事故排放，造成环境污染事故；三是危险废物贮存不当引起的污染；四是因</w:t>
            </w:r>
            <w:r>
              <w:rPr>
                <w:rFonts w:hint="eastAsia" w:ascii="Times New Roman" w:hAnsi="Times New Roman" w:cs="Times New Roman" w:eastAsiaTheme="minorEastAsia"/>
                <w:color w:val="auto"/>
                <w:sz w:val="24"/>
                <w:lang w:eastAsia="zh-CN"/>
              </w:rPr>
              <w:t>机油</w:t>
            </w:r>
            <w:r>
              <w:rPr>
                <w:rFonts w:ascii="Times New Roman" w:hAnsi="Times New Roman" w:cs="Times New Roman" w:eastAsiaTheme="minorEastAsia"/>
                <w:color w:val="auto"/>
                <w:sz w:val="24"/>
              </w:rPr>
              <w:t>泄漏引起火灾，随消防废水进入市政管网或周边水体。</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rPr>
              <w:t>五</w:t>
            </w:r>
            <w:r>
              <w:rPr>
                <w:rFonts w:ascii="Times New Roman" w:hAnsi="Times New Roman" w:cs="Times New Roman" w:eastAsiaTheme="minorEastAsia"/>
                <w:color w:val="auto"/>
                <w:sz w:val="24"/>
              </w:rPr>
              <w:t>）风险防范措施</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①公司应当定期对废气收集排放系统定期进行检修维护。</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②储存化学品必须严实包装，储存场地硬底化，设置漫坡围堰，储存场地选择室内或设置遮雨措施</w:t>
            </w:r>
            <w:r>
              <w:rPr>
                <w:rFonts w:hint="eastAsia" w:ascii="Times New Roman" w:hAnsi="Times New Roman" w:cs="Times New Roman" w:eastAsiaTheme="minorEastAsia"/>
                <w:color w:val="auto"/>
                <w:sz w:val="24"/>
              </w:rPr>
              <w:t>。</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hint="eastAsia" w:ascii="Times New Roman" w:hAnsi="Times New Roman" w:cs="Times New Roman" w:eastAsiaTheme="minorEastAsia"/>
                <w:color w:val="auto"/>
                <w:sz w:val="24"/>
              </w:rPr>
              <w:t>③</w:t>
            </w:r>
            <w:r>
              <w:rPr>
                <w:rFonts w:ascii="Times New Roman" w:hAnsi="Times New Roman" w:cs="Times New Roman" w:eastAsiaTheme="minorEastAsia"/>
                <w:color w:val="auto"/>
                <w:sz w:val="24"/>
              </w:rPr>
              <w:t>按照《危险废物贮存污染控制标准》（（GB18597-2001）及2013年修改单）对危险废物暂存场进行设计和建设，同时将危险废物交有相关资质单位处理，做好供应商的管理。同时严格按《危险废物转移联单管理办法》做好转移记录。</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rPr>
              <w:t>六</w:t>
            </w:r>
            <w:r>
              <w:rPr>
                <w:rFonts w:ascii="Times New Roman" w:hAnsi="Times New Roman" w:cs="Times New Roman" w:eastAsiaTheme="minorEastAsia"/>
                <w:color w:val="auto"/>
                <w:sz w:val="24"/>
              </w:rPr>
              <w:t>）评价小结</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项目物质不构成重大危险源</w:t>
            </w:r>
            <w:r>
              <w:rPr>
                <w:rFonts w:hint="eastAsia" w:ascii="Times New Roman" w:hAnsi="Times New Roman" w:cs="Times New Roman" w:eastAsiaTheme="minorEastAsia"/>
                <w:color w:val="auto"/>
                <w:sz w:val="24"/>
              </w:rPr>
              <w:t>，</w:t>
            </w:r>
            <w:r>
              <w:rPr>
                <w:rFonts w:ascii="Times New Roman" w:hAnsi="Times New Roman" w:cs="Times New Roman" w:eastAsiaTheme="minorEastAsia"/>
                <w:color w:val="auto"/>
                <w:sz w:val="24"/>
              </w:rPr>
              <w:t>企业在落实相应风险防范和控制措施的情况下，总体环境风险可控。</w:t>
            </w:r>
          </w:p>
          <w:p>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ascii="Times New Roman" w:hAnsi="Times New Roman" w:cs="Times New Roman" w:eastAsiaTheme="minorEastAsia"/>
                <w:color w:val="auto"/>
                <w:sz w:val="24"/>
              </w:rPr>
            </w:pPr>
            <w:r>
              <w:rPr>
                <w:rFonts w:ascii="Times New Roman" w:hAnsi="Times New Roman" w:cs="Times New Roman" w:eastAsiaTheme="minorEastAsia"/>
                <w:color w:val="auto"/>
                <w:sz w:val="24"/>
              </w:rPr>
              <w:t>（</w:t>
            </w:r>
            <w:r>
              <w:rPr>
                <w:rFonts w:hint="eastAsia" w:ascii="Times New Roman" w:hAnsi="Times New Roman" w:cs="Times New Roman" w:eastAsiaTheme="minorEastAsia"/>
                <w:color w:val="auto"/>
                <w:sz w:val="24"/>
              </w:rPr>
              <w:t>七</w:t>
            </w:r>
            <w:r>
              <w:rPr>
                <w:rFonts w:ascii="Times New Roman" w:hAnsi="Times New Roman" w:cs="Times New Roman" w:eastAsiaTheme="minorEastAsia"/>
                <w:color w:val="auto"/>
                <w:sz w:val="24"/>
              </w:rPr>
              <w:t>）建设项目环境风险简单分析内容表</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项目环境风险简单分析内容表</w:t>
            </w:r>
          </w:p>
          <w:tbl>
            <w:tblPr>
              <w:tblStyle w:val="41"/>
              <w:tblW w:w="9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6"/>
              <w:gridCol w:w="1766"/>
              <w:gridCol w:w="1739"/>
              <w:gridCol w:w="1739"/>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建设项目名称</w:t>
                  </w:r>
                </w:p>
              </w:tc>
              <w:tc>
                <w:tcPr>
                  <w:tcW w:w="6984" w:type="dxa"/>
                  <w:gridSpan w:val="4"/>
                  <w:vAlign w:val="center"/>
                </w:tcPr>
                <w:p>
                  <w:pPr>
                    <w:spacing w:line="276" w:lineRule="auto"/>
                    <w:jc w:val="center"/>
                    <w:rPr>
                      <w:rFonts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rPr>
                    <w:t>开平市朝升卫浴有限公司年产水龙头40万个新建项目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建设地点</w:t>
                  </w:r>
                </w:p>
              </w:tc>
              <w:tc>
                <w:tcPr>
                  <w:tcW w:w="6984" w:type="dxa"/>
                  <w:gridSpan w:val="4"/>
                  <w:vAlign w:val="center"/>
                </w:tcPr>
                <w:p>
                  <w:pPr>
                    <w:spacing w:line="276" w:lineRule="auto"/>
                    <w:jc w:val="center"/>
                    <w:rPr>
                      <w:rFonts w:ascii="Times New Roman" w:hAnsi="Times New Roman" w:cs="Times New Roman" w:eastAsiaTheme="minorEastAsia"/>
                      <w:b/>
                      <w:bCs w:val="0"/>
                      <w:color w:val="auto"/>
                      <w:szCs w:val="21"/>
                    </w:rPr>
                  </w:pPr>
                  <w:r>
                    <w:rPr>
                      <w:rFonts w:hint="eastAsia"/>
                      <w:bCs/>
                      <w:color w:val="auto"/>
                      <w:sz w:val="21"/>
                      <w:szCs w:val="21"/>
                      <w:shd w:val="clear" w:color="auto" w:fill="auto"/>
                      <w:lang w:eastAsia="zh-CN"/>
                    </w:rPr>
                    <w:t>开平市水口镇黎村狗山开发区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地理坐标</w:t>
                  </w:r>
                </w:p>
              </w:tc>
              <w:tc>
                <w:tcPr>
                  <w:tcW w:w="176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经度</w:t>
                  </w:r>
                </w:p>
              </w:tc>
              <w:tc>
                <w:tcPr>
                  <w:tcW w:w="1739" w:type="dxa"/>
                  <w:vAlign w:val="center"/>
                </w:tcPr>
                <w:p>
                  <w:pPr>
                    <w:spacing w:line="276" w:lineRule="auto"/>
                    <w:jc w:val="center"/>
                    <w:rPr>
                      <w:rFonts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rPr>
                    <w:t>112.7749°</w:t>
                  </w:r>
                </w:p>
              </w:tc>
              <w:tc>
                <w:tcPr>
                  <w:tcW w:w="1739"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纬度</w:t>
                  </w:r>
                </w:p>
              </w:tc>
              <w:tc>
                <w:tcPr>
                  <w:tcW w:w="1740" w:type="dxa"/>
                  <w:vAlign w:val="center"/>
                </w:tcPr>
                <w:p>
                  <w:pPr>
                    <w:spacing w:line="276" w:lineRule="auto"/>
                    <w:jc w:val="center"/>
                    <w:rPr>
                      <w:rFonts w:ascii="Times New Roman" w:hAnsi="Times New Roman" w:cs="Times New Roman" w:eastAsiaTheme="minorEastAsia"/>
                      <w:color w:val="auto"/>
                      <w:szCs w:val="21"/>
                    </w:rPr>
                  </w:pPr>
                  <w:r>
                    <w:rPr>
                      <w:rFonts w:hint="eastAsia" w:ascii="Times New Roman" w:hAnsi="Times New Roman" w:cs="Times New Roman" w:eastAsiaTheme="minorEastAsia"/>
                      <w:color w:val="auto"/>
                      <w:szCs w:val="21"/>
                    </w:rPr>
                    <w:t>22.4613°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主要危险物质分布</w:t>
                  </w:r>
                </w:p>
              </w:tc>
              <w:tc>
                <w:tcPr>
                  <w:tcW w:w="6984" w:type="dxa"/>
                  <w:gridSpan w:val="4"/>
                  <w:vAlign w:val="center"/>
                </w:tcPr>
                <w:p>
                  <w:pPr>
                    <w:spacing w:line="276" w:lineRule="auto"/>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eastAsiaTheme="minorEastAsia"/>
                      <w:color w:val="auto"/>
                      <w:szCs w:val="21"/>
                      <w:lang w:eastAsia="zh-CN"/>
                    </w:rPr>
                    <w:t>呋喃树脂、机油</w:t>
                  </w:r>
                  <w:r>
                    <w:rPr>
                      <w:rFonts w:ascii="Times New Roman" w:hAnsi="Times New Roman" w:cs="Times New Roman" w:eastAsiaTheme="minorEastAsia"/>
                      <w:color w:val="auto"/>
                      <w:szCs w:val="21"/>
                    </w:rPr>
                    <w:t>，位于</w:t>
                  </w:r>
                  <w:r>
                    <w:rPr>
                      <w:rFonts w:hint="eastAsia" w:ascii="Times New Roman" w:hAnsi="Times New Roman" w:cs="Times New Roman" w:eastAsiaTheme="minorEastAsia"/>
                      <w:color w:val="auto"/>
                      <w:szCs w:val="21"/>
                      <w:lang w:eastAsia="zh-CN"/>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2"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环境影响途径及危害后果（大气、地表水、地下水等）</w:t>
                  </w:r>
                </w:p>
              </w:tc>
              <w:tc>
                <w:tcPr>
                  <w:tcW w:w="6984" w:type="dxa"/>
                  <w:gridSpan w:val="4"/>
                  <w:vAlign w:val="center"/>
                </w:tcPr>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①危险废物</w:t>
                  </w:r>
                  <w:r>
                    <w:rPr>
                      <w:rFonts w:hint="eastAsia" w:ascii="Times New Roman" w:hAnsi="Times New Roman" w:cs="Times New Roman" w:eastAsiaTheme="minorEastAsia"/>
                      <w:color w:val="auto"/>
                      <w:szCs w:val="21"/>
                      <w:lang w:eastAsia="zh-CN"/>
                    </w:rPr>
                    <w:t>在</w:t>
                  </w:r>
                  <w:r>
                    <w:rPr>
                      <w:rFonts w:ascii="Times New Roman" w:hAnsi="Times New Roman" w:cs="Times New Roman" w:eastAsiaTheme="minorEastAsia"/>
                      <w:color w:val="auto"/>
                      <w:szCs w:val="21"/>
                    </w:rPr>
                    <w:t>装卸或存储过程中可能会发生泄漏可能污染地下水，或可能由于恶劣天气影响，导致雨水渗入等</w:t>
                  </w:r>
                  <w:r>
                    <w:rPr>
                      <w:rFonts w:hint="eastAsia" w:ascii="Times New Roman" w:hAnsi="Times New Roman" w:cs="Times New Roman" w:eastAsiaTheme="minorEastAsia"/>
                      <w:color w:val="auto"/>
                      <w:szCs w:val="21"/>
                    </w:rPr>
                    <w:t>；</w:t>
                  </w:r>
                </w:p>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②</w:t>
                  </w:r>
                  <w:r>
                    <w:rPr>
                      <w:rFonts w:hint="eastAsia" w:ascii="Times New Roman" w:hAnsi="Times New Roman" w:cs="Times New Roman" w:eastAsiaTheme="minorEastAsia"/>
                      <w:color w:val="auto"/>
                      <w:szCs w:val="21"/>
                    </w:rPr>
                    <w:t>化学品在装卸或存储过程中</w:t>
                  </w:r>
                  <w:r>
                    <w:rPr>
                      <w:rFonts w:ascii="Times New Roman" w:hAnsi="Times New Roman" w:cs="Times New Roman" w:eastAsiaTheme="minorEastAsia"/>
                      <w:color w:val="auto"/>
                      <w:szCs w:val="21"/>
                    </w:rPr>
                    <w:t>可能会发生泄漏可能污染地下水，或可能由于恶劣天气影响，导致雨水渗入等</w:t>
                  </w:r>
                  <w:r>
                    <w:rPr>
                      <w:rFonts w:hint="eastAsia" w:ascii="Times New Roman" w:hAnsi="Times New Roman" w:cs="Times New Roman" w:eastAsiaTheme="minorEastAsia"/>
                      <w:color w:val="auto"/>
                      <w:szCs w:val="21"/>
                    </w:rPr>
                    <w:t>；</w:t>
                  </w:r>
                </w:p>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③设备故障，或管道损坏，会导致废气未经有效收集处理直接排放，影响周边大气环境</w:t>
                  </w:r>
                  <w:r>
                    <w:rPr>
                      <w:rFonts w:hint="eastAsia" w:ascii="Times New Roman" w:hAnsi="Times New Roman" w:cs="Times New Roman" w:eastAsiaTheme="minorEastAsia"/>
                      <w:color w:val="auto"/>
                      <w:szCs w:val="21"/>
                    </w:rPr>
                    <w:t>；</w:t>
                  </w:r>
                </w:p>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④因</w:t>
                  </w:r>
                  <w:r>
                    <w:rPr>
                      <w:rFonts w:hint="eastAsia" w:ascii="Times New Roman" w:hAnsi="Times New Roman" w:cs="Times New Roman" w:eastAsiaTheme="minorEastAsia"/>
                      <w:color w:val="auto"/>
                      <w:szCs w:val="21"/>
                      <w:lang w:eastAsia="zh-CN"/>
                    </w:rPr>
                    <w:t>机油</w:t>
                  </w:r>
                  <w:r>
                    <w:rPr>
                      <w:rFonts w:ascii="Times New Roman" w:hAnsi="Times New Roman" w:cs="Times New Roman" w:eastAsiaTheme="minorEastAsia"/>
                      <w:color w:val="auto"/>
                      <w:szCs w:val="21"/>
                    </w:rPr>
                    <w:t>泄漏引起火灾，随消防废水进入市政管网或周边水体。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0"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风险防范措施要求</w:t>
                  </w:r>
                </w:p>
              </w:tc>
              <w:tc>
                <w:tcPr>
                  <w:tcW w:w="6984" w:type="dxa"/>
                  <w:gridSpan w:val="4"/>
                  <w:vAlign w:val="center"/>
                </w:tcPr>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①储存危险废物必须严实包装，储存场地硬底化，设置漫坡围堰，储存场地选择室内或设置遮雨措施</w:t>
                  </w:r>
                </w:p>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②储存化学品必须严实包装，储存场地硬底化，设置漫坡围堰，储存场地选择室内或设置遮雨措施</w:t>
                  </w:r>
                </w:p>
                <w:p>
                  <w:pPr>
                    <w:spacing w:line="276" w:lineRule="auto"/>
                    <w:jc w:val="left"/>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③加强检修维护，确保废气收集系统的正常运行。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2336" w:type="dxa"/>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填表说明（列出项目相关信息及评价说明）</w:t>
                  </w:r>
                </w:p>
              </w:tc>
              <w:tc>
                <w:tcPr>
                  <w:tcW w:w="6984" w:type="dxa"/>
                  <w:gridSpan w:val="4"/>
                  <w:vAlign w:val="center"/>
                </w:tcPr>
                <w:p>
                  <w:pPr>
                    <w:spacing w:line="276" w:lineRule="auto"/>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r>
          </w:tbl>
          <w:p>
            <w:pPr>
              <w:widowControl w:val="0"/>
              <w:numPr>
                <w:ilvl w:val="0"/>
                <w:numId w:val="10"/>
              </w:numPr>
              <w:spacing w:line="360" w:lineRule="auto"/>
              <w:ind w:firstLine="482" w:firstLineChars="200"/>
              <w:jc w:val="left"/>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土壤环境影响分析</w:t>
            </w:r>
          </w:p>
          <w:p>
            <w:pPr>
              <w:spacing w:line="360" w:lineRule="auto"/>
              <w:ind w:firstLine="480" w:firstLineChars="200"/>
              <w:rPr>
                <w:rFonts w:ascii="Calibri" w:hAnsi="Calibri" w:eastAsia="宋体"/>
                <w:color w:val="auto"/>
                <w:sz w:val="24"/>
                <w:szCs w:val="21"/>
              </w:rPr>
            </w:pPr>
            <w:r>
              <w:rPr>
                <w:rFonts w:hint="eastAsia" w:ascii="Calibri" w:hAnsi="Calibri" w:eastAsia="宋体"/>
                <w:color w:val="auto"/>
                <w:sz w:val="24"/>
                <w:szCs w:val="21"/>
              </w:rPr>
              <w:t>（一）评价等级判定</w:t>
            </w:r>
          </w:p>
          <w:p>
            <w:pPr>
              <w:spacing w:line="360" w:lineRule="auto"/>
              <w:ind w:firstLine="480" w:firstLineChars="200"/>
              <w:rPr>
                <w:rFonts w:hint="default" w:ascii="Times New Roman" w:hAnsi="Times New Roman" w:eastAsia="宋体" w:cs="Times New Roman"/>
                <w:color w:val="auto"/>
                <w:szCs w:val="21"/>
              </w:rPr>
            </w:pPr>
            <w:r>
              <w:rPr>
                <w:rFonts w:hint="eastAsia" w:ascii="Calibri" w:hAnsi="Calibri" w:eastAsia="宋体"/>
                <w:color w:val="auto"/>
                <w:sz w:val="24"/>
                <w:szCs w:val="21"/>
              </w:rPr>
              <w:t>本项目为污染影响型项目，</w:t>
            </w:r>
            <w:r>
              <w:rPr>
                <w:rFonts w:ascii="Calibri" w:hAnsi="Calibri" w:eastAsia="宋体"/>
                <w:color w:val="auto"/>
                <w:sz w:val="24"/>
                <w:szCs w:val="21"/>
              </w:rPr>
              <w:t xml:space="preserve">根据《环境影响评价技术导则 </w:t>
            </w:r>
            <w:r>
              <w:rPr>
                <w:rFonts w:hint="eastAsia" w:ascii="Calibri" w:hAnsi="Calibri" w:eastAsia="宋体"/>
                <w:color w:val="auto"/>
                <w:sz w:val="24"/>
                <w:szCs w:val="21"/>
              </w:rPr>
              <w:t>土壤环境（试行）</w:t>
            </w:r>
            <w:r>
              <w:rPr>
                <w:rFonts w:ascii="Calibri" w:hAnsi="Calibri" w:eastAsia="宋体"/>
                <w:color w:val="auto"/>
                <w:sz w:val="24"/>
                <w:szCs w:val="21"/>
              </w:rPr>
              <w:t>》</w:t>
            </w:r>
            <w:r>
              <w:rPr>
                <w:rFonts w:hint="default" w:ascii="Times New Roman" w:hAnsi="Times New Roman" w:eastAsia="宋体" w:cs="Times New Roman"/>
                <w:color w:val="auto"/>
                <w:sz w:val="24"/>
                <w:szCs w:val="21"/>
              </w:rPr>
              <w:t>（HJ 964-2018），污染影响型评价工作等级划分见</w:t>
            </w:r>
            <w:r>
              <w:rPr>
                <w:rFonts w:hint="default" w:ascii="Times New Roman" w:hAnsi="Times New Roman" w:eastAsia="宋体" w:cs="Times New Roman"/>
                <w:color w:val="auto"/>
                <w:sz w:val="24"/>
                <w:szCs w:val="21"/>
                <w:lang w:eastAsia="zh-CN"/>
              </w:rPr>
              <w:t>下表</w:t>
            </w:r>
            <w:r>
              <w:rPr>
                <w:rFonts w:hint="default" w:ascii="Times New Roman" w:hAnsi="Times New Roman" w:eastAsia="宋体" w:cs="Times New Roman"/>
                <w:color w:val="auto"/>
                <w:sz w:val="24"/>
                <w:szCs w:val="21"/>
              </w:rPr>
              <w:t>。</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污染影响型</w:t>
            </w:r>
            <w:r>
              <w:rPr>
                <w:rFonts w:ascii="Times New Roman" w:hAnsi="Times New Roman" w:eastAsia="宋体" w:cs="Times New Roman"/>
                <w:b/>
                <w:color w:val="auto"/>
                <w:kern w:val="0"/>
                <w:sz w:val="21"/>
                <w:szCs w:val="21"/>
                <w:lang w:val="en-US" w:eastAsia="zh-CN" w:bidi="ar-SA"/>
              </w:rPr>
              <w:t>评价工作等级划分</w:t>
            </w:r>
          </w:p>
          <w:tbl>
            <w:tblPr>
              <w:tblStyle w:val="40"/>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6"/>
              <w:gridCol w:w="1197"/>
              <w:gridCol w:w="708"/>
              <w:gridCol w:w="710"/>
              <w:gridCol w:w="709"/>
              <w:gridCol w:w="709"/>
              <w:gridCol w:w="709"/>
              <w:gridCol w:w="708"/>
              <w:gridCol w:w="708"/>
              <w:gridCol w:w="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636" w:type="dxa"/>
                  <w:vMerge w:val="restart"/>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hint="eastAsia" w:ascii="Times New Roman" w:hAnsi="Times New Roman" w:eastAsia="宋体" w:cs="Courier New"/>
                      <w:b/>
                      <w:color w:val="auto"/>
                      <w:kern w:val="2"/>
                      <w:sz w:val="21"/>
                      <w:szCs w:val="21"/>
                      <w:lang w:val="en-US" w:eastAsia="zh-CN" w:bidi="ar-SA"/>
                    </w:rPr>
                    <w:t>敏感程度</w:t>
                  </w:r>
                </w:p>
                <w:p>
                  <w:pPr>
                    <w:widowControl w:val="0"/>
                    <w:snapToGrid w:val="0"/>
                    <w:jc w:val="center"/>
                    <w:rPr>
                      <w:rFonts w:ascii="Times New Roman" w:hAnsi="Times New Roman" w:eastAsia="宋体" w:cs="Courier New"/>
                      <w:b/>
                      <w:color w:val="auto"/>
                      <w:kern w:val="2"/>
                      <w:sz w:val="21"/>
                      <w:szCs w:val="21"/>
                      <w:lang w:val="en-US" w:eastAsia="zh-CN" w:bidi="ar-SA"/>
                    </w:rPr>
                  </w:pPr>
                  <w:r>
                    <w:rPr>
                      <w:rFonts w:hint="eastAsia" w:ascii="Times New Roman" w:hAnsi="Times New Roman" w:eastAsia="宋体" w:cs="Courier New"/>
                      <w:b/>
                      <w:color w:val="auto"/>
                      <w:kern w:val="2"/>
                      <w:sz w:val="21"/>
                      <w:szCs w:val="21"/>
                      <w:lang w:val="en-US" w:eastAsia="zh-CN" w:bidi="ar-SA"/>
                    </w:rPr>
                    <w:t>评价工作等级</w:t>
                  </w:r>
                </w:p>
                <w:p>
                  <w:pPr>
                    <w:widowControl w:val="0"/>
                    <w:jc w:val="center"/>
                    <w:rPr>
                      <w:rFonts w:ascii="Times New Roman" w:hAnsi="Times New Roman" w:eastAsia="宋体" w:cs="Courier New"/>
                      <w:b/>
                      <w:color w:val="auto"/>
                      <w:kern w:val="2"/>
                      <w:sz w:val="21"/>
                      <w:szCs w:val="21"/>
                      <w:lang w:val="en-US" w:eastAsia="zh-CN" w:bidi="ar-SA"/>
                    </w:rPr>
                  </w:pPr>
                  <w:r>
                    <w:rPr>
                      <w:rFonts w:hint="eastAsia" w:ascii="Times New Roman" w:hAnsi="Times New Roman" w:eastAsia="宋体" w:cs="Courier New"/>
                      <w:b/>
                      <w:color w:val="auto"/>
                      <w:kern w:val="2"/>
                      <w:sz w:val="21"/>
                      <w:szCs w:val="21"/>
                      <w:lang w:val="en-US" w:eastAsia="zh-CN" w:bidi="ar-SA"/>
                    </w:rPr>
                    <w:t>占地规模</w:t>
                  </w:r>
                </w:p>
              </w:tc>
              <w:tc>
                <w:tcPr>
                  <w:tcW w:w="2615" w:type="dxa"/>
                  <w:gridSpan w:val="3"/>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ascii="Times New Roman" w:hAnsi="Times New Roman" w:eastAsia="宋体" w:cs="Courier New"/>
                      <w:b/>
                      <w:color w:val="auto"/>
                      <w:kern w:val="2"/>
                      <w:sz w:val="21"/>
                      <w:szCs w:val="21"/>
                      <w:lang w:val="en-US" w:eastAsia="zh-CN" w:bidi="ar-SA"/>
                    </w:rPr>
                    <w:fldChar w:fldCharType="begin"/>
                  </w:r>
                  <w:r>
                    <w:rPr>
                      <w:rFonts w:ascii="Times New Roman" w:hAnsi="Times New Roman" w:eastAsia="宋体" w:cs="Courier New"/>
                      <w:b/>
                      <w:color w:val="auto"/>
                      <w:kern w:val="2"/>
                      <w:sz w:val="21"/>
                      <w:szCs w:val="21"/>
                      <w:lang w:val="en-US" w:eastAsia="zh-CN" w:bidi="ar-SA"/>
                    </w:rPr>
                    <w:instrText xml:space="preserve"> = 1 \* ROMAN </w:instrText>
                  </w:r>
                  <w:r>
                    <w:rPr>
                      <w:rFonts w:ascii="Times New Roman" w:hAnsi="Times New Roman" w:eastAsia="宋体" w:cs="Courier New"/>
                      <w:b/>
                      <w:color w:val="auto"/>
                      <w:kern w:val="2"/>
                      <w:sz w:val="21"/>
                      <w:szCs w:val="21"/>
                      <w:lang w:val="en-US" w:eastAsia="zh-CN" w:bidi="ar-SA"/>
                    </w:rPr>
                    <w:fldChar w:fldCharType="separate"/>
                  </w:r>
                  <w:r>
                    <w:rPr>
                      <w:rFonts w:ascii="Times New Roman" w:hAnsi="Times New Roman" w:eastAsia="宋体" w:cs="Courier New"/>
                      <w:b/>
                      <w:color w:val="auto"/>
                      <w:kern w:val="2"/>
                      <w:sz w:val="21"/>
                      <w:szCs w:val="21"/>
                      <w:lang w:val="en-US" w:eastAsia="zh-CN" w:bidi="ar-SA"/>
                    </w:rPr>
                    <w:t>I</w:t>
                  </w:r>
                  <w:r>
                    <w:rPr>
                      <w:rFonts w:ascii="Times New Roman" w:hAnsi="Times New Roman" w:eastAsia="宋体" w:cs="Courier New"/>
                      <w:b/>
                      <w:color w:val="auto"/>
                      <w:kern w:val="2"/>
                      <w:sz w:val="21"/>
                      <w:szCs w:val="21"/>
                      <w:lang w:val="en-US" w:eastAsia="zh-CN" w:bidi="ar-SA"/>
                    </w:rPr>
                    <w:fldChar w:fldCharType="end"/>
                  </w:r>
                  <w:r>
                    <w:rPr>
                      <w:rFonts w:ascii="Times New Roman" w:hAnsi="Times New Roman" w:eastAsia="宋体" w:cs="Courier New"/>
                      <w:b/>
                      <w:color w:val="auto"/>
                      <w:kern w:val="2"/>
                      <w:sz w:val="21"/>
                      <w:szCs w:val="21"/>
                      <w:lang w:val="en-US" w:eastAsia="zh-CN" w:bidi="ar-SA"/>
                    </w:rPr>
                    <w:t>类</w:t>
                  </w:r>
                </w:p>
              </w:tc>
              <w:tc>
                <w:tcPr>
                  <w:tcW w:w="2127" w:type="dxa"/>
                  <w:gridSpan w:val="3"/>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ascii="Times New Roman" w:hAnsi="Times New Roman" w:eastAsia="宋体" w:cs="Courier New"/>
                      <w:b/>
                      <w:color w:val="auto"/>
                      <w:kern w:val="2"/>
                      <w:sz w:val="21"/>
                      <w:szCs w:val="21"/>
                      <w:lang w:val="en-US" w:eastAsia="zh-CN" w:bidi="ar-SA"/>
                    </w:rPr>
                    <w:fldChar w:fldCharType="begin"/>
                  </w:r>
                  <w:r>
                    <w:rPr>
                      <w:rFonts w:ascii="Times New Roman" w:hAnsi="Times New Roman" w:eastAsia="宋体" w:cs="Courier New"/>
                      <w:b/>
                      <w:color w:val="auto"/>
                      <w:kern w:val="2"/>
                      <w:sz w:val="21"/>
                      <w:szCs w:val="21"/>
                      <w:lang w:val="en-US" w:eastAsia="zh-CN" w:bidi="ar-SA"/>
                    </w:rPr>
                    <w:instrText xml:space="preserve"> = 2 \* ROMAN </w:instrText>
                  </w:r>
                  <w:r>
                    <w:rPr>
                      <w:rFonts w:ascii="Times New Roman" w:hAnsi="Times New Roman" w:eastAsia="宋体" w:cs="Courier New"/>
                      <w:b/>
                      <w:color w:val="auto"/>
                      <w:kern w:val="2"/>
                      <w:sz w:val="21"/>
                      <w:szCs w:val="21"/>
                      <w:lang w:val="en-US" w:eastAsia="zh-CN" w:bidi="ar-SA"/>
                    </w:rPr>
                    <w:fldChar w:fldCharType="separate"/>
                  </w:r>
                  <w:r>
                    <w:rPr>
                      <w:rFonts w:ascii="Times New Roman" w:hAnsi="Times New Roman" w:eastAsia="宋体" w:cs="Courier New"/>
                      <w:b/>
                      <w:color w:val="auto"/>
                      <w:kern w:val="2"/>
                      <w:sz w:val="21"/>
                      <w:szCs w:val="21"/>
                      <w:lang w:val="en-US" w:eastAsia="zh-CN" w:bidi="ar-SA"/>
                    </w:rPr>
                    <w:t>II</w:t>
                  </w:r>
                  <w:r>
                    <w:rPr>
                      <w:rFonts w:ascii="Times New Roman" w:hAnsi="Times New Roman" w:eastAsia="宋体" w:cs="Courier New"/>
                      <w:b/>
                      <w:color w:val="auto"/>
                      <w:kern w:val="2"/>
                      <w:sz w:val="21"/>
                      <w:szCs w:val="21"/>
                      <w:lang w:val="en-US" w:eastAsia="zh-CN" w:bidi="ar-SA"/>
                    </w:rPr>
                    <w:fldChar w:fldCharType="end"/>
                  </w:r>
                  <w:r>
                    <w:rPr>
                      <w:rFonts w:ascii="Times New Roman" w:hAnsi="Times New Roman" w:eastAsia="宋体" w:cs="Courier New"/>
                      <w:b/>
                      <w:color w:val="auto"/>
                      <w:kern w:val="2"/>
                      <w:sz w:val="21"/>
                      <w:szCs w:val="21"/>
                      <w:lang w:val="en-US" w:eastAsia="zh-CN" w:bidi="ar-SA"/>
                    </w:rPr>
                    <w:t>类</w:t>
                  </w:r>
                </w:p>
              </w:tc>
              <w:tc>
                <w:tcPr>
                  <w:tcW w:w="2126" w:type="dxa"/>
                  <w:gridSpan w:val="3"/>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ascii="Times New Roman" w:hAnsi="Times New Roman" w:eastAsia="宋体" w:cs="Courier New"/>
                      <w:b/>
                      <w:color w:val="auto"/>
                      <w:kern w:val="2"/>
                      <w:sz w:val="21"/>
                      <w:szCs w:val="21"/>
                      <w:lang w:val="en-US" w:eastAsia="zh-CN" w:bidi="ar-SA"/>
                    </w:rPr>
                    <w:fldChar w:fldCharType="begin"/>
                  </w:r>
                  <w:r>
                    <w:rPr>
                      <w:rFonts w:ascii="Times New Roman" w:hAnsi="Times New Roman" w:eastAsia="宋体" w:cs="Courier New"/>
                      <w:b/>
                      <w:color w:val="auto"/>
                      <w:kern w:val="2"/>
                      <w:sz w:val="21"/>
                      <w:szCs w:val="21"/>
                      <w:lang w:val="en-US" w:eastAsia="zh-CN" w:bidi="ar-SA"/>
                    </w:rPr>
                    <w:instrText xml:space="preserve"> = 3 \* ROMAN </w:instrText>
                  </w:r>
                  <w:r>
                    <w:rPr>
                      <w:rFonts w:ascii="Times New Roman" w:hAnsi="Times New Roman" w:eastAsia="宋体" w:cs="Courier New"/>
                      <w:b/>
                      <w:color w:val="auto"/>
                      <w:kern w:val="2"/>
                      <w:sz w:val="21"/>
                      <w:szCs w:val="21"/>
                      <w:lang w:val="en-US" w:eastAsia="zh-CN" w:bidi="ar-SA"/>
                    </w:rPr>
                    <w:fldChar w:fldCharType="separate"/>
                  </w:r>
                  <w:r>
                    <w:rPr>
                      <w:rFonts w:ascii="Times New Roman" w:hAnsi="Times New Roman" w:eastAsia="宋体" w:cs="Courier New"/>
                      <w:b/>
                      <w:color w:val="auto"/>
                      <w:kern w:val="2"/>
                      <w:sz w:val="21"/>
                      <w:szCs w:val="21"/>
                      <w:lang w:val="en-US" w:eastAsia="zh-CN" w:bidi="ar-SA"/>
                    </w:rPr>
                    <w:t>III</w:t>
                  </w:r>
                  <w:r>
                    <w:rPr>
                      <w:rFonts w:ascii="Times New Roman" w:hAnsi="Times New Roman" w:eastAsia="宋体" w:cs="Courier New"/>
                      <w:b/>
                      <w:color w:val="auto"/>
                      <w:kern w:val="2"/>
                      <w:sz w:val="21"/>
                      <w:szCs w:val="21"/>
                      <w:lang w:val="en-US" w:eastAsia="zh-CN" w:bidi="ar-SA"/>
                    </w:rPr>
                    <w:fldChar w:fldCharType="end"/>
                  </w:r>
                  <w:r>
                    <w:rPr>
                      <w:rFonts w:ascii="Times New Roman" w:hAnsi="Times New Roman" w:eastAsia="宋体" w:cs="Courier New"/>
                      <w:b/>
                      <w:color w:val="auto"/>
                      <w:kern w:val="2"/>
                      <w:sz w:val="21"/>
                      <w:szCs w:val="21"/>
                      <w:lang w:val="en-US" w:eastAsia="zh-CN" w:bidi="ar-SA"/>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6" w:type="dxa"/>
                  <w:vMerge w:val="continue"/>
                  <w:tcBorders>
                    <w:tl2br w:val="nil"/>
                    <w:tr2bl w:val="nil"/>
                  </w:tcBorders>
                  <w:noWrap w:val="0"/>
                  <w:vAlign w:val="center"/>
                </w:tcPr>
                <w:p>
                  <w:pPr>
                    <w:widowControl w:val="0"/>
                    <w:jc w:val="center"/>
                    <w:rPr>
                      <w:rFonts w:ascii="宋体" w:hAnsi="Courier New" w:eastAsia="宋体" w:cs="Courier New"/>
                      <w:color w:val="auto"/>
                      <w:kern w:val="2"/>
                      <w:sz w:val="21"/>
                      <w:szCs w:val="21"/>
                      <w:lang w:val="en-US" w:eastAsia="zh-CN" w:bidi="ar-SA"/>
                    </w:rPr>
                  </w:pPr>
                </w:p>
              </w:tc>
              <w:tc>
                <w:tcPr>
                  <w:tcW w:w="1197" w:type="dxa"/>
                  <w:tcBorders>
                    <w:tl2br w:val="nil"/>
                    <w:tr2bl w:val="nil"/>
                  </w:tcBorders>
                  <w:noWrap w:val="0"/>
                  <w:vAlign w:val="center"/>
                </w:tcPr>
                <w:p>
                  <w:pPr>
                    <w:widowControl w:val="0"/>
                    <w:jc w:val="center"/>
                    <w:rPr>
                      <w:rFonts w:ascii="宋体" w:hAnsi="Courier New" w:eastAsia="宋体" w:cs="Courier New"/>
                      <w:b/>
                      <w:color w:val="auto"/>
                      <w:kern w:val="2"/>
                      <w:sz w:val="21"/>
                      <w:szCs w:val="21"/>
                      <w:lang w:val="en-US" w:eastAsia="zh-CN" w:bidi="ar-SA"/>
                    </w:rPr>
                  </w:pPr>
                  <w:r>
                    <w:rPr>
                      <w:rFonts w:hint="eastAsia" w:ascii="宋体" w:hAnsi="Courier New" w:eastAsia="宋体" w:cs="Courier New"/>
                      <w:b/>
                      <w:color w:val="auto"/>
                      <w:kern w:val="2"/>
                      <w:sz w:val="21"/>
                      <w:szCs w:val="21"/>
                      <w:lang w:val="en-US" w:eastAsia="zh-CN" w:bidi="ar-SA"/>
                    </w:rPr>
                    <w:t>大</w:t>
                  </w:r>
                </w:p>
              </w:tc>
              <w:tc>
                <w:tcPr>
                  <w:tcW w:w="708" w:type="dxa"/>
                  <w:tcBorders>
                    <w:tl2br w:val="nil"/>
                    <w:tr2bl w:val="nil"/>
                  </w:tcBorders>
                  <w:noWrap w:val="0"/>
                  <w:vAlign w:val="center"/>
                </w:tcPr>
                <w:p>
                  <w:pPr>
                    <w:widowControl w:val="0"/>
                    <w:jc w:val="center"/>
                    <w:rPr>
                      <w:rFonts w:ascii="宋体" w:hAnsi="Courier New" w:eastAsia="宋体" w:cs="Courier New"/>
                      <w:b/>
                      <w:color w:val="auto"/>
                      <w:kern w:val="2"/>
                      <w:sz w:val="21"/>
                      <w:szCs w:val="21"/>
                      <w:lang w:val="en-US" w:eastAsia="zh-CN" w:bidi="ar-SA"/>
                    </w:rPr>
                  </w:pPr>
                  <w:r>
                    <w:rPr>
                      <w:rFonts w:hint="eastAsia" w:ascii="宋体" w:hAnsi="Courier New" w:eastAsia="宋体" w:cs="Courier New"/>
                      <w:b/>
                      <w:color w:val="auto"/>
                      <w:kern w:val="2"/>
                      <w:sz w:val="21"/>
                      <w:szCs w:val="21"/>
                      <w:lang w:val="en-US" w:eastAsia="zh-CN" w:bidi="ar-SA"/>
                    </w:rPr>
                    <w:t>中</w:t>
                  </w:r>
                </w:p>
              </w:tc>
              <w:tc>
                <w:tcPr>
                  <w:tcW w:w="710" w:type="dxa"/>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hint="eastAsia" w:ascii="Times New Roman" w:hAnsi="Times New Roman" w:eastAsia="宋体" w:cs="Courier New"/>
                      <w:b/>
                      <w:color w:val="auto"/>
                      <w:kern w:val="2"/>
                      <w:sz w:val="21"/>
                      <w:szCs w:val="21"/>
                      <w:lang w:val="en-US" w:eastAsia="zh-CN" w:bidi="ar-SA"/>
                    </w:rPr>
                    <w:t>小</w:t>
                  </w:r>
                </w:p>
              </w:tc>
              <w:tc>
                <w:tcPr>
                  <w:tcW w:w="709" w:type="dxa"/>
                  <w:tcBorders>
                    <w:tl2br w:val="nil"/>
                    <w:tr2bl w:val="nil"/>
                  </w:tcBorders>
                  <w:noWrap w:val="0"/>
                  <w:vAlign w:val="center"/>
                </w:tcPr>
                <w:p>
                  <w:pPr>
                    <w:widowControl w:val="0"/>
                    <w:jc w:val="center"/>
                    <w:rPr>
                      <w:rFonts w:ascii="宋体" w:hAnsi="Courier New" w:eastAsia="宋体" w:cs="Courier New"/>
                      <w:b/>
                      <w:color w:val="auto"/>
                      <w:kern w:val="2"/>
                      <w:sz w:val="21"/>
                      <w:szCs w:val="21"/>
                      <w:lang w:val="en-US" w:eastAsia="zh-CN" w:bidi="ar-SA"/>
                    </w:rPr>
                  </w:pPr>
                  <w:r>
                    <w:rPr>
                      <w:rFonts w:hint="eastAsia" w:ascii="宋体" w:hAnsi="Courier New" w:eastAsia="宋体" w:cs="Courier New"/>
                      <w:b/>
                      <w:color w:val="auto"/>
                      <w:kern w:val="2"/>
                      <w:sz w:val="21"/>
                      <w:szCs w:val="21"/>
                      <w:lang w:val="en-US" w:eastAsia="zh-CN" w:bidi="ar-SA"/>
                    </w:rPr>
                    <w:t>大</w:t>
                  </w:r>
                </w:p>
              </w:tc>
              <w:tc>
                <w:tcPr>
                  <w:tcW w:w="709" w:type="dxa"/>
                  <w:tcBorders>
                    <w:tl2br w:val="nil"/>
                    <w:tr2bl w:val="nil"/>
                  </w:tcBorders>
                  <w:noWrap w:val="0"/>
                  <w:vAlign w:val="center"/>
                </w:tcPr>
                <w:p>
                  <w:pPr>
                    <w:widowControl w:val="0"/>
                    <w:jc w:val="center"/>
                    <w:rPr>
                      <w:rFonts w:ascii="宋体" w:hAnsi="Courier New" w:eastAsia="宋体" w:cs="Courier New"/>
                      <w:b/>
                      <w:color w:val="auto"/>
                      <w:kern w:val="2"/>
                      <w:sz w:val="21"/>
                      <w:szCs w:val="21"/>
                      <w:lang w:val="en-US" w:eastAsia="zh-CN" w:bidi="ar-SA"/>
                    </w:rPr>
                  </w:pPr>
                  <w:r>
                    <w:rPr>
                      <w:rFonts w:hint="eastAsia" w:ascii="宋体" w:hAnsi="Courier New" w:eastAsia="宋体" w:cs="Courier New"/>
                      <w:b/>
                      <w:color w:val="auto"/>
                      <w:kern w:val="2"/>
                      <w:sz w:val="21"/>
                      <w:szCs w:val="21"/>
                      <w:lang w:val="en-US" w:eastAsia="zh-CN" w:bidi="ar-SA"/>
                    </w:rPr>
                    <w:t>中</w:t>
                  </w:r>
                </w:p>
              </w:tc>
              <w:tc>
                <w:tcPr>
                  <w:tcW w:w="709" w:type="dxa"/>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hint="eastAsia" w:ascii="Times New Roman" w:hAnsi="Times New Roman" w:eastAsia="宋体" w:cs="Courier New"/>
                      <w:b/>
                      <w:color w:val="auto"/>
                      <w:kern w:val="2"/>
                      <w:sz w:val="21"/>
                      <w:szCs w:val="21"/>
                      <w:lang w:val="en-US" w:eastAsia="zh-CN" w:bidi="ar-SA"/>
                    </w:rPr>
                    <w:t>小</w:t>
                  </w:r>
                </w:p>
              </w:tc>
              <w:tc>
                <w:tcPr>
                  <w:tcW w:w="708" w:type="dxa"/>
                  <w:tcBorders>
                    <w:tl2br w:val="nil"/>
                    <w:tr2bl w:val="nil"/>
                  </w:tcBorders>
                  <w:noWrap w:val="0"/>
                  <w:vAlign w:val="center"/>
                </w:tcPr>
                <w:p>
                  <w:pPr>
                    <w:widowControl w:val="0"/>
                    <w:jc w:val="center"/>
                    <w:rPr>
                      <w:rFonts w:ascii="宋体" w:hAnsi="Courier New" w:eastAsia="宋体" w:cs="Courier New"/>
                      <w:b/>
                      <w:color w:val="auto"/>
                      <w:kern w:val="2"/>
                      <w:sz w:val="21"/>
                      <w:szCs w:val="21"/>
                      <w:lang w:val="en-US" w:eastAsia="zh-CN" w:bidi="ar-SA"/>
                    </w:rPr>
                  </w:pPr>
                  <w:r>
                    <w:rPr>
                      <w:rFonts w:hint="eastAsia" w:ascii="宋体" w:hAnsi="Courier New" w:eastAsia="宋体" w:cs="Courier New"/>
                      <w:b/>
                      <w:color w:val="auto"/>
                      <w:kern w:val="2"/>
                      <w:sz w:val="21"/>
                      <w:szCs w:val="21"/>
                      <w:lang w:val="en-US" w:eastAsia="zh-CN" w:bidi="ar-SA"/>
                    </w:rPr>
                    <w:t>大</w:t>
                  </w:r>
                </w:p>
              </w:tc>
              <w:tc>
                <w:tcPr>
                  <w:tcW w:w="708" w:type="dxa"/>
                  <w:tcBorders>
                    <w:tl2br w:val="nil"/>
                    <w:tr2bl w:val="nil"/>
                  </w:tcBorders>
                  <w:noWrap w:val="0"/>
                  <w:vAlign w:val="center"/>
                </w:tcPr>
                <w:p>
                  <w:pPr>
                    <w:widowControl w:val="0"/>
                    <w:jc w:val="center"/>
                    <w:rPr>
                      <w:rFonts w:ascii="宋体" w:hAnsi="Courier New" w:eastAsia="宋体" w:cs="Courier New"/>
                      <w:b/>
                      <w:color w:val="auto"/>
                      <w:kern w:val="2"/>
                      <w:sz w:val="21"/>
                      <w:szCs w:val="21"/>
                      <w:lang w:val="en-US" w:eastAsia="zh-CN" w:bidi="ar-SA"/>
                    </w:rPr>
                  </w:pPr>
                  <w:r>
                    <w:rPr>
                      <w:rFonts w:hint="eastAsia" w:ascii="宋体" w:hAnsi="Courier New" w:eastAsia="宋体" w:cs="Courier New"/>
                      <w:b/>
                      <w:color w:val="auto"/>
                      <w:kern w:val="2"/>
                      <w:sz w:val="21"/>
                      <w:szCs w:val="21"/>
                      <w:lang w:val="en-US" w:eastAsia="zh-CN" w:bidi="ar-SA"/>
                    </w:rPr>
                    <w:t>中</w:t>
                  </w:r>
                </w:p>
              </w:tc>
              <w:tc>
                <w:tcPr>
                  <w:tcW w:w="710" w:type="dxa"/>
                  <w:tcBorders>
                    <w:tl2br w:val="nil"/>
                    <w:tr2bl w:val="nil"/>
                  </w:tcBorders>
                  <w:noWrap w:val="0"/>
                  <w:vAlign w:val="center"/>
                </w:tcPr>
                <w:p>
                  <w:pPr>
                    <w:widowControl w:val="0"/>
                    <w:jc w:val="center"/>
                    <w:rPr>
                      <w:rFonts w:ascii="Times New Roman" w:hAnsi="Times New Roman" w:eastAsia="宋体" w:cs="Courier New"/>
                      <w:b/>
                      <w:color w:val="auto"/>
                      <w:kern w:val="2"/>
                      <w:sz w:val="21"/>
                      <w:szCs w:val="21"/>
                      <w:lang w:val="en-US" w:eastAsia="zh-CN" w:bidi="ar-SA"/>
                    </w:rPr>
                  </w:pPr>
                  <w:r>
                    <w:rPr>
                      <w:rFonts w:hint="eastAsia" w:ascii="Times New Roman" w:hAnsi="Times New Roman" w:eastAsia="宋体" w:cs="Courier New"/>
                      <w:b/>
                      <w:color w:val="auto"/>
                      <w:kern w:val="2"/>
                      <w:sz w:val="21"/>
                      <w:szCs w:val="21"/>
                      <w:lang w:val="en-US" w:eastAsia="zh-CN" w:bidi="ar-SA"/>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ascii="Times New Roman" w:hAnsi="Times New Roman" w:eastAsia="宋体" w:cs="Courier New"/>
                      <w:color w:val="auto"/>
                      <w:kern w:val="2"/>
                      <w:sz w:val="21"/>
                      <w:szCs w:val="21"/>
                      <w:lang w:val="en-US" w:eastAsia="zh-CN" w:bidi="ar-SA"/>
                    </w:rPr>
                    <w:t>敏感</w:t>
                  </w:r>
                </w:p>
              </w:tc>
              <w:tc>
                <w:tcPr>
                  <w:tcW w:w="1197"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一级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一级</w:t>
                  </w:r>
                </w:p>
              </w:tc>
              <w:tc>
                <w:tcPr>
                  <w:tcW w:w="710"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一级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10"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ascii="Times New Roman" w:hAnsi="Times New Roman" w:eastAsia="宋体" w:cs="Courier New"/>
                      <w:color w:val="auto"/>
                      <w:kern w:val="2"/>
                      <w:sz w:val="21"/>
                      <w:szCs w:val="21"/>
                      <w:lang w:val="en-US" w:eastAsia="zh-CN" w:bidi="ar-SA"/>
                    </w:rPr>
                    <w:t>较敏感</w:t>
                  </w:r>
                </w:p>
              </w:tc>
              <w:tc>
                <w:tcPr>
                  <w:tcW w:w="1197"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一级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一级</w:t>
                  </w:r>
                </w:p>
              </w:tc>
              <w:tc>
                <w:tcPr>
                  <w:tcW w:w="710"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10"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636"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ascii="Times New Roman" w:hAnsi="Times New Roman" w:eastAsia="宋体" w:cs="Courier New"/>
                      <w:color w:val="auto"/>
                      <w:kern w:val="2"/>
                      <w:sz w:val="21"/>
                      <w:szCs w:val="21"/>
                      <w:lang w:val="en-US" w:eastAsia="zh-CN" w:bidi="ar-SA"/>
                    </w:rPr>
                    <w:t>不敏感</w:t>
                  </w:r>
                </w:p>
              </w:tc>
              <w:tc>
                <w:tcPr>
                  <w:tcW w:w="1197"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一级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10"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二级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09"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三级</w:t>
                  </w:r>
                </w:p>
              </w:tc>
              <w:tc>
                <w:tcPr>
                  <w:tcW w:w="708"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w:t>
                  </w:r>
                </w:p>
              </w:tc>
              <w:tc>
                <w:tcPr>
                  <w:tcW w:w="710" w:type="dxa"/>
                  <w:tcBorders>
                    <w:tl2br w:val="nil"/>
                    <w:tr2bl w:val="nil"/>
                  </w:tcBorders>
                  <w:noWrap w:val="0"/>
                  <w:vAlign w:val="center"/>
                </w:tcPr>
                <w:p>
                  <w:pPr>
                    <w:widowControl w:val="0"/>
                    <w:jc w:val="center"/>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504" w:type="dxa"/>
                  <w:gridSpan w:val="10"/>
                  <w:tcBorders>
                    <w:tl2br w:val="nil"/>
                    <w:tr2bl w:val="nil"/>
                  </w:tcBorders>
                  <w:noWrap w:val="0"/>
                  <w:vAlign w:val="center"/>
                </w:tcPr>
                <w:p>
                  <w:pPr>
                    <w:widowControl w:val="0"/>
                    <w:jc w:val="left"/>
                    <w:rPr>
                      <w:rFonts w:ascii="Times New Roman" w:hAnsi="Times New Roman" w:eastAsia="宋体" w:cs="Courier New"/>
                      <w:color w:val="auto"/>
                      <w:kern w:val="2"/>
                      <w:sz w:val="21"/>
                      <w:szCs w:val="21"/>
                      <w:lang w:val="en-US" w:eastAsia="zh-CN" w:bidi="ar-SA"/>
                    </w:rPr>
                  </w:pPr>
                  <w:r>
                    <w:rPr>
                      <w:rFonts w:hint="eastAsia" w:ascii="Times New Roman" w:hAnsi="Times New Roman" w:eastAsia="宋体" w:cs="Courier New"/>
                      <w:color w:val="auto"/>
                      <w:kern w:val="2"/>
                      <w:sz w:val="21"/>
                      <w:szCs w:val="21"/>
                      <w:lang w:val="en-US" w:eastAsia="zh-CN" w:bidi="ar-SA"/>
                    </w:rPr>
                    <w:t>注：“-”表示可不开展土壤环境影响评价工作。</w:t>
                  </w:r>
                </w:p>
              </w:tc>
            </w:tr>
          </w:tbl>
          <w:p>
            <w:pPr>
              <w:spacing w:line="360" w:lineRule="auto"/>
              <w:ind w:firstLine="480" w:firstLineChars="200"/>
              <w:rPr>
                <w:rFonts w:ascii="Calibri" w:hAnsi="Calibri" w:eastAsia="宋体"/>
                <w:color w:val="auto"/>
                <w:sz w:val="24"/>
                <w:szCs w:val="21"/>
              </w:rPr>
            </w:pPr>
            <w:r>
              <w:rPr>
                <w:rFonts w:hint="eastAsia" w:ascii="Calibri" w:hAnsi="Calibri" w:eastAsia="宋体"/>
                <w:color w:val="auto"/>
                <w:sz w:val="24"/>
                <w:szCs w:val="21"/>
              </w:rPr>
              <w:t>项目类别判定见</w:t>
            </w:r>
            <w:r>
              <w:rPr>
                <w:rFonts w:hint="eastAsia" w:ascii="Calibri" w:hAnsi="Calibri" w:eastAsia="宋体"/>
                <w:color w:val="auto"/>
                <w:sz w:val="24"/>
                <w:szCs w:val="21"/>
                <w:lang w:eastAsia="zh-CN"/>
              </w:rPr>
              <w:t>下表</w:t>
            </w:r>
            <w:r>
              <w:rPr>
                <w:rFonts w:hint="eastAsia" w:ascii="Calibri" w:hAnsi="Calibri" w:eastAsia="宋体"/>
                <w:color w:val="auto"/>
                <w:sz w:val="24"/>
                <w:szCs w:val="21"/>
              </w:rPr>
              <w:t>。</w:t>
            </w:r>
          </w:p>
          <w:p>
            <w:pPr>
              <w:widowControl/>
              <w:numPr>
                <w:ilvl w:val="0"/>
                <w:numId w:val="5"/>
              </w:numPr>
              <w:tabs>
                <w:tab w:val="left" w:pos="420"/>
              </w:tabs>
              <w:adjustRightInd w:val="0"/>
              <w:snapToGrid w:val="0"/>
              <w:spacing w:line="240" w:lineRule="auto"/>
              <w:ind w:left="0" w:firstLine="471"/>
              <w:jc w:val="center"/>
              <w:rPr>
                <w:rFonts w:ascii="Times New Roman" w:hAnsi="Times New Roman" w:eastAsia="宋体" w:cs="Times New Roman"/>
                <w:b/>
                <w:color w:val="auto"/>
                <w:kern w:val="0"/>
                <w:sz w:val="21"/>
                <w:szCs w:val="21"/>
                <w:lang w:val="en-US" w:eastAsia="zh-CN" w:bidi="ar-SA"/>
              </w:rPr>
            </w:pPr>
            <w:r>
              <w:rPr>
                <w:rFonts w:ascii="Times New Roman" w:hAnsi="Times New Roman" w:eastAsia="宋体" w:cs="Times New Roman"/>
                <w:b/>
                <w:color w:val="auto"/>
                <w:kern w:val="0"/>
                <w:sz w:val="21"/>
                <w:szCs w:val="21"/>
                <w:lang w:val="en-US" w:eastAsia="zh-CN" w:bidi="ar-SA"/>
              </w:rPr>
              <w:t>项目</w:t>
            </w:r>
            <w:r>
              <w:rPr>
                <w:rFonts w:hint="eastAsia" w:ascii="Times New Roman" w:hAnsi="Times New Roman" w:eastAsia="宋体" w:cs="Times New Roman"/>
                <w:b/>
                <w:color w:val="auto"/>
                <w:kern w:val="0"/>
                <w:sz w:val="21"/>
                <w:szCs w:val="21"/>
                <w:lang w:val="en-US" w:eastAsia="zh-CN" w:bidi="ar-SA"/>
              </w:rPr>
              <w:t>土壤环境影响评价项目</w:t>
            </w:r>
            <w:r>
              <w:rPr>
                <w:rFonts w:ascii="Times New Roman" w:hAnsi="Times New Roman" w:eastAsia="宋体" w:cs="Times New Roman"/>
                <w:b/>
                <w:color w:val="auto"/>
                <w:kern w:val="0"/>
                <w:sz w:val="21"/>
                <w:szCs w:val="21"/>
                <w:lang w:val="en-US" w:eastAsia="zh-CN" w:bidi="ar-SA"/>
              </w:rPr>
              <w:t>类别判定表</w:t>
            </w:r>
          </w:p>
          <w:tbl>
            <w:tblPr>
              <w:tblStyle w:val="40"/>
              <w:tblW w:w="86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061"/>
              <w:gridCol w:w="1207"/>
              <w:gridCol w:w="1943"/>
              <w:gridCol w:w="1440"/>
              <w:gridCol w:w="1073"/>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8" w:type="dxa"/>
                  <w:gridSpan w:val="2"/>
                  <w:vMerge w:val="restart"/>
                  <w:tcBorders>
                    <w:tl2br w:val="nil"/>
                    <w:tr2bl w:val="nil"/>
                  </w:tcBorders>
                  <w:noWrap w:val="0"/>
                  <w:vAlign w:val="center"/>
                </w:tcPr>
                <w:p>
                  <w:pPr>
                    <w:snapToGrid w:val="0"/>
                    <w:jc w:val="center"/>
                    <w:rPr>
                      <w:rFonts w:ascii="Calibri" w:hAnsi="Calibri" w:eastAsia="宋体"/>
                      <w:b/>
                      <w:bCs/>
                      <w:color w:val="auto"/>
                      <w:szCs w:val="21"/>
                      <w:lang w:val="en-GB"/>
                    </w:rPr>
                  </w:pPr>
                  <w:r>
                    <w:rPr>
                      <w:rFonts w:ascii="Calibri" w:hAnsi="Calibri" w:eastAsia="宋体"/>
                      <w:b/>
                      <w:bCs/>
                      <w:color w:val="auto"/>
                      <w:szCs w:val="21"/>
                      <w:lang w:val="en-GB"/>
                    </w:rPr>
                    <w:t>行业类别</w:t>
                  </w:r>
                </w:p>
              </w:tc>
              <w:tc>
                <w:tcPr>
                  <w:tcW w:w="5663" w:type="dxa"/>
                  <w:gridSpan w:val="4"/>
                  <w:tcBorders>
                    <w:tl2br w:val="nil"/>
                    <w:tr2bl w:val="nil"/>
                  </w:tcBorders>
                  <w:noWrap w:val="0"/>
                  <w:vAlign w:val="center"/>
                </w:tcPr>
                <w:p>
                  <w:pPr>
                    <w:snapToGrid w:val="0"/>
                    <w:jc w:val="center"/>
                    <w:rPr>
                      <w:rFonts w:ascii="Calibri" w:hAnsi="Calibri" w:eastAsia="宋体"/>
                      <w:b/>
                      <w:bCs/>
                      <w:color w:val="auto"/>
                      <w:szCs w:val="21"/>
                      <w:lang w:val="en-GB"/>
                    </w:rPr>
                  </w:pPr>
                  <w:r>
                    <w:rPr>
                      <w:rFonts w:ascii="Calibri" w:hAnsi="Calibri" w:eastAsia="宋体"/>
                      <w:b/>
                      <w:bCs/>
                      <w:color w:val="auto"/>
                      <w:szCs w:val="21"/>
                      <w:lang w:val="en-GB"/>
                    </w:rPr>
                    <w:t>项目类别</w:t>
                  </w:r>
                </w:p>
              </w:tc>
              <w:tc>
                <w:tcPr>
                  <w:tcW w:w="1276" w:type="dxa"/>
                  <w:vMerge w:val="restart"/>
                  <w:tcBorders>
                    <w:tl2br w:val="nil"/>
                    <w:tr2bl w:val="nil"/>
                  </w:tcBorders>
                  <w:noWrap w:val="0"/>
                  <w:vAlign w:val="center"/>
                </w:tcPr>
                <w:p>
                  <w:pPr>
                    <w:snapToGrid w:val="0"/>
                    <w:jc w:val="center"/>
                    <w:rPr>
                      <w:rFonts w:ascii="Calibri" w:hAnsi="Calibri" w:eastAsia="宋体"/>
                      <w:b/>
                      <w:bCs/>
                      <w:color w:val="auto"/>
                      <w:szCs w:val="21"/>
                      <w:lang w:val="en-GB"/>
                    </w:rPr>
                  </w:pPr>
                  <w:r>
                    <w:rPr>
                      <w:rFonts w:hint="eastAsia" w:ascii="Calibri" w:hAnsi="Calibri" w:eastAsia="宋体"/>
                      <w:b/>
                      <w:bCs/>
                      <w:color w:val="auto"/>
                      <w:szCs w:val="21"/>
                      <w:lang w:val="en-GB"/>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8" w:type="dxa"/>
                  <w:gridSpan w:val="2"/>
                  <w:vMerge w:val="continue"/>
                  <w:tcBorders>
                    <w:tl2br w:val="nil"/>
                    <w:tr2bl w:val="nil"/>
                  </w:tcBorders>
                  <w:noWrap w:val="0"/>
                  <w:vAlign w:val="center"/>
                </w:tcPr>
                <w:p>
                  <w:pPr>
                    <w:snapToGrid w:val="0"/>
                    <w:jc w:val="center"/>
                    <w:rPr>
                      <w:rFonts w:ascii="Calibri" w:hAnsi="Calibri" w:eastAsia="宋体"/>
                      <w:b/>
                      <w:bCs/>
                      <w:color w:val="auto"/>
                      <w:szCs w:val="21"/>
                      <w:lang w:val="en-GB"/>
                    </w:rPr>
                  </w:pPr>
                </w:p>
              </w:tc>
              <w:tc>
                <w:tcPr>
                  <w:tcW w:w="1207" w:type="dxa"/>
                  <w:tcBorders>
                    <w:tl2br w:val="nil"/>
                    <w:tr2bl w:val="nil"/>
                  </w:tcBorders>
                  <w:noWrap w:val="0"/>
                  <w:vAlign w:val="center"/>
                </w:tcPr>
                <w:p>
                  <w:pPr>
                    <w:snapToGrid w:val="0"/>
                    <w:jc w:val="center"/>
                    <w:rPr>
                      <w:rFonts w:ascii="Calibri" w:hAnsi="Calibri" w:eastAsia="宋体"/>
                      <w:b/>
                      <w:bCs/>
                      <w:color w:val="auto"/>
                      <w:szCs w:val="21"/>
                      <w:lang w:val="en-GB"/>
                    </w:rPr>
                  </w:pPr>
                  <w:r>
                    <w:rPr>
                      <w:rFonts w:ascii="Calibri" w:hAnsi="Calibri" w:eastAsia="微软雅黑"/>
                      <w:b/>
                      <w:bCs/>
                      <w:color w:val="auto"/>
                      <w:szCs w:val="21"/>
                      <w:lang w:val="en-GB"/>
                    </w:rPr>
                    <w:t>Ⅰ</w:t>
                  </w:r>
                  <w:r>
                    <w:rPr>
                      <w:rFonts w:ascii="Calibri" w:hAnsi="Calibri" w:eastAsia="宋体"/>
                      <w:b/>
                      <w:bCs/>
                      <w:color w:val="auto"/>
                      <w:szCs w:val="21"/>
                      <w:lang w:val="en-GB"/>
                    </w:rPr>
                    <w:t>类</w:t>
                  </w:r>
                </w:p>
              </w:tc>
              <w:tc>
                <w:tcPr>
                  <w:tcW w:w="1943" w:type="dxa"/>
                  <w:tcBorders>
                    <w:tl2br w:val="nil"/>
                    <w:tr2bl w:val="nil"/>
                  </w:tcBorders>
                  <w:noWrap w:val="0"/>
                  <w:vAlign w:val="center"/>
                </w:tcPr>
                <w:p>
                  <w:pPr>
                    <w:snapToGrid w:val="0"/>
                    <w:jc w:val="center"/>
                    <w:rPr>
                      <w:rFonts w:ascii="Calibri" w:hAnsi="Calibri" w:eastAsia="宋体"/>
                      <w:b/>
                      <w:bCs/>
                      <w:color w:val="auto"/>
                      <w:szCs w:val="21"/>
                      <w:lang w:val="en-GB"/>
                    </w:rPr>
                  </w:pPr>
                  <w:r>
                    <w:rPr>
                      <w:rFonts w:ascii="Calibri" w:hAnsi="Calibri" w:eastAsia="微软雅黑"/>
                      <w:b/>
                      <w:bCs/>
                      <w:color w:val="auto"/>
                      <w:szCs w:val="21"/>
                      <w:lang w:val="en-GB"/>
                    </w:rPr>
                    <w:t>Ⅱ</w:t>
                  </w:r>
                  <w:r>
                    <w:rPr>
                      <w:rFonts w:ascii="Calibri" w:hAnsi="Calibri" w:eastAsia="宋体"/>
                      <w:b/>
                      <w:bCs/>
                      <w:color w:val="auto"/>
                      <w:szCs w:val="21"/>
                      <w:lang w:val="en-GB"/>
                    </w:rPr>
                    <w:t>类</w:t>
                  </w:r>
                </w:p>
              </w:tc>
              <w:tc>
                <w:tcPr>
                  <w:tcW w:w="1440" w:type="dxa"/>
                  <w:tcBorders>
                    <w:tl2br w:val="nil"/>
                    <w:tr2bl w:val="nil"/>
                  </w:tcBorders>
                  <w:noWrap w:val="0"/>
                  <w:vAlign w:val="center"/>
                </w:tcPr>
                <w:p>
                  <w:pPr>
                    <w:snapToGrid w:val="0"/>
                    <w:jc w:val="center"/>
                    <w:rPr>
                      <w:rFonts w:ascii="Calibri" w:hAnsi="Calibri" w:eastAsia="宋体"/>
                      <w:b/>
                      <w:bCs/>
                      <w:color w:val="auto"/>
                      <w:szCs w:val="21"/>
                      <w:lang w:val="en-GB"/>
                    </w:rPr>
                  </w:pPr>
                  <w:r>
                    <w:rPr>
                      <w:rFonts w:ascii="Calibri" w:hAnsi="Calibri" w:eastAsia="宋体"/>
                      <w:b/>
                      <w:bCs/>
                      <w:color w:val="auto"/>
                      <w:szCs w:val="21"/>
                      <w:lang w:val="en-GB"/>
                    </w:rPr>
                    <w:t>Ⅲ类</w:t>
                  </w:r>
                </w:p>
              </w:tc>
              <w:tc>
                <w:tcPr>
                  <w:tcW w:w="1073" w:type="dxa"/>
                  <w:tcBorders>
                    <w:tl2br w:val="nil"/>
                    <w:tr2bl w:val="nil"/>
                  </w:tcBorders>
                  <w:noWrap w:val="0"/>
                  <w:vAlign w:val="center"/>
                </w:tcPr>
                <w:p>
                  <w:pPr>
                    <w:snapToGrid w:val="0"/>
                    <w:jc w:val="center"/>
                    <w:rPr>
                      <w:rFonts w:ascii="Calibri" w:hAnsi="Calibri" w:eastAsia="宋体"/>
                      <w:b/>
                      <w:color w:val="auto"/>
                      <w:szCs w:val="21"/>
                      <w:lang w:val="en-GB"/>
                    </w:rPr>
                  </w:pPr>
                  <w:r>
                    <w:rPr>
                      <w:rFonts w:ascii="Calibri" w:hAnsi="Calibri" w:eastAsia="宋体"/>
                      <w:b/>
                      <w:color w:val="auto"/>
                      <w:szCs w:val="21"/>
                      <w:lang w:val="en-GB"/>
                    </w:rPr>
                    <w:t>Ⅳ类</w:t>
                  </w:r>
                </w:p>
              </w:tc>
              <w:tc>
                <w:tcPr>
                  <w:tcW w:w="1276" w:type="dxa"/>
                  <w:vMerge w:val="continue"/>
                  <w:tcBorders>
                    <w:tl2br w:val="nil"/>
                    <w:tr2bl w:val="nil"/>
                  </w:tcBorders>
                  <w:noWrap w:val="0"/>
                  <w:vAlign w:val="center"/>
                </w:tcPr>
                <w:p>
                  <w:pPr>
                    <w:snapToGrid w:val="0"/>
                    <w:jc w:val="center"/>
                    <w:rPr>
                      <w:rFonts w:ascii="Calibri" w:hAnsi="Calibri" w:eastAsia="宋体"/>
                      <w:b/>
                      <w:color w:val="auto"/>
                      <w:szCs w:val="21"/>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tcBorders>
                    <w:tl2br w:val="nil"/>
                    <w:tr2bl w:val="nil"/>
                  </w:tcBorders>
                  <w:noWrap w:val="0"/>
                  <w:vAlign w:val="center"/>
                </w:tcPr>
                <w:p>
                  <w:pPr>
                    <w:snapToGrid w:val="0"/>
                    <w:jc w:val="center"/>
                    <w:rPr>
                      <w:rFonts w:hint="eastAsia" w:ascii="Calibri" w:hAnsi="Calibri" w:eastAsia="宋体"/>
                      <w:bCs/>
                      <w:color w:val="auto"/>
                      <w:szCs w:val="21"/>
                      <w:lang w:val="en-US" w:eastAsia="zh-CN"/>
                    </w:rPr>
                  </w:pPr>
                  <w:r>
                    <w:rPr>
                      <w:rFonts w:hint="eastAsia" w:ascii="Calibri" w:hAnsi="Calibri" w:eastAsia="宋体"/>
                      <w:bCs/>
                      <w:color w:val="auto"/>
                      <w:szCs w:val="21"/>
                      <w:lang w:val="en-US" w:eastAsia="zh-CN"/>
                    </w:rPr>
                    <w:t>制造业</w:t>
                  </w:r>
                </w:p>
              </w:tc>
              <w:tc>
                <w:tcPr>
                  <w:tcW w:w="1061" w:type="dxa"/>
                  <w:tcBorders>
                    <w:tl2br w:val="nil"/>
                    <w:tr2bl w:val="nil"/>
                  </w:tcBorders>
                  <w:noWrap w:val="0"/>
                  <w:vAlign w:val="center"/>
                </w:tcPr>
                <w:p>
                  <w:pPr>
                    <w:snapToGrid w:val="0"/>
                    <w:jc w:val="center"/>
                    <w:rPr>
                      <w:rFonts w:hint="default" w:ascii="Calibri" w:hAnsi="Calibri" w:eastAsia="宋体"/>
                      <w:bCs/>
                      <w:color w:val="auto"/>
                      <w:szCs w:val="21"/>
                      <w:lang w:val="en-US" w:eastAsia="zh-CN"/>
                    </w:rPr>
                  </w:pPr>
                  <w:r>
                    <w:rPr>
                      <w:rFonts w:hint="eastAsia" w:ascii="Calibri" w:hAnsi="Calibri" w:eastAsia="宋体"/>
                      <w:bCs/>
                      <w:color w:val="auto"/>
                      <w:szCs w:val="21"/>
                      <w:lang w:val="en-US" w:eastAsia="zh-CN"/>
                    </w:rPr>
                    <w:t>金属冶炼和压延加工及非金属矿物制品</w:t>
                  </w:r>
                </w:p>
              </w:tc>
              <w:tc>
                <w:tcPr>
                  <w:tcW w:w="1207" w:type="dxa"/>
                  <w:tcBorders>
                    <w:tl2br w:val="nil"/>
                    <w:tr2bl w:val="nil"/>
                  </w:tcBorders>
                  <w:noWrap w:val="0"/>
                  <w:vAlign w:val="center"/>
                </w:tcPr>
                <w:p>
                  <w:pPr>
                    <w:snapToGrid w:val="0"/>
                    <w:jc w:val="both"/>
                    <w:rPr>
                      <w:rFonts w:hint="default" w:ascii="Calibri" w:hAnsi="Calibri" w:eastAsia="宋体"/>
                      <w:bCs/>
                      <w:color w:val="auto"/>
                      <w:szCs w:val="21"/>
                      <w:lang w:val="en-US" w:eastAsia="zh-CN"/>
                    </w:rPr>
                  </w:pPr>
                  <w:r>
                    <w:rPr>
                      <w:rFonts w:hint="eastAsia" w:ascii="Calibri" w:hAnsi="Calibri" w:eastAsia="宋体"/>
                      <w:bCs/>
                      <w:color w:val="auto"/>
                      <w:szCs w:val="21"/>
                      <w:lang w:val="en-US" w:eastAsia="zh-CN"/>
                    </w:rPr>
                    <w:t>有色金属冶炼（含再生有色金属冶炼）</w:t>
                  </w:r>
                </w:p>
              </w:tc>
              <w:tc>
                <w:tcPr>
                  <w:tcW w:w="1943" w:type="dxa"/>
                  <w:tcBorders>
                    <w:tl2br w:val="nil"/>
                    <w:tr2bl w:val="nil"/>
                  </w:tcBorders>
                  <w:noWrap w:val="0"/>
                  <w:vAlign w:val="center"/>
                </w:tcPr>
                <w:p>
                  <w:pPr>
                    <w:snapToGrid w:val="0"/>
                    <w:jc w:val="center"/>
                    <w:rPr>
                      <w:rFonts w:hint="default" w:ascii="Calibri" w:hAnsi="Calibri" w:eastAsia="宋体"/>
                      <w:bCs/>
                      <w:color w:val="auto"/>
                      <w:szCs w:val="21"/>
                      <w:lang w:val="en-US" w:eastAsia="zh-CN"/>
                    </w:rPr>
                  </w:pPr>
                  <w:r>
                    <w:rPr>
                      <w:rFonts w:hint="eastAsia" w:ascii="Calibri" w:hAnsi="Calibri" w:eastAsia="宋体"/>
                      <w:bCs/>
                      <w:color w:val="auto"/>
                      <w:szCs w:val="21"/>
                      <w:lang w:val="en-US" w:eastAsia="zh-CN"/>
                    </w:rPr>
                    <w:t>有色金属铸造及合金制造；炼铁；球团；烧结炼钢；冷轧压延加工；铬铁合金制造；水泥制造；平板玻璃制造；石棉制品；含焙烧的石墨、碳素制品</w:t>
                  </w:r>
                </w:p>
              </w:tc>
              <w:tc>
                <w:tcPr>
                  <w:tcW w:w="1440" w:type="dxa"/>
                  <w:tcBorders>
                    <w:tl2br w:val="nil"/>
                    <w:tr2bl w:val="nil"/>
                  </w:tcBorders>
                  <w:noWrap w:val="0"/>
                  <w:vAlign w:val="center"/>
                </w:tcPr>
                <w:p>
                  <w:pPr>
                    <w:snapToGrid w:val="0"/>
                    <w:jc w:val="center"/>
                    <w:rPr>
                      <w:rFonts w:hint="eastAsia" w:ascii="Calibri" w:hAnsi="Calibri" w:eastAsia="宋体"/>
                      <w:bCs/>
                      <w:color w:val="auto"/>
                      <w:szCs w:val="21"/>
                      <w:lang w:val="en-US" w:eastAsia="zh-CN"/>
                    </w:rPr>
                  </w:pPr>
                  <w:r>
                    <w:rPr>
                      <w:rFonts w:hint="eastAsia" w:ascii="Calibri" w:hAnsi="Calibri" w:eastAsia="宋体"/>
                      <w:bCs/>
                      <w:color w:val="auto"/>
                      <w:szCs w:val="21"/>
                      <w:lang w:val="en-US" w:eastAsia="zh-CN"/>
                    </w:rPr>
                    <w:t>其他</w:t>
                  </w:r>
                </w:p>
              </w:tc>
              <w:tc>
                <w:tcPr>
                  <w:tcW w:w="1073" w:type="dxa"/>
                  <w:tcBorders>
                    <w:tl2br w:val="nil"/>
                    <w:tr2bl w:val="nil"/>
                  </w:tcBorders>
                  <w:noWrap w:val="0"/>
                  <w:vAlign w:val="center"/>
                </w:tcPr>
                <w:p>
                  <w:pPr>
                    <w:snapToGrid w:val="0"/>
                    <w:jc w:val="center"/>
                    <w:rPr>
                      <w:rFonts w:ascii="Calibri" w:hAnsi="Calibri" w:eastAsia="宋体"/>
                      <w:bCs/>
                      <w:color w:val="auto"/>
                      <w:szCs w:val="21"/>
                      <w:lang w:val="en-GB"/>
                    </w:rPr>
                  </w:pPr>
                </w:p>
              </w:tc>
              <w:tc>
                <w:tcPr>
                  <w:tcW w:w="1276" w:type="dxa"/>
                  <w:tcBorders>
                    <w:tl2br w:val="nil"/>
                    <w:tr2bl w:val="nil"/>
                  </w:tcBorders>
                  <w:noWrap w:val="0"/>
                  <w:vAlign w:val="center"/>
                </w:tcPr>
                <w:p>
                  <w:pPr>
                    <w:snapToGrid w:val="0"/>
                    <w:jc w:val="center"/>
                    <w:rPr>
                      <w:rFonts w:hint="default" w:ascii="Calibri" w:hAnsi="Calibri" w:eastAsia="宋体"/>
                      <w:bCs/>
                      <w:color w:val="auto"/>
                      <w:szCs w:val="21"/>
                      <w:lang w:val="en-US" w:eastAsia="zh-CN"/>
                    </w:rPr>
                  </w:pPr>
                  <w:r>
                    <w:rPr>
                      <w:rFonts w:hint="eastAsia" w:ascii="Calibri" w:hAnsi="Calibri" w:eastAsia="宋体"/>
                      <w:bCs/>
                      <w:color w:val="auto"/>
                      <w:szCs w:val="21"/>
                      <w:lang w:val="en-US" w:eastAsia="zh-CN"/>
                    </w:rPr>
                    <w:t>本项目涉及熔化、铸造工序，属于有色金属铸造，属于</w:t>
                  </w:r>
                  <w:r>
                    <w:rPr>
                      <w:rFonts w:hint="eastAsia" w:ascii="宋体" w:hAnsi="宋体" w:eastAsia="宋体" w:cs="宋体"/>
                      <w:bCs/>
                      <w:color w:val="auto"/>
                      <w:szCs w:val="21"/>
                      <w:lang w:val="en-US" w:eastAsia="zh-CN"/>
                    </w:rPr>
                    <w:t>Ⅱ</w:t>
                  </w:r>
                  <w:r>
                    <w:rPr>
                      <w:rFonts w:hint="eastAsia" w:ascii="Calibri" w:hAnsi="Calibri" w:eastAsia="宋体"/>
                      <w:bCs/>
                      <w:color w:val="auto"/>
                      <w:szCs w:val="21"/>
                      <w:lang w:val="en-US" w:eastAsia="zh-CN"/>
                    </w:rPr>
                    <w:t>类项目</w:t>
                  </w:r>
                </w:p>
              </w:tc>
            </w:tr>
          </w:tbl>
          <w:p>
            <w:pPr>
              <w:spacing w:line="360" w:lineRule="auto"/>
              <w:ind w:firstLine="480" w:firstLineChars="200"/>
              <w:rPr>
                <w:rFonts w:hint="eastAsia" w:ascii="Calibri" w:hAnsi="Calibri" w:eastAsia="宋体"/>
                <w:color w:val="auto"/>
                <w:sz w:val="24"/>
                <w:szCs w:val="21"/>
              </w:rPr>
            </w:pPr>
            <w:r>
              <w:rPr>
                <w:rFonts w:hint="eastAsia" w:ascii="Calibri" w:hAnsi="Calibri" w:eastAsia="宋体"/>
                <w:color w:val="auto"/>
                <w:sz w:val="24"/>
                <w:szCs w:val="21"/>
              </w:rPr>
              <w:t>项目所在地敏感程度判定见</w:t>
            </w:r>
            <w:r>
              <w:rPr>
                <w:rFonts w:hint="eastAsia" w:ascii="Calibri" w:hAnsi="Calibri" w:eastAsia="宋体"/>
                <w:color w:val="auto"/>
                <w:sz w:val="24"/>
                <w:szCs w:val="21"/>
                <w:lang w:eastAsia="zh-CN"/>
              </w:rPr>
              <w:t>下表</w:t>
            </w:r>
            <w:r>
              <w:rPr>
                <w:rFonts w:hint="eastAsia" w:ascii="Calibri" w:hAnsi="Calibri" w:eastAsia="宋体"/>
                <w:color w:val="auto"/>
                <w:sz w:val="24"/>
                <w:szCs w:val="21"/>
              </w:rPr>
              <w:t>。</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lang w:val="en-US" w:eastAsia="zh-CN" w:bidi="ar-SA"/>
              </w:rPr>
            </w:pPr>
            <w:r>
              <w:rPr>
                <w:rFonts w:hint="eastAsia" w:ascii="Times New Roman" w:hAnsi="Times New Roman" w:eastAsia="宋体" w:cs="Times New Roman"/>
                <w:b/>
                <w:color w:val="auto"/>
                <w:kern w:val="0"/>
                <w:sz w:val="21"/>
                <w:szCs w:val="21"/>
                <w:lang w:val="en-US" w:eastAsia="zh-CN" w:bidi="ar-SA"/>
              </w:rPr>
              <w:t>项目土壤环境敏感程度判定表</w:t>
            </w:r>
          </w:p>
          <w:tbl>
            <w:tblPr>
              <w:tblStyle w:val="40"/>
              <w:tblW w:w="86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60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tcBorders>
                    <w:tl2br w:val="nil"/>
                    <w:tr2bl w:val="nil"/>
                  </w:tcBorders>
                  <w:noWrap w:val="0"/>
                  <w:vAlign w:val="center"/>
                </w:tcPr>
                <w:p>
                  <w:pPr>
                    <w:snapToGrid w:val="0"/>
                    <w:jc w:val="center"/>
                    <w:rPr>
                      <w:rFonts w:ascii="Calibri" w:hAnsi="Calibri" w:eastAsia="宋体"/>
                      <w:b/>
                      <w:bCs/>
                      <w:color w:val="auto"/>
                      <w:szCs w:val="21"/>
                      <w:lang w:val="en-GB"/>
                    </w:rPr>
                  </w:pPr>
                  <w:r>
                    <w:rPr>
                      <w:rFonts w:hint="eastAsia" w:ascii="Calibri" w:hAnsi="Calibri" w:eastAsia="宋体"/>
                      <w:b/>
                      <w:bCs/>
                      <w:color w:val="auto"/>
                      <w:szCs w:val="21"/>
                      <w:lang w:val="en-GB"/>
                    </w:rPr>
                    <w:t>敏感程度</w:t>
                  </w:r>
                </w:p>
              </w:tc>
              <w:tc>
                <w:tcPr>
                  <w:tcW w:w="6046" w:type="dxa"/>
                  <w:tcBorders>
                    <w:tl2br w:val="nil"/>
                    <w:tr2bl w:val="nil"/>
                  </w:tcBorders>
                  <w:noWrap w:val="0"/>
                  <w:vAlign w:val="center"/>
                </w:tcPr>
                <w:p>
                  <w:pPr>
                    <w:snapToGrid w:val="0"/>
                    <w:jc w:val="center"/>
                    <w:rPr>
                      <w:rFonts w:ascii="Calibri" w:hAnsi="Calibri" w:eastAsia="宋体"/>
                      <w:b/>
                      <w:bCs/>
                      <w:color w:val="auto"/>
                      <w:szCs w:val="21"/>
                      <w:lang w:val="en-GB"/>
                    </w:rPr>
                  </w:pPr>
                  <w:r>
                    <w:rPr>
                      <w:rFonts w:hint="eastAsia" w:ascii="Calibri" w:hAnsi="Calibri" w:eastAsia="宋体"/>
                      <w:b/>
                      <w:bCs/>
                      <w:color w:val="auto"/>
                      <w:szCs w:val="21"/>
                      <w:lang w:val="en-GB"/>
                    </w:rPr>
                    <w:t>判别依据</w:t>
                  </w:r>
                </w:p>
              </w:tc>
              <w:tc>
                <w:tcPr>
                  <w:tcW w:w="1276" w:type="dxa"/>
                  <w:tcBorders>
                    <w:tl2br w:val="nil"/>
                    <w:tr2bl w:val="nil"/>
                  </w:tcBorders>
                  <w:noWrap w:val="0"/>
                  <w:vAlign w:val="center"/>
                </w:tcPr>
                <w:p>
                  <w:pPr>
                    <w:snapToGrid w:val="0"/>
                    <w:jc w:val="center"/>
                    <w:rPr>
                      <w:rFonts w:ascii="Calibri" w:hAnsi="Calibri" w:eastAsia="宋体"/>
                      <w:b/>
                      <w:bCs/>
                      <w:color w:val="auto"/>
                      <w:szCs w:val="21"/>
                      <w:lang w:val="en-GB"/>
                    </w:rPr>
                  </w:pPr>
                  <w:r>
                    <w:rPr>
                      <w:rFonts w:hint="eastAsia" w:ascii="Calibri" w:hAnsi="Calibri" w:eastAsia="宋体"/>
                      <w:b/>
                      <w:bCs/>
                      <w:color w:val="auto"/>
                      <w:szCs w:val="21"/>
                      <w:lang w:val="en-GB"/>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tcBorders>
                    <w:tl2br w:val="nil"/>
                    <w:tr2bl w:val="nil"/>
                  </w:tcBorders>
                  <w:noWrap w:val="0"/>
                  <w:vAlign w:val="center"/>
                </w:tcPr>
                <w:p>
                  <w:pPr>
                    <w:snapToGrid w:val="0"/>
                    <w:jc w:val="center"/>
                    <w:rPr>
                      <w:rFonts w:ascii="Calibri" w:hAnsi="Calibri" w:eastAsia="宋体"/>
                      <w:bCs/>
                      <w:color w:val="auto"/>
                      <w:szCs w:val="21"/>
                      <w:lang w:val="en-GB"/>
                    </w:rPr>
                  </w:pPr>
                  <w:r>
                    <w:rPr>
                      <w:rFonts w:hint="eastAsia" w:ascii="Calibri" w:hAnsi="Calibri" w:eastAsia="宋体"/>
                      <w:bCs/>
                      <w:color w:val="auto"/>
                      <w:szCs w:val="21"/>
                      <w:lang w:val="en-GB"/>
                    </w:rPr>
                    <w:t>敏感</w:t>
                  </w:r>
                </w:p>
              </w:tc>
              <w:tc>
                <w:tcPr>
                  <w:tcW w:w="6046" w:type="dxa"/>
                  <w:tcBorders>
                    <w:tl2br w:val="nil"/>
                    <w:tr2bl w:val="nil"/>
                  </w:tcBorders>
                  <w:noWrap w:val="0"/>
                  <w:vAlign w:val="center"/>
                </w:tcPr>
                <w:p>
                  <w:pPr>
                    <w:snapToGrid w:val="0"/>
                    <w:jc w:val="center"/>
                    <w:rPr>
                      <w:rFonts w:hint="default" w:ascii="Times New Roman" w:hAnsi="Times New Roman" w:eastAsia="宋体" w:cs="Times New Roman"/>
                      <w:bCs/>
                      <w:color w:val="auto"/>
                      <w:szCs w:val="21"/>
                      <w:lang w:val="en-GB"/>
                    </w:rPr>
                  </w:pPr>
                  <w:r>
                    <w:rPr>
                      <w:rFonts w:hint="default" w:ascii="Times New Roman" w:hAnsi="Times New Roman" w:eastAsia="宋体" w:cs="Times New Roman"/>
                      <w:bCs/>
                      <w:color w:val="auto"/>
                      <w:szCs w:val="21"/>
                      <w:lang w:val="en-GB"/>
                    </w:rPr>
                    <w:t>建设项目周边存在耕地、园地、牧草地、饮用水水源地或居民区、学校、医院、疗养院、养老院等土壤环境敏感目标的</w:t>
                  </w:r>
                </w:p>
              </w:tc>
              <w:tc>
                <w:tcPr>
                  <w:tcW w:w="1276" w:type="dxa"/>
                  <w:vMerge w:val="restart"/>
                  <w:tcBorders>
                    <w:tl2br w:val="nil"/>
                    <w:tr2bl w:val="nil"/>
                  </w:tcBorders>
                  <w:noWrap w:val="0"/>
                  <w:vAlign w:val="center"/>
                </w:tcPr>
                <w:p>
                  <w:pPr>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val="en-GB"/>
                    </w:rPr>
                    <w:t>本项目</w:t>
                  </w:r>
                  <w:r>
                    <w:rPr>
                      <w:rFonts w:hint="default" w:ascii="Times New Roman" w:hAnsi="Times New Roman" w:cs="Times New Roman"/>
                      <w:bCs/>
                      <w:color w:val="auto"/>
                      <w:szCs w:val="21"/>
                      <w:lang w:val="en-GB" w:eastAsia="zh-CN"/>
                    </w:rPr>
                    <w:t>西面约</w:t>
                  </w:r>
                  <w:r>
                    <w:rPr>
                      <w:rFonts w:hint="default" w:ascii="Times New Roman" w:hAnsi="Times New Roman" w:cs="Times New Roman"/>
                      <w:bCs/>
                      <w:color w:val="auto"/>
                      <w:szCs w:val="21"/>
                      <w:lang w:val="en-US" w:eastAsia="zh-CN"/>
                    </w:rPr>
                    <w:t>13m为平冈村</w:t>
                  </w:r>
                  <w:r>
                    <w:rPr>
                      <w:rFonts w:hint="eastAsia" w:cs="Times New Roman"/>
                      <w:bCs/>
                      <w:color w:val="auto"/>
                      <w:szCs w:val="21"/>
                      <w:lang w:val="en-US" w:eastAsia="zh-CN"/>
                    </w:rPr>
                    <w:t>和平冈卫生站</w:t>
                  </w:r>
                  <w:r>
                    <w:rPr>
                      <w:rFonts w:hint="default" w:ascii="Times New Roman" w:hAnsi="Times New Roman" w:cs="Times New Roman"/>
                      <w:bCs/>
                      <w:color w:val="auto"/>
                      <w:szCs w:val="21"/>
                      <w:lang w:val="en-US" w:eastAsia="zh-CN"/>
                    </w:rPr>
                    <w:t>，因此</w:t>
                  </w:r>
                  <w:r>
                    <w:rPr>
                      <w:rFonts w:hint="default" w:ascii="Times New Roman" w:hAnsi="Times New Roman" w:eastAsia="宋体" w:cs="Times New Roman"/>
                      <w:bCs/>
                      <w:color w:val="auto"/>
                      <w:szCs w:val="21"/>
                    </w:rPr>
                    <w:t>项目所在地属于敏感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tcBorders>
                    <w:tl2br w:val="nil"/>
                    <w:tr2bl w:val="nil"/>
                  </w:tcBorders>
                  <w:noWrap w:val="0"/>
                  <w:vAlign w:val="center"/>
                </w:tcPr>
                <w:p>
                  <w:pPr>
                    <w:snapToGrid w:val="0"/>
                    <w:jc w:val="center"/>
                    <w:rPr>
                      <w:rFonts w:ascii="Calibri" w:hAnsi="Calibri" w:eastAsia="宋体"/>
                      <w:bCs/>
                      <w:color w:val="auto"/>
                      <w:szCs w:val="21"/>
                      <w:lang w:val="en-GB"/>
                    </w:rPr>
                  </w:pPr>
                  <w:r>
                    <w:rPr>
                      <w:rFonts w:hint="eastAsia" w:ascii="Calibri" w:hAnsi="Calibri" w:eastAsia="宋体"/>
                      <w:bCs/>
                      <w:color w:val="auto"/>
                      <w:szCs w:val="21"/>
                      <w:lang w:val="en-GB"/>
                    </w:rPr>
                    <w:t>较敏感</w:t>
                  </w:r>
                </w:p>
              </w:tc>
              <w:tc>
                <w:tcPr>
                  <w:tcW w:w="6046" w:type="dxa"/>
                  <w:tcBorders>
                    <w:tl2br w:val="nil"/>
                    <w:tr2bl w:val="nil"/>
                  </w:tcBorders>
                  <w:noWrap w:val="0"/>
                  <w:vAlign w:val="center"/>
                </w:tcPr>
                <w:p>
                  <w:pPr>
                    <w:snapToGrid w:val="0"/>
                    <w:jc w:val="center"/>
                    <w:rPr>
                      <w:rFonts w:ascii="Calibri" w:hAnsi="Calibri" w:eastAsia="宋体"/>
                      <w:bCs/>
                      <w:color w:val="auto"/>
                      <w:szCs w:val="21"/>
                      <w:lang w:val="en-GB"/>
                    </w:rPr>
                  </w:pPr>
                  <w:r>
                    <w:rPr>
                      <w:rFonts w:hint="eastAsia" w:ascii="Calibri" w:hAnsi="Calibri" w:eastAsia="宋体"/>
                      <w:bCs/>
                      <w:color w:val="auto"/>
                      <w:szCs w:val="21"/>
                      <w:lang w:val="en-GB"/>
                    </w:rPr>
                    <w:t>建设项目周边存在其他土壤环境敏感目标的</w:t>
                  </w:r>
                </w:p>
              </w:tc>
              <w:tc>
                <w:tcPr>
                  <w:tcW w:w="1276" w:type="dxa"/>
                  <w:vMerge w:val="continue"/>
                  <w:tcBorders>
                    <w:tl2br w:val="nil"/>
                    <w:tr2bl w:val="nil"/>
                  </w:tcBorders>
                  <w:noWrap w:val="0"/>
                  <w:vAlign w:val="center"/>
                </w:tcPr>
                <w:p>
                  <w:pPr>
                    <w:snapToGrid w:val="0"/>
                    <w:jc w:val="center"/>
                    <w:rPr>
                      <w:rFonts w:ascii="Calibri" w:hAnsi="Calibri" w:eastAsia="宋体"/>
                      <w:bCs/>
                      <w:color w:val="auto"/>
                      <w:szCs w:val="21"/>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55" w:type="dxa"/>
                  <w:tcBorders>
                    <w:tl2br w:val="nil"/>
                    <w:tr2bl w:val="nil"/>
                  </w:tcBorders>
                  <w:noWrap w:val="0"/>
                  <w:vAlign w:val="center"/>
                </w:tcPr>
                <w:p>
                  <w:pPr>
                    <w:snapToGrid w:val="0"/>
                    <w:jc w:val="center"/>
                    <w:rPr>
                      <w:rFonts w:ascii="Calibri" w:hAnsi="Calibri" w:eastAsia="宋体"/>
                      <w:bCs/>
                      <w:color w:val="auto"/>
                      <w:szCs w:val="21"/>
                      <w:lang w:val="en-GB"/>
                    </w:rPr>
                  </w:pPr>
                  <w:r>
                    <w:rPr>
                      <w:rFonts w:hint="eastAsia" w:ascii="Calibri" w:hAnsi="Calibri" w:eastAsia="宋体"/>
                      <w:bCs/>
                      <w:color w:val="auto"/>
                      <w:szCs w:val="21"/>
                      <w:lang w:val="en-GB"/>
                    </w:rPr>
                    <w:t>不敏感</w:t>
                  </w:r>
                </w:p>
              </w:tc>
              <w:tc>
                <w:tcPr>
                  <w:tcW w:w="6046" w:type="dxa"/>
                  <w:tcBorders>
                    <w:tl2br w:val="nil"/>
                    <w:tr2bl w:val="nil"/>
                  </w:tcBorders>
                  <w:noWrap w:val="0"/>
                  <w:vAlign w:val="center"/>
                </w:tcPr>
                <w:p>
                  <w:pPr>
                    <w:snapToGrid w:val="0"/>
                    <w:jc w:val="center"/>
                    <w:rPr>
                      <w:rFonts w:ascii="Calibri" w:hAnsi="Calibri" w:eastAsia="宋体"/>
                      <w:bCs/>
                      <w:color w:val="auto"/>
                      <w:szCs w:val="21"/>
                      <w:lang w:val="en-GB"/>
                    </w:rPr>
                  </w:pPr>
                  <w:r>
                    <w:rPr>
                      <w:rFonts w:hint="eastAsia" w:ascii="Calibri" w:hAnsi="Calibri" w:eastAsia="宋体"/>
                      <w:bCs/>
                      <w:color w:val="auto"/>
                      <w:szCs w:val="21"/>
                      <w:lang w:val="en-GB"/>
                    </w:rPr>
                    <w:t>其他情况</w:t>
                  </w:r>
                </w:p>
              </w:tc>
              <w:tc>
                <w:tcPr>
                  <w:tcW w:w="1276" w:type="dxa"/>
                  <w:vMerge w:val="continue"/>
                  <w:tcBorders>
                    <w:tl2br w:val="nil"/>
                    <w:tr2bl w:val="nil"/>
                  </w:tcBorders>
                  <w:noWrap w:val="0"/>
                  <w:vAlign w:val="center"/>
                </w:tcPr>
                <w:p>
                  <w:pPr>
                    <w:snapToGrid w:val="0"/>
                    <w:jc w:val="center"/>
                    <w:rPr>
                      <w:rFonts w:ascii="Calibri" w:hAnsi="Calibri" w:eastAsia="宋体"/>
                      <w:bCs/>
                      <w:color w:val="auto"/>
                      <w:szCs w:val="21"/>
                      <w:lang w:val="en-GB"/>
                    </w:rPr>
                  </w:pPr>
                </w:p>
              </w:tc>
            </w:tr>
          </w:tbl>
          <w:p>
            <w:pPr>
              <w:keepNext w:val="0"/>
              <w:keepLines w:val="0"/>
              <w:pageBreakBefore w:val="0"/>
              <w:widowControl w:val="0"/>
              <w:kinsoku/>
              <w:wordWrap/>
              <w:overflowPunct/>
              <w:topLinePunct w:val="0"/>
              <w:bidi w:val="0"/>
              <w:spacing w:line="336" w:lineRule="auto"/>
              <w:ind w:firstLine="480" w:firstLineChars="200"/>
              <w:rPr>
                <w:rFonts w:hint="default" w:ascii="Times New Roman" w:hAnsi="Times New Roman" w:eastAsia="宋体" w:cs="Times New Roman"/>
                <w:bCs/>
                <w:color w:val="auto"/>
                <w:sz w:val="24"/>
                <w:szCs w:val="21"/>
              </w:rPr>
            </w:pPr>
            <w:r>
              <w:rPr>
                <w:rFonts w:hint="default" w:ascii="Times New Roman" w:hAnsi="Times New Roman" w:eastAsia="宋体" w:cs="Times New Roman"/>
                <w:color w:val="auto"/>
                <w:sz w:val="24"/>
                <w:szCs w:val="21"/>
              </w:rPr>
              <w:t>占地规模：本项目占地面积</w:t>
            </w:r>
            <w:r>
              <w:rPr>
                <w:rFonts w:hint="default" w:ascii="Times New Roman" w:hAnsi="Times New Roman" w:cs="Times New Roman"/>
                <w:color w:val="auto"/>
                <w:sz w:val="24"/>
                <w:szCs w:val="21"/>
                <w:lang w:val="en-US" w:eastAsia="zh-CN"/>
              </w:rPr>
              <w:t>6000</w:t>
            </w:r>
            <w:r>
              <w:rPr>
                <w:rFonts w:hint="default" w:ascii="Times New Roman" w:hAnsi="Times New Roman" w:eastAsia="宋体" w:cs="Times New Roman"/>
                <w:bCs/>
                <w:color w:val="auto"/>
                <w:sz w:val="24"/>
                <w:szCs w:val="21"/>
              </w:rPr>
              <w:t>m</w:t>
            </w:r>
            <w:r>
              <w:rPr>
                <w:rFonts w:hint="default" w:ascii="Times New Roman" w:hAnsi="Times New Roman" w:eastAsia="宋体" w:cs="Times New Roman"/>
                <w:bCs/>
                <w:color w:val="auto"/>
                <w:sz w:val="24"/>
                <w:szCs w:val="21"/>
                <w:vertAlign w:val="superscript"/>
              </w:rPr>
              <w:t>2</w:t>
            </w:r>
            <w:r>
              <w:rPr>
                <w:rFonts w:hint="default" w:ascii="Times New Roman" w:hAnsi="Times New Roman" w:eastAsia="宋体" w:cs="Times New Roman"/>
                <w:bCs/>
                <w:color w:val="auto"/>
                <w:sz w:val="24"/>
                <w:szCs w:val="21"/>
              </w:rPr>
              <w:t>，属于小型用地。</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default" w:ascii="Times New Roman" w:hAnsi="Times New Roman" w:eastAsia=".." w:cs="Times New Roman"/>
                <w:color w:val="auto"/>
                <w:kern w:val="2"/>
                <w:sz w:val="24"/>
                <w:szCs w:val="24"/>
                <w:lang w:val="en-US" w:eastAsia="zh-CN" w:bidi="ar-SA"/>
              </w:rPr>
            </w:pPr>
            <w:r>
              <w:rPr>
                <w:rFonts w:hint="default" w:ascii="Times New Roman" w:hAnsi="Times New Roman" w:eastAsia="宋体" w:cs="Times New Roman"/>
                <w:color w:val="auto"/>
                <w:kern w:val="2"/>
                <w:sz w:val="24"/>
                <w:szCs w:val="21"/>
                <w:lang w:val="en-US" w:eastAsia="zh-CN" w:bidi="ar-SA"/>
              </w:rPr>
              <w:t>因此，根据上述可知，项目土壤评价等级为二级。</w:t>
            </w:r>
          </w:p>
          <w:p>
            <w:pPr>
              <w:pStyle w:val="155"/>
              <w:keepNext w:val="0"/>
              <w:keepLines w:val="0"/>
              <w:pageBreakBefore w:val="0"/>
              <w:widowControl w:val="0"/>
              <w:kinsoku/>
              <w:wordWrap/>
              <w:overflowPunct/>
              <w:topLinePunct w:val="0"/>
              <w:bidi w:val="0"/>
              <w:spacing w:line="336" w:lineRule="auto"/>
              <w:ind w:firstLine="480" w:firstLineChars="200"/>
              <w:rPr>
                <w:color w:val="auto"/>
              </w:rPr>
            </w:pPr>
            <w:r>
              <w:rPr>
                <w:rFonts w:hint="eastAsia"/>
                <w:color w:val="auto"/>
              </w:rPr>
              <w:t>（二）影响分析</w:t>
            </w:r>
          </w:p>
          <w:p>
            <w:pPr>
              <w:pStyle w:val="155"/>
              <w:keepNext w:val="0"/>
              <w:keepLines w:val="0"/>
              <w:pageBreakBefore w:val="0"/>
              <w:widowControl w:val="0"/>
              <w:kinsoku/>
              <w:wordWrap/>
              <w:overflowPunct/>
              <w:topLinePunct w:val="0"/>
              <w:bidi w:val="0"/>
              <w:spacing w:line="336" w:lineRule="auto"/>
              <w:ind w:firstLine="480" w:firstLineChars="200"/>
              <w:rPr>
                <w:rFonts w:hint="default" w:ascii="Times New Roman" w:hAnsi="Times New Roman" w:cs="Times New Roman"/>
                <w:color w:val="auto"/>
              </w:rPr>
            </w:pPr>
            <w:r>
              <w:rPr>
                <w:rFonts w:hint="eastAsia"/>
                <w:color w:val="auto"/>
              </w:rPr>
              <w:t>本项目</w:t>
            </w:r>
            <w:r>
              <w:rPr>
                <w:rFonts w:hint="eastAsia"/>
                <w:color w:val="auto"/>
                <w:lang w:eastAsia="zh-CN"/>
              </w:rPr>
              <w:t>所在厂房已</w:t>
            </w:r>
            <w:r>
              <w:rPr>
                <w:rFonts w:hint="eastAsia"/>
                <w:color w:val="auto"/>
                <w:lang w:val="en-US" w:eastAsia="zh-CN"/>
              </w:rPr>
              <w:t>建成，厂区地面已</w:t>
            </w:r>
            <w:r>
              <w:rPr>
                <w:rFonts w:hint="eastAsia"/>
                <w:color w:val="auto"/>
              </w:rPr>
              <w:t>全部水泥硬底化，按照分区防渗要求进行防渗。</w:t>
            </w:r>
            <w:r>
              <w:rPr>
                <w:rFonts w:hint="eastAsia"/>
                <w:color w:val="auto"/>
                <w:lang w:val="en-US" w:eastAsia="zh-CN"/>
              </w:rPr>
              <w:t>因此正常情况不存在地面漫流和垂直入渗的影</w:t>
            </w:r>
            <w:r>
              <w:rPr>
                <w:rFonts w:hint="default" w:ascii="Times New Roman" w:hAnsi="Times New Roman" w:cs="Times New Roman"/>
                <w:color w:val="auto"/>
                <w:lang w:val="en-US" w:eastAsia="zh-CN"/>
              </w:rPr>
              <w:t>响途径。</w:t>
            </w:r>
            <w:r>
              <w:rPr>
                <w:rFonts w:hint="default" w:ascii="Times New Roman" w:hAnsi="Times New Roman" w:cs="Times New Roman"/>
                <w:color w:val="auto"/>
              </w:rPr>
              <w:t>根据工程分析，发生污染土壤环境的途径主要为大气沉降污染，所排放废气中含有颗粒物</w:t>
            </w:r>
            <w:r>
              <w:rPr>
                <w:rFonts w:hint="default" w:ascii="Times New Roman" w:hAnsi="Times New Roman" w:cs="Times New Roman"/>
                <w:color w:val="auto"/>
                <w:lang w:eastAsia="zh-CN"/>
              </w:rPr>
              <w:t>、非甲烷总烃</w:t>
            </w:r>
            <w:r>
              <w:rPr>
                <w:rFonts w:hint="default" w:ascii="Times New Roman" w:hAnsi="Times New Roman" w:cs="Times New Roman"/>
                <w:color w:val="auto"/>
              </w:rPr>
              <w:t>，会随着大气沉降影响土壤环境质量。本项目选取非甲烷总烃进行预测。</w:t>
            </w:r>
          </w:p>
          <w:p>
            <w:pPr>
              <w:keepNext w:val="0"/>
              <w:keepLines w:val="0"/>
              <w:pageBreakBefore w:val="0"/>
              <w:widowControl w:val="0"/>
              <w:kinsoku/>
              <w:wordWrap/>
              <w:overflowPunct/>
              <w:topLinePunct w:val="0"/>
              <w:bidi w:val="0"/>
              <w:spacing w:line="336" w:lineRule="auto"/>
              <w:ind w:firstLine="480" w:firstLineChars="20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根据《环境影响评价技术导则 土壤环境（试行）》（HJ 964-2018），评价工作等级为二级的建设项目，可以按照附录E或进行类比分析土壤影响。本项目无类比项目，故采用附录E中方法一适用大气沉降的公式进行预测。</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单位质量土壤中某种物质的增量可用下式计算：</w:t>
            </w:r>
          </w:p>
          <w:p>
            <w:pPr>
              <w:keepNext w:val="0"/>
              <w:keepLines w:val="0"/>
              <w:pageBreakBefore w:val="0"/>
              <w:widowControl w:val="0"/>
              <w:kinsoku/>
              <w:wordWrap/>
              <w:overflowPunct/>
              <w:topLinePunct w:val="0"/>
              <w:autoSpaceDE w:val="0"/>
              <w:autoSpaceDN w:val="0"/>
              <w:bidi w:val="0"/>
              <w:adjustRightInd w:val="0"/>
              <w:spacing w:line="336" w:lineRule="auto"/>
              <w:ind w:firstLine="0"/>
              <w:jc w:val="center"/>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position w:val="-12"/>
                <w:sz w:val="24"/>
                <w:szCs w:val="24"/>
                <w:lang w:val="en-US" w:eastAsia="zh-CN" w:bidi="ar-SA"/>
              </w:rPr>
              <w:object>
                <v:shape id="_x0000_i1040" o:spt="75" type="#_x0000_t75" style="height:18pt;width:161pt;" o:ole="t" filled="f" o:preferrelative="t" stroked="f" coordsize="21600,21600">
                  <v:path/>
                  <v:fill on="f" focussize="0,0"/>
                  <v:stroke on="f"/>
                  <v:imagedata r:id="rId68" o:title=""/>
                  <o:lock v:ext="edit" aspectratio="t"/>
                  <w10:wrap type="none"/>
                  <w10:anchorlock/>
                </v:shape>
                <o:OLEObject Type="Embed" ProgID="Equation.KSEE3" ShapeID="_x0000_i1040" DrawAspect="Content" ObjectID="_1468075740" r:id="rId67">
                  <o:LockedField>false</o:LockedField>
                </o:OLEObject>
              </w:objec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式中：</w:t>
            </w:r>
            <w:r>
              <w:rPr>
                <w:rFonts w:hint="default" w:ascii="Times New Roman" w:hAnsi="Times New Roman" w:eastAsia="宋体" w:cs="Times New Roman"/>
                <w:color w:val="auto"/>
                <w:kern w:val="2"/>
                <w:position w:val="-6"/>
                <w:sz w:val="24"/>
                <w:szCs w:val="24"/>
                <w:lang w:val="en-US" w:eastAsia="zh-CN" w:bidi="ar-SA"/>
              </w:rPr>
              <w:object>
                <v:shape id="_x0000_i1041" o:spt="75" type="#_x0000_t75" style="height:13.95pt;width:18pt;" o:ole="t" filled="f" o:preferrelative="t" stroked="f" coordsize="21600,21600">
                  <v:path/>
                  <v:fill on="f" focussize="0,0"/>
                  <v:stroke on="f"/>
                  <v:imagedata r:id="rId70" o:title=""/>
                  <o:lock v:ext="edit" aspectratio="t"/>
                  <w10:wrap type="none"/>
                  <w10:anchorlock/>
                </v:shape>
                <o:OLEObject Type="Embed" ProgID="Equation.KSEE3" ShapeID="_x0000_i1041" DrawAspect="Content" ObjectID="_1468075741" r:id="rId69">
                  <o:LockedField>false</o:LockedField>
                </o:OLEObject>
              </w:object>
            </w:r>
            <w:r>
              <w:rPr>
                <w:rFonts w:hint="default" w:ascii="Times New Roman" w:hAnsi="Times New Roman" w:eastAsia="宋体" w:cs="Times New Roman"/>
                <w:color w:val="auto"/>
                <w:kern w:val="2"/>
                <w:sz w:val="24"/>
                <w:szCs w:val="24"/>
                <w:lang w:val="en-US" w:eastAsia="zh-CN" w:bidi="ar-SA"/>
              </w:rPr>
              <w:t>——单位质量表层土壤中某种物质的增量，g/kg；</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表层土壤中游离算或游离碱浓度增量，mmol/kg；</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12"/>
                <w:sz w:val="24"/>
                <w:szCs w:val="24"/>
                <w:lang w:val="en-US" w:eastAsia="zh-CN" w:bidi="ar-SA"/>
              </w:rPr>
              <w:object>
                <v:shape id="_x0000_i1042" o:spt="75" type="#_x0000_t75" style="height:18pt;width:12pt;" o:ole="t" filled="f" o:preferrelative="t" stroked="f" coordsize="21600,21600">
                  <v:path/>
                  <v:fill on="f" focussize="0,0"/>
                  <v:stroke on="f"/>
                  <v:imagedata r:id="rId72" o:title=""/>
                  <o:lock v:ext="edit" aspectratio="t"/>
                  <w10:wrap type="none"/>
                  <w10:anchorlock/>
                </v:shape>
                <o:OLEObject Type="Embed" ProgID="Equation.KSEE3" ShapeID="_x0000_i1042" DrawAspect="Content" ObjectID="_1468075742" r:id="rId71">
                  <o:LockedField>false</o:LockedField>
                </o:OLEObject>
              </w:object>
            </w:r>
            <w:r>
              <w:rPr>
                <w:rFonts w:hint="default" w:ascii="Times New Roman" w:hAnsi="Times New Roman" w:eastAsia="宋体" w:cs="Times New Roman"/>
                <w:color w:val="auto"/>
                <w:kern w:val="2"/>
                <w:sz w:val="24"/>
                <w:szCs w:val="24"/>
                <w:lang w:val="en-US" w:eastAsia="zh-CN" w:bidi="ar-SA"/>
              </w:rPr>
              <w:t>——预测评价范围内单位年份表层土壤中某种物质的输入量，g；取非甲烷总烃的</w:t>
            </w:r>
            <w:r>
              <w:rPr>
                <w:rFonts w:hint="eastAsia" w:ascii="Times New Roman" w:hAnsi="Times New Roman" w:eastAsia="宋体" w:cs="Times New Roman"/>
                <w:color w:val="auto"/>
                <w:kern w:val="2"/>
                <w:sz w:val="24"/>
                <w:szCs w:val="24"/>
                <w:lang w:val="en-US" w:eastAsia="zh-CN" w:bidi="ar-SA"/>
              </w:rPr>
              <w:t>最大</w:t>
            </w:r>
            <w:r>
              <w:rPr>
                <w:rFonts w:hint="default" w:ascii="Times New Roman" w:hAnsi="Times New Roman" w:eastAsia="宋体" w:cs="Times New Roman"/>
                <w:color w:val="auto"/>
                <w:kern w:val="2"/>
                <w:sz w:val="24"/>
                <w:szCs w:val="24"/>
                <w:lang w:val="en-US" w:eastAsia="zh-CN" w:bidi="ar-SA"/>
              </w:rPr>
              <w:t>排放量，非甲烷总烃为</w:t>
            </w:r>
            <w:r>
              <w:rPr>
                <w:rFonts w:hint="eastAsia" w:cs="Times New Roman"/>
                <w:color w:val="auto"/>
                <w:kern w:val="2"/>
                <w:sz w:val="24"/>
                <w:szCs w:val="24"/>
                <w:lang w:val="en-US" w:eastAsia="zh-CN" w:bidi="ar-SA"/>
              </w:rPr>
              <w:t>0.008</w:t>
            </w:r>
            <w:r>
              <w:rPr>
                <w:rFonts w:hint="default" w:ascii="Times New Roman" w:hAnsi="Times New Roman" w:eastAsia="宋体" w:cs="Times New Roman"/>
                <w:color w:val="auto"/>
                <w:kern w:val="2"/>
                <w:sz w:val="24"/>
                <w:szCs w:val="24"/>
                <w:lang w:val="en-US" w:eastAsia="zh-CN" w:bidi="ar-SA"/>
              </w:rPr>
              <w:t>t/a，即</w:t>
            </w:r>
            <w:r>
              <w:rPr>
                <w:rFonts w:hint="eastAsia" w:cs="Times New Roman"/>
                <w:color w:val="auto"/>
                <w:kern w:val="2"/>
                <w:sz w:val="24"/>
                <w:szCs w:val="24"/>
                <w:lang w:val="en-US" w:eastAsia="zh-CN" w:bidi="ar-SA"/>
              </w:rPr>
              <w:t>8000</w:t>
            </w:r>
            <w:r>
              <w:rPr>
                <w:rFonts w:hint="default" w:ascii="Times New Roman" w:hAnsi="Times New Roman" w:eastAsia="宋体" w:cs="Times New Roman"/>
                <w:color w:val="auto"/>
                <w:kern w:val="2"/>
                <w:sz w:val="24"/>
                <w:szCs w:val="24"/>
                <w:lang w:val="en-US" w:eastAsia="zh-CN" w:bidi="ar-SA"/>
              </w:rPr>
              <w:t>g/a。</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预测评价范围内单位年份表层土壤中游离酸、游离碱输入量，mmol；</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12"/>
                <w:sz w:val="24"/>
                <w:szCs w:val="24"/>
                <w:lang w:val="en-US" w:eastAsia="zh-CN" w:bidi="ar-SA"/>
              </w:rPr>
              <w:object>
                <v:shape id="_x0000_i1043" o:spt="75" type="#_x0000_t75" style="height:18pt;width:13.95pt;" o:ole="t" filled="f" o:preferrelative="t" stroked="f" coordsize="21600,21600">
                  <v:path/>
                  <v:fill on="f" focussize="0,0"/>
                  <v:stroke on="f"/>
                  <v:imagedata r:id="rId74" o:title=""/>
                  <o:lock v:ext="edit" aspectratio="t"/>
                  <w10:wrap type="none"/>
                  <w10:anchorlock/>
                </v:shape>
                <o:OLEObject Type="Embed" ProgID="Equation.KSEE3" ShapeID="_x0000_i1043" DrawAspect="Content" ObjectID="_1468075743" r:id="rId73">
                  <o:LockedField>false</o:LockedField>
                </o:OLEObject>
              </w:object>
            </w:r>
            <w:r>
              <w:rPr>
                <w:rFonts w:hint="default" w:ascii="Times New Roman" w:hAnsi="Times New Roman" w:eastAsia="宋体" w:cs="Times New Roman"/>
                <w:color w:val="auto"/>
                <w:kern w:val="2"/>
                <w:sz w:val="24"/>
                <w:szCs w:val="24"/>
                <w:lang w:val="en-US" w:eastAsia="zh-CN" w:bidi="ar-SA"/>
              </w:rPr>
              <w:t>——预测评价范围内单位年份表层土壤中某种物质经淋溶排出的量，g；</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预测评价范围内单位年份表层土壤中经淋溶排出的游离酸、游离碱的量，mmol；</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12"/>
                <w:sz w:val="24"/>
                <w:szCs w:val="24"/>
                <w:lang w:val="en-US" w:eastAsia="zh-CN" w:bidi="ar-SA"/>
              </w:rPr>
              <w:object>
                <v:shape id="_x0000_i1044" o:spt="75" type="#_x0000_t75" style="height:18pt;width:15pt;" o:ole="t" filled="f" o:preferrelative="t" stroked="f" coordsize="21600,21600">
                  <v:path/>
                  <v:fill on="f" focussize="0,0"/>
                  <v:stroke on="f"/>
                  <v:imagedata r:id="rId76" o:title=""/>
                  <o:lock v:ext="edit" aspectratio="t"/>
                  <w10:wrap type="none"/>
                  <w10:anchorlock/>
                </v:shape>
                <o:OLEObject Type="Embed" ProgID="Equation.KSEE3" ShapeID="_x0000_i1044" DrawAspect="Content" ObjectID="_1468075744" r:id="rId75">
                  <o:LockedField>false</o:LockedField>
                </o:OLEObject>
              </w:object>
            </w:r>
            <w:r>
              <w:rPr>
                <w:rFonts w:hint="default" w:ascii="Times New Roman" w:hAnsi="Times New Roman" w:eastAsia="宋体" w:cs="Times New Roman"/>
                <w:color w:val="auto"/>
                <w:kern w:val="2"/>
                <w:sz w:val="24"/>
                <w:szCs w:val="24"/>
                <w:lang w:val="en-US" w:eastAsia="zh-CN" w:bidi="ar-SA"/>
              </w:rPr>
              <w:t>——预测评价范围内单位年份表层土壤中某种物质经径流排出的量，g；</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预测评价范围内单位年份表层土壤中经径流排出的游离酸、游离碱的量，mmol；</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12"/>
                <w:sz w:val="24"/>
                <w:szCs w:val="24"/>
                <w:lang w:val="en-US" w:eastAsia="zh-CN" w:bidi="ar-SA"/>
              </w:rPr>
              <w:object>
                <v:shape id="_x0000_i1045" o:spt="75" type="#_x0000_t75" style="height:18pt;width:15pt;" o:ole="t" filled="f" o:preferrelative="t" stroked="f" coordsize="21600,21600">
                  <v:path/>
                  <v:fill on="f" focussize="0,0"/>
                  <v:stroke on="f"/>
                  <v:imagedata r:id="rId78" o:title=""/>
                  <o:lock v:ext="edit" aspectratio="t"/>
                  <w10:wrap type="none"/>
                  <w10:anchorlock/>
                </v:shape>
                <o:OLEObject Type="Embed" ProgID="Equation.KSEE3" ShapeID="_x0000_i1045" DrawAspect="Content" ObjectID="_1468075745" r:id="rId77">
                  <o:LockedField>false</o:LockedField>
                </o:OLEObject>
              </w:object>
            </w:r>
            <w:r>
              <w:rPr>
                <w:rFonts w:hint="default" w:ascii="Times New Roman" w:hAnsi="Times New Roman" w:eastAsia="宋体" w:cs="Times New Roman"/>
                <w:color w:val="auto"/>
                <w:kern w:val="2"/>
                <w:sz w:val="24"/>
                <w:szCs w:val="24"/>
                <w:lang w:val="en-US" w:eastAsia="zh-CN" w:bidi="ar-SA"/>
              </w:rPr>
              <w:t>——表层土壤容重，kg/m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，取</w:t>
            </w:r>
            <w:r>
              <w:rPr>
                <w:rFonts w:hint="eastAsia" w:cs="Times New Roman"/>
                <w:color w:val="auto"/>
                <w:kern w:val="2"/>
                <w:sz w:val="24"/>
                <w:szCs w:val="24"/>
                <w:lang w:val="en-US" w:eastAsia="zh-CN" w:bidi="ar-SA"/>
              </w:rPr>
              <w:t>1260</w:t>
            </w:r>
            <w:r>
              <w:rPr>
                <w:rFonts w:hint="default" w:ascii="Times New Roman" w:hAnsi="Times New Roman" w:eastAsia="宋体" w:cs="Times New Roman"/>
                <w:color w:val="auto"/>
                <w:kern w:val="2"/>
                <w:sz w:val="24"/>
                <w:szCs w:val="24"/>
                <w:lang w:val="en-US" w:eastAsia="zh-CN" w:bidi="ar-SA"/>
              </w:rPr>
              <w:t>；</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4"/>
                <w:sz w:val="24"/>
                <w:szCs w:val="24"/>
                <w:lang w:val="en-US" w:eastAsia="zh-CN" w:bidi="ar-SA"/>
              </w:rPr>
              <w:object>
                <v:shape id="_x0000_i1046" o:spt="75" type="#_x0000_t75" style="height:13pt;width:12pt;" o:ole="t" filled="f" o:preferrelative="t" stroked="f" coordsize="21600,21600">
                  <v:path/>
                  <v:fill on="f" focussize="0,0"/>
                  <v:stroke on="f"/>
                  <v:imagedata r:id="rId80" o:title=""/>
                  <o:lock v:ext="edit" aspectratio="t"/>
                  <w10:wrap type="none"/>
                  <w10:anchorlock/>
                </v:shape>
                <o:OLEObject Type="Embed" ProgID="Equation.KSEE3" ShapeID="_x0000_i1046" DrawAspect="Content" ObjectID="_1468075746" r:id="rId79">
                  <o:LockedField>false</o:LockedField>
                </o:OLEObject>
              </w:object>
            </w:r>
            <w:r>
              <w:rPr>
                <w:rFonts w:hint="default" w:ascii="Times New Roman" w:hAnsi="Times New Roman" w:eastAsia="宋体" w:cs="Times New Roman"/>
                <w:color w:val="auto"/>
                <w:kern w:val="2"/>
                <w:sz w:val="24"/>
                <w:szCs w:val="24"/>
                <w:lang w:val="en-US" w:eastAsia="zh-CN" w:bidi="ar-SA"/>
              </w:rPr>
              <w:t>——预测评价范围，m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；与现状调查评级范围一致，评价等级为二级，故预测评价范围选厂址为中心边长为400m的矩形范围，则评价范围为160000m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4"/>
                <w:sz w:val="24"/>
                <w:szCs w:val="24"/>
                <w:lang w:val="en-US" w:eastAsia="zh-CN" w:bidi="ar-SA"/>
              </w:rPr>
              <w:object>
                <v:shape id="_x0000_i1047" o:spt="75" type="#_x0000_t75" style="height:13pt;width:13pt;" o:ole="t" filled="f" o:preferrelative="t" stroked="f" coordsize="21600,21600">
                  <v:path/>
                  <v:fill on="f" focussize="0,0"/>
                  <v:stroke on="f"/>
                  <v:imagedata r:id="rId82" o:title=""/>
                  <o:lock v:ext="edit" aspectratio="t"/>
                  <w10:wrap type="none"/>
                  <w10:anchorlock/>
                </v:shape>
                <o:OLEObject Type="Embed" ProgID="Equation.KSEE3" ShapeID="_x0000_i1047" DrawAspect="Content" ObjectID="_1468075747" r:id="rId81">
                  <o:LockedField>false</o:LockedField>
                </o:OLEObject>
              </w:object>
            </w:r>
            <w:r>
              <w:rPr>
                <w:rFonts w:hint="default" w:ascii="Times New Roman" w:hAnsi="Times New Roman" w:eastAsia="宋体" w:cs="Times New Roman"/>
                <w:color w:val="auto"/>
                <w:kern w:val="2"/>
                <w:sz w:val="24"/>
                <w:szCs w:val="24"/>
                <w:lang w:val="en-US" w:eastAsia="zh-CN" w:bidi="ar-SA"/>
              </w:rPr>
              <w:t>——表层土壤深度，一般取0.2m，可根据实际情况适当调整；</w:t>
            </w:r>
          </w:p>
          <w:p>
            <w:pPr>
              <w:keepNext w:val="0"/>
              <w:keepLines w:val="0"/>
              <w:pageBreakBefore w:val="0"/>
              <w:widowControl w:val="0"/>
              <w:kinsoku/>
              <w:wordWrap/>
              <w:overflowPunct/>
              <w:topLinePunct w:val="0"/>
              <w:autoSpaceDE w:val="0"/>
              <w:autoSpaceDN w:val="0"/>
              <w:bidi w:val="0"/>
              <w:adjustRightInd w:val="0"/>
              <w:spacing w:line="336" w:lineRule="auto"/>
              <w:ind w:firstLine="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w:t>
            </w:r>
            <w:r>
              <w:rPr>
                <w:rFonts w:hint="default" w:ascii="Times New Roman" w:hAnsi="Times New Roman" w:eastAsia="宋体" w:cs="Times New Roman"/>
                <w:color w:val="auto"/>
                <w:kern w:val="2"/>
                <w:position w:val="-6"/>
                <w:sz w:val="24"/>
                <w:szCs w:val="24"/>
                <w:lang w:val="en-US" w:eastAsia="zh-CN" w:bidi="ar-SA"/>
              </w:rPr>
              <w:object>
                <v:shape id="_x0000_i1048" o:spt="75" type="#_x0000_t75" style="height:11pt;width:10pt;" o:ole="t" filled="f" o:preferrelative="t" stroked="f" coordsize="21600,21600">
                  <v:path/>
                  <v:fill on="f" focussize="0,0"/>
                  <v:stroke on="f"/>
                  <v:imagedata r:id="rId84" o:title=""/>
                  <o:lock v:ext="edit" aspectratio="t"/>
                  <w10:wrap type="none"/>
                  <w10:anchorlock/>
                </v:shape>
                <o:OLEObject Type="Embed" ProgID="Equation.KSEE3" ShapeID="_x0000_i1048" DrawAspect="Content" ObjectID="_1468075748" r:id="rId83">
                  <o:LockedField>false</o:LockedField>
                </o:OLEObject>
              </w:object>
            </w:r>
            <w:r>
              <w:rPr>
                <w:rFonts w:hint="default" w:ascii="Times New Roman" w:hAnsi="Times New Roman" w:eastAsia="宋体" w:cs="Times New Roman"/>
                <w:color w:val="auto"/>
                <w:kern w:val="2"/>
                <w:sz w:val="24"/>
                <w:szCs w:val="24"/>
                <w:lang w:val="en-US" w:eastAsia="zh-CN" w:bidi="ar-SA"/>
              </w:rPr>
              <w:t>——持续年份，a，本次预测分别选取</w:t>
            </w:r>
            <w:r>
              <w:rPr>
                <w:rFonts w:hint="eastAsia"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US" w:eastAsia="zh-CN" w:bidi="ar-SA"/>
              </w:rPr>
              <w:t>年、</w:t>
            </w:r>
            <w:r>
              <w:rPr>
                <w:rFonts w:hint="eastAsia" w:cs="Times New Roman"/>
                <w:color w:val="auto"/>
                <w:kern w:val="2"/>
                <w:sz w:val="24"/>
                <w:szCs w:val="24"/>
                <w:lang w:val="en-US" w:eastAsia="zh-CN" w:bidi="ar-SA"/>
              </w:rPr>
              <w:t>5</w:t>
            </w:r>
            <w:r>
              <w:rPr>
                <w:rFonts w:hint="default" w:ascii="Times New Roman" w:hAnsi="Times New Roman" w:eastAsia="宋体" w:cs="Times New Roman"/>
                <w:color w:val="auto"/>
                <w:kern w:val="2"/>
                <w:sz w:val="24"/>
                <w:szCs w:val="24"/>
                <w:lang w:val="en-US" w:eastAsia="zh-CN" w:bidi="ar-SA"/>
              </w:rPr>
              <w:t>年、</w:t>
            </w:r>
            <w:r>
              <w:rPr>
                <w:rFonts w:hint="eastAsia" w:cs="Times New Roman"/>
                <w:color w:val="auto"/>
                <w:kern w:val="2"/>
                <w:sz w:val="24"/>
                <w:szCs w:val="24"/>
                <w:lang w:val="en-US" w:eastAsia="zh-CN" w:bidi="ar-SA"/>
              </w:rPr>
              <w:t>10</w:t>
            </w:r>
            <w:r>
              <w:rPr>
                <w:rFonts w:hint="default" w:ascii="Times New Roman" w:hAnsi="Times New Roman" w:eastAsia="宋体" w:cs="Times New Roman"/>
                <w:color w:val="auto"/>
                <w:kern w:val="2"/>
                <w:sz w:val="24"/>
                <w:szCs w:val="24"/>
                <w:lang w:val="en-US" w:eastAsia="zh-CN" w:bidi="ar-SA"/>
              </w:rPr>
              <w:t>年。</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 xml:space="preserve">  根据导则，涉及大气沉降的的可不考虑输出量，则</w:t>
            </w:r>
            <w:r>
              <w:rPr>
                <w:rFonts w:hint="default" w:ascii="Times New Roman" w:hAnsi="Times New Roman" w:eastAsia="宋体" w:cs="Times New Roman"/>
                <w:color w:val="auto"/>
                <w:kern w:val="2"/>
                <w:sz w:val="24"/>
                <w:szCs w:val="24"/>
                <w:lang w:val="en-US" w:eastAsia="zh-CN" w:bidi="ar-SA"/>
              </w:rPr>
              <w:object>
                <v:shape id="_x0000_i1049" o:spt="75" type="#_x0000_t75" style="height:18pt;width:13.95pt;" o:ole="t" filled="f" o:preferrelative="t" stroked="f" coordsize="21600,21600">
                  <v:path/>
                  <v:fill on="f" focussize="0,0"/>
                  <v:stroke on="f"/>
                  <v:imagedata r:id="rId74" o:title=""/>
                  <o:lock v:ext="edit" aspectratio="t"/>
                  <w10:wrap type="none"/>
                  <w10:anchorlock/>
                </v:shape>
                <o:OLEObject Type="Embed" ProgID="Equation.KSEE3" ShapeID="_x0000_i1049" DrawAspect="Content" ObjectID="_1468075749" r:id="rId85">
                  <o:LockedField>false</o:LockedField>
                </o:OLEObject>
              </w:objec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object>
                <v:shape id="_x0000_i1050" o:spt="75" type="#_x0000_t75" style="height:18pt;width:15pt;" o:ole="t" filled="f" o:preferrelative="t" stroked="f" coordsize="21600,21600">
                  <v:path/>
                  <v:fill on="f" focussize="0,0"/>
                  <v:stroke on="f"/>
                  <v:imagedata r:id="rId76" o:title=""/>
                  <o:lock v:ext="edit" aspectratio="t"/>
                  <w10:wrap type="none"/>
                  <w10:anchorlock/>
                </v:shape>
                <o:OLEObject Type="Embed" ProgID="Equation.KSEE3" ShapeID="_x0000_i1050" DrawAspect="Content" ObjectID="_1468075750" r:id="rId86">
                  <o:LockedField>false</o:LockedField>
                </o:OLEObject>
              </w:object>
            </w:r>
            <w:r>
              <w:rPr>
                <w:rFonts w:hint="default" w:ascii="Times New Roman" w:hAnsi="Times New Roman" w:eastAsia="宋体" w:cs="Times New Roman"/>
                <w:color w:val="auto"/>
                <w:kern w:val="2"/>
                <w:sz w:val="24"/>
                <w:szCs w:val="24"/>
                <w:lang w:val="en-US" w:eastAsia="zh-CN" w:bidi="ar-SA"/>
              </w:rPr>
              <w:t>取0。</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根据公式计算本项目运营</w:t>
            </w:r>
            <w:r>
              <w:rPr>
                <w:rFonts w:hint="eastAsia"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US" w:eastAsia="zh-CN" w:bidi="ar-SA"/>
              </w:rPr>
              <w:t>年、</w:t>
            </w:r>
            <w:r>
              <w:rPr>
                <w:rFonts w:hint="eastAsia" w:cs="Times New Roman"/>
                <w:color w:val="auto"/>
                <w:kern w:val="2"/>
                <w:sz w:val="24"/>
                <w:szCs w:val="24"/>
                <w:lang w:val="en-US" w:eastAsia="zh-CN" w:bidi="ar-SA"/>
              </w:rPr>
              <w:t>5</w:t>
            </w:r>
            <w:r>
              <w:rPr>
                <w:rFonts w:hint="default" w:ascii="Times New Roman" w:hAnsi="Times New Roman" w:eastAsia="宋体" w:cs="Times New Roman"/>
                <w:color w:val="auto"/>
                <w:kern w:val="2"/>
                <w:sz w:val="24"/>
                <w:szCs w:val="24"/>
                <w:lang w:val="en-US" w:eastAsia="zh-CN" w:bidi="ar-SA"/>
              </w:rPr>
              <w:t>年、</w:t>
            </w:r>
            <w:r>
              <w:rPr>
                <w:rFonts w:hint="eastAsia" w:cs="Times New Roman"/>
                <w:color w:val="auto"/>
                <w:kern w:val="2"/>
                <w:sz w:val="24"/>
                <w:szCs w:val="24"/>
                <w:lang w:val="en-US" w:eastAsia="zh-CN" w:bidi="ar-SA"/>
              </w:rPr>
              <w:t>10</w:t>
            </w:r>
            <w:r>
              <w:rPr>
                <w:rFonts w:hint="default" w:ascii="Times New Roman" w:hAnsi="Times New Roman" w:eastAsia="宋体" w:cs="Times New Roman"/>
                <w:color w:val="auto"/>
                <w:kern w:val="2"/>
                <w:sz w:val="24"/>
                <w:szCs w:val="24"/>
                <w:lang w:val="en-US" w:eastAsia="zh-CN" w:bidi="ar-SA"/>
              </w:rPr>
              <w:t>年后非甲烷总烃单位质量土壤中最大增量分别为</w:t>
            </w:r>
            <w:r>
              <w:rPr>
                <w:rFonts w:hint="eastAsia" w:cs="Times New Roman"/>
                <w:color w:val="auto"/>
                <w:kern w:val="2"/>
                <w:sz w:val="24"/>
                <w:szCs w:val="24"/>
                <w:lang w:val="en-US" w:eastAsia="zh-CN" w:bidi="ar-SA"/>
              </w:rPr>
              <w:t>0.198</w:t>
            </w:r>
            <w:r>
              <w:rPr>
                <w:rFonts w:hint="default" w:ascii="Times New Roman" w:hAnsi="Times New Roman" w:eastAsia="宋体" w:cs="Times New Roman"/>
                <w:color w:val="auto"/>
                <w:kern w:val="2"/>
                <w:sz w:val="24"/>
                <w:szCs w:val="24"/>
                <w:lang w:val="en-US" w:eastAsia="zh-CN" w:bidi="ar-SA"/>
              </w:rPr>
              <w:t>mg/kg、</w:t>
            </w:r>
            <w:r>
              <w:rPr>
                <w:rFonts w:hint="eastAsia" w:cs="Times New Roman"/>
                <w:color w:val="auto"/>
                <w:kern w:val="2"/>
                <w:sz w:val="24"/>
                <w:szCs w:val="24"/>
                <w:lang w:val="en-US" w:eastAsia="zh-CN" w:bidi="ar-SA"/>
              </w:rPr>
              <w:t>0.992</w:t>
            </w:r>
            <w:r>
              <w:rPr>
                <w:rFonts w:hint="default" w:ascii="Times New Roman" w:hAnsi="Times New Roman" w:eastAsia="宋体" w:cs="Times New Roman"/>
                <w:color w:val="auto"/>
                <w:kern w:val="2"/>
                <w:sz w:val="24"/>
                <w:szCs w:val="24"/>
                <w:lang w:val="en-US" w:eastAsia="zh-CN" w:bidi="ar-SA"/>
              </w:rPr>
              <w:t>mg/kg、</w:t>
            </w:r>
            <w:r>
              <w:rPr>
                <w:rFonts w:hint="eastAsia" w:cs="Times New Roman"/>
                <w:color w:val="auto"/>
                <w:kern w:val="2"/>
                <w:sz w:val="24"/>
                <w:szCs w:val="24"/>
                <w:lang w:val="en-US" w:eastAsia="zh-CN" w:bidi="ar-SA"/>
              </w:rPr>
              <w:t>1.984</w:t>
            </w:r>
            <w:r>
              <w:rPr>
                <w:rFonts w:hint="default" w:ascii="Times New Roman" w:hAnsi="Times New Roman" w:eastAsia="宋体" w:cs="Times New Roman"/>
                <w:color w:val="auto"/>
                <w:kern w:val="2"/>
                <w:sz w:val="24"/>
                <w:szCs w:val="24"/>
                <w:lang w:val="en-US" w:eastAsia="zh-CN" w:bidi="ar-SA"/>
              </w:rPr>
              <w:t>mg/kg</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《土壤环境质量 建设用地土壤污染风险管控标准（试行）》（GB 36600-2018）中无非甲烷总烃环境质量标准，参照（GB 36600-2018）中“挥发性有机物”</w:t>
            </w:r>
            <w:r>
              <w:rPr>
                <w:rFonts w:hint="eastAsia" w:cs="Times New Roman"/>
                <w:color w:val="auto"/>
                <w:kern w:val="2"/>
                <w:sz w:val="24"/>
                <w:szCs w:val="24"/>
                <w:lang w:val="en-US" w:eastAsia="zh-CN" w:bidi="ar-SA"/>
              </w:rPr>
              <w:t>与</w:t>
            </w:r>
            <w:r>
              <w:rPr>
                <w:rFonts w:hint="default"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半</w:t>
            </w:r>
            <w:r>
              <w:rPr>
                <w:rFonts w:hint="default" w:ascii="Times New Roman" w:hAnsi="Times New Roman" w:eastAsia="宋体" w:cs="Times New Roman"/>
                <w:color w:val="auto"/>
                <w:kern w:val="2"/>
                <w:sz w:val="24"/>
                <w:szCs w:val="24"/>
                <w:lang w:val="en-US" w:eastAsia="zh-CN" w:bidi="ar-SA"/>
              </w:rPr>
              <w:t>挥发性有机物”第二类用地筛选值中各因子标准值加和作为本次评价非甲烷总烃标准值，即</w:t>
            </w:r>
            <w:r>
              <w:rPr>
                <w:rFonts w:hint="eastAsia" w:cs="Times New Roman"/>
                <w:color w:val="auto"/>
                <w:kern w:val="2"/>
                <w:sz w:val="24"/>
                <w:szCs w:val="24"/>
                <w:lang w:val="en-US" w:eastAsia="zh-CN" w:bidi="ar-SA"/>
              </w:rPr>
              <w:t>11044</w:t>
            </w:r>
            <w:r>
              <w:rPr>
                <w:rFonts w:hint="default" w:ascii="Times New Roman" w:hAnsi="Times New Roman" w:eastAsia="宋体" w:cs="Times New Roman"/>
                <w:color w:val="auto"/>
                <w:kern w:val="2"/>
                <w:sz w:val="24"/>
                <w:szCs w:val="24"/>
                <w:lang w:val="en-US" w:eastAsia="zh-CN" w:bidi="ar-SA"/>
              </w:rPr>
              <w:t>.03 mg/kg。</w:t>
            </w:r>
            <w:r>
              <w:rPr>
                <w:rFonts w:hint="eastAsia" w:ascii="Times New Roman" w:hAnsi="Times New Roman" w:eastAsia="宋体" w:cs="Times New Roman"/>
                <w:color w:val="auto"/>
                <w:kern w:val="2"/>
                <w:sz w:val="24"/>
                <w:szCs w:val="24"/>
                <w:lang w:val="en-US" w:eastAsia="zh-CN" w:bidi="ar-SA"/>
              </w:rPr>
              <w:t>现状检测土壤中</w:t>
            </w:r>
            <w:r>
              <w:rPr>
                <w:rFonts w:hint="default" w:ascii="Times New Roman" w:hAnsi="Times New Roman" w:eastAsia="宋体" w:cs="Times New Roman"/>
                <w:color w:val="auto"/>
                <w:kern w:val="2"/>
                <w:sz w:val="24"/>
                <w:szCs w:val="24"/>
                <w:lang w:val="en-US" w:eastAsia="zh-CN" w:bidi="ar-SA"/>
              </w:rPr>
              <w:t>挥发性有机物</w:t>
            </w:r>
            <w:r>
              <w:rPr>
                <w:rFonts w:hint="eastAsia" w:ascii="Times New Roman" w:hAnsi="Times New Roman" w:eastAsia="宋体" w:cs="Times New Roman"/>
                <w:color w:val="auto"/>
                <w:kern w:val="2"/>
                <w:sz w:val="24"/>
                <w:szCs w:val="24"/>
                <w:lang w:val="en-US" w:eastAsia="zh-CN" w:bidi="ar-SA"/>
              </w:rPr>
              <w:t>因子均为未检出，本项目</w:t>
            </w:r>
            <w:r>
              <w:rPr>
                <w:rFonts w:hint="default" w:ascii="Times New Roman" w:hAnsi="Times New Roman" w:eastAsia="宋体" w:cs="Times New Roman"/>
                <w:color w:val="auto"/>
                <w:kern w:val="2"/>
                <w:sz w:val="24"/>
                <w:szCs w:val="24"/>
                <w:lang w:val="en-US" w:eastAsia="zh-CN" w:bidi="ar-SA"/>
              </w:rPr>
              <w:t>非甲烷总烃</w:t>
            </w:r>
            <w:r>
              <w:rPr>
                <w:rFonts w:hint="eastAsia" w:ascii="Times New Roman" w:hAnsi="Times New Roman" w:eastAsia="宋体" w:cs="Times New Roman"/>
                <w:color w:val="auto"/>
                <w:kern w:val="2"/>
                <w:sz w:val="24"/>
                <w:szCs w:val="24"/>
                <w:lang w:val="en-US" w:eastAsia="zh-CN" w:bidi="ar-SA"/>
              </w:rPr>
              <w:t>叠加背景值后仍然可以达到标准值。</w:t>
            </w:r>
          </w:p>
          <w:p>
            <w:pPr>
              <w:keepNext w:val="0"/>
              <w:keepLines w:val="0"/>
              <w:pageBreakBefore w:val="0"/>
              <w:widowControl w:val="0"/>
              <w:tabs>
                <w:tab w:val="left" w:pos="1770"/>
              </w:tabs>
              <w:kinsoku/>
              <w:wordWrap/>
              <w:overflowPunct/>
              <w:topLinePunct w:val="0"/>
              <w:bidi w:val="0"/>
              <w:adjustRightInd w:val="0"/>
              <w:snapToGrid w:val="0"/>
              <w:spacing w:line="336"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rPr>
              <w:t>从预测增量看出，项目运行后，挥发性有机物在土壤中的增量随着时间的推移会有所增加，但是增量较小</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均未超过第二类建设用地筛选值。正常情况下，废气的排放对土壤的影响是可以接受的。</w:t>
            </w:r>
            <w:r>
              <w:rPr>
                <w:rFonts w:hint="default" w:ascii="Times New Roman" w:hAnsi="Times New Roman" w:eastAsia="宋体" w:cs="Times New Roman"/>
                <w:color w:val="auto"/>
                <w:kern w:val="2"/>
                <w:sz w:val="24"/>
                <w:szCs w:val="24"/>
                <w:lang w:val="en-US" w:eastAsia="zh-CN" w:bidi="ar-SA"/>
              </w:rPr>
              <w:t>故在采取厂房、危化品仓库、危废暂存区地面防渗、物料和生产设备置于硬底化的厂房内，杜绝废气事故排放等措施下，对所在地土壤影响较小。</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（4）土壤污染防治措施</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①厂区地面进行混凝土硬化。</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②项目对周边土壤影响主要是大气沉降。大气沉降对土壤影响是持续性，长期性的，通过大气污染控制措施，确保各污染物达标排放，杜绝事故排放的措施减轻大气沉降影响。</w:t>
            </w:r>
          </w:p>
          <w:p>
            <w:pPr>
              <w:keepNext w:val="0"/>
              <w:keepLines w:val="0"/>
              <w:pageBreakBefore w:val="0"/>
              <w:widowControl w:val="0"/>
              <w:kinsoku/>
              <w:wordWrap/>
              <w:overflowPunct/>
              <w:topLinePunct w:val="0"/>
              <w:autoSpaceDE w:val="0"/>
              <w:autoSpaceDN w:val="0"/>
              <w:bidi w:val="0"/>
              <w:adjustRightInd w:val="0"/>
              <w:spacing w:line="336" w:lineRule="auto"/>
              <w:ind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③占地范围周边种植绿化植被，吸附有机物。</w:t>
            </w:r>
          </w:p>
          <w:p>
            <w:pPr>
              <w:keepNext w:val="0"/>
              <w:keepLines w:val="0"/>
              <w:pageBreakBefore w:val="0"/>
              <w:widowControl w:val="0"/>
              <w:kinsoku/>
              <w:wordWrap/>
              <w:overflowPunct/>
              <w:topLinePunct w:val="0"/>
              <w:bidi w:val="0"/>
              <w:adjustRightInd w:val="0"/>
              <w:snapToGrid w:val="0"/>
              <w:spacing w:line="336"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rPr>
              <w:t>按</w:t>
            </w:r>
            <w:r>
              <w:rPr>
                <w:rFonts w:hint="default" w:ascii="Times New Roman" w:hAnsi="Times New Roman" w:eastAsia="宋体" w:cs="Times New Roman"/>
                <w:bCs/>
                <w:color w:val="auto"/>
                <w:sz w:val="24"/>
                <w:szCs w:val="24"/>
                <w:highlight w:val="none"/>
              </w:rPr>
              <w:t>照有关的规范要求采取上述污染</w:t>
            </w:r>
            <w:r>
              <w:rPr>
                <w:rFonts w:hint="default" w:ascii="Times New Roman" w:hAnsi="Times New Roman" w:eastAsia="宋体" w:cs="Times New Roman"/>
                <w:bCs/>
                <w:color w:val="auto"/>
                <w:sz w:val="24"/>
                <w:szCs w:val="24"/>
                <w:highlight w:val="none"/>
                <w:lang w:eastAsia="zh-CN"/>
              </w:rPr>
              <w:t>防治</w:t>
            </w:r>
            <w:r>
              <w:rPr>
                <w:rFonts w:hint="default" w:ascii="Times New Roman" w:hAnsi="Times New Roman" w:eastAsia="宋体" w:cs="Times New Roman"/>
                <w:bCs/>
                <w:color w:val="auto"/>
                <w:sz w:val="24"/>
                <w:szCs w:val="24"/>
                <w:highlight w:val="none"/>
              </w:rPr>
              <w:t>措施，可以避免项目对周边土壤产生明显影响</w:t>
            </w:r>
            <w:r>
              <w:rPr>
                <w:rFonts w:hint="default" w:ascii="Times New Roman" w:hAnsi="Times New Roman" w:eastAsia="宋体" w:cs="Times New Roman"/>
                <w:color w:val="auto"/>
                <w:sz w:val="24"/>
                <w:szCs w:val="24"/>
                <w:highlight w:val="none"/>
                <w:lang w:eastAsia="zh-CN"/>
              </w:rPr>
              <w:t>，因此</w:t>
            </w:r>
            <w:r>
              <w:rPr>
                <w:rFonts w:hint="default" w:ascii="Times New Roman" w:hAnsi="Times New Roman" w:eastAsia="宋体" w:cs="Times New Roman"/>
                <w:color w:val="auto"/>
                <w:sz w:val="24"/>
                <w:szCs w:val="24"/>
                <w:highlight w:val="none"/>
              </w:rPr>
              <w:t>从土壤环境影响的角度，项目</w:t>
            </w:r>
            <w:r>
              <w:rPr>
                <w:rFonts w:hint="default" w:ascii="Times New Roman" w:hAnsi="Times New Roman"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建设</w:t>
            </w:r>
            <w:r>
              <w:rPr>
                <w:rFonts w:hint="default" w:ascii="Times New Roman" w:hAnsi="Times New Roman" w:cs="Times New Roman"/>
                <w:color w:val="auto"/>
                <w:sz w:val="24"/>
                <w:szCs w:val="24"/>
                <w:highlight w:val="none"/>
                <w:lang w:eastAsia="zh-CN"/>
              </w:rPr>
              <w:t>是</w:t>
            </w:r>
            <w:r>
              <w:rPr>
                <w:rFonts w:hint="default" w:ascii="Times New Roman" w:hAnsi="Times New Roman" w:eastAsia="宋体" w:cs="Times New Roman"/>
                <w:color w:val="auto"/>
                <w:sz w:val="24"/>
                <w:szCs w:val="24"/>
                <w:highlight w:val="none"/>
              </w:rPr>
              <w:t>可行</w:t>
            </w:r>
            <w:r>
              <w:rPr>
                <w:rFonts w:hint="default" w:ascii="Times New Roman" w:hAnsi="Times New Roman"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bidi w:val="0"/>
              <w:spacing w:line="336" w:lineRule="auto"/>
              <w:ind w:firstLine="482" w:firstLineChars="200"/>
              <w:jc w:val="left"/>
              <w:rPr>
                <w:rFonts w:ascii="Times New Roman" w:hAnsi="Times New Roman" w:cs="Times New Roman"/>
                <w:b/>
                <w:bCs/>
                <w:color w:val="auto"/>
                <w:sz w:val="24"/>
                <w:highlight w:val="none"/>
              </w:rPr>
            </w:pPr>
            <w:r>
              <w:rPr>
                <w:rFonts w:hint="eastAsia" w:ascii="Times New Roman" w:hAnsi="Times New Roman" w:cs="Times New Roman"/>
                <w:b/>
                <w:bCs/>
                <w:color w:val="auto"/>
                <w:sz w:val="24"/>
                <w:highlight w:val="none"/>
              </w:rPr>
              <w:t>七</w:t>
            </w:r>
            <w:r>
              <w:rPr>
                <w:rFonts w:ascii="Times New Roman" w:hAnsi="Times New Roman" w:cs="Times New Roman"/>
                <w:b/>
                <w:bCs/>
                <w:color w:val="auto"/>
                <w:sz w:val="24"/>
                <w:highlight w:val="none"/>
              </w:rPr>
              <w:t>、环境管理和监测计划</w:t>
            </w:r>
          </w:p>
          <w:p>
            <w:pPr>
              <w:keepNext w:val="0"/>
              <w:keepLines w:val="0"/>
              <w:pageBreakBefore w:val="0"/>
              <w:widowControl w:val="0"/>
              <w:kinsoku/>
              <w:wordWrap/>
              <w:overflowPunct/>
              <w:topLinePunct w:val="0"/>
              <w:bidi w:val="0"/>
              <w:spacing w:line="336" w:lineRule="auto"/>
              <w:ind w:firstLine="480" w:firstLineChars="200"/>
              <w:jc w:val="left"/>
              <w:rPr>
                <w:color w:val="auto"/>
              </w:rPr>
            </w:pPr>
            <w:r>
              <w:rPr>
                <w:rFonts w:ascii="Times New Roman" w:hAnsi="Times New Roman" w:cs="Times New Roman"/>
                <w:color w:val="auto"/>
                <w:sz w:val="24"/>
                <w:highlight w:val="none"/>
              </w:rPr>
              <w:t>为了及时反映企业排污状况，提供环境管理和污染防治的依据，必须认真落实环境监测工作。开展此工作的环境监测机构，除环保行政主管部门的环境监测站对项目的排污状况和处理设施进行监督性监测、技术指导和考核外，建设单位应设立人员负责开展常规性的工作。根据《排污单位自行监测技术指南总则》（HJ819-2017）相关要求以及针对本项目的特点和环境管理的要求，对气、声等环境要素分别制订出环境监测计划。</w:t>
            </w:r>
          </w:p>
          <w:p>
            <w:pPr>
              <w:widowControl/>
              <w:numPr>
                <w:ilvl w:val="0"/>
                <w:numId w:val="5"/>
              </w:numPr>
              <w:tabs>
                <w:tab w:val="left" w:pos="420"/>
              </w:tabs>
              <w:adjustRightInd w:val="0"/>
              <w:snapToGrid w:val="0"/>
              <w:spacing w:line="360" w:lineRule="auto"/>
              <w:ind w:left="0" w:firstLine="471"/>
              <w:jc w:val="center"/>
              <w:rPr>
                <w:rFonts w:ascii="Times New Roman" w:hAnsi="Times New Roman" w:cs="Times New Roman" w:eastAsiaTheme="minorEastAsia"/>
                <w:b/>
                <w:bCs/>
                <w:color w:val="auto"/>
                <w:kern w:val="0"/>
                <w:sz w:val="21"/>
                <w:szCs w:val="21"/>
                <w:highlight w:val="none"/>
                <w:lang w:val="en-US" w:eastAsia="zh-CN" w:bidi="ar-SA"/>
              </w:rPr>
            </w:pPr>
            <w:r>
              <w:rPr>
                <w:rFonts w:ascii="Times New Roman" w:hAnsi="Times New Roman" w:cs="Times New Roman" w:eastAsiaTheme="minorEastAsia"/>
                <w:b/>
                <w:bCs/>
                <w:color w:val="auto"/>
                <w:kern w:val="0"/>
                <w:sz w:val="21"/>
                <w:szCs w:val="21"/>
                <w:highlight w:val="none"/>
                <w:lang w:val="en-US" w:eastAsia="zh-CN" w:bidi="ar-SA"/>
              </w:rPr>
              <w:t>环境监测计划及记录信息表</w:t>
            </w:r>
          </w:p>
          <w:tbl>
            <w:tblPr>
              <w:tblStyle w:val="40"/>
              <w:tblW w:w="93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437"/>
              <w:gridCol w:w="1350"/>
              <w:gridCol w:w="1215"/>
              <w:gridCol w:w="4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污染物</w:t>
                  </w:r>
                </w:p>
              </w:tc>
              <w:tc>
                <w:tcPr>
                  <w:tcW w:w="1437"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监测点位</w:t>
                  </w:r>
                </w:p>
              </w:tc>
              <w:tc>
                <w:tcPr>
                  <w:tcW w:w="1350"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检测指标</w:t>
                  </w:r>
                </w:p>
              </w:tc>
              <w:tc>
                <w:tcPr>
                  <w:tcW w:w="121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监测频次</w:t>
                  </w:r>
                </w:p>
              </w:tc>
              <w:tc>
                <w:tcPr>
                  <w:tcW w:w="445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67" w:type="dxa"/>
                  <w:vMerge w:val="restart"/>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废气</w:t>
                  </w:r>
                </w:p>
              </w:tc>
              <w:tc>
                <w:tcPr>
                  <w:tcW w:w="1437" w:type="dxa"/>
                  <w:vMerge w:val="restart"/>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排气筒G1</w:t>
                  </w:r>
                </w:p>
              </w:tc>
              <w:tc>
                <w:tcPr>
                  <w:tcW w:w="1350" w:type="dxa"/>
                  <w:shd w:val="clear" w:color="auto" w:fill="auto"/>
                  <w:vAlign w:val="center"/>
                </w:tcPr>
                <w:p>
                  <w:pPr>
                    <w:spacing w:line="276" w:lineRule="auto"/>
                    <w:jc w:val="center"/>
                    <w:rPr>
                      <w:rFonts w:hint="default" w:ascii="Times New Roman" w:hAnsi="Times New Roman" w:cs="Times New Roman" w:eastAsiaTheme="minorEastAsia"/>
                      <w:color w:val="auto"/>
                      <w:szCs w:val="21"/>
                      <w:highlight w:val="none"/>
                      <w:lang w:val="en-US"/>
                    </w:rPr>
                  </w:pPr>
                  <w:r>
                    <w:rPr>
                      <w:rFonts w:hint="eastAsia" w:cs="Times New Roman"/>
                      <w:bCs/>
                      <w:color w:val="auto"/>
                      <w:sz w:val="21"/>
                      <w:szCs w:val="21"/>
                      <w:lang w:val="en-US" w:eastAsia="zh-CN"/>
                    </w:rPr>
                    <w:t>PM</w:t>
                  </w:r>
                  <w:r>
                    <w:rPr>
                      <w:rFonts w:hint="eastAsia" w:cs="Times New Roman"/>
                      <w:bCs/>
                      <w:color w:val="auto"/>
                      <w:sz w:val="21"/>
                      <w:szCs w:val="21"/>
                      <w:vertAlign w:val="subscript"/>
                      <w:lang w:val="en-US" w:eastAsia="zh-CN"/>
                    </w:rPr>
                    <w:t>10</w:t>
                  </w:r>
                </w:p>
              </w:tc>
              <w:tc>
                <w:tcPr>
                  <w:tcW w:w="121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hint="eastAsia" w:hAnsi="宋体"/>
                      <w:color w:val="auto"/>
                      <w:sz w:val="21"/>
                      <w:szCs w:val="21"/>
                    </w:rPr>
                    <w:t>《工业炉窑大气污染物排放标准》（GB9078-1996）表2“金属熔化炉”二级标准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67" w:type="dxa"/>
                  <w:vMerge w:val="continue"/>
                  <w:vAlign w:val="center"/>
                </w:tcPr>
                <w:p>
                  <w:pPr>
                    <w:spacing w:line="276" w:lineRule="auto"/>
                    <w:jc w:val="center"/>
                    <w:rPr>
                      <w:rFonts w:ascii="Times New Roman" w:hAnsi="Times New Roman" w:cs="Times New Roman" w:eastAsiaTheme="minorEastAsia"/>
                      <w:color w:val="auto"/>
                      <w:szCs w:val="21"/>
                      <w:highlight w:val="none"/>
                    </w:rPr>
                  </w:pPr>
                </w:p>
              </w:tc>
              <w:tc>
                <w:tcPr>
                  <w:tcW w:w="1437" w:type="dxa"/>
                  <w:vMerge w:val="continue"/>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p>
              </w:tc>
              <w:tc>
                <w:tcPr>
                  <w:tcW w:w="1350" w:type="dxa"/>
                  <w:shd w:val="clear" w:color="auto" w:fill="auto"/>
                  <w:vAlign w:val="center"/>
                </w:tcPr>
                <w:p>
                  <w:pPr>
                    <w:spacing w:line="276" w:lineRule="auto"/>
                    <w:jc w:val="center"/>
                    <w:rPr>
                      <w:rFonts w:hint="eastAsia" w:cs="Times New Roman"/>
                      <w:bCs/>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非甲烷总烃</w:t>
                  </w:r>
                </w:p>
              </w:tc>
              <w:tc>
                <w:tcPr>
                  <w:tcW w:w="121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shd w:val="clear" w:color="auto" w:fill="auto"/>
                  <w:vAlign w:val="center"/>
                </w:tcPr>
                <w:p>
                  <w:pPr>
                    <w:spacing w:line="276" w:lineRule="auto"/>
                    <w:jc w:val="center"/>
                    <w:rPr>
                      <w:rFonts w:hint="eastAsia" w:hAnsi="宋体"/>
                      <w:color w:val="auto"/>
                      <w:sz w:val="21"/>
                      <w:szCs w:val="21"/>
                    </w:rPr>
                  </w:pPr>
                  <w:r>
                    <w:rPr>
                      <w:rFonts w:hint="eastAsia" w:ascii="Times New Roman" w:hAnsi="Times New Roman" w:cs="Times New Roman" w:eastAsiaTheme="minorEastAsia"/>
                      <w:color w:val="auto"/>
                      <w:szCs w:val="21"/>
                      <w:highlight w:val="none"/>
                    </w:rPr>
                    <w:t>广东省地方标准《大气污染物排放限值》（DB44/27-2001）中第二时段二级标准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67" w:type="dxa"/>
                  <w:vMerge w:val="continue"/>
                  <w:vAlign w:val="center"/>
                </w:tcPr>
                <w:p>
                  <w:pPr>
                    <w:spacing w:line="276" w:lineRule="auto"/>
                    <w:jc w:val="center"/>
                    <w:rPr>
                      <w:rFonts w:ascii="Times New Roman" w:hAnsi="Times New Roman" w:cs="Times New Roman" w:eastAsiaTheme="minorEastAsia"/>
                      <w:color w:val="auto"/>
                      <w:szCs w:val="21"/>
                      <w:highlight w:val="none"/>
                    </w:rPr>
                  </w:pPr>
                </w:p>
              </w:tc>
              <w:tc>
                <w:tcPr>
                  <w:tcW w:w="1437" w:type="dxa"/>
                  <w:vMerge w:val="continue"/>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p>
              </w:tc>
              <w:tc>
                <w:tcPr>
                  <w:tcW w:w="1350" w:type="dxa"/>
                  <w:shd w:val="clear" w:color="auto" w:fill="auto"/>
                  <w:vAlign w:val="center"/>
                </w:tcPr>
                <w:p>
                  <w:pPr>
                    <w:spacing w:line="276" w:lineRule="auto"/>
                    <w:jc w:val="center"/>
                    <w:rPr>
                      <w:rFonts w:hint="eastAsia" w:cs="Times New Roman"/>
                      <w:bCs/>
                      <w:color w:val="auto"/>
                      <w:sz w:val="21"/>
                      <w:szCs w:val="21"/>
                      <w:lang w:val="en-US" w:eastAsia="zh-CN"/>
                    </w:rPr>
                  </w:pPr>
                  <w:r>
                    <w:rPr>
                      <w:rFonts w:hint="eastAsia" w:cs="Times New Roman"/>
                      <w:color w:val="auto"/>
                      <w:kern w:val="2"/>
                      <w:sz w:val="21"/>
                      <w:szCs w:val="21"/>
                      <w:lang w:val="en-US" w:eastAsia="zh-CN" w:bidi="ar-SA"/>
                    </w:rPr>
                    <w:t>臭气浓度</w:t>
                  </w:r>
                </w:p>
              </w:tc>
              <w:tc>
                <w:tcPr>
                  <w:tcW w:w="121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shd w:val="clear" w:color="auto" w:fill="auto"/>
                  <w:vAlign w:val="center"/>
                </w:tcPr>
                <w:p>
                  <w:pPr>
                    <w:spacing w:line="276" w:lineRule="auto"/>
                    <w:jc w:val="center"/>
                    <w:rPr>
                      <w:rFonts w:hint="eastAsia" w:ascii="Times New Roman" w:hAnsi="Times New Roman" w:cs="Times New Roman" w:eastAsiaTheme="minorEastAsia"/>
                      <w:color w:val="auto"/>
                      <w:szCs w:val="21"/>
                      <w:highlight w:val="none"/>
                    </w:rPr>
                  </w:pPr>
                  <w:r>
                    <w:rPr>
                      <w:rFonts w:hint="eastAsia" w:ascii="Times New Roman" w:hAnsi="Times New Roman" w:cs="Times New Roman" w:eastAsiaTheme="minorEastAsia"/>
                      <w:color w:val="auto"/>
                      <w:szCs w:val="21"/>
                      <w:highlight w:val="none"/>
                    </w:rPr>
                    <w:t>《恶臭污染物排放标准》（GB 14554-1993）表2恶臭污染物排放标准值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67" w:type="dxa"/>
                  <w:vMerge w:val="continue"/>
                  <w:vAlign w:val="center"/>
                </w:tcPr>
                <w:p>
                  <w:pPr>
                    <w:spacing w:line="276" w:lineRule="auto"/>
                    <w:jc w:val="center"/>
                    <w:rPr>
                      <w:rFonts w:ascii="Times New Roman" w:hAnsi="Times New Roman" w:cs="Times New Roman" w:eastAsiaTheme="minorEastAsia"/>
                      <w:color w:val="auto"/>
                      <w:szCs w:val="21"/>
                      <w:highlight w:val="none"/>
                    </w:rPr>
                  </w:pPr>
                </w:p>
              </w:tc>
              <w:tc>
                <w:tcPr>
                  <w:tcW w:w="1437" w:type="dxa"/>
                  <w:shd w:val="clear" w:color="auto" w:fill="auto"/>
                  <w:vAlign w:val="center"/>
                </w:tcPr>
                <w:p>
                  <w:pPr>
                    <w:spacing w:line="276" w:lineRule="auto"/>
                    <w:jc w:val="center"/>
                    <w:rPr>
                      <w:rFonts w:hint="eastAsia" w:ascii="Times New Roman" w:hAnsi="Times New Roman" w:cs="Times New Roman" w:eastAsiaTheme="minorEastAsia"/>
                      <w:color w:val="auto"/>
                      <w:szCs w:val="21"/>
                      <w:highlight w:val="none"/>
                      <w:lang w:eastAsia="zh-CN"/>
                    </w:rPr>
                  </w:pPr>
                  <w:r>
                    <w:rPr>
                      <w:rFonts w:ascii="Times New Roman" w:hAnsi="Times New Roman" w:cs="Times New Roman" w:eastAsiaTheme="minorEastAsia"/>
                      <w:color w:val="auto"/>
                      <w:szCs w:val="21"/>
                      <w:highlight w:val="none"/>
                    </w:rPr>
                    <w:t>排气筒G</w:t>
                  </w:r>
                  <w:r>
                    <w:rPr>
                      <w:rFonts w:hint="eastAsia" w:cs="Times New Roman" w:eastAsiaTheme="minorEastAsia"/>
                      <w:color w:val="auto"/>
                      <w:szCs w:val="21"/>
                      <w:highlight w:val="none"/>
                      <w:lang w:val="en-US" w:eastAsia="zh-CN"/>
                    </w:rPr>
                    <w:t>2</w:t>
                  </w:r>
                </w:p>
              </w:tc>
              <w:tc>
                <w:tcPr>
                  <w:tcW w:w="1350" w:type="dxa"/>
                  <w:shd w:val="clear" w:color="auto" w:fill="auto"/>
                  <w:vAlign w:val="center"/>
                </w:tcPr>
                <w:p>
                  <w:pPr>
                    <w:spacing w:line="276" w:lineRule="auto"/>
                    <w:jc w:val="center"/>
                    <w:rPr>
                      <w:rFonts w:hint="default" w:ascii="Times New Roman" w:hAnsi="Times New Roman" w:cs="Times New Roman"/>
                      <w:bCs/>
                      <w:color w:val="auto"/>
                      <w:sz w:val="21"/>
                      <w:szCs w:val="21"/>
                    </w:rPr>
                  </w:pPr>
                  <w:r>
                    <w:rPr>
                      <w:rFonts w:hint="eastAsia" w:cs="Times New Roman"/>
                      <w:bCs/>
                      <w:color w:val="auto"/>
                      <w:sz w:val="21"/>
                      <w:szCs w:val="21"/>
                      <w:lang w:val="en-US" w:eastAsia="zh-CN"/>
                    </w:rPr>
                    <w:t>PM</w:t>
                  </w:r>
                  <w:r>
                    <w:rPr>
                      <w:rFonts w:hint="eastAsia" w:cs="Times New Roman"/>
                      <w:bCs/>
                      <w:color w:val="auto"/>
                      <w:sz w:val="21"/>
                      <w:szCs w:val="21"/>
                      <w:vertAlign w:val="subscript"/>
                      <w:lang w:val="en-US" w:eastAsia="zh-CN"/>
                    </w:rPr>
                    <w:t>10</w:t>
                  </w:r>
                </w:p>
              </w:tc>
              <w:tc>
                <w:tcPr>
                  <w:tcW w:w="121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shd w:val="clear" w:color="auto" w:fill="auto"/>
                  <w:vAlign w:val="center"/>
                </w:tcPr>
                <w:p>
                  <w:pPr>
                    <w:spacing w:line="276" w:lineRule="auto"/>
                    <w:jc w:val="center"/>
                    <w:rPr>
                      <w:rFonts w:hint="eastAsia"/>
                      <w:color w:val="auto"/>
                      <w:sz w:val="21"/>
                      <w:szCs w:val="21"/>
                    </w:rPr>
                  </w:pPr>
                  <w:r>
                    <w:rPr>
                      <w:rFonts w:hint="default" w:ascii="Times New Roman" w:hAnsi="Times New Roman" w:cs="Times New Roman"/>
                      <w:color w:val="auto"/>
                      <w:sz w:val="21"/>
                      <w:szCs w:val="21"/>
                      <w:shd w:val="clear" w:color="auto" w:fill="auto"/>
                    </w:rPr>
                    <w:t>广东省地方标准《大气污染物排放限值》（DB44/27-2001）中第二时段二级标准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7" w:type="dxa"/>
                  <w:vMerge w:val="continue"/>
                  <w:vAlign w:val="center"/>
                </w:tcPr>
                <w:p>
                  <w:pPr>
                    <w:spacing w:line="276" w:lineRule="auto"/>
                    <w:jc w:val="center"/>
                    <w:rPr>
                      <w:rFonts w:ascii="Times New Roman" w:hAnsi="Times New Roman" w:cs="Times New Roman" w:eastAsiaTheme="minorEastAsia"/>
                      <w:color w:val="auto"/>
                      <w:szCs w:val="21"/>
                      <w:highlight w:val="none"/>
                    </w:rPr>
                  </w:pPr>
                </w:p>
              </w:tc>
              <w:tc>
                <w:tcPr>
                  <w:tcW w:w="1437"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厂界上风向1个，下风向3个</w:t>
                  </w:r>
                </w:p>
              </w:tc>
              <w:tc>
                <w:tcPr>
                  <w:tcW w:w="1350"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TSP</w:t>
                  </w:r>
                </w:p>
              </w:tc>
              <w:tc>
                <w:tcPr>
                  <w:tcW w:w="1215"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color w:val="auto"/>
                      <w:szCs w:val="21"/>
                      <w:highlight w:val="none"/>
                    </w:rPr>
                    <w:t>广东省地方标准《大气污染物排放限值》（DB44/ 27-2001）第二时段无组织排放监控浓度限值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ascii="Times New Roman" w:hAnsi="Times New Roman" w:cs="Times New Roman" w:eastAsiaTheme="minorEastAsia"/>
                      <w:color w:val="auto"/>
                      <w:szCs w:val="21"/>
                      <w:highlight w:val="none"/>
                    </w:rPr>
                  </w:pPr>
                </w:p>
              </w:tc>
              <w:tc>
                <w:tcPr>
                  <w:tcW w:w="1437"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厂界上风向1个，下风向3个</w:t>
                  </w:r>
                </w:p>
              </w:tc>
              <w:tc>
                <w:tcPr>
                  <w:tcW w:w="1350" w:type="dxa"/>
                  <w:shd w:val="clear" w:color="auto" w:fill="auto"/>
                  <w:vAlign w:val="center"/>
                </w:tcPr>
                <w:p>
                  <w:pPr>
                    <w:jc w:val="center"/>
                    <w:rPr>
                      <w:rFonts w:ascii="Times New Roman" w:hAnsi="Times New Roman" w:cs="Times New Roman" w:eastAsiaTheme="minorEastAsia"/>
                      <w:color w:val="auto"/>
                      <w:szCs w:val="21"/>
                      <w:highlight w:val="none"/>
                    </w:rPr>
                  </w:pPr>
                  <w:r>
                    <w:rPr>
                      <w:rFonts w:hint="default" w:ascii="Times New Roman" w:hAnsi="Times New Roman" w:eastAsia="宋体" w:cs="Times New Roman"/>
                      <w:color w:val="auto"/>
                      <w:kern w:val="2"/>
                      <w:sz w:val="21"/>
                      <w:szCs w:val="21"/>
                      <w:lang w:val="en-US" w:eastAsia="zh-CN" w:bidi="ar-SA"/>
                    </w:rPr>
                    <w:t>非甲烷总烃</w:t>
                  </w:r>
                </w:p>
              </w:tc>
              <w:tc>
                <w:tcPr>
                  <w:tcW w:w="1215"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color w:val="auto"/>
                      <w:szCs w:val="21"/>
                      <w:highlight w:val="none"/>
                    </w:rPr>
                    <w:t>广东省地方标准《大气污染物排放限值》（DB44/ 27-2001）第二时段无组织排放监控浓度限值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Merge w:val="continue"/>
                  <w:vAlign w:val="center"/>
                </w:tcPr>
                <w:p>
                  <w:pPr>
                    <w:spacing w:line="276" w:lineRule="auto"/>
                    <w:jc w:val="center"/>
                    <w:rPr>
                      <w:rFonts w:ascii="Times New Roman" w:hAnsi="Times New Roman" w:cs="Times New Roman" w:eastAsiaTheme="minorEastAsia"/>
                      <w:color w:val="auto"/>
                      <w:szCs w:val="21"/>
                      <w:highlight w:val="none"/>
                    </w:rPr>
                  </w:pPr>
                </w:p>
              </w:tc>
              <w:tc>
                <w:tcPr>
                  <w:tcW w:w="1437" w:type="dxa"/>
                  <w:shd w:val="clear" w:color="auto" w:fill="auto"/>
                  <w:vAlign w:val="center"/>
                </w:tcPr>
                <w:p>
                  <w:pPr>
                    <w:jc w:val="center"/>
                    <w:rPr>
                      <w:rFonts w:ascii="Times New Roman" w:hAnsi="Times New Roman" w:cs="Times New Roman" w:eastAsiaTheme="minorEastAsia"/>
                      <w:color w:val="auto"/>
                      <w:szCs w:val="21"/>
                      <w:highlight w:val="none"/>
                    </w:rPr>
                  </w:pPr>
                  <w:r>
                    <w:rPr>
                      <w:rFonts w:eastAsiaTheme="minorEastAsia"/>
                      <w:color w:val="auto"/>
                      <w:szCs w:val="21"/>
                    </w:rPr>
                    <w:t>厂界上风向1个，下风向3个</w:t>
                  </w:r>
                </w:p>
              </w:tc>
              <w:tc>
                <w:tcPr>
                  <w:tcW w:w="1350" w:type="dxa"/>
                  <w:shd w:val="clear" w:color="auto" w:fill="auto"/>
                  <w:vAlign w:val="center"/>
                </w:tcPr>
                <w:p>
                  <w:pPr>
                    <w:jc w:val="center"/>
                    <w:rPr>
                      <w:rFonts w:hint="default" w:ascii="Times New Roman" w:hAnsi="Times New Roman" w:cs="Times New Roman"/>
                      <w:bCs/>
                      <w:color w:val="auto"/>
                      <w:sz w:val="21"/>
                      <w:szCs w:val="21"/>
                    </w:rPr>
                  </w:pPr>
                  <w:r>
                    <w:rPr>
                      <w:rFonts w:hint="eastAsia"/>
                      <w:color w:val="auto"/>
                      <w:szCs w:val="16"/>
                      <w:lang w:eastAsia="zh-CN"/>
                    </w:rPr>
                    <w:t>臭气浓度</w:t>
                  </w:r>
                </w:p>
              </w:tc>
              <w:tc>
                <w:tcPr>
                  <w:tcW w:w="1215" w:type="dxa"/>
                  <w:shd w:val="clear" w:color="auto" w:fill="auto"/>
                  <w:vAlign w:val="center"/>
                </w:tcPr>
                <w:p>
                  <w:pPr>
                    <w:jc w:val="center"/>
                    <w:rPr>
                      <w:rFonts w:ascii="Times New Roman" w:hAnsi="Times New Roman" w:cs="Times New Roman" w:eastAsiaTheme="minorEastAsia"/>
                      <w:color w:val="auto"/>
                      <w:szCs w:val="21"/>
                      <w:highlight w:val="none"/>
                    </w:rPr>
                  </w:pPr>
                  <w:r>
                    <w:rPr>
                      <w:rFonts w:eastAsiaTheme="minorEastAsia"/>
                      <w:color w:val="auto"/>
                      <w:szCs w:val="21"/>
                    </w:rPr>
                    <w:t>每年一次</w:t>
                  </w:r>
                </w:p>
              </w:tc>
              <w:tc>
                <w:tcPr>
                  <w:tcW w:w="4455" w:type="dxa"/>
                  <w:shd w:val="clear" w:color="auto" w:fill="auto"/>
                  <w:vAlign w:val="center"/>
                </w:tcPr>
                <w:p>
                  <w:pPr>
                    <w:jc w:val="center"/>
                    <w:rPr>
                      <w:rFonts w:hint="eastAsia"/>
                      <w:color w:val="auto"/>
                      <w:sz w:val="21"/>
                      <w:szCs w:val="21"/>
                    </w:rPr>
                  </w:pPr>
                  <w:r>
                    <w:rPr>
                      <w:rFonts w:hint="eastAsia"/>
                      <w:color w:val="auto"/>
                      <w:szCs w:val="21"/>
                    </w:rPr>
                    <w:t>《恶臭污染物排放标准》（GB 14554—93）表1恶臭污染物厂界标准值二级新扩改建臭气浓度要求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867" w:type="dxa"/>
                  <w:vMerge w:val="restart"/>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废水</w:t>
                  </w:r>
                </w:p>
              </w:tc>
              <w:tc>
                <w:tcPr>
                  <w:tcW w:w="1437" w:type="dxa"/>
                  <w:vMerge w:val="restart"/>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生活污水处理设施出口</w:t>
                  </w:r>
                </w:p>
              </w:tc>
              <w:tc>
                <w:tcPr>
                  <w:tcW w:w="1350"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color w:val="auto"/>
                      <w:szCs w:val="21"/>
                      <w:highlight w:val="none"/>
                    </w:rPr>
                    <w:t>COD</w:t>
                  </w:r>
                  <w:r>
                    <w:rPr>
                      <w:rFonts w:ascii="Times New Roman" w:hAnsi="Times New Roman" w:cs="Times New Roman"/>
                      <w:color w:val="auto"/>
                      <w:szCs w:val="21"/>
                      <w:highlight w:val="none"/>
                      <w:vertAlign w:val="subscript"/>
                    </w:rPr>
                    <w:t>cr</w:t>
                  </w:r>
                  <w:r>
                    <w:rPr>
                      <w:rFonts w:ascii="Times New Roman" w:hAnsi="Times New Roman" w:cs="Times New Roman"/>
                      <w:color w:val="auto"/>
                      <w:szCs w:val="21"/>
                      <w:highlight w:val="none"/>
                    </w:rPr>
                    <w:t>、SS</w:t>
                  </w:r>
                </w:p>
              </w:tc>
              <w:tc>
                <w:tcPr>
                  <w:tcW w:w="1215"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w:t>
                  </w:r>
                  <w:r>
                    <w:rPr>
                      <w:rFonts w:hint="eastAsia" w:ascii="Times New Roman" w:hAnsi="Times New Roman" w:cs="Times New Roman" w:eastAsiaTheme="minorEastAsia"/>
                      <w:color w:val="auto"/>
                      <w:szCs w:val="21"/>
                      <w:highlight w:val="none"/>
                      <w:lang w:eastAsia="zh-CN"/>
                    </w:rPr>
                    <w:t>季度</w:t>
                  </w:r>
                  <w:r>
                    <w:rPr>
                      <w:rFonts w:hint="eastAsia" w:ascii="Times New Roman" w:hAnsi="Times New Roman" w:cs="Times New Roman" w:eastAsiaTheme="minorEastAsia"/>
                      <w:color w:val="auto"/>
                      <w:szCs w:val="21"/>
                      <w:highlight w:val="none"/>
                      <w:lang w:val="en-US" w:eastAsia="zh-CN"/>
                    </w:rPr>
                    <w:t>一</w:t>
                  </w:r>
                  <w:r>
                    <w:rPr>
                      <w:rFonts w:ascii="Times New Roman" w:hAnsi="Times New Roman" w:cs="Times New Roman" w:eastAsiaTheme="minorEastAsia"/>
                      <w:color w:val="auto"/>
                      <w:szCs w:val="21"/>
                      <w:highlight w:val="none"/>
                    </w:rPr>
                    <w:t>次</w:t>
                  </w:r>
                </w:p>
              </w:tc>
              <w:tc>
                <w:tcPr>
                  <w:tcW w:w="4455" w:type="dxa"/>
                  <w:vMerge w:val="restart"/>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广东省地方标准《水污染物排放限值》（DB44/26-2001）第二时段三级标准和</w:t>
                  </w:r>
                  <w:r>
                    <w:rPr>
                      <w:rFonts w:hint="eastAsia" w:ascii="Times New Roman" w:hAnsi="Times New Roman" w:cs="Times New Roman" w:eastAsiaTheme="minorEastAsia"/>
                      <w:color w:val="auto"/>
                      <w:szCs w:val="21"/>
                      <w:highlight w:val="none"/>
                      <w:lang w:eastAsia="zh-CN"/>
                    </w:rPr>
                    <w:t>《污水排入城镇下水道水质标准》(GB/T31962-2015 )B级标准</w:t>
                  </w:r>
                  <w:r>
                    <w:rPr>
                      <w:rFonts w:ascii="Times New Roman" w:hAnsi="Times New Roman" w:cs="Times New Roman" w:eastAsiaTheme="minorEastAsia"/>
                      <w:color w:val="auto"/>
                      <w:szCs w:val="21"/>
                      <w:highlight w:val="none"/>
                    </w:rPr>
                    <w:t>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867" w:type="dxa"/>
                  <w:vMerge w:val="continue"/>
                  <w:vAlign w:val="center"/>
                </w:tcPr>
                <w:p>
                  <w:pPr>
                    <w:jc w:val="center"/>
                    <w:rPr>
                      <w:rFonts w:ascii="Times New Roman" w:hAnsi="Times New Roman" w:cs="Times New Roman" w:eastAsiaTheme="minorEastAsia"/>
                      <w:color w:val="auto"/>
                      <w:szCs w:val="21"/>
                      <w:highlight w:val="none"/>
                    </w:rPr>
                  </w:pPr>
                </w:p>
              </w:tc>
              <w:tc>
                <w:tcPr>
                  <w:tcW w:w="1437" w:type="dxa"/>
                  <w:vMerge w:val="continue"/>
                  <w:shd w:val="clear" w:color="auto" w:fill="auto"/>
                  <w:vAlign w:val="center"/>
                </w:tcPr>
                <w:p>
                  <w:pPr>
                    <w:jc w:val="center"/>
                    <w:rPr>
                      <w:rFonts w:ascii="Times New Roman" w:hAnsi="Times New Roman" w:cs="Times New Roman" w:eastAsiaTheme="minorEastAsia"/>
                      <w:color w:val="auto"/>
                      <w:szCs w:val="21"/>
                      <w:highlight w:val="none"/>
                    </w:rPr>
                  </w:pPr>
                </w:p>
              </w:tc>
              <w:tc>
                <w:tcPr>
                  <w:tcW w:w="1350" w:type="dxa"/>
                  <w:shd w:val="clear" w:color="auto" w:fill="auto"/>
                  <w:vAlign w:val="center"/>
                </w:tcPr>
                <w:p>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pH、</w:t>
                  </w:r>
                  <w:r>
                    <w:rPr>
                      <w:rFonts w:ascii="Times New Roman" w:hAnsi="Times New Roman" w:cs="Times New Roman"/>
                      <w:color w:val="auto"/>
                      <w:szCs w:val="21"/>
                      <w:highlight w:val="none"/>
                    </w:rPr>
                    <w:t>BOD</w:t>
                  </w:r>
                  <w:r>
                    <w:rPr>
                      <w:rFonts w:ascii="Times New Roman" w:hAnsi="Times New Roman" w:cs="Times New Roman"/>
                      <w:color w:val="auto"/>
                      <w:szCs w:val="21"/>
                      <w:highlight w:val="none"/>
                      <w:vertAlign w:val="subscript"/>
                    </w:rPr>
                    <w:t>5</w:t>
                  </w:r>
                  <w:r>
                    <w:rPr>
                      <w:rFonts w:ascii="Times New Roman" w:hAnsi="Times New Roman" w:cs="Times New Roman"/>
                      <w:color w:val="auto"/>
                      <w:szCs w:val="21"/>
                      <w:highlight w:val="none"/>
                    </w:rPr>
                    <w:t>、NH</w:t>
                  </w:r>
                  <w:r>
                    <w:rPr>
                      <w:rFonts w:ascii="Times New Roman" w:hAnsi="Times New Roman" w:cs="Times New Roman"/>
                      <w:color w:val="auto"/>
                      <w:szCs w:val="21"/>
                      <w:highlight w:val="none"/>
                      <w:vertAlign w:val="subscript"/>
                    </w:rPr>
                    <w:t>3</w:t>
                  </w:r>
                  <w:r>
                    <w:rPr>
                      <w:rFonts w:ascii="Times New Roman" w:hAnsi="Times New Roman" w:cs="Times New Roman"/>
                      <w:color w:val="auto"/>
                      <w:szCs w:val="21"/>
                      <w:highlight w:val="none"/>
                    </w:rPr>
                    <w:t>-N</w:t>
                  </w:r>
                </w:p>
              </w:tc>
              <w:tc>
                <w:tcPr>
                  <w:tcW w:w="1215" w:type="dxa"/>
                  <w:shd w:val="clear" w:color="auto" w:fill="auto"/>
                  <w:vAlign w:val="center"/>
                </w:tcPr>
                <w:p>
                  <w:pPr>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每年一次</w:t>
                  </w:r>
                </w:p>
              </w:tc>
              <w:tc>
                <w:tcPr>
                  <w:tcW w:w="4455" w:type="dxa"/>
                  <w:vMerge w:val="continue"/>
                  <w:shd w:val="clear" w:color="auto" w:fill="auto"/>
                  <w:vAlign w:val="center"/>
                </w:tcPr>
                <w:p>
                  <w:pPr>
                    <w:jc w:val="center"/>
                    <w:rPr>
                      <w:rFonts w:ascii="Times New Roman" w:hAnsi="Times New Roman" w:cs="Times New Roman" w:eastAsiaTheme="min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dxa"/>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噪声</w:t>
                  </w:r>
                </w:p>
              </w:tc>
              <w:tc>
                <w:tcPr>
                  <w:tcW w:w="1437"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厂界四周</w:t>
                  </w:r>
                </w:p>
              </w:tc>
              <w:tc>
                <w:tcPr>
                  <w:tcW w:w="1350"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eastAsiaTheme="minorEastAsia"/>
                      <w:color w:val="auto"/>
                      <w:szCs w:val="21"/>
                      <w:highlight w:val="none"/>
                    </w:rPr>
                    <w:t>等效连续A声级</w:t>
                  </w:r>
                </w:p>
              </w:tc>
              <w:tc>
                <w:tcPr>
                  <w:tcW w:w="1215" w:type="dxa"/>
                  <w:shd w:val="clear" w:color="auto" w:fill="auto"/>
                  <w:vAlign w:val="center"/>
                </w:tcPr>
                <w:p>
                  <w:pPr>
                    <w:spacing w:line="276" w:lineRule="auto"/>
                    <w:jc w:val="center"/>
                    <w:rPr>
                      <w:rFonts w:hint="default" w:ascii="Times New Roman" w:hAnsi="Times New Roman" w:cs="Times New Roman" w:eastAsiaTheme="minorEastAsia"/>
                      <w:color w:val="auto"/>
                      <w:szCs w:val="21"/>
                      <w:highlight w:val="none"/>
                      <w:lang w:val="en-US" w:eastAsia="zh-CN"/>
                    </w:rPr>
                  </w:pPr>
                  <w:r>
                    <w:rPr>
                      <w:rFonts w:ascii="Times New Roman" w:hAnsi="Times New Roman" w:cs="Times New Roman" w:eastAsiaTheme="minorEastAsia"/>
                      <w:color w:val="auto"/>
                      <w:szCs w:val="21"/>
                      <w:highlight w:val="none"/>
                    </w:rPr>
                    <w:t>每</w:t>
                  </w:r>
                  <w:r>
                    <w:rPr>
                      <w:rFonts w:hint="eastAsia" w:ascii="Times New Roman" w:hAnsi="Times New Roman" w:cs="Times New Roman" w:eastAsiaTheme="minorEastAsia"/>
                      <w:color w:val="auto"/>
                      <w:szCs w:val="21"/>
                      <w:highlight w:val="none"/>
                      <w:lang w:eastAsia="zh-CN"/>
                    </w:rPr>
                    <w:t>季度</w:t>
                  </w:r>
                  <w:r>
                    <w:rPr>
                      <w:rFonts w:hint="eastAsia" w:ascii="Times New Roman" w:hAnsi="Times New Roman" w:cs="Times New Roman" w:eastAsiaTheme="minorEastAsia"/>
                      <w:color w:val="auto"/>
                      <w:szCs w:val="21"/>
                      <w:highlight w:val="none"/>
                      <w:lang w:val="en-US" w:eastAsia="zh-CN"/>
                    </w:rPr>
                    <w:t>一</w:t>
                  </w:r>
                  <w:r>
                    <w:rPr>
                      <w:rFonts w:ascii="Times New Roman" w:hAnsi="Times New Roman" w:cs="Times New Roman" w:eastAsiaTheme="minorEastAsia"/>
                      <w:color w:val="auto"/>
                      <w:szCs w:val="21"/>
                      <w:highlight w:val="none"/>
                    </w:rPr>
                    <w:t>次</w:t>
                  </w:r>
                </w:p>
              </w:tc>
              <w:tc>
                <w:tcPr>
                  <w:tcW w:w="4455" w:type="dxa"/>
                  <w:shd w:val="clear" w:color="auto" w:fill="auto"/>
                  <w:vAlign w:val="center"/>
                </w:tcPr>
                <w:p>
                  <w:pPr>
                    <w:spacing w:line="276" w:lineRule="auto"/>
                    <w:jc w:val="center"/>
                    <w:rPr>
                      <w:rFonts w:ascii="Times New Roman" w:hAnsi="Times New Roman" w:cs="Times New Roman" w:eastAsiaTheme="minorEastAsia"/>
                      <w:color w:val="auto"/>
                      <w:szCs w:val="21"/>
                      <w:highlight w:val="none"/>
                    </w:rPr>
                  </w:pPr>
                  <w:r>
                    <w:rPr>
                      <w:rFonts w:ascii="Times New Roman" w:hAnsi="Times New Roman" w:cs="Times New Roman"/>
                      <w:color w:val="auto"/>
                      <w:szCs w:val="21"/>
                      <w:highlight w:val="none"/>
                    </w:rPr>
                    <w:t xml:space="preserve">《工业企业厂界环境噪声排放标准》(GB12348-2008) </w:t>
                  </w:r>
                  <w:r>
                    <w:rPr>
                      <w:rFonts w:hint="eastAsia" w:ascii="Times New Roman" w:hAnsi="Times New Roman" w:cs="Times New Roman"/>
                      <w:color w:val="auto"/>
                      <w:szCs w:val="21"/>
                      <w:highlight w:val="none"/>
                    </w:rPr>
                    <w:t>2类和4类</w:t>
                  </w:r>
                  <w:r>
                    <w:rPr>
                      <w:rFonts w:ascii="Times New Roman" w:hAnsi="Times New Roman" w:cs="Times New Roman"/>
                      <w:color w:val="auto"/>
                      <w:szCs w:val="21"/>
                      <w:highlight w:val="none"/>
                    </w:rPr>
                    <w:t>标准</w:t>
                  </w:r>
                </w:p>
              </w:tc>
            </w:tr>
          </w:tbl>
          <w:p>
            <w:pPr>
              <w:pStyle w:val="29"/>
              <w:spacing w:line="360" w:lineRule="auto"/>
              <w:ind w:firstLine="501" w:firstLineChars="208"/>
              <w:rPr>
                <w:b/>
                <w:color w:val="auto"/>
                <w:kern w:val="2"/>
                <w:szCs w:val="24"/>
                <w:shd w:val="clear" w:color="auto" w:fill="auto"/>
              </w:rPr>
            </w:pPr>
            <w:r>
              <w:rPr>
                <w:rFonts w:hint="eastAsia"/>
                <w:b/>
                <w:color w:val="auto"/>
                <w:szCs w:val="24"/>
                <w:shd w:val="clear" w:color="auto" w:fill="auto"/>
                <w:lang w:eastAsia="zh-CN"/>
              </w:rPr>
              <w:t>八</w:t>
            </w:r>
            <w:r>
              <w:rPr>
                <w:rFonts w:hint="eastAsia"/>
                <w:b/>
                <w:color w:val="auto"/>
                <w:kern w:val="2"/>
                <w:szCs w:val="24"/>
                <w:shd w:val="clear" w:color="auto" w:fill="auto"/>
              </w:rPr>
              <w:t>、环保投资</w:t>
            </w:r>
          </w:p>
          <w:p>
            <w:pPr>
              <w:spacing w:line="360" w:lineRule="auto"/>
              <w:ind w:firstLine="480" w:firstLineChars="200"/>
              <w:rPr>
                <w:rFonts w:hint="eastAsia"/>
                <w:color w:val="auto"/>
                <w:sz w:val="24"/>
                <w:shd w:val="clear" w:color="auto" w:fill="auto"/>
              </w:rPr>
            </w:pPr>
            <w:r>
              <w:rPr>
                <w:rFonts w:hint="eastAsia"/>
                <w:color w:val="auto"/>
                <w:sz w:val="24"/>
                <w:shd w:val="clear" w:color="auto" w:fill="auto"/>
              </w:rPr>
              <w:t>根据项目投资及行业特性，本项目拟环保投资总额为</w:t>
            </w:r>
            <w:r>
              <w:rPr>
                <w:rFonts w:hint="eastAsia"/>
                <w:color w:val="auto"/>
                <w:sz w:val="24"/>
                <w:shd w:val="clear" w:color="auto" w:fill="auto"/>
                <w:lang w:val="en-US" w:eastAsia="zh-CN"/>
              </w:rPr>
              <w:t>18</w:t>
            </w:r>
            <w:r>
              <w:rPr>
                <w:rFonts w:hint="eastAsia"/>
                <w:color w:val="auto"/>
                <w:sz w:val="24"/>
                <w:shd w:val="clear" w:color="auto" w:fill="auto"/>
              </w:rPr>
              <w:t>万元，具体项目见下表。</w:t>
            </w:r>
          </w:p>
          <w:p>
            <w:pPr>
              <w:pStyle w:val="47"/>
              <w:rPr>
                <w:color w:val="auto"/>
              </w:rPr>
            </w:pP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本项目环保投资一览表</w:t>
            </w:r>
          </w:p>
          <w:tbl>
            <w:tblPr>
              <w:tblStyle w:val="40"/>
              <w:tblW w:w="92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257"/>
              <w:gridCol w:w="1924"/>
              <w:gridCol w:w="4387"/>
              <w:gridCol w:w="1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color w:val="auto"/>
                      <w:kern w:val="0"/>
                      <w:sz w:val="21"/>
                      <w:szCs w:val="21"/>
                      <w:shd w:val="clear" w:color="auto" w:fill="auto"/>
                    </w:rPr>
                  </w:pPr>
                  <w:r>
                    <w:rPr>
                      <w:rFonts w:hint="eastAsia" w:hAnsi="宋体"/>
                      <w:b/>
                      <w:color w:val="auto"/>
                      <w:kern w:val="0"/>
                      <w:sz w:val="21"/>
                      <w:szCs w:val="21"/>
                      <w:shd w:val="clear" w:color="auto" w:fill="auto"/>
                    </w:rPr>
                    <w:t>序号</w:t>
                  </w:r>
                </w:p>
              </w:tc>
              <w:tc>
                <w:tcPr>
                  <w:tcW w:w="3181"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jc w:val="center"/>
                    <w:rPr>
                      <w:b/>
                      <w:color w:val="auto"/>
                      <w:kern w:val="0"/>
                      <w:sz w:val="21"/>
                      <w:szCs w:val="21"/>
                      <w:shd w:val="clear" w:color="auto" w:fill="auto"/>
                    </w:rPr>
                  </w:pPr>
                  <w:r>
                    <w:rPr>
                      <w:rFonts w:hint="eastAsia"/>
                      <w:b/>
                      <w:color w:val="auto"/>
                      <w:kern w:val="0"/>
                      <w:sz w:val="21"/>
                      <w:szCs w:val="21"/>
                      <w:shd w:val="clear" w:color="auto" w:fill="auto"/>
                    </w:rPr>
                    <w:t>污染源</w:t>
                  </w:r>
                </w:p>
              </w:tc>
              <w:tc>
                <w:tcPr>
                  <w:tcW w:w="438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color w:val="auto"/>
                      <w:kern w:val="0"/>
                      <w:sz w:val="21"/>
                      <w:szCs w:val="21"/>
                      <w:shd w:val="clear" w:color="auto" w:fill="auto"/>
                    </w:rPr>
                  </w:pPr>
                  <w:r>
                    <w:rPr>
                      <w:rFonts w:hint="eastAsia" w:hAnsi="宋体"/>
                      <w:b/>
                      <w:color w:val="auto"/>
                      <w:kern w:val="0"/>
                      <w:sz w:val="21"/>
                      <w:szCs w:val="21"/>
                      <w:shd w:val="clear" w:color="auto" w:fill="auto"/>
                    </w:rPr>
                    <w:t>主要环保措施</w:t>
                  </w:r>
                </w:p>
              </w:tc>
              <w:tc>
                <w:tcPr>
                  <w:tcW w:w="124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color w:val="auto"/>
                      <w:kern w:val="0"/>
                      <w:sz w:val="21"/>
                      <w:szCs w:val="21"/>
                      <w:shd w:val="clear" w:color="auto" w:fill="auto"/>
                    </w:rPr>
                  </w:pPr>
                  <w:r>
                    <w:rPr>
                      <w:rFonts w:hint="eastAsia" w:hAnsi="宋体"/>
                      <w:b/>
                      <w:color w:val="auto"/>
                      <w:kern w:val="0"/>
                      <w:sz w:val="21"/>
                      <w:szCs w:val="21"/>
                      <w:shd w:val="clear" w:color="auto" w:fill="auto"/>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57" w:type="dxa"/>
                  <w:vMerge w:val="restart"/>
                  <w:tcBorders>
                    <w:top w:val="single" w:color="auto" w:sz="4" w:space="0"/>
                    <w:left w:val="single" w:color="auto" w:sz="4" w:space="0"/>
                    <w:right w:val="single" w:color="auto" w:sz="4" w:space="0"/>
                  </w:tcBorders>
                  <w:vAlign w:val="center"/>
                </w:tcPr>
                <w:p>
                  <w:pPr>
                    <w:jc w:val="center"/>
                    <w:rPr>
                      <w:color w:val="auto"/>
                      <w:kern w:val="0"/>
                      <w:sz w:val="21"/>
                      <w:szCs w:val="21"/>
                      <w:shd w:val="clear" w:color="auto" w:fill="auto"/>
                    </w:rPr>
                  </w:pPr>
                  <w:r>
                    <w:rPr>
                      <w:color w:val="auto"/>
                      <w:kern w:val="0"/>
                      <w:sz w:val="21"/>
                      <w:szCs w:val="21"/>
                      <w:shd w:val="clear" w:color="auto" w:fill="auto"/>
                    </w:rPr>
                    <w:t>1</w:t>
                  </w:r>
                </w:p>
              </w:tc>
              <w:tc>
                <w:tcPr>
                  <w:tcW w:w="1257" w:type="dxa"/>
                  <w:vMerge w:val="restart"/>
                  <w:tcBorders>
                    <w:top w:val="single" w:color="auto" w:sz="4" w:space="0"/>
                    <w:left w:val="single" w:color="auto" w:sz="4" w:space="0"/>
                    <w:right w:val="single" w:color="auto" w:sz="4" w:space="0"/>
                  </w:tcBorders>
                  <w:vAlign w:val="center"/>
                </w:tcPr>
                <w:p>
                  <w:pPr>
                    <w:jc w:val="center"/>
                    <w:rPr>
                      <w:color w:val="auto"/>
                      <w:sz w:val="21"/>
                      <w:szCs w:val="21"/>
                      <w:shd w:val="clear" w:color="auto" w:fill="auto"/>
                    </w:rPr>
                  </w:pPr>
                  <w:r>
                    <w:rPr>
                      <w:rFonts w:hint="eastAsia"/>
                      <w:color w:val="auto"/>
                      <w:sz w:val="21"/>
                      <w:szCs w:val="21"/>
                      <w:shd w:val="clear" w:color="auto" w:fill="auto"/>
                    </w:rPr>
                    <w:t>大气污染物</w:t>
                  </w: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val="en-US" w:eastAsia="zh-CN"/>
                    </w:rPr>
                    <w:t>熔化、铸造、制芯</w:t>
                  </w:r>
                  <w:r>
                    <w:rPr>
                      <w:rFonts w:hint="default"/>
                      <w:color w:val="auto"/>
                      <w:sz w:val="21"/>
                      <w:szCs w:val="21"/>
                      <w:shd w:val="clear" w:color="auto" w:fill="auto"/>
                      <w:lang w:eastAsia="zh-CN"/>
                    </w:rPr>
                    <w:t>工序</w:t>
                  </w:r>
                </w:p>
              </w:tc>
              <w:tc>
                <w:tcPr>
                  <w:tcW w:w="4387"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eastAsia="宋体"/>
                      <w:color w:val="auto"/>
                      <w:kern w:val="2"/>
                      <w:sz w:val="21"/>
                      <w:szCs w:val="21"/>
                      <w:shd w:val="clear" w:color="auto" w:fill="auto"/>
                      <w:lang w:eastAsia="zh-CN"/>
                    </w:rPr>
                  </w:pPr>
                  <w:r>
                    <w:rPr>
                      <w:rFonts w:hint="eastAsia"/>
                      <w:color w:val="auto"/>
                      <w:sz w:val="21"/>
                      <w:szCs w:val="21"/>
                      <w:shd w:val="clear" w:color="auto" w:fill="auto"/>
                      <w:lang w:eastAsia="zh-CN"/>
                    </w:rPr>
                    <w:t>设置集气装置将废气收集后引至水喷淋+UV光解装置进行处理后经15m排气筒高空排放</w:t>
                  </w:r>
                </w:p>
              </w:tc>
              <w:tc>
                <w:tcPr>
                  <w:tcW w:w="1243" w:type="dxa"/>
                  <w:tcBorders>
                    <w:top w:val="single" w:color="auto" w:sz="4" w:space="0"/>
                    <w:left w:val="single" w:color="auto" w:sz="4" w:space="0"/>
                    <w:right w:val="single" w:color="auto" w:sz="4" w:space="0"/>
                  </w:tcBorders>
                  <w:vAlign w:val="center"/>
                </w:tcPr>
                <w:p>
                  <w:pPr>
                    <w:spacing w:line="360" w:lineRule="auto"/>
                    <w:jc w:val="center"/>
                    <w:rPr>
                      <w:color w:val="auto"/>
                      <w:kern w:val="0"/>
                      <w:sz w:val="21"/>
                      <w:szCs w:val="21"/>
                      <w:shd w:val="clear" w:color="auto" w:fill="auto"/>
                    </w:rPr>
                  </w:pPr>
                  <w:r>
                    <w:rPr>
                      <w:rFonts w:hint="eastAsia"/>
                      <w:color w:val="auto"/>
                      <w:kern w:val="0"/>
                      <w:sz w:val="21"/>
                      <w:szCs w:val="21"/>
                      <w:shd w:val="clear" w:color="auto" w:fill="auto"/>
                      <w:lang w:val="en-US" w:eastAsia="zh-CN"/>
                    </w:rPr>
                    <w:t>8</w:t>
                  </w:r>
                  <w:r>
                    <w:rPr>
                      <w:rFonts w:hint="eastAsia"/>
                      <w:color w:val="auto"/>
                      <w:kern w:val="0"/>
                      <w:sz w:val="21"/>
                      <w:szCs w:val="21"/>
                      <w:shd w:val="clear" w:color="auto" w:fil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57" w:type="dxa"/>
                  <w:vMerge w:val="continue"/>
                  <w:tcBorders>
                    <w:left w:val="single" w:color="auto" w:sz="4" w:space="0"/>
                    <w:right w:val="single" w:color="auto" w:sz="4" w:space="0"/>
                  </w:tcBorders>
                  <w:vAlign w:val="center"/>
                </w:tcPr>
                <w:p>
                  <w:pPr>
                    <w:jc w:val="cente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jc w:val="center"/>
                    <w:rPr>
                      <w:color w:val="auto"/>
                      <w:sz w:val="21"/>
                      <w:szCs w:val="21"/>
                      <w:shd w:val="clear" w:color="auto" w:fill="auto"/>
                    </w:rPr>
                  </w:pP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滚砂、</w:t>
                  </w:r>
                  <w:r>
                    <w:rPr>
                      <w:rFonts w:hint="eastAsia"/>
                      <w:color w:val="auto"/>
                      <w:sz w:val="21"/>
                      <w:szCs w:val="21"/>
                      <w:shd w:val="clear" w:color="auto" w:fill="auto"/>
                      <w:lang w:val="en-US" w:eastAsia="zh-CN"/>
                    </w:rPr>
                    <w:t>机加工工序</w:t>
                  </w:r>
                </w:p>
              </w:tc>
              <w:tc>
                <w:tcPr>
                  <w:tcW w:w="4387" w:type="dxa"/>
                  <w:tcBorders>
                    <w:left w:val="single" w:color="auto" w:sz="4" w:space="0"/>
                    <w:bottom w:val="single" w:color="auto" w:sz="4" w:space="0"/>
                    <w:right w:val="single" w:color="auto" w:sz="4" w:space="0"/>
                  </w:tcBorders>
                  <w:vAlign w:val="center"/>
                </w:tcPr>
                <w:p>
                  <w:pPr>
                    <w:snapToGrid w:val="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加强机械通风措施</w:t>
                  </w:r>
                </w:p>
              </w:tc>
              <w:tc>
                <w:tcPr>
                  <w:tcW w:w="1243" w:type="dxa"/>
                  <w:tcBorders>
                    <w:left w:val="single" w:color="auto" w:sz="4" w:space="0"/>
                    <w:right w:val="single" w:color="auto" w:sz="4" w:space="0"/>
                  </w:tcBorders>
                  <w:vAlign w:val="center"/>
                </w:tcPr>
                <w:p>
                  <w:pPr>
                    <w:spacing w:line="360" w:lineRule="auto"/>
                    <w:jc w:val="center"/>
                    <w:rPr>
                      <w:rFonts w:hint="eastAsia" w:eastAsia="宋体"/>
                      <w:color w:val="auto"/>
                      <w:kern w:val="0"/>
                      <w:sz w:val="21"/>
                      <w:szCs w:val="21"/>
                      <w:shd w:val="clear" w:color="auto" w:fill="auto"/>
                      <w:lang w:val="en-US" w:eastAsia="zh-CN"/>
                    </w:rPr>
                  </w:pPr>
                  <w:r>
                    <w:rPr>
                      <w:rFonts w:hint="eastAsia"/>
                      <w:color w:val="auto"/>
                      <w:kern w:val="0"/>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vMerge w:val="continue"/>
                  <w:tcBorders>
                    <w:left w:val="single" w:color="auto" w:sz="4" w:space="0"/>
                    <w:right w:val="single" w:color="auto" w:sz="4" w:space="0"/>
                  </w:tcBorders>
                  <w:vAlign w:val="center"/>
                </w:tcPr>
                <w:p>
                  <w:pPr>
                    <w:jc w:val="cente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jc w:val="center"/>
                    <w:rPr>
                      <w:color w:val="auto"/>
                      <w:sz w:val="21"/>
                      <w:szCs w:val="21"/>
                      <w:shd w:val="clear" w:color="auto" w:fill="auto"/>
                    </w:rPr>
                  </w:pP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抛光工序</w:t>
                  </w:r>
                </w:p>
              </w:tc>
              <w:tc>
                <w:tcPr>
                  <w:tcW w:w="4387" w:type="dxa"/>
                  <w:tcBorders>
                    <w:left w:val="single" w:color="auto" w:sz="4" w:space="0"/>
                    <w:bottom w:val="single" w:color="auto" w:sz="4" w:space="0"/>
                    <w:right w:val="single" w:color="auto" w:sz="4" w:space="0"/>
                  </w:tcBorders>
                  <w:vAlign w:val="center"/>
                </w:tcPr>
                <w:p>
                  <w:pPr>
                    <w:jc w:val="center"/>
                    <w:rPr>
                      <w:rFonts w:hint="eastAsia" w:eastAsia="宋体"/>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设置集气装置将粉尘收集后引至布袋除尘装置进行处理后经15m排气筒高空排放</w:t>
                  </w:r>
                </w:p>
              </w:tc>
              <w:tc>
                <w:tcPr>
                  <w:tcW w:w="1243" w:type="dxa"/>
                  <w:tcBorders>
                    <w:left w:val="single" w:color="auto" w:sz="4" w:space="0"/>
                    <w:right w:val="single" w:color="auto" w:sz="4" w:space="0"/>
                  </w:tcBorders>
                  <w:vAlign w:val="center"/>
                </w:tcPr>
                <w:p>
                  <w:pPr>
                    <w:spacing w:line="360" w:lineRule="auto"/>
                    <w:jc w:val="center"/>
                    <w:rPr>
                      <w:rFonts w:hint="eastAsia" w:eastAsia="宋体"/>
                      <w:color w:val="auto"/>
                      <w:kern w:val="0"/>
                      <w:sz w:val="21"/>
                      <w:szCs w:val="21"/>
                      <w:shd w:val="clear" w:color="auto" w:fill="auto"/>
                      <w:lang w:val="en-US" w:eastAsia="zh-CN"/>
                    </w:rPr>
                  </w:pPr>
                  <w:r>
                    <w:rPr>
                      <w:rFonts w:hint="eastAsia"/>
                      <w:color w:val="auto"/>
                      <w:kern w:val="0"/>
                      <w:sz w:val="21"/>
                      <w:szCs w:val="21"/>
                      <w:shd w:val="clear" w:color="auto" w:fill="auto"/>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vMerge w:val="restart"/>
                  <w:tcBorders>
                    <w:left w:val="single" w:color="auto" w:sz="4" w:space="0"/>
                    <w:right w:val="single" w:color="auto" w:sz="4" w:space="0"/>
                  </w:tcBorders>
                  <w:vAlign w:val="center"/>
                </w:tcPr>
                <w:p>
                  <w:pPr>
                    <w:jc w:val="center"/>
                    <w:rPr>
                      <w:color w:val="auto"/>
                      <w:kern w:val="0"/>
                      <w:sz w:val="21"/>
                      <w:szCs w:val="21"/>
                      <w:shd w:val="clear" w:color="auto" w:fill="auto"/>
                    </w:rPr>
                  </w:pPr>
                  <w:r>
                    <w:rPr>
                      <w:color w:val="auto"/>
                      <w:kern w:val="0"/>
                      <w:sz w:val="21"/>
                      <w:szCs w:val="21"/>
                      <w:shd w:val="clear" w:color="auto" w:fill="auto"/>
                    </w:rPr>
                    <w:t>2</w:t>
                  </w:r>
                </w:p>
              </w:tc>
              <w:tc>
                <w:tcPr>
                  <w:tcW w:w="1257" w:type="dxa"/>
                  <w:vMerge w:val="restart"/>
                  <w:tcBorders>
                    <w:left w:val="single" w:color="auto" w:sz="4" w:space="0"/>
                    <w:right w:val="single" w:color="auto" w:sz="4" w:space="0"/>
                  </w:tcBorders>
                  <w:vAlign w:val="center"/>
                </w:tcPr>
                <w:p>
                  <w:pPr>
                    <w:jc w:val="center"/>
                    <w:rPr>
                      <w:color w:val="auto"/>
                      <w:sz w:val="21"/>
                      <w:szCs w:val="21"/>
                      <w:shd w:val="clear" w:color="auto" w:fill="auto"/>
                    </w:rPr>
                  </w:pPr>
                  <w:r>
                    <w:rPr>
                      <w:rFonts w:hint="eastAsia" w:hAnsi="宋体"/>
                      <w:color w:val="auto"/>
                      <w:kern w:val="0"/>
                      <w:sz w:val="21"/>
                      <w:szCs w:val="21"/>
                      <w:shd w:val="clear" w:color="auto" w:fill="auto"/>
                    </w:rPr>
                    <w:t>水污染物</w:t>
                  </w: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冷却用水</w:t>
                  </w:r>
                </w:p>
              </w:tc>
              <w:tc>
                <w:tcPr>
                  <w:tcW w:w="4387"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循环使用，定期补充，不外排</w:t>
                  </w:r>
                </w:p>
              </w:tc>
              <w:tc>
                <w:tcPr>
                  <w:tcW w:w="124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color w:val="auto"/>
                      <w:kern w:val="0"/>
                      <w:sz w:val="21"/>
                      <w:szCs w:val="21"/>
                      <w:shd w:val="clear" w:color="auto" w:fill="auto"/>
                    </w:rPr>
                  </w:pPr>
                  <w:r>
                    <w:rPr>
                      <w:rFonts w:hint="eastAsia"/>
                      <w:color w:val="auto"/>
                      <w:kern w:val="0"/>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vMerge w:val="continue"/>
                  <w:tcBorders>
                    <w:left w:val="single" w:color="auto" w:sz="4" w:space="0"/>
                    <w:right w:val="single" w:color="auto" w:sz="4" w:space="0"/>
                  </w:tcBorders>
                  <w:vAlign w:val="center"/>
                </w:tcPr>
                <w:p>
                  <w:pPr>
                    <w:jc w:val="cente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jc w:val="center"/>
                    <w:rPr>
                      <w:rFonts w:hint="eastAsia" w:hAnsi="宋体"/>
                      <w:color w:val="auto"/>
                      <w:kern w:val="0"/>
                      <w:sz w:val="21"/>
                      <w:szCs w:val="21"/>
                      <w:shd w:val="clear" w:color="auto" w:fill="auto"/>
                    </w:rPr>
                  </w:pP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测试用水</w:t>
                  </w:r>
                </w:p>
              </w:tc>
              <w:tc>
                <w:tcPr>
                  <w:tcW w:w="4387"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循环使用，定期补充，不外排</w:t>
                  </w:r>
                </w:p>
              </w:tc>
              <w:tc>
                <w:tcPr>
                  <w:tcW w:w="124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color w:val="auto"/>
                      <w:kern w:val="0"/>
                      <w:sz w:val="21"/>
                      <w:szCs w:val="21"/>
                      <w:shd w:val="clear" w:color="auto" w:fill="auto"/>
                    </w:rPr>
                  </w:pPr>
                  <w:r>
                    <w:rPr>
                      <w:rFonts w:hint="eastAsia"/>
                      <w:color w:val="auto"/>
                      <w:kern w:val="0"/>
                      <w:sz w:val="21"/>
                      <w:szCs w:val="21"/>
                      <w:shd w:val="clear" w:color="auto" w:fil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7" w:type="dxa"/>
                  <w:vMerge w:val="continue"/>
                  <w:tcBorders>
                    <w:left w:val="single" w:color="auto" w:sz="4" w:space="0"/>
                    <w:right w:val="single" w:color="auto" w:sz="4" w:space="0"/>
                  </w:tcBorders>
                  <w:vAlign w:val="center"/>
                </w:tcPr>
                <w:p>
                  <w:pPr>
                    <w:jc w:val="cente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jc w:val="center"/>
                    <w:rPr>
                      <w:rFonts w:hint="eastAsia" w:hAnsi="宋体"/>
                      <w:color w:val="auto"/>
                      <w:kern w:val="0"/>
                      <w:sz w:val="21"/>
                      <w:szCs w:val="21"/>
                      <w:shd w:val="clear" w:color="auto" w:fill="auto"/>
                    </w:rPr>
                  </w:pP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喷淋废水</w:t>
                  </w:r>
                </w:p>
              </w:tc>
              <w:tc>
                <w:tcPr>
                  <w:tcW w:w="4387" w:type="dxa"/>
                  <w:tcBorders>
                    <w:top w:val="single" w:color="auto" w:sz="4" w:space="0"/>
                    <w:left w:val="single" w:color="auto" w:sz="4" w:space="0"/>
                    <w:bottom w:val="single" w:color="auto" w:sz="4" w:space="0"/>
                    <w:right w:val="single" w:color="auto" w:sz="4" w:space="0"/>
                  </w:tcBorders>
                  <w:vAlign w:val="center"/>
                </w:tcPr>
                <w:p>
                  <w:pPr>
                    <w:jc w:val="center"/>
                    <w:rPr>
                      <w:rFonts w:hint="eastAsia" w:hAnsi="宋体"/>
                      <w:color w:val="auto"/>
                      <w:sz w:val="21"/>
                      <w:szCs w:val="21"/>
                      <w:shd w:val="clear" w:color="auto" w:fill="auto"/>
                    </w:rPr>
                  </w:pPr>
                  <w:r>
                    <w:rPr>
                      <w:rFonts w:hint="default" w:ascii="Times New Roman" w:hAnsi="Times New Roman" w:cs="Times New Roman"/>
                      <w:color w:val="auto"/>
                      <w:kern w:val="0"/>
                      <w:sz w:val="21"/>
                      <w:szCs w:val="21"/>
                      <w:lang w:val="en-US" w:eastAsia="zh-CN"/>
                    </w:rPr>
                    <w:t>经收集后</w:t>
                  </w:r>
                  <w:r>
                    <w:rPr>
                      <w:rFonts w:hint="eastAsia" w:cs="Times New Roman"/>
                      <w:color w:val="auto"/>
                      <w:kern w:val="0"/>
                      <w:sz w:val="21"/>
                      <w:szCs w:val="21"/>
                      <w:lang w:val="en-US" w:eastAsia="zh-CN"/>
                    </w:rPr>
                    <w:t>定期交具有零星废水处理资质的单位处理，不外排</w:t>
                  </w:r>
                </w:p>
              </w:tc>
              <w:tc>
                <w:tcPr>
                  <w:tcW w:w="124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color w:val="auto"/>
                      <w:kern w:val="0"/>
                      <w:sz w:val="21"/>
                      <w:szCs w:val="21"/>
                      <w:shd w:val="clear" w:color="auto" w:fill="auto"/>
                      <w:lang w:val="en-US"/>
                    </w:rPr>
                  </w:pPr>
                  <w:r>
                    <w:rPr>
                      <w:rFonts w:hint="eastAsia"/>
                      <w:color w:val="auto"/>
                      <w:kern w:val="0"/>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7" w:type="dxa"/>
                  <w:vMerge w:val="continue"/>
                  <w:tcBorders>
                    <w:left w:val="single" w:color="auto" w:sz="4" w:space="0"/>
                    <w:right w:val="single" w:color="auto" w:sz="4" w:space="0"/>
                  </w:tcBorders>
                  <w:vAlign w:val="center"/>
                </w:tcPr>
                <w:p>
                  <w:pPr>
                    <w:jc w:val="cente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jc w:val="center"/>
                    <w:rPr>
                      <w:rFonts w:hint="eastAsia" w:hAnsi="宋体"/>
                      <w:color w:val="auto"/>
                      <w:kern w:val="0"/>
                      <w:sz w:val="21"/>
                      <w:szCs w:val="21"/>
                      <w:shd w:val="clear" w:color="auto" w:fill="auto"/>
                    </w:rPr>
                  </w:pPr>
                </w:p>
              </w:tc>
              <w:tc>
                <w:tcPr>
                  <w:tcW w:w="1924" w:type="dxa"/>
                  <w:tcBorders>
                    <w:top w:val="single" w:color="auto" w:sz="4" w:space="0"/>
                    <w:left w:val="single" w:color="auto" w:sz="4" w:space="0"/>
                    <w:bottom w:val="single" w:color="auto" w:sz="4" w:space="0"/>
                    <w:right w:val="single" w:color="auto" w:sz="4" w:space="0"/>
                  </w:tcBorders>
                  <w:vAlign w:val="center"/>
                </w:tcPr>
                <w:p>
                  <w:pPr>
                    <w:snapToGrid w:val="0"/>
                    <w:jc w:val="center"/>
                    <w:rPr>
                      <w:rFonts w:hint="eastAsia"/>
                      <w:color w:val="auto"/>
                      <w:sz w:val="21"/>
                      <w:szCs w:val="21"/>
                      <w:shd w:val="clear" w:color="auto" w:fill="auto"/>
                      <w:lang w:eastAsia="zh-CN"/>
                    </w:rPr>
                  </w:pPr>
                  <w:r>
                    <w:rPr>
                      <w:rFonts w:hint="eastAsia"/>
                      <w:color w:val="auto"/>
                      <w:sz w:val="21"/>
                      <w:szCs w:val="21"/>
                      <w:shd w:val="clear" w:color="auto" w:fill="auto"/>
                      <w:lang w:eastAsia="zh-CN"/>
                    </w:rPr>
                    <w:t>生活污水</w:t>
                  </w:r>
                </w:p>
              </w:tc>
              <w:tc>
                <w:tcPr>
                  <w:tcW w:w="4387" w:type="dxa"/>
                  <w:tcBorders>
                    <w:top w:val="single" w:color="auto" w:sz="4" w:space="0"/>
                    <w:left w:val="single" w:color="auto" w:sz="4" w:space="0"/>
                    <w:bottom w:val="single" w:color="auto" w:sz="4" w:space="0"/>
                    <w:right w:val="single" w:color="auto" w:sz="4" w:space="0"/>
                  </w:tcBorders>
                  <w:vAlign w:val="center"/>
                </w:tcPr>
                <w:p>
                  <w:pPr>
                    <w:jc w:val="center"/>
                    <w:rPr>
                      <w:rFonts w:hint="eastAsia" w:hAnsi="宋体"/>
                      <w:color w:val="auto"/>
                      <w:sz w:val="21"/>
                      <w:szCs w:val="21"/>
                      <w:shd w:val="clear" w:color="auto" w:fill="auto"/>
                    </w:rPr>
                  </w:pPr>
                  <w:r>
                    <w:rPr>
                      <w:rFonts w:hint="eastAsia" w:hAnsi="宋体"/>
                      <w:color w:val="auto"/>
                      <w:sz w:val="21"/>
                      <w:szCs w:val="21"/>
                      <w:shd w:val="clear" w:color="auto" w:fill="auto"/>
                    </w:rPr>
                    <w:t>生活污水经</w:t>
                  </w:r>
                  <w:r>
                    <w:rPr>
                      <w:rFonts w:hAnsi="宋体"/>
                      <w:color w:val="auto"/>
                      <w:sz w:val="21"/>
                      <w:szCs w:val="21"/>
                      <w:shd w:val="clear" w:color="auto" w:fill="auto"/>
                    </w:rPr>
                    <w:t>三级化粪池</w:t>
                  </w:r>
                  <w:r>
                    <w:rPr>
                      <w:rFonts w:hint="eastAsia" w:hAnsi="宋体"/>
                      <w:color w:val="auto"/>
                      <w:sz w:val="21"/>
                      <w:szCs w:val="21"/>
                      <w:shd w:val="clear" w:color="auto" w:fill="auto"/>
                    </w:rPr>
                    <w:t>预</w:t>
                  </w:r>
                  <w:r>
                    <w:rPr>
                      <w:rFonts w:hAnsi="宋体"/>
                      <w:color w:val="auto"/>
                      <w:sz w:val="21"/>
                      <w:szCs w:val="21"/>
                      <w:shd w:val="clear" w:color="auto" w:fill="auto"/>
                    </w:rPr>
                    <w:t>处理</w:t>
                  </w:r>
                  <w:r>
                    <w:rPr>
                      <w:rFonts w:hint="eastAsia" w:hAnsi="宋体"/>
                      <w:color w:val="auto"/>
                      <w:sz w:val="21"/>
                      <w:szCs w:val="21"/>
                      <w:shd w:val="clear" w:color="auto" w:fill="auto"/>
                    </w:rPr>
                    <w:t>后排入市政污水管网</w:t>
                  </w:r>
                </w:p>
              </w:tc>
              <w:tc>
                <w:tcPr>
                  <w:tcW w:w="124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color w:val="auto"/>
                      <w:kern w:val="0"/>
                      <w:sz w:val="21"/>
                      <w:szCs w:val="21"/>
                      <w:shd w:val="clear" w:color="auto" w:fill="auto"/>
                    </w:rPr>
                  </w:pPr>
                  <w:r>
                    <w:rPr>
                      <w:rFonts w:hint="eastAsia"/>
                      <w:color w:val="auto"/>
                      <w:kern w:val="0"/>
                      <w:sz w:val="21"/>
                      <w:szCs w:val="21"/>
                      <w:shd w:val="clear" w:color="auto" w:fil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457" w:type="dxa"/>
                  <w:vMerge w:val="restart"/>
                  <w:tcBorders>
                    <w:top w:val="single" w:color="auto" w:sz="4" w:space="0"/>
                    <w:left w:val="single" w:color="auto" w:sz="4" w:space="0"/>
                    <w:right w:val="single" w:color="auto" w:sz="4" w:space="0"/>
                  </w:tcBorders>
                  <w:vAlign w:val="center"/>
                </w:tcPr>
                <w:p>
                  <w:pPr>
                    <w:jc w:val="center"/>
                    <w:rPr>
                      <w:color w:val="auto"/>
                      <w:kern w:val="0"/>
                      <w:sz w:val="21"/>
                      <w:szCs w:val="21"/>
                      <w:shd w:val="clear" w:color="auto" w:fill="auto"/>
                    </w:rPr>
                  </w:pPr>
                  <w:r>
                    <w:rPr>
                      <w:color w:val="auto"/>
                      <w:kern w:val="0"/>
                      <w:sz w:val="21"/>
                      <w:szCs w:val="21"/>
                      <w:shd w:val="clear" w:color="auto" w:fill="auto"/>
                    </w:rPr>
                    <w:t>3</w:t>
                  </w:r>
                </w:p>
              </w:tc>
              <w:tc>
                <w:tcPr>
                  <w:tcW w:w="1257" w:type="dxa"/>
                  <w:vMerge w:val="restart"/>
                  <w:tcBorders>
                    <w:top w:val="single" w:color="auto" w:sz="4" w:space="0"/>
                    <w:left w:val="single" w:color="auto" w:sz="4" w:space="0"/>
                    <w:right w:val="single" w:color="auto" w:sz="4" w:space="0"/>
                  </w:tcBorders>
                  <w:vAlign w:val="center"/>
                </w:tcPr>
                <w:p>
                  <w:pPr>
                    <w:jc w:val="center"/>
                    <w:rPr>
                      <w:rFonts w:hAnsi="宋体"/>
                      <w:color w:val="auto"/>
                      <w:kern w:val="0"/>
                      <w:sz w:val="21"/>
                      <w:szCs w:val="21"/>
                      <w:shd w:val="clear" w:color="auto" w:fill="auto"/>
                    </w:rPr>
                  </w:pPr>
                  <w:r>
                    <w:rPr>
                      <w:rFonts w:hint="eastAsia" w:hAnsi="宋体"/>
                      <w:color w:val="auto"/>
                      <w:kern w:val="0"/>
                      <w:sz w:val="21"/>
                      <w:szCs w:val="21"/>
                      <w:shd w:val="clear" w:color="auto" w:fill="auto"/>
                    </w:rPr>
                    <w:t>固体废物</w:t>
                  </w:r>
                </w:p>
              </w:tc>
              <w:tc>
                <w:tcPr>
                  <w:tcW w:w="1924" w:type="dxa"/>
                  <w:tcBorders>
                    <w:top w:val="single" w:color="auto" w:sz="4" w:space="0"/>
                    <w:left w:val="single" w:color="auto" w:sz="4" w:space="0"/>
                    <w:bottom w:val="single" w:color="auto" w:sz="4" w:space="0"/>
                    <w:right w:val="single" w:color="auto" w:sz="4" w:space="0"/>
                  </w:tcBorders>
                  <w:vAlign w:val="center"/>
                </w:tcPr>
                <w:p>
                  <w:pPr>
                    <w:jc w:val="center"/>
                    <w:rPr>
                      <w:color w:val="auto"/>
                      <w:sz w:val="21"/>
                      <w:szCs w:val="21"/>
                      <w:shd w:val="clear" w:color="auto" w:fill="auto"/>
                    </w:rPr>
                  </w:pPr>
                  <w:r>
                    <w:rPr>
                      <w:rFonts w:hint="eastAsia"/>
                      <w:color w:val="auto"/>
                      <w:sz w:val="21"/>
                      <w:szCs w:val="21"/>
                      <w:shd w:val="clear" w:color="auto" w:fill="auto"/>
                    </w:rPr>
                    <w:t>生活垃圾</w:t>
                  </w:r>
                </w:p>
              </w:tc>
              <w:tc>
                <w:tcPr>
                  <w:tcW w:w="4387" w:type="dxa"/>
                  <w:tcBorders>
                    <w:top w:val="single" w:color="auto" w:sz="4" w:space="0"/>
                    <w:left w:val="single" w:color="auto" w:sz="4" w:space="0"/>
                    <w:bottom w:val="single" w:color="auto" w:sz="4" w:space="0"/>
                    <w:right w:val="single" w:color="auto" w:sz="4" w:space="0"/>
                  </w:tcBorders>
                  <w:vAlign w:val="center"/>
                </w:tcPr>
                <w:p>
                  <w:pPr>
                    <w:jc w:val="center"/>
                    <w:rPr>
                      <w:color w:val="auto"/>
                      <w:sz w:val="21"/>
                      <w:szCs w:val="21"/>
                      <w:shd w:val="clear" w:color="auto" w:fill="auto"/>
                    </w:rPr>
                  </w:pPr>
                  <w:r>
                    <w:rPr>
                      <w:rFonts w:hint="eastAsia"/>
                      <w:color w:val="auto"/>
                      <w:sz w:val="21"/>
                      <w:szCs w:val="21"/>
                      <w:shd w:val="clear" w:color="auto" w:fill="auto"/>
                    </w:rPr>
                    <w:t>环卫部门处理</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 w:val="21"/>
                      <w:szCs w:val="21"/>
                      <w:shd w:val="clear" w:color="auto" w:fill="auto"/>
                    </w:rPr>
                  </w:pPr>
                  <w:r>
                    <w:rPr>
                      <w:rFonts w:hint="eastAsia"/>
                      <w:color w:val="auto"/>
                      <w:kern w:val="0"/>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457" w:type="dxa"/>
                  <w:vMerge w:val="continue"/>
                  <w:tcBorders>
                    <w:left w:val="single" w:color="auto" w:sz="4" w:space="0"/>
                    <w:right w:val="single" w:color="auto" w:sz="4" w:space="0"/>
                  </w:tcBorders>
                  <w:vAlign w:val="center"/>
                </w:tcPr>
                <w:p>
                  <w:pP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rPr>
                      <w:rFonts w:hAnsi="宋体"/>
                      <w:color w:val="auto"/>
                      <w:kern w:val="0"/>
                      <w:sz w:val="21"/>
                      <w:szCs w:val="21"/>
                      <w:shd w:val="clear" w:color="auto" w:fill="auto"/>
                    </w:rPr>
                  </w:pPr>
                </w:p>
              </w:tc>
              <w:tc>
                <w:tcPr>
                  <w:tcW w:w="1924" w:type="dxa"/>
                  <w:tcBorders>
                    <w:top w:val="single" w:color="auto" w:sz="4" w:space="0"/>
                    <w:left w:val="single" w:color="auto" w:sz="4" w:space="0"/>
                    <w:right w:val="single" w:color="auto" w:sz="4" w:space="0"/>
                  </w:tcBorders>
                  <w:vAlign w:val="center"/>
                </w:tcPr>
                <w:p>
                  <w:pPr>
                    <w:jc w:val="center"/>
                    <w:rPr>
                      <w:color w:val="auto"/>
                      <w:sz w:val="21"/>
                      <w:szCs w:val="21"/>
                      <w:shd w:val="clear" w:color="auto" w:fill="auto"/>
                    </w:rPr>
                  </w:pPr>
                  <w:r>
                    <w:rPr>
                      <w:rFonts w:hint="eastAsia"/>
                      <w:color w:val="auto"/>
                      <w:sz w:val="21"/>
                      <w:szCs w:val="21"/>
                      <w:shd w:val="clear" w:color="auto" w:fill="auto"/>
                    </w:rPr>
                    <w:t>一般工业固废</w:t>
                  </w:r>
                </w:p>
              </w:tc>
              <w:tc>
                <w:tcPr>
                  <w:tcW w:w="4387" w:type="dxa"/>
                  <w:tcBorders>
                    <w:top w:val="single" w:color="auto" w:sz="4" w:space="0"/>
                    <w:left w:val="single" w:color="auto" w:sz="4" w:space="0"/>
                    <w:bottom w:val="single" w:color="auto" w:sz="4" w:space="0"/>
                    <w:right w:val="single" w:color="auto" w:sz="4" w:space="0"/>
                  </w:tcBorders>
                  <w:vAlign w:val="center"/>
                </w:tcPr>
                <w:p>
                  <w:pPr>
                    <w:jc w:val="center"/>
                    <w:rPr>
                      <w:color w:val="auto"/>
                      <w:sz w:val="21"/>
                      <w:szCs w:val="21"/>
                      <w:shd w:val="clear" w:color="auto" w:fill="auto"/>
                    </w:rPr>
                  </w:pPr>
                  <w:r>
                    <w:rPr>
                      <w:rFonts w:hint="eastAsia"/>
                      <w:color w:val="auto"/>
                      <w:sz w:val="21"/>
                      <w:szCs w:val="21"/>
                      <w:shd w:val="clear" w:color="auto" w:fill="auto"/>
                    </w:rPr>
                    <w:t>交专业公司回收处理</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 w:val="21"/>
                      <w:szCs w:val="21"/>
                      <w:shd w:val="clear" w:color="auto" w:fill="auto"/>
                    </w:rPr>
                  </w:pPr>
                  <w:r>
                    <w:rPr>
                      <w:rFonts w:hint="eastAsia"/>
                      <w:color w:val="auto"/>
                      <w:kern w:val="0"/>
                      <w:sz w:val="21"/>
                      <w:szCs w:val="21"/>
                      <w:shd w:val="clear" w:color="auto" w:fil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457" w:type="dxa"/>
                  <w:vMerge w:val="continue"/>
                  <w:tcBorders>
                    <w:left w:val="single" w:color="auto" w:sz="4" w:space="0"/>
                    <w:right w:val="single" w:color="auto" w:sz="4" w:space="0"/>
                  </w:tcBorders>
                  <w:vAlign w:val="center"/>
                </w:tcPr>
                <w:p>
                  <w:pPr>
                    <w:rPr>
                      <w:color w:val="auto"/>
                      <w:kern w:val="0"/>
                      <w:sz w:val="21"/>
                      <w:szCs w:val="21"/>
                      <w:shd w:val="clear" w:color="auto" w:fill="auto"/>
                    </w:rPr>
                  </w:pPr>
                </w:p>
              </w:tc>
              <w:tc>
                <w:tcPr>
                  <w:tcW w:w="1257" w:type="dxa"/>
                  <w:vMerge w:val="continue"/>
                  <w:tcBorders>
                    <w:left w:val="single" w:color="auto" w:sz="4" w:space="0"/>
                    <w:right w:val="single" w:color="auto" w:sz="4" w:space="0"/>
                  </w:tcBorders>
                  <w:vAlign w:val="center"/>
                </w:tcPr>
                <w:p>
                  <w:pPr>
                    <w:rPr>
                      <w:rFonts w:hAnsi="宋体"/>
                      <w:color w:val="auto"/>
                      <w:kern w:val="0"/>
                      <w:sz w:val="21"/>
                      <w:szCs w:val="21"/>
                      <w:shd w:val="clear" w:color="auto" w:fill="auto"/>
                    </w:rPr>
                  </w:pPr>
                </w:p>
              </w:tc>
              <w:tc>
                <w:tcPr>
                  <w:tcW w:w="1924" w:type="dxa"/>
                  <w:tcBorders>
                    <w:top w:val="single" w:color="auto" w:sz="4" w:space="0"/>
                    <w:left w:val="single" w:color="auto" w:sz="4" w:space="0"/>
                    <w:right w:val="single" w:color="auto" w:sz="4" w:space="0"/>
                  </w:tcBorders>
                  <w:vAlign w:val="center"/>
                </w:tcPr>
                <w:p>
                  <w:pPr>
                    <w:jc w:val="center"/>
                    <w:rPr>
                      <w:rFonts w:hint="eastAsia"/>
                      <w:color w:val="auto"/>
                      <w:sz w:val="21"/>
                      <w:szCs w:val="21"/>
                      <w:shd w:val="clear" w:color="auto" w:fill="auto"/>
                    </w:rPr>
                  </w:pPr>
                  <w:r>
                    <w:rPr>
                      <w:rFonts w:hint="eastAsia"/>
                      <w:color w:val="auto"/>
                      <w:sz w:val="21"/>
                      <w:szCs w:val="21"/>
                    </w:rPr>
                    <w:t>危险废物</w:t>
                  </w:r>
                </w:p>
              </w:tc>
              <w:tc>
                <w:tcPr>
                  <w:tcW w:w="4387"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 w:val="21"/>
                      <w:szCs w:val="21"/>
                      <w:shd w:val="clear" w:color="auto" w:fill="auto"/>
                    </w:rPr>
                  </w:pPr>
                  <w:r>
                    <w:rPr>
                      <w:rFonts w:hint="eastAsia" w:hAnsi="宋体"/>
                      <w:color w:val="auto"/>
                      <w:sz w:val="21"/>
                      <w:szCs w:val="21"/>
                    </w:rPr>
                    <w:t>交给有危险废物处置资质单位处置</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kern w:val="0"/>
                      <w:sz w:val="21"/>
                      <w:szCs w:val="21"/>
                      <w:shd w:val="clear" w:color="auto" w:fill="auto"/>
                      <w:lang w:val="en-US" w:eastAsia="zh-CN"/>
                    </w:rPr>
                  </w:pPr>
                  <w:r>
                    <w:rPr>
                      <w:rFonts w:hint="eastAsia"/>
                      <w:color w:val="auto"/>
                      <w:kern w:val="0"/>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 w:val="21"/>
                      <w:szCs w:val="21"/>
                      <w:shd w:val="clear" w:color="auto" w:fill="auto"/>
                    </w:rPr>
                  </w:pPr>
                  <w:r>
                    <w:rPr>
                      <w:color w:val="auto"/>
                      <w:kern w:val="0"/>
                      <w:sz w:val="21"/>
                      <w:szCs w:val="21"/>
                      <w:shd w:val="clear" w:color="auto" w:fill="auto"/>
                    </w:rPr>
                    <w:t>4</w:t>
                  </w:r>
                </w:p>
              </w:tc>
              <w:tc>
                <w:tcPr>
                  <w:tcW w:w="3181"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 w:val="21"/>
                      <w:szCs w:val="21"/>
                      <w:shd w:val="clear" w:color="auto" w:fill="auto"/>
                    </w:rPr>
                  </w:pPr>
                  <w:r>
                    <w:rPr>
                      <w:rFonts w:hint="eastAsia" w:hAnsi="宋体"/>
                      <w:color w:val="auto"/>
                      <w:kern w:val="0"/>
                      <w:sz w:val="21"/>
                      <w:szCs w:val="21"/>
                      <w:shd w:val="clear" w:color="auto" w:fill="auto"/>
                    </w:rPr>
                    <w:t>噪声</w:t>
                  </w:r>
                </w:p>
              </w:tc>
              <w:tc>
                <w:tcPr>
                  <w:tcW w:w="4387" w:type="dxa"/>
                  <w:tcBorders>
                    <w:top w:val="single" w:color="auto" w:sz="4" w:space="0"/>
                    <w:left w:val="single" w:color="auto" w:sz="4" w:space="0"/>
                    <w:bottom w:val="single" w:color="auto" w:sz="4" w:space="0"/>
                    <w:right w:val="single" w:color="auto" w:sz="4" w:space="0"/>
                  </w:tcBorders>
                  <w:vAlign w:val="center"/>
                </w:tcPr>
                <w:p>
                  <w:pPr>
                    <w:pStyle w:val="57"/>
                    <w:rPr>
                      <w:rFonts w:hAnsi="宋体"/>
                      <w:color w:val="auto"/>
                      <w:kern w:val="2"/>
                      <w:sz w:val="21"/>
                      <w:szCs w:val="21"/>
                      <w:shd w:val="clear" w:color="auto" w:fill="auto"/>
                    </w:rPr>
                  </w:pPr>
                  <w:r>
                    <w:rPr>
                      <w:rFonts w:hint="eastAsia" w:hAnsi="宋体"/>
                      <w:bCs/>
                      <w:color w:val="auto"/>
                      <w:kern w:val="2"/>
                      <w:sz w:val="21"/>
                      <w:szCs w:val="21"/>
                      <w:shd w:val="clear" w:color="auto" w:fill="auto"/>
                    </w:rPr>
                    <w:t>稳固设备，安装消声器，设置隔音门窗，设置单独隔声间，</w:t>
                  </w:r>
                  <w:r>
                    <w:rPr>
                      <w:rFonts w:hint="eastAsia" w:hAnsi="宋体"/>
                      <w:color w:val="auto"/>
                      <w:kern w:val="2"/>
                      <w:sz w:val="21"/>
                      <w:szCs w:val="21"/>
                      <w:shd w:val="clear" w:color="auto" w:fill="auto"/>
                    </w:rPr>
                    <w:t>定期对各种机械设备进行维护与保养，适时添加润滑油</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kern w:val="0"/>
                      <w:sz w:val="21"/>
                      <w:szCs w:val="21"/>
                      <w:shd w:val="clear" w:color="auto" w:fill="auto"/>
                      <w:lang w:val="en-US" w:eastAsia="zh-CN"/>
                    </w:rPr>
                  </w:pPr>
                  <w:r>
                    <w:rPr>
                      <w:rFonts w:hint="eastAsia"/>
                      <w:color w:val="auto"/>
                      <w:kern w:val="0"/>
                      <w:sz w:val="21"/>
                      <w:szCs w:val="21"/>
                      <w:shd w:val="clear" w:color="auto" w:fill="auto"/>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457"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 w:val="21"/>
                      <w:szCs w:val="21"/>
                      <w:shd w:val="clear" w:color="auto" w:fill="auto"/>
                    </w:rPr>
                  </w:pPr>
                  <w:r>
                    <w:rPr>
                      <w:color w:val="auto"/>
                      <w:kern w:val="0"/>
                      <w:sz w:val="21"/>
                      <w:szCs w:val="21"/>
                      <w:shd w:val="clear" w:color="auto" w:fill="auto"/>
                    </w:rPr>
                    <w:t>5</w:t>
                  </w:r>
                </w:p>
              </w:tc>
              <w:tc>
                <w:tcPr>
                  <w:tcW w:w="7568" w:type="dxa"/>
                  <w:gridSpan w:val="3"/>
                  <w:tcBorders>
                    <w:top w:val="single" w:color="auto" w:sz="4" w:space="0"/>
                    <w:left w:val="single" w:color="auto" w:sz="4" w:space="0"/>
                    <w:bottom w:val="single" w:color="auto" w:sz="4" w:space="0"/>
                    <w:right w:val="single" w:color="auto" w:sz="4" w:space="0"/>
                  </w:tcBorders>
                  <w:vAlign w:val="center"/>
                </w:tcPr>
                <w:p>
                  <w:pPr>
                    <w:jc w:val="center"/>
                    <w:rPr>
                      <w:color w:val="auto"/>
                      <w:sz w:val="21"/>
                      <w:szCs w:val="21"/>
                      <w:shd w:val="clear" w:color="auto" w:fill="auto"/>
                    </w:rPr>
                  </w:pPr>
                  <w:r>
                    <w:rPr>
                      <w:rFonts w:hint="eastAsia" w:hAnsi="宋体"/>
                      <w:color w:val="auto"/>
                      <w:kern w:val="0"/>
                      <w:sz w:val="21"/>
                      <w:szCs w:val="21"/>
                      <w:shd w:val="clear" w:color="auto" w:fill="auto"/>
                    </w:rPr>
                    <w:t>合计</w:t>
                  </w:r>
                </w:p>
              </w:tc>
              <w:tc>
                <w:tcPr>
                  <w:tcW w:w="1243"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auto"/>
                      <w:kern w:val="0"/>
                      <w:sz w:val="21"/>
                      <w:szCs w:val="21"/>
                      <w:shd w:val="clear" w:color="auto" w:fill="auto"/>
                      <w:lang w:val="en-US" w:eastAsia="zh-CN"/>
                    </w:rPr>
                  </w:pPr>
                  <w:r>
                    <w:rPr>
                      <w:rFonts w:hint="eastAsia"/>
                      <w:color w:val="auto"/>
                      <w:kern w:val="0"/>
                      <w:sz w:val="21"/>
                      <w:szCs w:val="21"/>
                      <w:shd w:val="clear" w:color="auto" w:fill="auto"/>
                      <w:lang w:val="en-US" w:eastAsia="zh-CN"/>
                    </w:rPr>
                    <w:t>18.0</w:t>
                  </w:r>
                </w:p>
              </w:tc>
            </w:tr>
          </w:tbl>
          <w:p>
            <w:pPr>
              <w:numPr>
                <w:ilvl w:val="0"/>
                <w:numId w:val="0"/>
              </w:numPr>
              <w:adjustRightInd w:val="0"/>
              <w:snapToGrid w:val="0"/>
              <w:spacing w:line="240" w:lineRule="auto"/>
              <w:ind w:firstLine="482" w:firstLineChars="200"/>
              <w:rPr>
                <w:rFonts w:hint="eastAsia" w:ascii="宋体" w:hAnsi="宋体"/>
                <w:b/>
                <w:color w:val="auto"/>
                <w:sz w:val="24"/>
                <w:highlight w:val="none"/>
              </w:rPr>
            </w:pPr>
            <w:r>
              <w:rPr>
                <w:rFonts w:hint="eastAsia" w:ascii="宋体" w:hAnsi="宋体"/>
                <w:b/>
                <w:bCs w:val="0"/>
                <w:color w:val="auto"/>
                <w:sz w:val="24"/>
                <w:highlight w:val="none"/>
                <w:lang w:eastAsia="zh-CN"/>
              </w:rPr>
              <w:t>九、</w:t>
            </w:r>
            <w:r>
              <w:rPr>
                <w:rFonts w:hint="eastAsia" w:ascii="宋体" w:hAnsi="宋体"/>
                <w:b/>
                <w:bCs w:val="0"/>
                <w:color w:val="auto"/>
                <w:sz w:val="24"/>
                <w:highlight w:val="none"/>
              </w:rPr>
              <w:t>项</w:t>
            </w:r>
            <w:r>
              <w:rPr>
                <w:rFonts w:hint="eastAsia" w:ascii="宋体" w:hAnsi="宋体"/>
                <w:b/>
                <w:color w:val="auto"/>
                <w:sz w:val="24"/>
                <w:highlight w:val="none"/>
              </w:rPr>
              <w:t>目 “三同时”环境保护验收情况见下表：</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hint="eastAsia" w:ascii="Times New Roman" w:hAnsi="Times New Roman" w:eastAsia="宋体" w:cs="Times New Roman"/>
                <w:b/>
                <w:color w:val="auto"/>
                <w:kern w:val="0"/>
                <w:sz w:val="21"/>
                <w:szCs w:val="21"/>
                <w:highlight w:val="none"/>
                <w:lang w:val="en-US" w:eastAsia="zh-CN" w:bidi="ar-SA"/>
              </w:rPr>
              <w:t>建设项目“三同时”环境保护验收一览表</w:t>
            </w:r>
          </w:p>
          <w:tbl>
            <w:tblPr>
              <w:tblStyle w:val="40"/>
              <w:tblW w:w="932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57" w:type="dxa"/>
                <w:bottom w:w="57" w:type="dxa"/>
                <w:right w:w="57" w:type="dxa"/>
              </w:tblCellMar>
            </w:tblPr>
            <w:tblGrid>
              <w:gridCol w:w="543"/>
              <w:gridCol w:w="1924"/>
              <w:gridCol w:w="2160"/>
              <w:gridCol w:w="1245"/>
              <w:gridCol w:w="345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tcBorders>
                    <w:top w:val="single" w:color="auto" w:sz="4" w:space="0"/>
                    <w:left w:val="single" w:color="auto" w:sz="4" w:space="0"/>
                  </w:tcBorders>
                  <w:vAlign w:val="center"/>
                </w:tcPr>
                <w:p>
                  <w:pPr>
                    <w:spacing w:line="240" w:lineRule="auto"/>
                    <w:jc w:val="center"/>
                    <w:rPr>
                      <w:b/>
                      <w:color w:val="auto"/>
                      <w:sz w:val="21"/>
                      <w:szCs w:val="21"/>
                      <w:highlight w:val="none"/>
                    </w:rPr>
                  </w:pPr>
                  <w:r>
                    <w:rPr>
                      <w:b/>
                      <w:color w:val="auto"/>
                      <w:sz w:val="21"/>
                      <w:szCs w:val="21"/>
                      <w:highlight w:val="none"/>
                    </w:rPr>
                    <w:t>项目</w:t>
                  </w:r>
                </w:p>
              </w:tc>
              <w:tc>
                <w:tcPr>
                  <w:tcW w:w="1924" w:type="dxa"/>
                  <w:tcBorders>
                    <w:top w:val="single" w:color="auto" w:sz="4" w:space="0"/>
                  </w:tcBorders>
                  <w:vAlign w:val="center"/>
                </w:tcPr>
                <w:p>
                  <w:pPr>
                    <w:spacing w:line="240" w:lineRule="auto"/>
                    <w:jc w:val="center"/>
                    <w:rPr>
                      <w:b/>
                      <w:color w:val="auto"/>
                      <w:sz w:val="21"/>
                      <w:szCs w:val="21"/>
                      <w:highlight w:val="none"/>
                    </w:rPr>
                  </w:pPr>
                  <w:r>
                    <w:rPr>
                      <w:b/>
                      <w:color w:val="auto"/>
                      <w:sz w:val="21"/>
                      <w:szCs w:val="21"/>
                      <w:highlight w:val="none"/>
                    </w:rPr>
                    <w:t>污染源</w:t>
                  </w:r>
                </w:p>
              </w:tc>
              <w:tc>
                <w:tcPr>
                  <w:tcW w:w="2160" w:type="dxa"/>
                  <w:tcBorders>
                    <w:top w:val="single" w:color="auto" w:sz="4" w:space="0"/>
                  </w:tcBorders>
                  <w:vAlign w:val="center"/>
                </w:tcPr>
                <w:p>
                  <w:pPr>
                    <w:spacing w:line="240" w:lineRule="auto"/>
                    <w:jc w:val="center"/>
                    <w:rPr>
                      <w:b/>
                      <w:color w:val="auto"/>
                      <w:sz w:val="21"/>
                      <w:szCs w:val="21"/>
                      <w:highlight w:val="none"/>
                    </w:rPr>
                  </w:pPr>
                  <w:r>
                    <w:rPr>
                      <w:b/>
                      <w:color w:val="auto"/>
                      <w:sz w:val="21"/>
                      <w:szCs w:val="21"/>
                      <w:highlight w:val="none"/>
                    </w:rPr>
                    <w:t>防治措施</w:t>
                  </w:r>
                </w:p>
              </w:tc>
              <w:tc>
                <w:tcPr>
                  <w:tcW w:w="1245" w:type="dxa"/>
                  <w:tcBorders>
                    <w:top w:val="single" w:color="auto" w:sz="4" w:space="0"/>
                  </w:tcBorders>
                  <w:vAlign w:val="center"/>
                </w:tcPr>
                <w:p>
                  <w:pPr>
                    <w:spacing w:line="240" w:lineRule="auto"/>
                    <w:jc w:val="center"/>
                    <w:rPr>
                      <w:b/>
                      <w:color w:val="auto"/>
                      <w:sz w:val="21"/>
                      <w:szCs w:val="21"/>
                      <w:highlight w:val="none"/>
                    </w:rPr>
                  </w:pPr>
                  <w:r>
                    <w:rPr>
                      <w:b/>
                      <w:color w:val="auto"/>
                      <w:sz w:val="21"/>
                      <w:szCs w:val="21"/>
                      <w:highlight w:val="none"/>
                    </w:rPr>
                    <w:t>规模</w:t>
                  </w:r>
                </w:p>
              </w:tc>
              <w:tc>
                <w:tcPr>
                  <w:tcW w:w="3453" w:type="dxa"/>
                  <w:tcBorders>
                    <w:top w:val="single" w:color="auto" w:sz="4" w:space="0"/>
                    <w:right w:val="single" w:color="auto" w:sz="4" w:space="0"/>
                  </w:tcBorders>
                  <w:vAlign w:val="center"/>
                </w:tcPr>
                <w:p>
                  <w:pPr>
                    <w:spacing w:line="240" w:lineRule="auto"/>
                    <w:jc w:val="center"/>
                    <w:rPr>
                      <w:b/>
                      <w:color w:val="auto"/>
                      <w:sz w:val="21"/>
                      <w:szCs w:val="21"/>
                      <w:highlight w:val="none"/>
                    </w:rPr>
                  </w:pPr>
                  <w:r>
                    <w:rPr>
                      <w:b/>
                      <w:color w:val="auto"/>
                      <w:sz w:val="21"/>
                      <w:szCs w:val="21"/>
                      <w:highlight w:val="none"/>
                    </w:rPr>
                    <w:t>验收要求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restart"/>
                  <w:tcBorders>
                    <w:left w:val="single" w:color="auto" w:sz="4" w:space="0"/>
                  </w:tcBorders>
                  <w:vAlign w:val="center"/>
                </w:tcPr>
                <w:p>
                  <w:pPr>
                    <w:spacing w:line="240" w:lineRule="auto"/>
                    <w:rPr>
                      <w:color w:val="auto"/>
                      <w:szCs w:val="21"/>
                      <w:highlight w:val="none"/>
                    </w:rPr>
                  </w:pPr>
                  <w:r>
                    <w:rPr>
                      <w:color w:val="auto"/>
                      <w:szCs w:val="21"/>
                      <w:highlight w:val="none"/>
                    </w:rPr>
                    <w:t>废气</w:t>
                  </w:r>
                </w:p>
              </w:tc>
              <w:tc>
                <w:tcPr>
                  <w:tcW w:w="1924" w:type="dxa"/>
                  <w:tcBorders>
                    <w:bottom w:val="single" w:color="auto" w:sz="4" w:space="0"/>
                  </w:tcBorders>
                  <w:vAlign w:val="center"/>
                </w:tcPr>
                <w:p>
                  <w:pPr>
                    <w:widowControl/>
                    <w:autoSpaceDE w:val="0"/>
                    <w:autoSpaceDN w:val="0"/>
                    <w:adjustRightInd w:val="0"/>
                    <w:spacing w:line="240" w:lineRule="auto"/>
                    <w:jc w:val="center"/>
                    <w:textAlignment w:val="baseline"/>
                    <w:rPr>
                      <w:rFonts w:ascii="Times New Roman" w:hAnsi="Times New Roman"/>
                      <w:color w:val="auto"/>
                      <w:position w:val="0"/>
                      <w:sz w:val="21"/>
                      <w:szCs w:val="21"/>
                      <w:highlight w:val="none"/>
                    </w:rPr>
                  </w:pPr>
                  <w:r>
                    <w:rPr>
                      <w:rFonts w:hint="eastAsia" w:ascii="宋体" w:hAnsi="Impact"/>
                      <w:bCs/>
                      <w:color w:val="auto"/>
                      <w:kern w:val="24"/>
                      <w:sz w:val="21"/>
                      <w:szCs w:val="21"/>
                      <w:lang w:val="en-US" w:eastAsia="zh-CN"/>
                    </w:rPr>
                    <w:t>熔化、</w:t>
                  </w:r>
                  <w:r>
                    <w:rPr>
                      <w:rFonts w:hint="eastAsia" w:ascii="Times New Roman" w:hAnsi="Times New Roman" w:cs="Times New Roman"/>
                      <w:color w:val="auto"/>
                      <w:kern w:val="2"/>
                      <w:sz w:val="21"/>
                      <w:szCs w:val="21"/>
                      <w:lang w:val="en-US" w:eastAsia="zh-CN"/>
                    </w:rPr>
                    <w:t>铸造</w:t>
                  </w:r>
                  <w:r>
                    <w:rPr>
                      <w:rFonts w:hint="eastAsia" w:cs="Times New Roman"/>
                      <w:color w:val="auto"/>
                      <w:kern w:val="2"/>
                      <w:sz w:val="21"/>
                      <w:szCs w:val="21"/>
                      <w:lang w:val="en-US" w:eastAsia="zh-CN"/>
                    </w:rPr>
                    <w:t>工序</w:t>
                  </w:r>
                </w:p>
              </w:tc>
              <w:tc>
                <w:tcPr>
                  <w:tcW w:w="2160" w:type="dxa"/>
                  <w:vMerge w:val="restart"/>
                  <w:vAlign w:val="center"/>
                </w:tcPr>
                <w:p>
                  <w:pPr>
                    <w:snapToGrid w:val="0"/>
                    <w:spacing w:line="240" w:lineRule="auto"/>
                    <w:jc w:val="center"/>
                    <w:rPr>
                      <w:rFonts w:hint="eastAsia" w:eastAsia="宋体"/>
                      <w:color w:val="auto"/>
                      <w:sz w:val="21"/>
                      <w:szCs w:val="21"/>
                      <w:highlight w:val="none"/>
                      <w:lang w:eastAsia="zh-CN"/>
                    </w:rPr>
                  </w:pPr>
                  <w:r>
                    <w:rPr>
                      <w:rFonts w:hint="eastAsia"/>
                      <w:color w:val="auto"/>
                      <w:sz w:val="21"/>
                      <w:szCs w:val="21"/>
                      <w:shd w:val="clear" w:color="auto" w:fill="auto"/>
                      <w:lang w:eastAsia="zh-CN"/>
                    </w:rPr>
                    <w:t>设置集气装置将废气收集后引至水喷淋+UV光解装置进行处理后经15m排气筒高空排放</w:t>
                  </w:r>
                </w:p>
              </w:tc>
              <w:tc>
                <w:tcPr>
                  <w:tcW w:w="1245" w:type="dxa"/>
                  <w:tcBorders>
                    <w:bottom w:val="single" w:color="auto" w:sz="4" w:space="0"/>
                  </w:tcBorders>
                  <w:vAlign w:val="center"/>
                </w:tcPr>
                <w:p>
                  <w:pPr>
                    <w:snapToGrid w:val="0"/>
                    <w:spacing w:line="240" w:lineRule="auto"/>
                    <w:jc w:val="center"/>
                    <w:rPr>
                      <w:rFonts w:hint="eastAsia"/>
                      <w:color w:val="auto"/>
                      <w:szCs w:val="21"/>
                      <w:highlight w:val="none"/>
                    </w:rPr>
                  </w:pPr>
                  <w:r>
                    <w:rPr>
                      <w:rFonts w:hint="eastAsia"/>
                      <w:color w:val="auto"/>
                      <w:szCs w:val="21"/>
                      <w:highlight w:val="none"/>
                      <w:lang w:val="en-US" w:eastAsia="zh-CN"/>
                    </w:rPr>
                    <w:t>烟尘：0.177</w:t>
                  </w:r>
                  <w:r>
                    <w:rPr>
                      <w:rFonts w:hint="eastAsia"/>
                      <w:color w:val="auto"/>
                      <w:szCs w:val="21"/>
                      <w:highlight w:val="none"/>
                    </w:rPr>
                    <w:t>mg/m</w:t>
                  </w:r>
                  <w:r>
                    <w:rPr>
                      <w:rFonts w:hint="eastAsia"/>
                      <w:color w:val="auto"/>
                      <w:szCs w:val="21"/>
                      <w:highlight w:val="none"/>
                      <w:vertAlign w:val="superscript"/>
                    </w:rPr>
                    <w:t>3</w:t>
                  </w:r>
                </w:p>
                <w:p>
                  <w:pPr>
                    <w:spacing w:line="240" w:lineRule="auto"/>
                    <w:jc w:val="center"/>
                    <w:rPr>
                      <w:rFonts w:hint="eastAsia"/>
                      <w:color w:val="auto"/>
                      <w:szCs w:val="21"/>
                      <w:highlight w:val="none"/>
                      <w:lang w:val="en-US" w:eastAsia="zh-CN"/>
                    </w:rPr>
                  </w:pPr>
                  <w:r>
                    <w:rPr>
                      <w:rFonts w:hint="eastAsia"/>
                      <w:color w:val="auto"/>
                      <w:szCs w:val="21"/>
                      <w:highlight w:val="none"/>
                      <w:lang w:val="en-US" w:eastAsia="zh-CN"/>
                    </w:rPr>
                    <w:t>0.01t</w:t>
                  </w:r>
                  <w:r>
                    <w:rPr>
                      <w:rFonts w:hint="eastAsia"/>
                      <w:color w:val="auto"/>
                      <w:szCs w:val="21"/>
                      <w:highlight w:val="none"/>
                    </w:rPr>
                    <w:t>/a</w:t>
                  </w:r>
                </w:p>
              </w:tc>
              <w:tc>
                <w:tcPr>
                  <w:tcW w:w="3453" w:type="dxa"/>
                  <w:tcBorders>
                    <w:bottom w:val="single" w:color="auto" w:sz="4" w:space="0"/>
                    <w:right w:val="single" w:color="auto" w:sz="4" w:space="0"/>
                  </w:tcBorders>
                  <w:vAlign w:val="center"/>
                </w:tcPr>
                <w:p>
                  <w:pPr>
                    <w:spacing w:line="240" w:lineRule="auto"/>
                    <w:jc w:val="center"/>
                    <w:rPr>
                      <w:color w:val="auto"/>
                      <w:sz w:val="21"/>
                      <w:szCs w:val="21"/>
                      <w:highlight w:val="none"/>
                    </w:rPr>
                  </w:pPr>
                  <w:r>
                    <w:rPr>
                      <w:rFonts w:hint="eastAsia" w:hAnsi="宋体"/>
                      <w:color w:val="auto"/>
                      <w:sz w:val="21"/>
                      <w:szCs w:val="21"/>
                    </w:rPr>
                    <w:t>达到《工业炉窑大气污染物排放标准》（GB9078-1996）表2“金属熔化炉”二级标准</w:t>
                  </w:r>
                  <w:r>
                    <w:rPr>
                      <w:rFonts w:hint="eastAsia" w:hAnsi="宋体"/>
                      <w:color w:val="auto"/>
                      <w:sz w:val="21"/>
                      <w:szCs w:val="21"/>
                      <w:lang w:eastAsia="zh-CN"/>
                    </w:rPr>
                    <w:t>和广东省地方标准《大气污染物排放限值》（DB44/27－2001）无组织排放监控浓度限值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097"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bottom w:val="single" w:color="auto" w:sz="4" w:space="0"/>
                  </w:tcBorders>
                  <w:vAlign w:val="center"/>
                </w:tcPr>
                <w:p>
                  <w:pPr>
                    <w:widowControl/>
                    <w:autoSpaceDE w:val="0"/>
                    <w:autoSpaceDN w:val="0"/>
                    <w:adjustRightInd w:val="0"/>
                    <w:spacing w:line="240" w:lineRule="auto"/>
                    <w:jc w:val="center"/>
                    <w:textAlignment w:val="baseline"/>
                    <w:rPr>
                      <w:rFonts w:hint="eastAsia" w:ascii="宋体" w:hAnsi="Impact"/>
                      <w:bCs/>
                      <w:color w:val="auto"/>
                      <w:kern w:val="24"/>
                      <w:sz w:val="21"/>
                      <w:szCs w:val="21"/>
                      <w:lang w:val="en-US" w:eastAsia="zh-CN"/>
                    </w:rPr>
                  </w:pPr>
                  <w:r>
                    <w:rPr>
                      <w:rFonts w:hint="eastAsia" w:ascii="Times New Roman" w:hAnsi="Times New Roman" w:cs="Times New Roman"/>
                      <w:color w:val="auto"/>
                      <w:kern w:val="2"/>
                      <w:sz w:val="21"/>
                      <w:szCs w:val="21"/>
                      <w:lang w:val="en-US" w:eastAsia="zh-CN"/>
                    </w:rPr>
                    <w:t>制芯</w:t>
                  </w:r>
                  <w:r>
                    <w:rPr>
                      <w:rFonts w:hint="eastAsia" w:cs="Times New Roman"/>
                      <w:color w:val="auto"/>
                      <w:kern w:val="2"/>
                      <w:sz w:val="21"/>
                      <w:szCs w:val="21"/>
                      <w:lang w:val="en-US" w:eastAsia="zh-CN"/>
                    </w:rPr>
                    <w:t>、铸造</w:t>
                  </w:r>
                  <w:r>
                    <w:rPr>
                      <w:rFonts w:hint="default" w:ascii="Times New Roman" w:hAnsi="Times New Roman" w:eastAsia="宋体" w:cs="Times New Roman"/>
                      <w:color w:val="auto"/>
                      <w:kern w:val="2"/>
                      <w:sz w:val="21"/>
                      <w:szCs w:val="21"/>
                    </w:rPr>
                    <w:t>工序</w:t>
                  </w:r>
                </w:p>
              </w:tc>
              <w:tc>
                <w:tcPr>
                  <w:tcW w:w="2160" w:type="dxa"/>
                  <w:vMerge w:val="continue"/>
                  <w:tcBorders>
                    <w:bottom w:val="single" w:color="auto" w:sz="4" w:space="0"/>
                  </w:tcBorders>
                  <w:vAlign w:val="center"/>
                </w:tcPr>
                <w:p>
                  <w:pPr>
                    <w:snapToGrid w:val="0"/>
                    <w:spacing w:line="240" w:lineRule="auto"/>
                    <w:jc w:val="center"/>
                    <w:rPr>
                      <w:rFonts w:hint="eastAsia"/>
                      <w:color w:val="auto"/>
                      <w:sz w:val="21"/>
                      <w:szCs w:val="21"/>
                      <w:shd w:val="clear" w:color="auto" w:fill="auto"/>
                      <w:lang w:eastAsia="zh-CN"/>
                    </w:rPr>
                  </w:pPr>
                </w:p>
              </w:tc>
              <w:tc>
                <w:tcPr>
                  <w:tcW w:w="1245" w:type="dxa"/>
                  <w:tcBorders>
                    <w:top w:val="single" w:color="auto" w:sz="4" w:space="0"/>
                    <w:bottom w:val="single" w:color="auto" w:sz="4" w:space="0"/>
                  </w:tcBorders>
                  <w:vAlign w:val="center"/>
                </w:tcPr>
                <w:p>
                  <w:pPr>
                    <w:snapToGrid w:val="0"/>
                    <w:spacing w:line="240" w:lineRule="auto"/>
                    <w:jc w:val="center"/>
                    <w:rPr>
                      <w:rFonts w:hint="eastAsia"/>
                      <w:color w:val="auto"/>
                      <w:sz w:val="21"/>
                      <w:szCs w:val="21"/>
                      <w:lang w:val="en-US" w:eastAsia="zh-CN"/>
                    </w:rPr>
                  </w:pPr>
                  <w:r>
                    <w:rPr>
                      <w:rFonts w:hint="eastAsia"/>
                      <w:color w:val="auto"/>
                      <w:sz w:val="21"/>
                      <w:szCs w:val="21"/>
                      <w:lang w:val="en-US" w:eastAsia="zh-CN"/>
                    </w:rPr>
                    <w:t>非甲烷总烃：</w:t>
                  </w:r>
                </w:p>
                <w:p>
                  <w:pPr>
                    <w:snapToGrid w:val="0"/>
                    <w:spacing w:line="240" w:lineRule="auto"/>
                    <w:jc w:val="center"/>
                    <w:rPr>
                      <w:rFonts w:hint="eastAsia"/>
                      <w:color w:val="auto"/>
                      <w:sz w:val="21"/>
                      <w:szCs w:val="21"/>
                    </w:rPr>
                  </w:pPr>
                  <w:r>
                    <w:rPr>
                      <w:rFonts w:hint="eastAsia"/>
                      <w:color w:val="auto"/>
                      <w:sz w:val="21"/>
                      <w:szCs w:val="21"/>
                      <w:lang w:val="en-US" w:eastAsia="zh-CN"/>
                    </w:rPr>
                    <w:t>0.102</w:t>
                  </w:r>
                  <w:r>
                    <w:rPr>
                      <w:rFonts w:hint="eastAsia"/>
                      <w:color w:val="auto"/>
                      <w:sz w:val="21"/>
                      <w:szCs w:val="21"/>
                    </w:rPr>
                    <w:t>mg/m</w:t>
                  </w:r>
                  <w:r>
                    <w:rPr>
                      <w:rFonts w:hint="eastAsia"/>
                      <w:color w:val="auto"/>
                      <w:sz w:val="21"/>
                      <w:szCs w:val="21"/>
                      <w:vertAlign w:val="superscript"/>
                    </w:rPr>
                    <w:t>3</w:t>
                  </w:r>
                </w:p>
                <w:p>
                  <w:pPr>
                    <w:spacing w:line="240" w:lineRule="auto"/>
                    <w:jc w:val="center"/>
                    <w:rPr>
                      <w:rFonts w:hint="eastAsia"/>
                      <w:color w:val="auto"/>
                      <w:sz w:val="21"/>
                      <w:szCs w:val="21"/>
                    </w:rPr>
                  </w:pPr>
                  <w:r>
                    <w:rPr>
                      <w:rFonts w:hint="eastAsia"/>
                      <w:color w:val="auto"/>
                      <w:sz w:val="21"/>
                      <w:szCs w:val="21"/>
                      <w:lang w:val="en-US" w:eastAsia="zh-CN"/>
                    </w:rPr>
                    <w:t>0.006t</w:t>
                  </w:r>
                  <w:r>
                    <w:rPr>
                      <w:rFonts w:hint="eastAsia"/>
                      <w:color w:val="auto"/>
                      <w:sz w:val="21"/>
                      <w:szCs w:val="21"/>
                    </w:rPr>
                    <w:t>/a</w:t>
                  </w:r>
                </w:p>
                <w:p>
                  <w:pPr>
                    <w:pStyle w:val="47"/>
                    <w:rPr>
                      <w:rFonts w:hint="eastAsia"/>
                      <w:color w:val="auto"/>
                      <w:sz w:val="21"/>
                      <w:szCs w:val="21"/>
                      <w:lang w:val="en-US" w:eastAsia="zh-CN"/>
                    </w:rPr>
                  </w:pPr>
                  <w:r>
                    <w:rPr>
                      <w:rFonts w:hint="default" w:ascii="Times New Roman" w:hAnsi="Times New Roman" w:cs="Times New Roman"/>
                      <w:color w:val="auto"/>
                      <w:sz w:val="21"/>
                      <w:szCs w:val="21"/>
                      <w:lang w:val="en-US" w:eastAsia="zh-CN"/>
                    </w:rPr>
                    <w:t>臭气浓度</w:t>
                  </w:r>
                  <w:r>
                    <w:rPr>
                      <w:rFonts w:hint="eastAsia" w:ascii="Times New Roman" w:cs="Times New Roman"/>
                      <w:color w:val="auto"/>
                      <w:sz w:val="21"/>
                      <w:szCs w:val="21"/>
                      <w:lang w:val="en-US" w:eastAsia="zh-CN"/>
                    </w:rPr>
                    <w:t>：</w:t>
                  </w:r>
                  <w:r>
                    <w:rPr>
                      <w:rFonts w:hint="eastAsia" w:ascii="Times New Roman" w:hAnsi="Times New Roman"/>
                      <w:color w:val="auto"/>
                      <w:sz w:val="21"/>
                      <w:szCs w:val="21"/>
                      <w:lang w:val="en-US" w:eastAsia="zh-CN"/>
                    </w:rPr>
                    <w:t>&lt;2</w:t>
                  </w:r>
                  <w:r>
                    <w:rPr>
                      <w:rFonts w:hint="eastAsia" w:ascii="Times New Roman" w:hAnsi="Times New Roman" w:cs="Times New Roman"/>
                      <w:color w:val="auto"/>
                      <w:sz w:val="21"/>
                      <w:szCs w:val="21"/>
                      <w:shd w:val="clear" w:color="auto" w:fill="auto"/>
                      <w:lang w:val="en-US" w:eastAsia="zh-CN"/>
                    </w:rPr>
                    <w:t>2000</w:t>
                  </w:r>
                  <w:r>
                    <w:rPr>
                      <w:rFonts w:hint="eastAsia" w:ascii="Times New Roman" w:hAnsi="Times New Roman"/>
                      <w:color w:val="auto"/>
                      <w:sz w:val="21"/>
                      <w:szCs w:val="21"/>
                      <w:lang w:eastAsia="zh-CN"/>
                    </w:rPr>
                    <w:t>（</w:t>
                  </w:r>
                  <w:r>
                    <w:rPr>
                      <w:rFonts w:hint="eastAsia" w:ascii="Times New Roman" w:hAnsi="Times New Roman"/>
                      <w:color w:val="auto"/>
                      <w:sz w:val="21"/>
                      <w:szCs w:val="21"/>
                      <w:lang w:val="en-US" w:eastAsia="zh-CN"/>
                    </w:rPr>
                    <w:t>无纲量</w:t>
                  </w:r>
                  <w:r>
                    <w:rPr>
                      <w:rFonts w:hint="eastAsia" w:ascii="Times New Roman" w:hAnsi="Times New Roman"/>
                      <w:color w:val="auto"/>
                      <w:sz w:val="21"/>
                      <w:szCs w:val="21"/>
                      <w:lang w:eastAsia="zh-CN"/>
                    </w:rPr>
                    <w:t>）</w:t>
                  </w:r>
                </w:p>
              </w:tc>
              <w:tc>
                <w:tcPr>
                  <w:tcW w:w="3453" w:type="dxa"/>
                  <w:tcBorders>
                    <w:top w:val="single" w:color="auto" w:sz="4" w:space="0"/>
                    <w:bottom w:val="single" w:color="auto" w:sz="4" w:space="0"/>
                    <w:right w:val="single" w:color="auto" w:sz="4" w:space="0"/>
                  </w:tcBorders>
                  <w:vAlign w:val="center"/>
                </w:tcPr>
                <w:p>
                  <w:pPr>
                    <w:spacing w:line="240" w:lineRule="auto"/>
                    <w:jc w:val="center"/>
                    <w:rPr>
                      <w:rFonts w:hint="eastAsia" w:eastAsia="宋体"/>
                      <w:color w:val="auto"/>
                      <w:sz w:val="21"/>
                      <w:szCs w:val="21"/>
                      <w:lang w:eastAsia="zh-CN"/>
                    </w:rPr>
                  </w:pPr>
                  <w:r>
                    <w:rPr>
                      <w:rFonts w:hint="eastAsia"/>
                      <w:color w:val="auto"/>
                      <w:sz w:val="21"/>
                      <w:szCs w:val="21"/>
                      <w:lang w:val="en-US" w:eastAsia="zh-CN"/>
                    </w:rPr>
                    <w:t>非甲烷总烃</w:t>
                  </w:r>
                  <w:r>
                    <w:rPr>
                      <w:rFonts w:hint="eastAsia"/>
                      <w:color w:val="auto"/>
                      <w:sz w:val="21"/>
                      <w:szCs w:val="21"/>
                    </w:rPr>
                    <w:t>达到</w:t>
                  </w:r>
                  <w:r>
                    <w:rPr>
                      <w:rFonts w:hint="eastAsia"/>
                      <w:color w:val="auto"/>
                      <w:sz w:val="21"/>
                      <w:szCs w:val="21"/>
                      <w:lang w:eastAsia="zh-CN"/>
                    </w:rPr>
                    <w:t>广东省地方标准《大气污染物排放限值》（DB44/27-2001）中第二时段二级标准和第二时段无组织排放监控浓度限值；</w:t>
                  </w:r>
                  <w:r>
                    <w:rPr>
                      <w:rFonts w:hint="default" w:ascii="Times New Roman" w:hAnsi="Times New Roman" w:cs="Times New Roman"/>
                      <w:color w:val="auto"/>
                      <w:sz w:val="21"/>
                      <w:szCs w:val="21"/>
                      <w:lang w:val="en-US" w:eastAsia="zh-CN"/>
                    </w:rPr>
                    <w:t>臭气浓度达到《恶臭污染物排放标准》（GB 14554—93）表1恶臭污染物厂界标准值二级新扩改建臭气浓度</w:t>
                  </w:r>
                  <w:r>
                    <w:rPr>
                      <w:rFonts w:hint="eastAsia" w:cs="Times New Roman"/>
                      <w:color w:val="auto"/>
                      <w:sz w:val="21"/>
                      <w:szCs w:val="21"/>
                      <w:lang w:val="en-US" w:eastAsia="zh-CN"/>
                    </w:rPr>
                    <w:t>和</w:t>
                  </w:r>
                  <w:r>
                    <w:rPr>
                      <w:rFonts w:hint="default" w:ascii="Times New Roman" w:hAnsi="Times New Roman" w:cs="Times New Roman"/>
                      <w:color w:val="auto"/>
                      <w:sz w:val="21"/>
                      <w:szCs w:val="21"/>
                      <w:lang w:val="en-US" w:eastAsia="zh-CN"/>
                    </w:rPr>
                    <w:t>表2恶臭污染物排放标准值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458"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vAlign w:val="center"/>
                </w:tcPr>
                <w:p>
                  <w:pPr>
                    <w:pStyle w:val="57"/>
                    <w:spacing w:line="240" w:lineRule="auto"/>
                    <w:rPr>
                      <w:rFonts w:ascii="Times New Roman" w:hAnsi="Times New Roman"/>
                      <w:color w:val="auto"/>
                      <w:position w:val="0"/>
                      <w:sz w:val="21"/>
                      <w:szCs w:val="21"/>
                      <w:highlight w:val="none"/>
                    </w:rPr>
                  </w:pPr>
                  <w:r>
                    <w:rPr>
                      <w:rFonts w:hint="eastAsia"/>
                      <w:color w:val="auto"/>
                      <w:sz w:val="21"/>
                      <w:szCs w:val="21"/>
                      <w:lang w:eastAsia="zh-CN"/>
                    </w:rPr>
                    <w:t>滚砂、</w:t>
                  </w:r>
                  <w:r>
                    <w:rPr>
                      <w:rFonts w:hint="eastAsia" w:ascii="Times New Roman" w:hAnsi="Times New Roman" w:cs="Times New Roman"/>
                      <w:color w:val="auto"/>
                      <w:kern w:val="2"/>
                      <w:sz w:val="21"/>
                      <w:szCs w:val="21"/>
                      <w:lang w:val="en-US" w:eastAsia="zh-CN"/>
                    </w:rPr>
                    <w:t>机加工工序</w:t>
                  </w:r>
                </w:p>
              </w:tc>
              <w:tc>
                <w:tcPr>
                  <w:tcW w:w="2160" w:type="dxa"/>
                  <w:vAlign w:val="center"/>
                </w:tcPr>
                <w:p>
                  <w:pPr>
                    <w:snapToGrid w:val="0"/>
                    <w:spacing w:line="240" w:lineRule="auto"/>
                    <w:jc w:val="center"/>
                    <w:rPr>
                      <w:color w:val="auto"/>
                      <w:sz w:val="21"/>
                      <w:szCs w:val="21"/>
                      <w:highlight w:val="none"/>
                    </w:rPr>
                  </w:pPr>
                  <w:r>
                    <w:rPr>
                      <w:rFonts w:hint="eastAsia"/>
                      <w:color w:val="auto"/>
                      <w:sz w:val="21"/>
                      <w:szCs w:val="21"/>
                      <w:shd w:val="clear" w:color="auto" w:fill="auto"/>
                      <w:lang w:eastAsia="zh-CN"/>
                    </w:rPr>
                    <w:t>加强机械通风措施</w:t>
                  </w:r>
                </w:p>
              </w:tc>
              <w:tc>
                <w:tcPr>
                  <w:tcW w:w="1245" w:type="dxa"/>
                  <w:tcBorders>
                    <w:top w:val="single" w:color="auto" w:sz="4" w:space="0"/>
                  </w:tcBorders>
                  <w:vAlign w:val="center"/>
                </w:tcPr>
                <w:p>
                  <w:pPr>
                    <w:snapToGrid w:val="0"/>
                    <w:spacing w:line="240" w:lineRule="auto"/>
                    <w:jc w:val="center"/>
                    <w:rPr>
                      <w:color w:val="auto"/>
                      <w:szCs w:val="21"/>
                      <w:highlight w:val="none"/>
                    </w:rPr>
                  </w:pPr>
                  <w:r>
                    <w:rPr>
                      <w:rFonts w:hint="eastAsia"/>
                      <w:color w:val="auto"/>
                      <w:kern w:val="0"/>
                      <w:szCs w:val="21"/>
                      <w:highlight w:val="none"/>
                      <w:lang w:val="en-US" w:eastAsia="zh-CN"/>
                    </w:rPr>
                    <w:t>粉尘：0.012</w:t>
                  </w:r>
                  <w:r>
                    <w:rPr>
                      <w:rFonts w:hint="eastAsia"/>
                      <w:color w:val="auto"/>
                      <w:szCs w:val="21"/>
                      <w:highlight w:val="none"/>
                      <w:lang w:val="en-US" w:eastAsia="zh-CN"/>
                    </w:rPr>
                    <w:t>t</w:t>
                  </w:r>
                  <w:r>
                    <w:rPr>
                      <w:rFonts w:hint="eastAsia"/>
                      <w:color w:val="auto"/>
                      <w:szCs w:val="21"/>
                      <w:highlight w:val="none"/>
                    </w:rPr>
                    <w:t>/a</w:t>
                  </w:r>
                  <w:r>
                    <w:rPr>
                      <w:color w:val="auto"/>
                      <w:szCs w:val="21"/>
                      <w:highlight w:val="none"/>
                    </w:rPr>
                    <w:t xml:space="preserve"> </w:t>
                  </w:r>
                </w:p>
              </w:tc>
              <w:tc>
                <w:tcPr>
                  <w:tcW w:w="3453" w:type="dxa"/>
                  <w:tcBorders>
                    <w:top w:val="single" w:color="auto" w:sz="4" w:space="0"/>
                    <w:right w:val="single" w:color="auto" w:sz="4" w:space="0"/>
                  </w:tcBorders>
                  <w:vAlign w:val="center"/>
                </w:tcPr>
                <w:p>
                  <w:pPr>
                    <w:spacing w:line="240" w:lineRule="auto"/>
                    <w:jc w:val="center"/>
                    <w:rPr>
                      <w:color w:val="auto"/>
                      <w:sz w:val="21"/>
                      <w:szCs w:val="21"/>
                      <w:highlight w:val="none"/>
                    </w:rPr>
                  </w:pPr>
                  <w:r>
                    <w:rPr>
                      <w:rFonts w:hint="eastAsia"/>
                      <w:color w:val="auto"/>
                      <w:szCs w:val="21"/>
                      <w:lang w:eastAsia="zh-CN"/>
                    </w:rPr>
                    <w:t>达到</w:t>
                  </w:r>
                  <w:r>
                    <w:rPr>
                      <w:color w:val="auto"/>
                      <w:szCs w:val="21"/>
                    </w:rPr>
                    <w:t>广东省地方标准《大气污染物排放限值》（DB44/27</w:t>
                  </w:r>
                  <w:r>
                    <w:rPr>
                      <w:rFonts w:hint="default" w:ascii="Times New Roman" w:hAnsi="Times New Roman" w:cs="Times New Roman"/>
                      <w:color w:val="auto"/>
                      <w:sz w:val="21"/>
                      <w:szCs w:val="21"/>
                      <w:shd w:val="clear" w:color="auto" w:fill="auto"/>
                    </w:rPr>
                    <w:t>-</w:t>
                  </w:r>
                  <w:r>
                    <w:rPr>
                      <w:color w:val="auto"/>
                      <w:szCs w:val="21"/>
                    </w:rPr>
                    <w:t>2001）第二时段无组织排放监控浓度限值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485"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vAlign w:val="center"/>
                </w:tcPr>
                <w:p>
                  <w:pPr>
                    <w:pStyle w:val="57"/>
                    <w:spacing w:line="240" w:lineRule="auto"/>
                    <w:rPr>
                      <w:rFonts w:ascii="Times New Roman" w:hAnsi="Times New Roman"/>
                      <w:color w:val="auto"/>
                      <w:position w:val="0"/>
                      <w:sz w:val="21"/>
                      <w:szCs w:val="21"/>
                      <w:highlight w:val="none"/>
                    </w:rPr>
                  </w:pPr>
                  <w:r>
                    <w:rPr>
                      <w:rFonts w:hint="eastAsia" w:ascii="Times New Roman" w:hAnsi="Times New Roman"/>
                      <w:color w:val="auto"/>
                      <w:kern w:val="2"/>
                      <w:sz w:val="21"/>
                      <w:szCs w:val="21"/>
                      <w:shd w:val="clear" w:color="auto" w:fill="auto"/>
                      <w:lang w:eastAsia="zh-CN"/>
                    </w:rPr>
                    <w:t>抛光工序</w:t>
                  </w:r>
                </w:p>
              </w:tc>
              <w:tc>
                <w:tcPr>
                  <w:tcW w:w="2160" w:type="dxa"/>
                  <w:vAlign w:val="center"/>
                </w:tcPr>
                <w:p>
                  <w:pPr>
                    <w:spacing w:line="240" w:lineRule="auto"/>
                    <w:jc w:val="center"/>
                    <w:rPr>
                      <w:rFonts w:hint="eastAsia" w:eastAsia="宋体"/>
                      <w:color w:val="auto"/>
                      <w:sz w:val="21"/>
                      <w:szCs w:val="21"/>
                      <w:highlight w:val="none"/>
                      <w:lang w:eastAsia="zh-CN"/>
                    </w:rPr>
                  </w:pPr>
                  <w:r>
                    <w:rPr>
                      <w:rFonts w:hint="default" w:ascii="Times New Roman" w:hAnsi="Times New Roman" w:cs="Times New Roman"/>
                      <w:color w:val="auto"/>
                      <w:sz w:val="21"/>
                      <w:szCs w:val="21"/>
                      <w:shd w:val="clear" w:color="auto" w:fill="auto"/>
                      <w:lang w:eastAsia="zh-CN"/>
                    </w:rPr>
                    <w:t>设置集气装置将粉尘收集后引至布袋除尘装置进行处理后经15m排气筒高空排放</w:t>
                  </w:r>
                </w:p>
              </w:tc>
              <w:tc>
                <w:tcPr>
                  <w:tcW w:w="1245" w:type="dxa"/>
                  <w:vAlign w:val="center"/>
                </w:tcPr>
                <w:p>
                  <w:pPr>
                    <w:snapToGrid w:val="0"/>
                    <w:spacing w:line="240" w:lineRule="auto"/>
                    <w:jc w:val="center"/>
                    <w:rPr>
                      <w:rFonts w:hint="eastAsia"/>
                      <w:color w:val="auto"/>
                      <w:szCs w:val="21"/>
                      <w:highlight w:val="none"/>
                    </w:rPr>
                  </w:pPr>
                  <w:r>
                    <w:rPr>
                      <w:rFonts w:hint="eastAsia"/>
                      <w:color w:val="auto"/>
                      <w:szCs w:val="21"/>
                      <w:highlight w:val="none"/>
                      <w:lang w:val="en-US" w:eastAsia="zh-CN"/>
                    </w:rPr>
                    <w:t>粉尘：0.006</w:t>
                  </w:r>
                  <w:r>
                    <w:rPr>
                      <w:rFonts w:hint="eastAsia"/>
                      <w:color w:val="auto"/>
                      <w:szCs w:val="21"/>
                      <w:highlight w:val="none"/>
                    </w:rPr>
                    <w:t>mg/m</w:t>
                  </w:r>
                  <w:r>
                    <w:rPr>
                      <w:rFonts w:hint="eastAsia"/>
                      <w:color w:val="auto"/>
                      <w:szCs w:val="21"/>
                      <w:highlight w:val="none"/>
                      <w:vertAlign w:val="superscript"/>
                    </w:rPr>
                    <w:t>3</w:t>
                  </w:r>
                </w:p>
                <w:p>
                  <w:pPr>
                    <w:spacing w:line="240" w:lineRule="auto"/>
                    <w:jc w:val="center"/>
                    <w:rPr>
                      <w:rFonts w:hint="eastAsia"/>
                      <w:color w:val="auto"/>
                      <w:szCs w:val="21"/>
                      <w:highlight w:val="none"/>
                    </w:rPr>
                  </w:pPr>
                  <w:r>
                    <w:rPr>
                      <w:rFonts w:hint="eastAsia"/>
                      <w:color w:val="auto"/>
                      <w:szCs w:val="21"/>
                      <w:highlight w:val="none"/>
                      <w:lang w:val="en-US" w:eastAsia="zh-CN"/>
                    </w:rPr>
                    <w:t>0.001t</w:t>
                  </w:r>
                  <w:r>
                    <w:rPr>
                      <w:rFonts w:hint="eastAsia"/>
                      <w:color w:val="auto"/>
                      <w:szCs w:val="21"/>
                      <w:highlight w:val="none"/>
                    </w:rPr>
                    <w:t>/a</w:t>
                  </w:r>
                </w:p>
                <w:p>
                  <w:pPr>
                    <w:snapToGrid w:val="0"/>
                    <w:spacing w:line="240" w:lineRule="auto"/>
                    <w:jc w:val="center"/>
                    <w:rPr>
                      <w:color w:val="auto"/>
                      <w:szCs w:val="21"/>
                      <w:highlight w:val="none"/>
                    </w:rPr>
                  </w:pPr>
                </w:p>
              </w:tc>
              <w:tc>
                <w:tcPr>
                  <w:tcW w:w="3453" w:type="dxa"/>
                  <w:tcBorders>
                    <w:right w:val="single" w:color="auto" w:sz="4" w:space="0"/>
                  </w:tcBorders>
                  <w:vAlign w:val="center"/>
                </w:tcPr>
                <w:p>
                  <w:pPr>
                    <w:spacing w:line="240" w:lineRule="auto"/>
                    <w:jc w:val="center"/>
                    <w:rPr>
                      <w:color w:val="auto"/>
                      <w:sz w:val="21"/>
                      <w:szCs w:val="21"/>
                      <w:highlight w:val="none"/>
                    </w:rPr>
                  </w:pPr>
                  <w:r>
                    <w:rPr>
                      <w:rFonts w:hint="default" w:ascii="Times New Roman" w:hAnsi="Times New Roman" w:cs="Times New Roman"/>
                      <w:color w:val="auto"/>
                      <w:sz w:val="21"/>
                      <w:szCs w:val="21"/>
                      <w:shd w:val="clear" w:color="auto" w:fill="auto"/>
                    </w:rPr>
                    <w:t>达到广东省地方标准《大气污染物排放限值》（DB44/27-2001）中第二时段二级标准和无组织排放监控浓度限值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restart"/>
                  <w:tcBorders>
                    <w:top w:val="single" w:color="auto" w:sz="4" w:space="0"/>
                    <w:left w:val="single" w:color="auto" w:sz="4" w:space="0"/>
                  </w:tcBorders>
                  <w:vAlign w:val="center"/>
                </w:tcPr>
                <w:p>
                  <w:pPr>
                    <w:spacing w:line="240" w:lineRule="auto"/>
                    <w:rPr>
                      <w:color w:val="auto"/>
                      <w:szCs w:val="21"/>
                      <w:highlight w:val="none"/>
                    </w:rPr>
                  </w:pPr>
                  <w:r>
                    <w:rPr>
                      <w:color w:val="auto"/>
                      <w:szCs w:val="21"/>
                      <w:highlight w:val="none"/>
                    </w:rPr>
                    <w:t>废水</w:t>
                  </w:r>
                </w:p>
              </w:tc>
              <w:tc>
                <w:tcPr>
                  <w:tcW w:w="1924" w:type="dxa"/>
                  <w:tcBorders>
                    <w:top w:val="single" w:color="auto" w:sz="4" w:space="0"/>
                  </w:tcBorders>
                  <w:vAlign w:val="center"/>
                </w:tcPr>
                <w:p>
                  <w:pPr>
                    <w:spacing w:line="240" w:lineRule="auto"/>
                    <w:jc w:val="center"/>
                    <w:rPr>
                      <w:color w:val="auto"/>
                      <w:sz w:val="21"/>
                      <w:szCs w:val="21"/>
                      <w:highlight w:val="none"/>
                    </w:rPr>
                  </w:pPr>
                  <w:r>
                    <w:rPr>
                      <w:rFonts w:hint="eastAsia" w:hAnsi="宋体"/>
                      <w:color w:val="auto"/>
                      <w:sz w:val="21"/>
                      <w:szCs w:val="21"/>
                      <w:shd w:val="clear" w:color="auto" w:fill="auto"/>
                    </w:rPr>
                    <w:t>冷却用水</w:t>
                  </w:r>
                </w:p>
              </w:tc>
              <w:tc>
                <w:tcPr>
                  <w:tcW w:w="2160" w:type="dxa"/>
                  <w:vAlign w:val="center"/>
                </w:tcPr>
                <w:p>
                  <w:pPr>
                    <w:snapToGrid w:val="0"/>
                    <w:spacing w:line="240" w:lineRule="auto"/>
                    <w:jc w:val="center"/>
                    <w:rPr>
                      <w:bCs/>
                      <w:color w:val="auto"/>
                      <w:kern w:val="0"/>
                      <w:sz w:val="21"/>
                      <w:szCs w:val="21"/>
                      <w:highlight w:val="none"/>
                    </w:rPr>
                  </w:pPr>
                  <w:r>
                    <w:rPr>
                      <w:rFonts w:hint="eastAsia"/>
                      <w:color w:val="auto"/>
                      <w:sz w:val="21"/>
                      <w:szCs w:val="21"/>
                      <w:shd w:val="clear" w:color="auto" w:fill="auto"/>
                      <w:lang w:eastAsia="zh-CN"/>
                    </w:rPr>
                    <w:t>循环使用，定期补充，不外排</w:t>
                  </w:r>
                </w:p>
              </w:tc>
              <w:tc>
                <w:tcPr>
                  <w:tcW w:w="1245" w:type="dxa"/>
                  <w:vAlign w:val="center"/>
                </w:tcPr>
                <w:p>
                  <w:pPr>
                    <w:spacing w:line="240" w:lineRule="auto"/>
                    <w:jc w:val="center"/>
                    <w:rPr>
                      <w:color w:val="auto"/>
                      <w:szCs w:val="21"/>
                      <w:highlight w:val="none"/>
                    </w:rPr>
                  </w:pPr>
                  <w:r>
                    <w:rPr>
                      <w:rFonts w:hint="eastAsia"/>
                      <w:color w:val="auto"/>
                      <w:sz w:val="21"/>
                      <w:szCs w:val="21"/>
                      <w:highlight w:val="none"/>
                      <w:lang w:eastAsia="zh-CN"/>
                    </w:rPr>
                    <w:t>——</w:t>
                  </w:r>
                </w:p>
              </w:tc>
              <w:tc>
                <w:tcPr>
                  <w:tcW w:w="3453" w:type="dxa"/>
                  <w:vMerge w:val="restart"/>
                  <w:tcBorders>
                    <w:top w:val="single" w:color="auto" w:sz="4" w:space="0"/>
                    <w:right w:val="single" w:color="auto" w:sz="4" w:space="0"/>
                  </w:tcBorders>
                  <w:vAlign w:val="center"/>
                </w:tcPr>
                <w:p>
                  <w:pPr>
                    <w:spacing w:line="240" w:lineRule="auto"/>
                    <w:jc w:val="center"/>
                    <w:rPr>
                      <w:color w:val="auto"/>
                      <w:szCs w:val="21"/>
                      <w:highlight w:val="none"/>
                    </w:rPr>
                  </w:pPr>
                  <w:r>
                    <w:rPr>
                      <w:color w:val="auto"/>
                      <w:kern w:val="0"/>
                      <w:sz w:val="21"/>
                      <w:szCs w:val="21"/>
                      <w:highlight w:val="none"/>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spacing w:line="240" w:lineRule="auto"/>
                    <w:jc w:val="center"/>
                    <w:rPr>
                      <w:rFonts w:hint="eastAsia" w:ascii="宋体" w:hAnsi="宋体"/>
                      <w:color w:val="auto"/>
                      <w:sz w:val="21"/>
                      <w:szCs w:val="21"/>
                      <w:shd w:val="clear" w:color="auto" w:fill="auto"/>
                    </w:rPr>
                  </w:pPr>
                  <w:r>
                    <w:rPr>
                      <w:rFonts w:hint="eastAsia" w:hAnsi="宋体"/>
                      <w:color w:val="auto"/>
                      <w:sz w:val="21"/>
                      <w:szCs w:val="21"/>
                      <w:shd w:val="clear" w:color="auto" w:fill="auto"/>
                      <w:lang w:eastAsia="zh-CN"/>
                    </w:rPr>
                    <w:t>测试用水</w:t>
                  </w:r>
                </w:p>
              </w:tc>
              <w:tc>
                <w:tcPr>
                  <w:tcW w:w="2160" w:type="dxa"/>
                  <w:vAlign w:val="center"/>
                </w:tcPr>
                <w:p>
                  <w:pPr>
                    <w:snapToGrid w:val="0"/>
                    <w:spacing w:line="240" w:lineRule="auto"/>
                    <w:jc w:val="center"/>
                    <w:rPr>
                      <w:rFonts w:hint="eastAsia" w:hAnsi="宋体"/>
                      <w:color w:val="auto"/>
                      <w:sz w:val="21"/>
                      <w:szCs w:val="21"/>
                      <w:shd w:val="clear" w:color="auto" w:fill="auto"/>
                    </w:rPr>
                  </w:pPr>
                  <w:r>
                    <w:rPr>
                      <w:rFonts w:hint="eastAsia"/>
                      <w:color w:val="auto"/>
                      <w:sz w:val="21"/>
                      <w:szCs w:val="21"/>
                      <w:shd w:val="clear" w:color="auto" w:fill="auto"/>
                      <w:lang w:eastAsia="zh-CN"/>
                    </w:rPr>
                    <w:t>循环使用，定期补充，不外排</w:t>
                  </w:r>
                </w:p>
              </w:tc>
              <w:tc>
                <w:tcPr>
                  <w:tcW w:w="1245" w:type="dxa"/>
                  <w:vAlign w:val="center"/>
                </w:tcPr>
                <w:p>
                  <w:pPr>
                    <w:spacing w:line="240" w:lineRule="auto"/>
                    <w:jc w:val="center"/>
                    <w:rPr>
                      <w:rFonts w:hint="eastAsia"/>
                      <w:color w:val="auto"/>
                      <w:szCs w:val="21"/>
                      <w:highlight w:val="none"/>
                      <w:lang w:val="en-US" w:eastAsia="zh-CN"/>
                    </w:rPr>
                  </w:pPr>
                  <w:r>
                    <w:rPr>
                      <w:rFonts w:hint="eastAsia"/>
                      <w:color w:val="auto"/>
                      <w:sz w:val="21"/>
                      <w:szCs w:val="21"/>
                      <w:highlight w:val="none"/>
                      <w:lang w:eastAsia="zh-CN"/>
                    </w:rPr>
                    <w:t>——</w:t>
                  </w:r>
                </w:p>
              </w:tc>
              <w:tc>
                <w:tcPr>
                  <w:tcW w:w="3453" w:type="dxa"/>
                  <w:vMerge w:val="continue"/>
                  <w:tcBorders>
                    <w:right w:val="single" w:color="auto" w:sz="4" w:space="0"/>
                  </w:tcBorders>
                  <w:vAlign w:val="center"/>
                </w:tcPr>
                <w:p>
                  <w:pPr>
                    <w:spacing w:line="240" w:lineRule="auto"/>
                    <w:jc w:val="center"/>
                    <w:rPr>
                      <w:rFonts w:hint="eastAsia"/>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276"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spacing w:line="240" w:lineRule="auto"/>
                    <w:jc w:val="center"/>
                    <w:rPr>
                      <w:rFonts w:hint="eastAsia" w:ascii="宋体" w:hAnsi="宋体"/>
                      <w:color w:val="auto"/>
                      <w:sz w:val="21"/>
                      <w:szCs w:val="21"/>
                      <w:shd w:val="clear" w:color="auto" w:fill="auto"/>
                    </w:rPr>
                  </w:pPr>
                  <w:r>
                    <w:rPr>
                      <w:rFonts w:hint="eastAsia" w:hAnsi="宋体"/>
                      <w:color w:val="auto"/>
                      <w:sz w:val="21"/>
                      <w:szCs w:val="21"/>
                      <w:shd w:val="clear" w:color="auto" w:fill="auto"/>
                      <w:lang w:eastAsia="zh-CN"/>
                    </w:rPr>
                    <w:t>喷淋废水</w:t>
                  </w:r>
                </w:p>
              </w:tc>
              <w:tc>
                <w:tcPr>
                  <w:tcW w:w="2160" w:type="dxa"/>
                  <w:vAlign w:val="center"/>
                </w:tcPr>
                <w:p>
                  <w:pPr>
                    <w:spacing w:line="240" w:lineRule="auto"/>
                    <w:jc w:val="center"/>
                    <w:rPr>
                      <w:rFonts w:hint="eastAsia" w:hAnsi="宋体"/>
                      <w:color w:val="auto"/>
                      <w:sz w:val="21"/>
                      <w:szCs w:val="21"/>
                      <w:shd w:val="clear" w:color="auto" w:fill="auto"/>
                    </w:rPr>
                  </w:pPr>
                  <w:r>
                    <w:rPr>
                      <w:rFonts w:hint="default" w:ascii="Times New Roman" w:hAnsi="Times New Roman" w:cs="Times New Roman"/>
                      <w:color w:val="auto"/>
                      <w:kern w:val="0"/>
                      <w:sz w:val="21"/>
                      <w:szCs w:val="21"/>
                      <w:lang w:val="en-US" w:eastAsia="zh-CN"/>
                    </w:rPr>
                    <w:t>经收集后</w:t>
                  </w:r>
                  <w:r>
                    <w:rPr>
                      <w:rFonts w:hint="eastAsia" w:cs="Times New Roman"/>
                      <w:color w:val="auto"/>
                      <w:kern w:val="0"/>
                      <w:sz w:val="21"/>
                      <w:szCs w:val="21"/>
                      <w:lang w:val="en-US" w:eastAsia="zh-CN"/>
                    </w:rPr>
                    <w:t>定期交具有零星废水处理资质的单位处理，不外排</w:t>
                  </w:r>
                </w:p>
              </w:tc>
              <w:tc>
                <w:tcPr>
                  <w:tcW w:w="1245" w:type="dxa"/>
                  <w:vAlign w:val="center"/>
                </w:tcPr>
                <w:p>
                  <w:pPr>
                    <w:spacing w:line="240" w:lineRule="auto"/>
                    <w:jc w:val="center"/>
                    <w:rPr>
                      <w:rFonts w:hint="default"/>
                      <w:color w:val="auto"/>
                      <w:szCs w:val="21"/>
                      <w:highlight w:val="none"/>
                      <w:lang w:val="en-US" w:eastAsia="zh-CN"/>
                    </w:rPr>
                  </w:pPr>
                  <w:r>
                    <w:rPr>
                      <w:rFonts w:hint="eastAsia"/>
                      <w:color w:val="auto"/>
                      <w:szCs w:val="21"/>
                      <w:highlight w:val="none"/>
                      <w:lang w:val="en-US" w:eastAsia="zh-CN"/>
                    </w:rPr>
                    <w:t>6</w:t>
                  </w:r>
                  <w:r>
                    <w:rPr>
                      <w:color w:val="auto"/>
                      <w:szCs w:val="21"/>
                      <w:highlight w:val="none"/>
                    </w:rPr>
                    <w:t>t/a</w:t>
                  </w:r>
                </w:p>
              </w:tc>
              <w:tc>
                <w:tcPr>
                  <w:tcW w:w="3453" w:type="dxa"/>
                  <w:vMerge w:val="continue"/>
                  <w:tcBorders>
                    <w:right w:val="single" w:color="auto" w:sz="4" w:space="0"/>
                  </w:tcBorders>
                  <w:vAlign w:val="center"/>
                </w:tcPr>
                <w:p>
                  <w:pPr>
                    <w:spacing w:line="240" w:lineRule="auto"/>
                    <w:jc w:val="center"/>
                    <w:rPr>
                      <w:rFonts w:hint="eastAsia"/>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88"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spacing w:line="240" w:lineRule="auto"/>
                    <w:jc w:val="center"/>
                    <w:rPr>
                      <w:rFonts w:hint="eastAsia" w:ascii="宋体" w:hAnsi="宋体"/>
                      <w:color w:val="auto"/>
                      <w:sz w:val="21"/>
                      <w:szCs w:val="21"/>
                      <w:shd w:val="clear" w:color="auto" w:fill="auto"/>
                    </w:rPr>
                  </w:pPr>
                  <w:r>
                    <w:rPr>
                      <w:rFonts w:hint="eastAsia" w:ascii="宋体" w:hAnsi="宋体"/>
                      <w:color w:val="auto"/>
                      <w:sz w:val="21"/>
                      <w:szCs w:val="21"/>
                      <w:shd w:val="clear" w:color="auto" w:fill="auto"/>
                    </w:rPr>
                    <w:t>生活污水</w:t>
                  </w:r>
                </w:p>
              </w:tc>
              <w:tc>
                <w:tcPr>
                  <w:tcW w:w="2160" w:type="dxa"/>
                  <w:vAlign w:val="center"/>
                </w:tcPr>
                <w:p>
                  <w:pPr>
                    <w:spacing w:line="240" w:lineRule="auto"/>
                    <w:jc w:val="center"/>
                    <w:rPr>
                      <w:rFonts w:hint="eastAsia" w:hAnsi="宋体"/>
                      <w:color w:val="auto"/>
                      <w:sz w:val="21"/>
                      <w:szCs w:val="21"/>
                      <w:shd w:val="clear" w:color="auto" w:fill="auto"/>
                    </w:rPr>
                  </w:pPr>
                  <w:r>
                    <w:rPr>
                      <w:rFonts w:hint="eastAsia" w:hAnsi="宋体"/>
                      <w:color w:val="auto"/>
                      <w:sz w:val="21"/>
                      <w:szCs w:val="21"/>
                      <w:shd w:val="clear" w:color="auto" w:fill="auto"/>
                    </w:rPr>
                    <w:t>生活污水经</w:t>
                  </w:r>
                  <w:r>
                    <w:rPr>
                      <w:rFonts w:hAnsi="宋体"/>
                      <w:color w:val="auto"/>
                      <w:sz w:val="21"/>
                      <w:szCs w:val="21"/>
                      <w:shd w:val="clear" w:color="auto" w:fill="auto"/>
                    </w:rPr>
                    <w:t>三级化粪池</w:t>
                  </w:r>
                  <w:r>
                    <w:rPr>
                      <w:rFonts w:hint="eastAsia" w:hAnsi="宋体"/>
                      <w:color w:val="auto"/>
                      <w:sz w:val="21"/>
                      <w:szCs w:val="21"/>
                      <w:shd w:val="clear" w:color="auto" w:fill="auto"/>
                    </w:rPr>
                    <w:t>预</w:t>
                  </w:r>
                  <w:r>
                    <w:rPr>
                      <w:rFonts w:hAnsi="宋体"/>
                      <w:color w:val="auto"/>
                      <w:sz w:val="21"/>
                      <w:szCs w:val="21"/>
                      <w:shd w:val="clear" w:color="auto" w:fill="auto"/>
                    </w:rPr>
                    <w:t>处理</w:t>
                  </w:r>
                  <w:r>
                    <w:rPr>
                      <w:rFonts w:hint="eastAsia" w:hAnsi="宋体"/>
                      <w:color w:val="auto"/>
                      <w:sz w:val="21"/>
                      <w:szCs w:val="21"/>
                      <w:shd w:val="clear" w:color="auto" w:fill="auto"/>
                    </w:rPr>
                    <w:t>后排入市政污水管网</w:t>
                  </w:r>
                </w:p>
              </w:tc>
              <w:tc>
                <w:tcPr>
                  <w:tcW w:w="1245" w:type="dxa"/>
                  <w:vAlign w:val="center"/>
                </w:tcPr>
                <w:p>
                  <w:pPr>
                    <w:spacing w:line="240" w:lineRule="auto"/>
                    <w:jc w:val="center"/>
                    <w:rPr>
                      <w:rFonts w:hint="eastAsia"/>
                      <w:color w:val="auto"/>
                      <w:szCs w:val="21"/>
                      <w:highlight w:val="none"/>
                      <w:lang w:val="en-US" w:eastAsia="zh-CN"/>
                    </w:rPr>
                  </w:pPr>
                  <w:r>
                    <w:rPr>
                      <w:rFonts w:hint="eastAsia"/>
                      <w:color w:val="auto"/>
                      <w:szCs w:val="21"/>
                      <w:highlight w:val="none"/>
                      <w:lang w:val="en-US" w:eastAsia="zh-CN"/>
                    </w:rPr>
                    <w:t>756</w:t>
                  </w:r>
                  <w:r>
                    <w:rPr>
                      <w:color w:val="auto"/>
                      <w:szCs w:val="21"/>
                      <w:highlight w:val="none"/>
                    </w:rPr>
                    <w:t>t/a</w:t>
                  </w:r>
                </w:p>
              </w:tc>
              <w:tc>
                <w:tcPr>
                  <w:tcW w:w="3453" w:type="dxa"/>
                  <w:tcBorders>
                    <w:top w:val="single" w:color="auto" w:sz="4" w:space="0"/>
                    <w:right w:val="single" w:color="auto" w:sz="4" w:space="0"/>
                  </w:tcBorders>
                  <w:vAlign w:val="center"/>
                </w:tcPr>
                <w:p>
                  <w:pPr>
                    <w:spacing w:line="240" w:lineRule="auto"/>
                    <w:jc w:val="center"/>
                    <w:rPr>
                      <w:rFonts w:hint="eastAsia"/>
                      <w:color w:val="auto"/>
                      <w:szCs w:val="21"/>
                      <w:highlight w:val="none"/>
                    </w:rPr>
                  </w:pPr>
                  <w:r>
                    <w:rPr>
                      <w:rFonts w:hint="eastAsia"/>
                      <w:color w:val="auto"/>
                      <w:szCs w:val="21"/>
                      <w:highlight w:val="none"/>
                    </w:rPr>
                    <w:t>达到广东省地方标准《水污染物排放限值》（DB44/26-2001）第二时段三级标准和</w:t>
                  </w:r>
                  <w:r>
                    <w:rPr>
                      <w:rFonts w:hint="eastAsia"/>
                      <w:color w:val="auto"/>
                      <w:szCs w:val="21"/>
                      <w:highlight w:val="none"/>
                      <w:lang w:eastAsia="zh-CN"/>
                    </w:rPr>
                    <w:t>《污水排入城镇下水道水质标准》(GB/T31962-2015 )B级标准</w:t>
                  </w:r>
                  <w:r>
                    <w:rPr>
                      <w:rFonts w:hint="eastAsia"/>
                      <w:color w:val="auto"/>
                      <w:szCs w:val="21"/>
                      <w:highlight w:val="none"/>
                    </w:rPr>
                    <w:t>较严者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restart"/>
                  <w:tcBorders>
                    <w:left w:val="single" w:color="auto" w:sz="4" w:space="0"/>
                  </w:tcBorders>
                  <w:vAlign w:val="center"/>
                </w:tcPr>
                <w:p>
                  <w:pPr>
                    <w:spacing w:line="240" w:lineRule="auto"/>
                    <w:rPr>
                      <w:color w:val="auto"/>
                      <w:szCs w:val="21"/>
                      <w:highlight w:val="none"/>
                    </w:rPr>
                  </w:pPr>
                  <w:r>
                    <w:rPr>
                      <w:color w:val="auto"/>
                      <w:szCs w:val="21"/>
                      <w:highlight w:val="none"/>
                    </w:rPr>
                    <w:t>固废</w:t>
                  </w:r>
                </w:p>
              </w:tc>
              <w:tc>
                <w:tcPr>
                  <w:tcW w:w="1924" w:type="dxa"/>
                  <w:vAlign w:val="center"/>
                </w:tcPr>
                <w:p>
                  <w:pPr>
                    <w:snapToGrid w:val="0"/>
                    <w:spacing w:line="240" w:lineRule="auto"/>
                    <w:jc w:val="center"/>
                    <w:rPr>
                      <w:color w:val="auto"/>
                      <w:szCs w:val="21"/>
                      <w:highlight w:val="none"/>
                    </w:rPr>
                  </w:pPr>
                  <w:r>
                    <w:rPr>
                      <w:color w:val="auto"/>
                      <w:szCs w:val="21"/>
                      <w:highlight w:val="none"/>
                    </w:rPr>
                    <w:t>生活垃圾</w:t>
                  </w:r>
                </w:p>
              </w:tc>
              <w:tc>
                <w:tcPr>
                  <w:tcW w:w="2160" w:type="dxa"/>
                  <w:vAlign w:val="center"/>
                </w:tcPr>
                <w:p>
                  <w:pPr>
                    <w:keepNext/>
                    <w:topLinePunct/>
                    <w:autoSpaceDE w:val="0"/>
                    <w:autoSpaceDN w:val="0"/>
                    <w:adjustRightInd w:val="0"/>
                    <w:spacing w:line="240" w:lineRule="auto"/>
                    <w:jc w:val="center"/>
                    <w:textAlignment w:val="baseline"/>
                    <w:rPr>
                      <w:color w:val="auto"/>
                      <w:kern w:val="0"/>
                      <w:position w:val="-28"/>
                      <w:szCs w:val="21"/>
                      <w:highlight w:val="none"/>
                    </w:rPr>
                  </w:pPr>
                  <w:r>
                    <w:rPr>
                      <w:color w:val="auto"/>
                      <w:kern w:val="0"/>
                      <w:szCs w:val="21"/>
                      <w:highlight w:val="none"/>
                    </w:rPr>
                    <w:t>交环卫部门处理</w:t>
                  </w:r>
                </w:p>
              </w:tc>
              <w:tc>
                <w:tcPr>
                  <w:tcW w:w="1245" w:type="dxa"/>
                  <w:vAlign w:val="center"/>
                </w:tcPr>
                <w:p>
                  <w:pPr>
                    <w:keepNext/>
                    <w:topLinePunct/>
                    <w:autoSpaceDE w:val="0"/>
                    <w:autoSpaceDN w:val="0"/>
                    <w:adjustRightInd w:val="0"/>
                    <w:spacing w:line="240" w:lineRule="auto"/>
                    <w:jc w:val="center"/>
                    <w:textAlignment w:val="baseline"/>
                    <w:rPr>
                      <w:color w:val="auto"/>
                      <w:kern w:val="0"/>
                      <w:szCs w:val="21"/>
                      <w:highlight w:val="none"/>
                    </w:rPr>
                  </w:pPr>
                  <w:r>
                    <w:rPr>
                      <w:rFonts w:hint="eastAsia"/>
                      <w:color w:val="auto"/>
                      <w:szCs w:val="21"/>
                      <w:highlight w:val="none"/>
                      <w:lang w:val="en-US" w:eastAsia="zh-CN"/>
                    </w:rPr>
                    <w:t>10.5</w:t>
                  </w:r>
                  <w:r>
                    <w:rPr>
                      <w:color w:val="auto"/>
                      <w:kern w:val="0"/>
                      <w:szCs w:val="21"/>
                      <w:highlight w:val="none"/>
                    </w:rPr>
                    <w:t>t/a</w:t>
                  </w:r>
                </w:p>
              </w:tc>
              <w:tc>
                <w:tcPr>
                  <w:tcW w:w="3453" w:type="dxa"/>
                  <w:vMerge w:val="restart"/>
                  <w:tcBorders>
                    <w:right w:val="single" w:color="auto" w:sz="4" w:space="0"/>
                  </w:tcBorders>
                  <w:vAlign w:val="center"/>
                </w:tcPr>
                <w:p>
                  <w:pPr>
                    <w:widowControl/>
                    <w:adjustRightInd w:val="0"/>
                    <w:spacing w:before="60" w:line="240" w:lineRule="auto"/>
                    <w:jc w:val="center"/>
                    <w:textAlignment w:val="baseline"/>
                    <w:rPr>
                      <w:bCs/>
                      <w:color w:val="auto"/>
                      <w:szCs w:val="21"/>
                      <w:highlight w:val="none"/>
                    </w:rPr>
                  </w:pPr>
                  <w:r>
                    <w:rPr>
                      <w:color w:val="auto"/>
                      <w:kern w:val="0"/>
                      <w:szCs w:val="21"/>
                      <w:highlight w:val="none"/>
                    </w:rPr>
                    <w:t>符合环保要求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bottom w:val="single" w:color="auto" w:sz="4" w:space="0"/>
                  </w:tcBorders>
                  <w:vAlign w:val="center"/>
                </w:tcPr>
                <w:p>
                  <w:pPr>
                    <w:pStyle w:val="133"/>
                    <w:spacing w:line="240" w:lineRule="auto"/>
                    <w:rPr>
                      <w:rFonts w:hint="eastAsia" w:ascii="Times New Roman" w:hAnsi="Times New Roman" w:eastAsia="宋体" w:cs="Times New Roman"/>
                      <w:color w:val="auto"/>
                      <w:kern w:val="2"/>
                      <w:sz w:val="21"/>
                      <w:szCs w:val="21"/>
                      <w:shd w:val="clear" w:color="auto" w:fill="auto"/>
                      <w:lang w:val="en-US" w:eastAsia="zh-CN" w:bidi="ar-SA"/>
                    </w:rPr>
                  </w:pPr>
                  <w:r>
                    <w:rPr>
                      <w:rFonts w:hint="eastAsia"/>
                      <w:color w:val="auto"/>
                      <w:spacing w:val="-2"/>
                      <w:sz w:val="21"/>
                      <w:szCs w:val="21"/>
                      <w:shd w:val="clear" w:color="auto" w:fill="auto"/>
                      <w:lang w:eastAsia="zh-CN"/>
                    </w:rPr>
                    <w:t>炉渣</w:t>
                  </w:r>
                </w:p>
              </w:tc>
              <w:tc>
                <w:tcPr>
                  <w:tcW w:w="2160" w:type="dxa"/>
                  <w:vMerge w:val="restart"/>
                  <w:vAlign w:val="center"/>
                </w:tcPr>
                <w:p>
                  <w:pPr>
                    <w:adjustRightInd w:val="0"/>
                    <w:spacing w:line="240" w:lineRule="auto"/>
                    <w:jc w:val="center"/>
                    <w:rPr>
                      <w:color w:val="auto"/>
                      <w:szCs w:val="21"/>
                      <w:highlight w:val="none"/>
                    </w:rPr>
                  </w:pPr>
                  <w:r>
                    <w:rPr>
                      <w:color w:val="auto"/>
                      <w:szCs w:val="21"/>
                      <w:highlight w:val="none"/>
                    </w:rPr>
                    <w:t>交专业公司回收处理</w:t>
                  </w:r>
                </w:p>
              </w:tc>
              <w:tc>
                <w:tcPr>
                  <w:tcW w:w="1245" w:type="dxa"/>
                  <w:tcBorders>
                    <w:bottom w:val="single" w:color="auto" w:sz="4" w:space="0"/>
                  </w:tcBorders>
                  <w:vAlign w:val="center"/>
                </w:tcPr>
                <w:p>
                  <w:pPr>
                    <w:pStyle w:val="56"/>
                    <w:spacing w:line="240" w:lineRule="auto"/>
                    <w:rPr>
                      <w:color w:val="auto"/>
                      <w:kern w:val="0"/>
                      <w:szCs w:val="21"/>
                      <w:highlight w:val="none"/>
                    </w:rPr>
                  </w:pPr>
                  <w:r>
                    <w:rPr>
                      <w:rFonts w:hint="eastAsia" w:ascii="Times New Roman" w:hAnsi="Times New Roman"/>
                      <w:color w:val="auto"/>
                      <w:position w:val="0"/>
                      <w:sz w:val="21"/>
                      <w:szCs w:val="21"/>
                      <w:shd w:val="clear" w:color="auto" w:fill="auto"/>
                      <w:lang w:val="en-US" w:eastAsia="zh-CN"/>
                    </w:rPr>
                    <w:t>1</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bottom w:val="single" w:color="auto" w:sz="4" w:space="0"/>
                  </w:tcBorders>
                  <w:vAlign w:val="center"/>
                </w:tcPr>
                <w:p>
                  <w:pPr>
                    <w:pStyle w:val="133"/>
                    <w:spacing w:line="240" w:lineRule="auto"/>
                    <w:rPr>
                      <w:rFonts w:hint="eastAsia" w:ascii="Times New Roman" w:hAnsi="Times New Roman" w:eastAsia="宋体" w:cs="Times New Roman"/>
                      <w:color w:val="auto"/>
                      <w:kern w:val="2"/>
                      <w:sz w:val="21"/>
                      <w:szCs w:val="21"/>
                      <w:shd w:val="clear" w:color="auto" w:fill="auto"/>
                      <w:lang w:val="en-US" w:eastAsia="zh-CN" w:bidi="ar-SA"/>
                    </w:rPr>
                  </w:pPr>
                  <w:r>
                    <w:rPr>
                      <w:rFonts w:hint="eastAsia"/>
                      <w:color w:val="auto"/>
                      <w:sz w:val="21"/>
                      <w:szCs w:val="21"/>
                      <w:shd w:val="clear" w:color="auto" w:fill="auto"/>
                      <w:lang w:eastAsia="zh-CN"/>
                    </w:rPr>
                    <w:t>废砂</w:t>
                  </w:r>
                </w:p>
              </w:tc>
              <w:tc>
                <w:tcPr>
                  <w:tcW w:w="2160" w:type="dxa"/>
                  <w:vMerge w:val="continue"/>
                  <w:vAlign w:val="center"/>
                </w:tcPr>
                <w:p>
                  <w:pPr>
                    <w:adjustRightInd w:val="0"/>
                    <w:spacing w:line="240" w:lineRule="auto"/>
                    <w:jc w:val="center"/>
                    <w:rPr>
                      <w:color w:val="auto"/>
                      <w:szCs w:val="21"/>
                      <w:highlight w:val="none"/>
                    </w:rPr>
                  </w:pPr>
                </w:p>
              </w:tc>
              <w:tc>
                <w:tcPr>
                  <w:tcW w:w="1245" w:type="dxa"/>
                  <w:tcBorders>
                    <w:top w:val="single" w:color="auto" w:sz="4" w:space="0"/>
                    <w:bottom w:val="single" w:color="auto" w:sz="4" w:space="0"/>
                  </w:tcBorders>
                  <w:vAlign w:val="center"/>
                </w:tcPr>
                <w:p>
                  <w:pPr>
                    <w:pStyle w:val="56"/>
                    <w:spacing w:line="240" w:lineRule="auto"/>
                    <w:rPr>
                      <w:rFonts w:hint="eastAsia"/>
                      <w:color w:val="auto"/>
                      <w:szCs w:val="21"/>
                      <w:highlight w:val="none"/>
                      <w:lang w:val="en-US" w:eastAsia="zh-CN"/>
                    </w:rPr>
                  </w:pPr>
                  <w:r>
                    <w:rPr>
                      <w:rFonts w:hint="eastAsia" w:ascii="Times New Roman" w:hAnsi="Times New Roman"/>
                      <w:color w:val="auto"/>
                      <w:position w:val="0"/>
                      <w:sz w:val="21"/>
                      <w:szCs w:val="21"/>
                      <w:shd w:val="clear" w:color="auto" w:fill="auto"/>
                      <w:lang w:val="en-US" w:eastAsia="zh-CN"/>
                    </w:rPr>
                    <w:t>91.8</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bottom w:val="single" w:color="auto" w:sz="4" w:space="0"/>
                  </w:tcBorders>
                  <w:vAlign w:val="center"/>
                </w:tcPr>
                <w:p>
                  <w:pPr>
                    <w:pStyle w:val="133"/>
                    <w:spacing w:line="240" w:lineRule="auto"/>
                    <w:rPr>
                      <w:rFonts w:hint="eastAsia" w:ascii="Times New Roman" w:hAnsi="Times New Roman" w:eastAsia="宋体" w:cs="Times New Roman"/>
                      <w:color w:val="auto"/>
                      <w:spacing w:val="-2"/>
                      <w:kern w:val="2"/>
                      <w:sz w:val="21"/>
                      <w:szCs w:val="21"/>
                      <w:shd w:val="clear" w:color="auto" w:fill="auto"/>
                      <w:lang w:val="en-US" w:eastAsia="zh-CN" w:bidi="ar-SA"/>
                    </w:rPr>
                  </w:pPr>
                  <w:r>
                    <w:rPr>
                      <w:rFonts w:hint="eastAsia"/>
                      <w:color w:val="auto"/>
                      <w:spacing w:val="-2"/>
                      <w:sz w:val="21"/>
                      <w:szCs w:val="21"/>
                      <w:shd w:val="clear" w:color="auto" w:fill="auto"/>
                      <w:lang w:eastAsia="zh-CN"/>
                    </w:rPr>
                    <w:t>金属边角料</w:t>
                  </w:r>
                </w:p>
              </w:tc>
              <w:tc>
                <w:tcPr>
                  <w:tcW w:w="2160" w:type="dxa"/>
                  <w:vMerge w:val="continue"/>
                  <w:vAlign w:val="center"/>
                </w:tcPr>
                <w:p>
                  <w:pPr>
                    <w:adjustRightInd w:val="0"/>
                    <w:spacing w:line="240" w:lineRule="auto"/>
                    <w:jc w:val="center"/>
                    <w:rPr>
                      <w:color w:val="auto"/>
                      <w:szCs w:val="21"/>
                      <w:highlight w:val="none"/>
                    </w:rPr>
                  </w:pPr>
                </w:p>
              </w:tc>
              <w:tc>
                <w:tcPr>
                  <w:tcW w:w="1245" w:type="dxa"/>
                  <w:tcBorders>
                    <w:top w:val="single" w:color="auto" w:sz="4" w:space="0"/>
                    <w:bottom w:val="single" w:color="auto" w:sz="4" w:space="0"/>
                  </w:tcBorders>
                  <w:vAlign w:val="center"/>
                </w:tcPr>
                <w:p>
                  <w:pPr>
                    <w:pStyle w:val="56"/>
                    <w:spacing w:line="240" w:lineRule="auto"/>
                    <w:rPr>
                      <w:rFonts w:hint="eastAsia"/>
                      <w:color w:val="auto"/>
                      <w:szCs w:val="21"/>
                      <w:highlight w:val="none"/>
                      <w:lang w:val="en-US" w:eastAsia="zh-CN"/>
                    </w:rPr>
                  </w:pPr>
                  <w:r>
                    <w:rPr>
                      <w:rFonts w:hint="eastAsia" w:ascii="Times New Roman" w:hAnsi="Times New Roman"/>
                      <w:color w:val="auto"/>
                      <w:position w:val="0"/>
                      <w:sz w:val="21"/>
                      <w:szCs w:val="21"/>
                      <w:shd w:val="clear" w:color="auto" w:fill="auto"/>
                      <w:lang w:val="en-US" w:eastAsia="zh-CN"/>
                    </w:rPr>
                    <w:t>2</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bottom w:val="single" w:color="auto" w:sz="4" w:space="0"/>
                  </w:tcBorders>
                  <w:vAlign w:val="center"/>
                </w:tcPr>
                <w:p>
                  <w:pPr>
                    <w:pStyle w:val="133"/>
                    <w:spacing w:line="240" w:lineRule="auto"/>
                    <w:rPr>
                      <w:rFonts w:hint="eastAsia"/>
                      <w:color w:val="auto"/>
                      <w:spacing w:val="-2"/>
                      <w:sz w:val="21"/>
                      <w:szCs w:val="21"/>
                      <w:shd w:val="clear" w:color="auto" w:fill="auto"/>
                      <w:lang w:eastAsia="zh-CN"/>
                    </w:rPr>
                  </w:pPr>
                  <w:r>
                    <w:rPr>
                      <w:rFonts w:hint="eastAsia"/>
                      <w:color w:val="auto"/>
                      <w:spacing w:val="-2"/>
                      <w:sz w:val="21"/>
                      <w:szCs w:val="21"/>
                      <w:shd w:val="clear" w:color="auto" w:fill="auto"/>
                      <w:lang w:eastAsia="zh-CN"/>
                    </w:rPr>
                    <w:t>废抛光轮</w:t>
                  </w:r>
                </w:p>
              </w:tc>
              <w:tc>
                <w:tcPr>
                  <w:tcW w:w="2160" w:type="dxa"/>
                  <w:vMerge w:val="continue"/>
                  <w:vAlign w:val="center"/>
                </w:tcPr>
                <w:p>
                  <w:pPr>
                    <w:adjustRightInd w:val="0"/>
                    <w:spacing w:line="240" w:lineRule="auto"/>
                    <w:jc w:val="center"/>
                    <w:rPr>
                      <w:color w:val="auto"/>
                      <w:szCs w:val="21"/>
                      <w:highlight w:val="none"/>
                    </w:rPr>
                  </w:pPr>
                </w:p>
              </w:tc>
              <w:tc>
                <w:tcPr>
                  <w:tcW w:w="1245" w:type="dxa"/>
                  <w:tcBorders>
                    <w:top w:val="single" w:color="auto" w:sz="4" w:space="0"/>
                    <w:bottom w:val="single" w:color="auto" w:sz="4" w:space="0"/>
                  </w:tcBorders>
                  <w:vAlign w:val="center"/>
                </w:tcPr>
                <w:p>
                  <w:pPr>
                    <w:pStyle w:val="56"/>
                    <w:spacing w:line="240" w:lineRule="auto"/>
                    <w:rPr>
                      <w:rFonts w:hint="default" w:ascii="Times New Roman" w:hAnsi="Times New Roman"/>
                      <w:color w:val="auto"/>
                      <w:position w:val="0"/>
                      <w:sz w:val="21"/>
                      <w:szCs w:val="21"/>
                      <w:shd w:val="clear" w:color="auto" w:fill="auto"/>
                      <w:lang w:val="en-US" w:eastAsia="zh-CN"/>
                    </w:rPr>
                  </w:pPr>
                  <w:r>
                    <w:rPr>
                      <w:rFonts w:hint="eastAsia" w:ascii="Times New Roman" w:hAnsi="Times New Roman"/>
                      <w:color w:val="auto"/>
                      <w:position w:val="0"/>
                      <w:sz w:val="21"/>
                      <w:szCs w:val="21"/>
                      <w:shd w:val="clear" w:color="auto" w:fill="auto"/>
                      <w:lang w:val="en-US" w:eastAsia="zh-CN"/>
                    </w:rPr>
                    <w:t>0.3</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bottom w:val="single" w:color="auto" w:sz="4" w:space="0"/>
                  </w:tcBorders>
                  <w:vAlign w:val="center"/>
                </w:tcPr>
                <w:p>
                  <w:pPr>
                    <w:pStyle w:val="133"/>
                    <w:spacing w:line="240" w:lineRule="auto"/>
                    <w:rPr>
                      <w:rFonts w:hint="eastAsia" w:ascii="Times New Roman" w:hAnsi="Times New Roman" w:eastAsia="宋体" w:cs="Times New Roman"/>
                      <w:color w:val="auto"/>
                      <w:kern w:val="2"/>
                      <w:sz w:val="21"/>
                      <w:szCs w:val="21"/>
                      <w:shd w:val="clear" w:color="auto" w:fill="auto"/>
                      <w:lang w:val="en-US" w:eastAsia="zh-CN" w:bidi="ar-SA"/>
                    </w:rPr>
                  </w:pPr>
                  <w:r>
                    <w:rPr>
                      <w:rFonts w:hint="eastAsia"/>
                      <w:color w:val="auto"/>
                      <w:spacing w:val="-2"/>
                      <w:sz w:val="21"/>
                      <w:szCs w:val="21"/>
                      <w:shd w:val="clear" w:color="auto" w:fill="auto"/>
                      <w:lang w:eastAsia="zh-CN"/>
                    </w:rPr>
                    <w:t>不合格品</w:t>
                  </w:r>
                </w:p>
              </w:tc>
              <w:tc>
                <w:tcPr>
                  <w:tcW w:w="2160" w:type="dxa"/>
                  <w:vMerge w:val="continue"/>
                  <w:vAlign w:val="center"/>
                </w:tcPr>
                <w:p>
                  <w:pPr>
                    <w:adjustRightInd w:val="0"/>
                    <w:spacing w:line="240" w:lineRule="auto"/>
                    <w:jc w:val="center"/>
                    <w:rPr>
                      <w:color w:val="auto"/>
                      <w:szCs w:val="21"/>
                      <w:highlight w:val="none"/>
                    </w:rPr>
                  </w:pPr>
                </w:p>
              </w:tc>
              <w:tc>
                <w:tcPr>
                  <w:tcW w:w="1245" w:type="dxa"/>
                  <w:tcBorders>
                    <w:top w:val="single" w:color="auto" w:sz="4" w:space="0"/>
                    <w:bottom w:val="single" w:color="auto" w:sz="4" w:space="0"/>
                  </w:tcBorders>
                  <w:vAlign w:val="center"/>
                </w:tcPr>
                <w:p>
                  <w:pPr>
                    <w:pStyle w:val="56"/>
                    <w:spacing w:line="240" w:lineRule="auto"/>
                    <w:rPr>
                      <w:rFonts w:hint="eastAsia"/>
                      <w:color w:val="auto"/>
                      <w:szCs w:val="21"/>
                      <w:highlight w:val="none"/>
                      <w:lang w:val="en-US" w:eastAsia="zh-CN"/>
                    </w:rPr>
                  </w:pPr>
                  <w:r>
                    <w:rPr>
                      <w:rFonts w:hint="eastAsia" w:ascii="Times New Roman" w:hAnsi="Times New Roman"/>
                      <w:color w:val="auto"/>
                      <w:position w:val="0"/>
                      <w:sz w:val="21"/>
                      <w:szCs w:val="21"/>
                      <w:shd w:val="clear" w:color="auto" w:fill="auto"/>
                      <w:lang w:val="en-US" w:eastAsia="zh-CN"/>
                    </w:rPr>
                    <w:t>2</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bottom w:val="single" w:color="auto" w:sz="4" w:space="0"/>
                  </w:tcBorders>
                  <w:vAlign w:val="center"/>
                </w:tcPr>
                <w:p>
                  <w:pPr>
                    <w:pStyle w:val="133"/>
                    <w:spacing w:line="240" w:lineRule="auto"/>
                    <w:rPr>
                      <w:rFonts w:hint="eastAsia" w:ascii="Times New Roman" w:hAnsi="Times New Roman" w:eastAsia="宋体" w:cs="Times New Roman"/>
                      <w:color w:val="auto"/>
                      <w:kern w:val="2"/>
                      <w:sz w:val="21"/>
                      <w:szCs w:val="21"/>
                      <w:shd w:val="clear" w:color="auto" w:fill="auto"/>
                      <w:lang w:val="en-US" w:eastAsia="zh-CN" w:bidi="ar-SA"/>
                    </w:rPr>
                  </w:pPr>
                  <w:r>
                    <w:rPr>
                      <w:rFonts w:hint="eastAsia"/>
                      <w:color w:val="auto"/>
                      <w:spacing w:val="-2"/>
                      <w:sz w:val="21"/>
                      <w:szCs w:val="21"/>
                      <w:shd w:val="clear" w:color="auto" w:fill="auto"/>
                      <w:lang w:eastAsia="zh-CN"/>
                    </w:rPr>
                    <w:t>废包装材料</w:t>
                  </w:r>
                </w:p>
              </w:tc>
              <w:tc>
                <w:tcPr>
                  <w:tcW w:w="2160" w:type="dxa"/>
                  <w:vMerge w:val="continue"/>
                  <w:vAlign w:val="center"/>
                </w:tcPr>
                <w:p>
                  <w:pPr>
                    <w:adjustRightInd w:val="0"/>
                    <w:spacing w:line="240" w:lineRule="auto"/>
                    <w:jc w:val="center"/>
                    <w:rPr>
                      <w:color w:val="auto"/>
                      <w:szCs w:val="21"/>
                      <w:highlight w:val="none"/>
                    </w:rPr>
                  </w:pPr>
                </w:p>
              </w:tc>
              <w:tc>
                <w:tcPr>
                  <w:tcW w:w="1245" w:type="dxa"/>
                  <w:tcBorders>
                    <w:top w:val="single" w:color="auto" w:sz="4" w:space="0"/>
                    <w:bottom w:val="single" w:color="auto" w:sz="4" w:space="0"/>
                  </w:tcBorders>
                  <w:vAlign w:val="center"/>
                </w:tcPr>
                <w:p>
                  <w:pPr>
                    <w:pStyle w:val="56"/>
                    <w:spacing w:line="240" w:lineRule="auto"/>
                    <w:rPr>
                      <w:rFonts w:hint="eastAsia"/>
                      <w:color w:val="auto"/>
                      <w:szCs w:val="21"/>
                      <w:highlight w:val="none"/>
                      <w:lang w:val="en-US" w:eastAsia="zh-CN"/>
                    </w:rPr>
                  </w:pPr>
                  <w:r>
                    <w:rPr>
                      <w:rFonts w:hint="eastAsia" w:ascii="Times New Roman" w:hAnsi="Times New Roman"/>
                      <w:color w:val="auto"/>
                      <w:position w:val="0"/>
                      <w:sz w:val="21"/>
                      <w:szCs w:val="21"/>
                      <w:shd w:val="clear" w:color="auto" w:fill="auto"/>
                      <w:lang w:val="en-US" w:eastAsia="zh-CN"/>
                    </w:rPr>
                    <w:t>0.1</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vMerge w:val="continue"/>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pStyle w:val="133"/>
                    <w:spacing w:line="240" w:lineRule="auto"/>
                    <w:rPr>
                      <w:rFonts w:hint="eastAsia" w:ascii="Times New Roman" w:hAnsi="Times New Roman" w:eastAsia="宋体" w:cs="Times New Roman"/>
                      <w:color w:val="auto"/>
                      <w:kern w:val="2"/>
                      <w:sz w:val="21"/>
                      <w:szCs w:val="21"/>
                      <w:shd w:val="clear" w:color="auto" w:fill="auto"/>
                      <w:lang w:val="en-US" w:eastAsia="zh-CN" w:bidi="ar-SA"/>
                    </w:rPr>
                  </w:pPr>
                  <w:r>
                    <w:rPr>
                      <w:rFonts w:hint="eastAsia"/>
                      <w:color w:val="auto"/>
                      <w:spacing w:val="-2"/>
                      <w:sz w:val="21"/>
                      <w:szCs w:val="21"/>
                      <w:shd w:val="clear" w:color="auto" w:fill="auto"/>
                      <w:lang w:eastAsia="zh-CN"/>
                    </w:rPr>
                    <w:t>布袋除尘装置收集的粉尘</w:t>
                  </w:r>
                </w:p>
              </w:tc>
              <w:tc>
                <w:tcPr>
                  <w:tcW w:w="2160" w:type="dxa"/>
                  <w:vMerge w:val="continue"/>
                  <w:vAlign w:val="center"/>
                </w:tcPr>
                <w:p>
                  <w:pPr>
                    <w:adjustRightInd w:val="0"/>
                    <w:spacing w:line="240" w:lineRule="auto"/>
                    <w:jc w:val="center"/>
                    <w:rPr>
                      <w:color w:val="auto"/>
                      <w:szCs w:val="21"/>
                      <w:highlight w:val="none"/>
                    </w:rPr>
                  </w:pPr>
                </w:p>
              </w:tc>
              <w:tc>
                <w:tcPr>
                  <w:tcW w:w="1245" w:type="dxa"/>
                  <w:tcBorders>
                    <w:top w:val="single" w:color="auto" w:sz="4" w:space="0"/>
                  </w:tcBorders>
                  <w:vAlign w:val="center"/>
                </w:tcPr>
                <w:p>
                  <w:pPr>
                    <w:pStyle w:val="56"/>
                    <w:spacing w:line="240" w:lineRule="auto"/>
                    <w:rPr>
                      <w:rFonts w:hint="eastAsia"/>
                      <w:color w:val="auto"/>
                      <w:szCs w:val="21"/>
                      <w:highlight w:val="none"/>
                      <w:lang w:val="en-US" w:eastAsia="zh-CN"/>
                    </w:rPr>
                  </w:pPr>
                  <w:r>
                    <w:rPr>
                      <w:rFonts w:hint="eastAsia" w:ascii="Times New Roman" w:hAnsi="Times New Roman"/>
                      <w:color w:val="auto"/>
                      <w:position w:val="0"/>
                      <w:sz w:val="21"/>
                      <w:szCs w:val="21"/>
                      <w:shd w:val="clear" w:color="auto" w:fill="auto"/>
                      <w:lang w:val="en-US" w:eastAsia="zh-CN"/>
                    </w:rPr>
                    <w:t>0.1</w:t>
                  </w:r>
                  <w:r>
                    <w:rPr>
                      <w:rFonts w:ascii="Times New Roman" w:hAnsi="Times New Roman"/>
                      <w:color w:val="auto"/>
                      <w:position w:val="0"/>
                      <w:sz w:val="21"/>
                      <w:szCs w:val="21"/>
                      <w:shd w:val="clear" w:color="auto" w:fill="auto"/>
                    </w:rPr>
                    <w:t>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384" w:hRule="atLeast"/>
                <w:jc w:val="center"/>
              </w:trPr>
              <w:tc>
                <w:tcPr>
                  <w:tcW w:w="543" w:type="dxa"/>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topLinePunct/>
                    <w:adjustRightInd w:val="0"/>
                    <w:snapToGrid w:val="0"/>
                    <w:spacing w:line="240" w:lineRule="auto"/>
                    <w:ind w:firstLine="0" w:firstLineChars="0"/>
                    <w:jc w:val="center"/>
                    <w:rPr>
                      <w:rFonts w:hint="eastAsia" w:eastAsia="宋体"/>
                      <w:color w:val="auto"/>
                      <w:szCs w:val="21"/>
                      <w:highlight w:val="none"/>
                      <w:lang w:eastAsia="zh-CN"/>
                    </w:rPr>
                  </w:pPr>
                  <w:r>
                    <w:rPr>
                      <w:rFonts w:hint="eastAsia" w:ascii="Times New Roman" w:hAnsi="Times New Roman" w:eastAsia="宋体" w:cs="Times New Roman"/>
                      <w:color w:val="auto"/>
                      <w:kern w:val="0"/>
                      <w:sz w:val="21"/>
                      <w:szCs w:val="21"/>
                      <w:highlight w:val="none"/>
                    </w:rPr>
                    <w:t>废树脂桶、废机油油桶、含油废抹布</w:t>
                  </w:r>
                </w:p>
              </w:tc>
              <w:tc>
                <w:tcPr>
                  <w:tcW w:w="2160" w:type="dxa"/>
                  <w:vMerge w:val="restart"/>
                  <w:tcBorders>
                    <w:top w:val="single" w:color="auto" w:sz="4" w:space="0"/>
                  </w:tcBorders>
                  <w:vAlign w:val="center"/>
                </w:tcPr>
                <w:p>
                  <w:pPr>
                    <w:topLinePunct/>
                    <w:adjustRightInd w:val="0"/>
                    <w:snapToGrid w:val="0"/>
                    <w:spacing w:line="240" w:lineRule="auto"/>
                    <w:jc w:val="center"/>
                    <w:rPr>
                      <w:color w:val="auto"/>
                      <w:szCs w:val="21"/>
                      <w:highlight w:val="none"/>
                    </w:rPr>
                  </w:pPr>
                  <w:r>
                    <w:rPr>
                      <w:rFonts w:hint="eastAsia" w:hAnsi="宋体"/>
                      <w:color w:val="auto"/>
                      <w:sz w:val="21"/>
                      <w:szCs w:val="21"/>
                    </w:rPr>
                    <w:t>交给有危险废物处置资质单位处置</w:t>
                  </w:r>
                </w:p>
              </w:tc>
              <w:tc>
                <w:tcPr>
                  <w:tcW w:w="1245" w:type="dxa"/>
                  <w:tcBorders>
                    <w:top w:val="single" w:color="auto" w:sz="4" w:space="0"/>
                  </w:tcBorders>
                  <w:vAlign w:val="center"/>
                </w:tcPr>
                <w:p>
                  <w:pPr>
                    <w:topLinePunct/>
                    <w:adjustRightInd w:val="0"/>
                    <w:snapToGrid w:val="0"/>
                    <w:spacing w:line="240" w:lineRule="auto"/>
                    <w:ind w:firstLine="0" w:firstLineChars="0"/>
                    <w:jc w:val="center"/>
                    <w:rPr>
                      <w:rFonts w:hint="eastAsia"/>
                      <w:color w:val="auto"/>
                      <w:szCs w:val="21"/>
                      <w:highlight w:val="none"/>
                      <w:lang w:val="en-US" w:eastAsia="zh-CN"/>
                    </w:rPr>
                  </w:pPr>
                  <w:r>
                    <w:rPr>
                      <w:rFonts w:hint="default" w:ascii="Times New Roman" w:hAnsi="Times New Roman" w:cs="Times New Roman"/>
                      <w:color w:val="auto"/>
                      <w:kern w:val="0"/>
                      <w:sz w:val="21"/>
                      <w:szCs w:val="21"/>
                      <w:highlight w:val="none"/>
                      <w:lang w:val="en-US" w:eastAsia="zh-CN"/>
                    </w:rPr>
                    <w:t>0.184</w:t>
                  </w:r>
                  <w:r>
                    <w:rPr>
                      <w:rFonts w:hint="default" w:ascii="Times New Roman" w:hAnsi="Times New Roman" w:eastAsia="宋体" w:cs="Times New Roman"/>
                      <w:color w:val="auto"/>
                      <w:kern w:val="0"/>
                      <w:sz w:val="21"/>
                      <w:szCs w:val="21"/>
                      <w:highlight w:val="none"/>
                      <w:lang w:val="en-US" w:eastAsia="zh-CN"/>
                    </w:rPr>
                    <w:t>t/</w:t>
                  </w:r>
                  <w:r>
                    <w:rPr>
                      <w:rFonts w:hint="default" w:ascii="Times New Roman" w:hAnsi="Times New Roman" w:cs="Times New Roman"/>
                      <w:color w:val="auto"/>
                      <w:kern w:val="0"/>
                      <w:sz w:val="21"/>
                      <w:szCs w:val="21"/>
                      <w:highlight w:val="none"/>
                      <w:lang w:val="en-US" w:eastAsia="zh-CN"/>
                    </w:rPr>
                    <w: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topLinePunct/>
                    <w:adjustRightInd w:val="0"/>
                    <w:snapToGrid w:val="0"/>
                    <w:spacing w:line="240" w:lineRule="auto"/>
                    <w:ind w:firstLine="0" w:firstLineChars="0"/>
                    <w:jc w:val="center"/>
                    <w:rPr>
                      <w:rFonts w:hint="eastAsia" w:eastAsia="宋体"/>
                      <w:color w:val="auto"/>
                      <w:szCs w:val="21"/>
                      <w:highlight w:val="none"/>
                      <w:lang w:eastAsia="zh-CN"/>
                    </w:rPr>
                  </w:pPr>
                  <w:r>
                    <w:rPr>
                      <w:rFonts w:ascii="Times New Roman" w:hAnsi="Times New Roman" w:eastAsia="宋体" w:cs="Times New Roman"/>
                      <w:bCs/>
                      <w:color w:val="auto"/>
                      <w:sz w:val="21"/>
                      <w:szCs w:val="21"/>
                      <w:highlight w:val="none"/>
                    </w:rPr>
                    <w:t>废</w:t>
                  </w:r>
                  <w:r>
                    <w:rPr>
                      <w:rFonts w:hint="eastAsia" w:ascii="Times New Roman" w:hAnsi="Times New Roman" w:cs="Times New Roman"/>
                      <w:bCs/>
                      <w:color w:val="auto"/>
                      <w:sz w:val="21"/>
                      <w:szCs w:val="21"/>
                      <w:highlight w:val="none"/>
                      <w:lang w:eastAsia="zh-CN"/>
                    </w:rPr>
                    <w:t>机油</w:t>
                  </w:r>
                </w:p>
              </w:tc>
              <w:tc>
                <w:tcPr>
                  <w:tcW w:w="2160" w:type="dxa"/>
                  <w:vMerge w:val="continue"/>
                  <w:vAlign w:val="center"/>
                </w:tcPr>
                <w:p>
                  <w:pPr>
                    <w:topLinePunct/>
                    <w:adjustRightInd w:val="0"/>
                    <w:snapToGrid w:val="0"/>
                    <w:spacing w:line="240" w:lineRule="auto"/>
                    <w:ind w:firstLine="0" w:firstLineChars="0"/>
                    <w:jc w:val="center"/>
                    <w:rPr>
                      <w:color w:val="auto"/>
                      <w:szCs w:val="21"/>
                      <w:highlight w:val="none"/>
                    </w:rPr>
                  </w:pPr>
                </w:p>
              </w:tc>
              <w:tc>
                <w:tcPr>
                  <w:tcW w:w="1245" w:type="dxa"/>
                  <w:tcBorders>
                    <w:top w:val="single" w:color="auto" w:sz="4" w:space="0"/>
                  </w:tcBorders>
                  <w:vAlign w:val="center"/>
                </w:tcPr>
                <w:p>
                  <w:pPr>
                    <w:topLinePunct/>
                    <w:adjustRightInd w:val="0"/>
                    <w:snapToGrid w:val="0"/>
                    <w:spacing w:line="240" w:lineRule="auto"/>
                    <w:ind w:firstLine="0" w:firstLineChars="0"/>
                    <w:jc w:val="center"/>
                    <w:rPr>
                      <w:rFonts w:hint="eastAsia"/>
                      <w:color w:val="auto"/>
                      <w:szCs w:val="21"/>
                      <w:highlight w:val="none"/>
                      <w:lang w:val="en-US" w:eastAsia="zh-CN"/>
                    </w:rPr>
                  </w:pPr>
                  <w:r>
                    <w:rPr>
                      <w:rFonts w:hint="default" w:ascii="Times New Roman" w:hAnsi="Times New Roman" w:cs="Times New Roman"/>
                      <w:bCs/>
                      <w:color w:val="auto"/>
                      <w:sz w:val="21"/>
                      <w:szCs w:val="21"/>
                      <w:highlight w:val="none"/>
                      <w:lang w:val="en-US" w:eastAsia="zh-CN"/>
                    </w:rPr>
                    <w:t>0.1</w:t>
                  </w:r>
                  <w:r>
                    <w:rPr>
                      <w:rFonts w:hint="default" w:ascii="Times New Roman" w:hAnsi="Times New Roman" w:eastAsia="宋体" w:cs="Times New Roman"/>
                      <w:color w:val="auto"/>
                      <w:kern w:val="0"/>
                      <w:sz w:val="21"/>
                      <w:szCs w:val="21"/>
                      <w:highlight w:val="none"/>
                      <w:lang w:val="en-US" w:eastAsia="zh-CN"/>
                    </w:rPr>
                    <w:t>t/</w:t>
                  </w:r>
                  <w:r>
                    <w:rPr>
                      <w:rFonts w:hint="default" w:ascii="Times New Roman" w:hAnsi="Times New Roman" w:cs="Times New Roman"/>
                      <w:color w:val="auto"/>
                      <w:kern w:val="0"/>
                      <w:sz w:val="21"/>
                      <w:szCs w:val="21"/>
                      <w:highlight w:val="none"/>
                      <w:lang w:val="en-US" w:eastAsia="zh-CN"/>
                    </w:rPr>
                    <w: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90" w:hRule="atLeast"/>
                <w:jc w:val="center"/>
              </w:trPr>
              <w:tc>
                <w:tcPr>
                  <w:tcW w:w="543" w:type="dxa"/>
                  <w:tcBorders>
                    <w:left w:val="single" w:color="auto" w:sz="4" w:space="0"/>
                  </w:tcBorders>
                  <w:vAlign w:val="center"/>
                </w:tcPr>
                <w:p>
                  <w:pPr>
                    <w:spacing w:line="240" w:lineRule="auto"/>
                    <w:rPr>
                      <w:color w:val="auto"/>
                      <w:szCs w:val="21"/>
                      <w:highlight w:val="none"/>
                    </w:rPr>
                  </w:pPr>
                </w:p>
              </w:tc>
              <w:tc>
                <w:tcPr>
                  <w:tcW w:w="1924" w:type="dxa"/>
                  <w:tcBorders>
                    <w:top w:val="single" w:color="auto" w:sz="4" w:space="0"/>
                  </w:tcBorders>
                  <w:vAlign w:val="center"/>
                </w:tcPr>
                <w:p>
                  <w:pPr>
                    <w:topLinePunct/>
                    <w:adjustRightInd w:val="0"/>
                    <w:snapToGrid w:val="0"/>
                    <w:spacing w:line="240" w:lineRule="auto"/>
                    <w:jc w:val="center"/>
                    <w:rPr>
                      <w:rFonts w:hint="eastAsia" w:eastAsia="宋体"/>
                      <w:color w:val="auto"/>
                      <w:szCs w:val="21"/>
                      <w:highlight w:val="none"/>
                      <w:lang w:eastAsia="zh-CN"/>
                    </w:rPr>
                  </w:pPr>
                  <w:r>
                    <w:rPr>
                      <w:rFonts w:hint="eastAsia"/>
                      <w:color w:val="auto"/>
                      <w:kern w:val="0"/>
                      <w:sz w:val="21"/>
                      <w:szCs w:val="21"/>
                    </w:rPr>
                    <w:t>废UV灯管</w:t>
                  </w:r>
                </w:p>
              </w:tc>
              <w:tc>
                <w:tcPr>
                  <w:tcW w:w="2160" w:type="dxa"/>
                  <w:vMerge w:val="continue"/>
                  <w:vAlign w:val="center"/>
                </w:tcPr>
                <w:p>
                  <w:pPr>
                    <w:topLinePunct/>
                    <w:adjustRightInd w:val="0"/>
                    <w:snapToGrid w:val="0"/>
                    <w:spacing w:line="240" w:lineRule="auto"/>
                    <w:jc w:val="center"/>
                    <w:rPr>
                      <w:color w:val="auto"/>
                      <w:szCs w:val="21"/>
                      <w:highlight w:val="none"/>
                    </w:rPr>
                  </w:pPr>
                </w:p>
              </w:tc>
              <w:tc>
                <w:tcPr>
                  <w:tcW w:w="1245" w:type="dxa"/>
                  <w:tcBorders>
                    <w:top w:val="single" w:color="auto" w:sz="4" w:space="0"/>
                  </w:tcBorders>
                  <w:vAlign w:val="center"/>
                </w:tcPr>
                <w:p>
                  <w:pPr>
                    <w:topLinePunct/>
                    <w:adjustRightInd w:val="0"/>
                    <w:snapToGrid w:val="0"/>
                    <w:spacing w:line="240" w:lineRule="auto"/>
                    <w:jc w:val="center"/>
                    <w:rPr>
                      <w:rFonts w:hint="eastAsia"/>
                      <w:color w:val="auto"/>
                      <w:szCs w:val="21"/>
                      <w:highlight w:val="none"/>
                      <w:lang w:val="en-US" w:eastAsia="zh-CN"/>
                    </w:rPr>
                  </w:pPr>
                  <w:r>
                    <w:rPr>
                      <w:rFonts w:hint="default" w:ascii="Times New Roman" w:hAnsi="Times New Roman" w:cs="Times New Roman"/>
                      <w:color w:val="auto"/>
                      <w:kern w:val="0"/>
                      <w:sz w:val="21"/>
                      <w:szCs w:val="21"/>
                      <w:lang w:val="en-US" w:eastAsia="zh-CN"/>
                    </w:rPr>
                    <w:t>66</w:t>
                  </w:r>
                  <w:r>
                    <w:rPr>
                      <w:rFonts w:hint="default" w:ascii="Times New Roman" w:hAnsi="Times New Roman" w:eastAsia="宋体" w:cs="Times New Roman"/>
                      <w:color w:val="auto"/>
                      <w:kern w:val="0"/>
                      <w:sz w:val="21"/>
                      <w:szCs w:val="21"/>
                      <w:lang w:eastAsia="zh-CN"/>
                    </w:rPr>
                    <w:t>根</w:t>
                  </w:r>
                  <w:r>
                    <w:rPr>
                      <w:rFonts w:hint="default" w:ascii="Times New Roman" w:hAnsi="Times New Roman" w:cs="Times New Roman"/>
                      <w:color w:val="auto"/>
                      <w:kern w:val="0"/>
                      <w:sz w:val="21"/>
                      <w:szCs w:val="21"/>
                    </w:rPr>
                    <w:t>/a</w:t>
                  </w:r>
                </w:p>
              </w:tc>
              <w:tc>
                <w:tcPr>
                  <w:tcW w:w="3453" w:type="dxa"/>
                  <w:vMerge w:val="continue"/>
                  <w:tcBorders>
                    <w:right w:val="single" w:color="auto" w:sz="4" w:space="0"/>
                  </w:tcBorders>
                  <w:vAlign w:val="center"/>
                </w:tcPr>
                <w:p>
                  <w:pPr>
                    <w:widowControl/>
                    <w:adjustRightInd w:val="0"/>
                    <w:spacing w:before="60" w:line="240" w:lineRule="auto"/>
                    <w:jc w:val="center"/>
                    <w:textAlignment w:val="baseline"/>
                    <w:rPr>
                      <w:color w:val="auto"/>
                      <w:kern w:val="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57" w:type="dxa"/>
                  <w:bottom w:w="57" w:type="dxa"/>
                  <w:right w:w="57" w:type="dxa"/>
                </w:tblCellMar>
              </w:tblPrEx>
              <w:trPr>
                <w:trHeight w:val="874" w:hRule="atLeast"/>
                <w:jc w:val="center"/>
              </w:trPr>
              <w:tc>
                <w:tcPr>
                  <w:tcW w:w="543" w:type="dxa"/>
                  <w:tcBorders>
                    <w:left w:val="single" w:color="auto" w:sz="4" w:space="0"/>
                    <w:bottom w:val="single" w:color="auto" w:sz="4" w:space="0"/>
                  </w:tcBorders>
                  <w:vAlign w:val="center"/>
                </w:tcPr>
                <w:p>
                  <w:pPr>
                    <w:spacing w:line="240" w:lineRule="auto"/>
                    <w:rPr>
                      <w:color w:val="auto"/>
                      <w:szCs w:val="21"/>
                      <w:highlight w:val="none"/>
                    </w:rPr>
                  </w:pPr>
                  <w:r>
                    <w:rPr>
                      <w:color w:val="auto"/>
                      <w:szCs w:val="21"/>
                      <w:highlight w:val="none"/>
                    </w:rPr>
                    <w:t>噪声</w:t>
                  </w:r>
                </w:p>
              </w:tc>
              <w:tc>
                <w:tcPr>
                  <w:tcW w:w="1924" w:type="dxa"/>
                  <w:tcBorders>
                    <w:bottom w:val="single" w:color="auto" w:sz="4" w:space="0"/>
                  </w:tcBorders>
                  <w:vAlign w:val="center"/>
                </w:tcPr>
                <w:p>
                  <w:pPr>
                    <w:spacing w:line="240" w:lineRule="auto"/>
                    <w:jc w:val="center"/>
                    <w:rPr>
                      <w:bCs/>
                      <w:color w:val="auto"/>
                      <w:szCs w:val="21"/>
                      <w:highlight w:val="none"/>
                    </w:rPr>
                  </w:pPr>
                  <w:r>
                    <w:rPr>
                      <w:color w:val="auto"/>
                      <w:szCs w:val="21"/>
                      <w:highlight w:val="none"/>
                    </w:rPr>
                    <w:t>设备、机械噪声</w:t>
                  </w:r>
                </w:p>
              </w:tc>
              <w:tc>
                <w:tcPr>
                  <w:tcW w:w="2160" w:type="dxa"/>
                  <w:tcBorders>
                    <w:bottom w:val="single" w:color="auto" w:sz="4" w:space="0"/>
                  </w:tcBorders>
                  <w:vAlign w:val="center"/>
                </w:tcPr>
                <w:p>
                  <w:pPr>
                    <w:spacing w:line="240" w:lineRule="auto"/>
                    <w:jc w:val="center"/>
                    <w:rPr>
                      <w:color w:val="auto"/>
                      <w:szCs w:val="21"/>
                      <w:highlight w:val="none"/>
                    </w:rPr>
                  </w:pPr>
                  <w:r>
                    <w:rPr>
                      <w:color w:val="auto"/>
                      <w:szCs w:val="21"/>
                      <w:highlight w:val="none"/>
                    </w:rPr>
                    <w:t>使用低噪声设备，合理安排高噪声设备作业时段，采用隔声、消声、减振等措施</w:t>
                  </w:r>
                </w:p>
              </w:tc>
              <w:tc>
                <w:tcPr>
                  <w:tcW w:w="1245" w:type="dxa"/>
                  <w:tcBorders>
                    <w:bottom w:val="single" w:color="auto" w:sz="4" w:space="0"/>
                  </w:tcBorders>
                  <w:vAlign w:val="center"/>
                </w:tcPr>
                <w:p>
                  <w:pPr>
                    <w:spacing w:line="240" w:lineRule="auto"/>
                    <w:jc w:val="center"/>
                    <w:rPr>
                      <w:color w:val="auto"/>
                      <w:szCs w:val="21"/>
                      <w:highlight w:val="none"/>
                    </w:rPr>
                  </w:pPr>
                  <w:r>
                    <w:rPr>
                      <w:color w:val="auto"/>
                      <w:szCs w:val="21"/>
                      <w:highlight w:val="none"/>
                    </w:rPr>
                    <w:t>噪声值约为50~55dB(A)</w:t>
                  </w:r>
                </w:p>
              </w:tc>
              <w:tc>
                <w:tcPr>
                  <w:tcW w:w="3453" w:type="dxa"/>
                  <w:tcBorders>
                    <w:bottom w:val="single" w:color="auto" w:sz="4" w:space="0"/>
                    <w:right w:val="single" w:color="auto" w:sz="4" w:space="0"/>
                  </w:tcBorders>
                  <w:vAlign w:val="center"/>
                </w:tcPr>
                <w:p>
                  <w:pPr>
                    <w:spacing w:line="240" w:lineRule="auto"/>
                    <w:jc w:val="center"/>
                    <w:rPr>
                      <w:bCs/>
                      <w:color w:val="auto"/>
                      <w:szCs w:val="21"/>
                      <w:highlight w:val="none"/>
                    </w:rPr>
                  </w:pPr>
                  <w:r>
                    <w:rPr>
                      <w:bCs/>
                      <w:color w:val="auto"/>
                      <w:szCs w:val="21"/>
                      <w:highlight w:val="none"/>
                    </w:rPr>
                    <w:t>达到《工业企业厂界环境噪声排放标准》（GB12348-2008）</w:t>
                  </w:r>
                  <w:r>
                    <w:rPr>
                      <w:rFonts w:hint="eastAsia"/>
                      <w:bCs/>
                      <w:color w:val="auto"/>
                      <w:szCs w:val="21"/>
                      <w:highlight w:val="none"/>
                      <w:lang w:eastAsia="zh-CN"/>
                    </w:rPr>
                    <w:t>2类和4类</w:t>
                  </w:r>
                  <w:r>
                    <w:rPr>
                      <w:bCs/>
                      <w:color w:val="auto"/>
                      <w:szCs w:val="21"/>
                      <w:highlight w:val="none"/>
                    </w:rPr>
                    <w:t>标准</w:t>
                  </w:r>
                </w:p>
              </w:tc>
            </w:tr>
          </w:tbl>
          <w:p>
            <w:pPr>
              <w:pStyle w:val="47"/>
              <w:rPr>
                <w:rFonts w:hint="eastAsia" w:ascii="Times New Roman" w:hAnsi="Times New Roman" w:eastAsia="宋体" w:cs="Times New Roman"/>
                <w:b/>
                <w:color w:val="auto"/>
                <w:kern w:val="0"/>
                <w:sz w:val="21"/>
                <w:szCs w:val="21"/>
                <w:highlight w:val="none"/>
                <w:lang w:val="en-US" w:eastAsia="zh-CN" w:bidi="ar-SA"/>
              </w:rPr>
            </w:pPr>
          </w:p>
          <w:p>
            <w:pPr>
              <w:pStyle w:val="51"/>
              <w:rPr>
                <w:rFonts w:hint="eastAsia"/>
                <w:color w:val="auto"/>
                <w:lang w:val="en-US" w:eastAsia="zh-CN"/>
              </w:rPr>
            </w:pPr>
          </w:p>
          <w:p>
            <w:pPr>
              <w:pStyle w:val="34"/>
              <w:ind w:left="0" w:leftChars="0" w:firstLine="0" w:firstLineChars="0"/>
              <w:rPr>
                <w:rFonts w:hint="eastAsia"/>
                <w:color w:val="auto"/>
                <w:lang w:val="en-US" w:eastAsia="zh-CN"/>
              </w:rPr>
            </w:pPr>
          </w:p>
          <w:p>
            <w:pPr>
              <w:pStyle w:val="14"/>
              <w:ind w:left="0" w:leftChars="0" w:firstLine="0" w:firstLineChars="0"/>
              <w:rPr>
                <w:rFonts w:hint="eastAsia"/>
                <w:color w:val="auto"/>
                <w:lang w:val="en-US" w:eastAsia="zh-CN"/>
              </w:rPr>
            </w:pPr>
          </w:p>
          <w:p>
            <w:pPr>
              <w:pStyle w:val="15"/>
              <w:ind w:left="0" w:leftChars="0" w:firstLine="0" w:firstLineChars="0"/>
              <w:jc w:val="both"/>
              <w:rPr>
                <w:rFonts w:hint="eastAsia"/>
                <w:color w:val="auto"/>
                <w:lang w:val="en-US" w:eastAsia="zh-CN"/>
              </w:rPr>
            </w:pPr>
          </w:p>
          <w:p>
            <w:pPr>
              <w:pStyle w:val="17"/>
              <w:rPr>
                <w:rFonts w:hint="eastAsia"/>
                <w:color w:val="auto"/>
                <w:lang w:val="en-US" w:eastAsia="zh-CN"/>
              </w:rPr>
            </w:pPr>
          </w:p>
          <w:p>
            <w:pPr>
              <w:pStyle w:val="51"/>
              <w:rPr>
                <w:color w:val="auto"/>
                <w:lang w:val="en-US" w:eastAsia="zh-CN"/>
              </w:rPr>
            </w:pPr>
          </w:p>
          <w:p>
            <w:pPr>
              <w:pStyle w:val="34"/>
              <w:ind w:left="0" w:leftChars="0" w:firstLine="0" w:firstLineChars="0"/>
              <w:rPr>
                <w:color w:val="auto"/>
                <w:lang w:val="en-US" w:eastAsia="zh-CN"/>
              </w:rPr>
            </w:pPr>
          </w:p>
          <w:p>
            <w:pPr>
              <w:pStyle w:val="14"/>
              <w:ind w:left="0" w:leftChars="0" w:firstLine="0" w:firstLineChars="0"/>
              <w:rPr>
                <w:color w:val="auto"/>
                <w:lang w:val="en-US" w:eastAsia="zh-CN"/>
              </w:rPr>
            </w:pPr>
          </w:p>
          <w:p>
            <w:pPr>
              <w:pStyle w:val="15"/>
              <w:jc w:val="both"/>
              <w:rPr>
                <w:color w:val="auto"/>
                <w:lang w:val="en-US" w:eastAsia="zh-CN"/>
              </w:rPr>
            </w:pPr>
          </w:p>
          <w:p>
            <w:pPr>
              <w:ind w:firstLine="480" w:firstLineChars="200"/>
              <w:rPr>
                <w:color w:val="auto"/>
                <w:sz w:val="24"/>
                <w:shd w:val="clear" w:color="auto" w:fill="auto"/>
              </w:rPr>
            </w:pPr>
          </w:p>
        </w:tc>
      </w:tr>
    </w:tbl>
    <w:p>
      <w:pPr>
        <w:pStyle w:val="38"/>
        <w:jc w:val="left"/>
        <w:rPr>
          <w:rFonts w:ascii="Times New Roman" w:hAnsi="Times New Roman"/>
          <w:color w:val="auto"/>
          <w:shd w:val="clear" w:color="auto" w:fill="auto"/>
        </w:rPr>
        <w:sectPr>
          <w:footerReference r:id="rId15" w:type="default"/>
          <w:pgSz w:w="11907" w:h="16840"/>
          <w:pgMar w:top="1440" w:right="1134" w:bottom="1134" w:left="1418" w:header="0" w:footer="898" w:gutter="0"/>
          <w:pgBorders>
            <w:top w:val="none" w:sz="0" w:space="0"/>
            <w:left w:val="none" w:sz="0" w:space="0"/>
            <w:bottom w:val="none" w:sz="0" w:space="0"/>
            <w:right w:val="none" w:sz="0" w:space="0"/>
          </w:pgBorders>
          <w:cols w:space="720" w:num="1"/>
          <w:docGrid w:linePitch="326" w:charSpace="-4916"/>
        </w:sectPr>
      </w:pPr>
    </w:p>
    <w:p>
      <w:pPr>
        <w:adjustRightInd w:val="0"/>
        <w:snapToGrid w:val="0"/>
        <w:spacing w:line="360" w:lineRule="auto"/>
        <w:ind w:firstLine="480" w:firstLineChars="200"/>
        <w:jc w:val="left"/>
        <w:rPr>
          <w:rFonts w:ascii="Times New Roman" w:hAnsi="Times New Roman" w:cs="Times New Roman"/>
          <w:color w:val="auto"/>
          <w:kern w:val="24"/>
          <w:sz w:val="24"/>
          <w:highlight w:val="none"/>
        </w:rPr>
      </w:pPr>
      <w:r>
        <w:rPr>
          <w:rFonts w:hint="eastAsia" w:ascii="Times New Roman" w:hAnsi="Times New Roman" w:cs="Times New Roman"/>
          <w:color w:val="auto"/>
          <w:kern w:val="24"/>
          <w:sz w:val="24"/>
        </w:rPr>
        <w:t>根据</w:t>
      </w:r>
      <w:r>
        <w:rPr>
          <w:rFonts w:ascii="Times New Roman" w:hAnsi="Times New Roman" w:cs="Times New Roman"/>
          <w:color w:val="auto"/>
          <w:kern w:val="24"/>
          <w:sz w:val="24"/>
        </w:rPr>
        <w:t>《关于做好环境影响评价制度与排污许可制衔接相关工作的通知》（环办环评【2017】84号）</w:t>
      </w:r>
      <w:r>
        <w:rPr>
          <w:rFonts w:hint="eastAsia" w:cs="Times New Roman"/>
          <w:color w:val="auto"/>
          <w:kern w:val="24"/>
          <w:sz w:val="24"/>
          <w:lang w:eastAsia="zh-CN"/>
        </w:rPr>
        <w:t>以及《污染源源强核算技术指南 准则》</w:t>
      </w:r>
      <w:r>
        <w:rPr>
          <w:rFonts w:ascii="Times New Roman" w:hAnsi="Times New Roman" w:cs="Times New Roman"/>
          <w:color w:val="auto"/>
          <w:kern w:val="24"/>
          <w:sz w:val="24"/>
        </w:rPr>
        <w:t>的要求，</w:t>
      </w:r>
      <w:r>
        <w:rPr>
          <w:rFonts w:hint="eastAsia" w:ascii="Times New Roman" w:hAnsi="Times New Roman" w:cs="Times New Roman"/>
          <w:color w:val="auto"/>
          <w:kern w:val="24"/>
          <w:sz w:val="24"/>
        </w:rPr>
        <w:t>本项目</w:t>
      </w:r>
      <w:r>
        <w:rPr>
          <w:rFonts w:ascii="Times New Roman" w:hAnsi="Times New Roman" w:cs="Times New Roman"/>
          <w:color w:val="auto"/>
          <w:kern w:val="24"/>
          <w:sz w:val="24"/>
        </w:rPr>
        <w:t>污染物排放清单</w:t>
      </w:r>
      <w:r>
        <w:rPr>
          <w:rFonts w:hint="eastAsia" w:ascii="Times New Roman" w:hAnsi="Times New Roman" w:cs="Times New Roman"/>
          <w:color w:val="auto"/>
          <w:kern w:val="24"/>
          <w:sz w:val="24"/>
        </w:rPr>
        <w:t>如下表所示：</w:t>
      </w:r>
    </w:p>
    <w:p>
      <w:pPr>
        <w:widowControl/>
        <w:numPr>
          <w:ilvl w:val="0"/>
          <w:numId w:val="5"/>
        </w:numPr>
        <w:tabs>
          <w:tab w:val="left" w:pos="420"/>
        </w:tabs>
        <w:adjustRightInd w:val="0"/>
        <w:snapToGrid w:val="0"/>
        <w:spacing w:line="360" w:lineRule="auto"/>
        <w:ind w:left="0" w:firstLine="471"/>
        <w:jc w:val="center"/>
        <w:rPr>
          <w:rFonts w:ascii="Times New Roman" w:hAnsi="Times New Roman" w:eastAsia="宋体" w:cs="Times New Roman"/>
          <w:b/>
          <w:color w:val="auto"/>
          <w:kern w:val="0"/>
          <w:sz w:val="21"/>
          <w:szCs w:val="21"/>
          <w:highlight w:val="none"/>
          <w:lang w:val="en-US" w:eastAsia="zh-CN" w:bidi="ar-SA"/>
        </w:rPr>
      </w:pPr>
      <w:r>
        <w:rPr>
          <w:rFonts w:ascii="Times New Roman" w:hAnsi="Times New Roman" w:eastAsia="宋体" w:cs="Times New Roman"/>
          <w:b/>
          <w:color w:val="auto"/>
          <w:kern w:val="0"/>
          <w:sz w:val="21"/>
          <w:szCs w:val="21"/>
          <w:highlight w:val="none"/>
          <w:lang w:val="en-US" w:eastAsia="zh-CN" w:bidi="ar-SA"/>
        </w:rPr>
        <w:t>本项目污染物</w:t>
      </w:r>
      <w:r>
        <w:rPr>
          <w:rFonts w:hint="eastAsia" w:ascii="Times New Roman" w:hAnsi="Times New Roman" w:eastAsia="宋体" w:cs="Times New Roman"/>
          <w:b/>
          <w:color w:val="auto"/>
          <w:kern w:val="0"/>
          <w:sz w:val="21"/>
          <w:szCs w:val="21"/>
          <w:highlight w:val="none"/>
          <w:lang w:val="en-US" w:eastAsia="zh-CN" w:bidi="ar-SA"/>
        </w:rPr>
        <w:t>源强核算表</w:t>
      </w:r>
    </w:p>
    <w:tbl>
      <w:tblPr>
        <w:tblStyle w:val="40"/>
        <w:tblW w:w="1419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36"/>
        <w:gridCol w:w="559"/>
        <w:gridCol w:w="1143"/>
        <w:gridCol w:w="1472"/>
        <w:gridCol w:w="1018"/>
        <w:gridCol w:w="1911"/>
        <w:gridCol w:w="1249"/>
        <w:gridCol w:w="857"/>
        <w:gridCol w:w="783"/>
        <w:gridCol w:w="1180"/>
        <w:gridCol w:w="750"/>
        <w:gridCol w:w="645"/>
        <w:gridCol w:w="735"/>
        <w:gridCol w:w="647"/>
        <w:gridCol w:w="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1" w:hRule="atLeast"/>
          <w:tblHeader/>
          <w:jc w:val="center"/>
        </w:trPr>
        <w:tc>
          <w:tcPr>
            <w:tcW w:w="536" w:type="dxa"/>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类别</w:t>
            </w:r>
          </w:p>
        </w:tc>
        <w:tc>
          <w:tcPr>
            <w:tcW w:w="1702" w:type="dxa"/>
            <w:gridSpan w:val="2"/>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污染源</w:t>
            </w:r>
          </w:p>
        </w:tc>
        <w:tc>
          <w:tcPr>
            <w:tcW w:w="1472" w:type="dxa"/>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排放规模</w:t>
            </w:r>
          </w:p>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m</w:t>
            </w:r>
            <w:r>
              <w:rPr>
                <w:rFonts w:hint="default" w:ascii="Times New Roman" w:hAnsi="Times New Roman" w:cs="Times New Roman"/>
                <w:b/>
                <w:color w:val="auto"/>
                <w:kern w:val="24"/>
                <w:sz w:val="21"/>
                <w:szCs w:val="21"/>
                <w:highlight w:val="none"/>
                <w:vertAlign w:val="superscript"/>
              </w:rPr>
              <w:t>3</w:t>
            </w:r>
            <w:r>
              <w:rPr>
                <w:rFonts w:hint="default" w:ascii="Times New Roman" w:hAnsi="Times New Roman" w:cs="Times New Roman"/>
                <w:b/>
                <w:color w:val="auto"/>
                <w:kern w:val="24"/>
                <w:sz w:val="21"/>
                <w:szCs w:val="21"/>
                <w:highlight w:val="none"/>
              </w:rPr>
              <w:t>/a</w:t>
            </w:r>
          </w:p>
        </w:tc>
        <w:tc>
          <w:tcPr>
            <w:tcW w:w="1018" w:type="dxa"/>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污染物</w:t>
            </w:r>
          </w:p>
        </w:tc>
        <w:tc>
          <w:tcPr>
            <w:tcW w:w="1911" w:type="dxa"/>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治理措施</w:t>
            </w:r>
          </w:p>
        </w:tc>
        <w:tc>
          <w:tcPr>
            <w:tcW w:w="2889" w:type="dxa"/>
            <w:gridSpan w:val="3"/>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污染物排放量</w:t>
            </w:r>
          </w:p>
        </w:tc>
        <w:tc>
          <w:tcPr>
            <w:tcW w:w="1930" w:type="dxa"/>
            <w:gridSpan w:val="2"/>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执行标准</w:t>
            </w:r>
          </w:p>
        </w:tc>
        <w:tc>
          <w:tcPr>
            <w:tcW w:w="2027" w:type="dxa"/>
            <w:gridSpan w:val="3"/>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排放源参数</w:t>
            </w:r>
          </w:p>
        </w:tc>
        <w:tc>
          <w:tcPr>
            <w:tcW w:w="705" w:type="dxa"/>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年排放时间h</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7" w:hRule="atLeast"/>
          <w:tblHeader/>
          <w:jc w:val="center"/>
        </w:trPr>
        <w:tc>
          <w:tcPr>
            <w:tcW w:w="536"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1702" w:type="dxa"/>
            <w:gridSpan w:val="2"/>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1472"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1018"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1911"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1249"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排放浓度mg/m</w:t>
            </w:r>
            <w:r>
              <w:rPr>
                <w:rFonts w:hint="default" w:ascii="Times New Roman" w:hAnsi="Times New Roman" w:cs="Times New Roman"/>
                <w:b/>
                <w:color w:val="auto"/>
                <w:kern w:val="24"/>
                <w:sz w:val="21"/>
                <w:szCs w:val="21"/>
                <w:highlight w:val="none"/>
                <w:vertAlign w:val="superscript"/>
              </w:rPr>
              <w:t>3</w:t>
            </w:r>
          </w:p>
        </w:tc>
        <w:tc>
          <w:tcPr>
            <w:tcW w:w="857"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排放量t/a</w:t>
            </w:r>
          </w:p>
        </w:tc>
        <w:tc>
          <w:tcPr>
            <w:tcW w:w="783"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排放速率kg/h</w:t>
            </w:r>
          </w:p>
        </w:tc>
        <w:tc>
          <w:tcPr>
            <w:tcW w:w="1180"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浓度mg/m</w:t>
            </w:r>
            <w:r>
              <w:rPr>
                <w:rFonts w:hint="default" w:ascii="Times New Roman" w:hAnsi="Times New Roman" w:cs="Times New Roman"/>
                <w:b/>
                <w:color w:val="auto"/>
                <w:kern w:val="24"/>
                <w:sz w:val="21"/>
                <w:szCs w:val="21"/>
                <w:highlight w:val="none"/>
                <w:vertAlign w:val="superscript"/>
              </w:rPr>
              <w:t>3</w:t>
            </w:r>
          </w:p>
        </w:tc>
        <w:tc>
          <w:tcPr>
            <w:tcW w:w="750"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速率kg/h</w:t>
            </w:r>
          </w:p>
        </w:tc>
        <w:tc>
          <w:tcPr>
            <w:tcW w:w="645"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高度m</w:t>
            </w:r>
          </w:p>
        </w:tc>
        <w:tc>
          <w:tcPr>
            <w:tcW w:w="735"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直径m</w:t>
            </w:r>
          </w:p>
        </w:tc>
        <w:tc>
          <w:tcPr>
            <w:tcW w:w="647" w:type="dxa"/>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温度℃</w:t>
            </w:r>
          </w:p>
        </w:tc>
        <w:tc>
          <w:tcPr>
            <w:tcW w:w="705"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22" w:hRule="atLeast"/>
          <w:jc w:val="center"/>
        </w:trPr>
        <w:tc>
          <w:tcPr>
            <w:tcW w:w="536" w:type="dxa"/>
            <w:vMerge w:val="restart"/>
            <w:tcBorders>
              <w:tl2br w:val="nil"/>
              <w:tr2bl w:val="nil"/>
            </w:tcBorders>
            <w:vAlign w:val="center"/>
          </w:tcPr>
          <w:p>
            <w:pPr>
              <w:jc w:val="center"/>
              <w:rPr>
                <w:rFonts w:hint="default" w:ascii="Times New Roman" w:hAnsi="Times New Roman" w:cs="Times New Roman"/>
                <w:b/>
                <w:color w:val="auto"/>
                <w:kern w:val="24"/>
                <w:sz w:val="21"/>
                <w:szCs w:val="21"/>
                <w:highlight w:val="none"/>
              </w:rPr>
            </w:pPr>
            <w:r>
              <w:rPr>
                <w:rFonts w:hint="default" w:ascii="Times New Roman" w:hAnsi="Times New Roman" w:cs="Times New Roman"/>
                <w:b/>
                <w:color w:val="auto"/>
                <w:kern w:val="24"/>
                <w:sz w:val="21"/>
                <w:szCs w:val="21"/>
                <w:highlight w:val="none"/>
              </w:rPr>
              <w:t>废气</w:t>
            </w:r>
          </w:p>
        </w:tc>
        <w:tc>
          <w:tcPr>
            <w:tcW w:w="559"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有组织</w:t>
            </w:r>
          </w:p>
        </w:tc>
        <w:tc>
          <w:tcPr>
            <w:tcW w:w="1143" w:type="dxa"/>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sz w:val="21"/>
                <w:szCs w:val="21"/>
                <w:highlight w:val="none"/>
              </w:rPr>
              <w:t>G1</w:t>
            </w:r>
            <w:r>
              <w:rPr>
                <w:rFonts w:hint="default" w:ascii="Times New Roman" w:hAnsi="Times New Roman" w:cs="Times New Roman"/>
                <w:bCs/>
                <w:color w:val="auto"/>
                <w:kern w:val="24"/>
                <w:sz w:val="21"/>
                <w:szCs w:val="21"/>
                <w:lang w:val="en-US" w:eastAsia="zh-CN"/>
              </w:rPr>
              <w:t>熔化、</w:t>
            </w:r>
            <w:r>
              <w:rPr>
                <w:rFonts w:hint="default" w:ascii="Times New Roman" w:hAnsi="Times New Roman" w:cs="Times New Roman"/>
                <w:color w:val="auto"/>
                <w:kern w:val="2"/>
                <w:sz w:val="21"/>
                <w:szCs w:val="21"/>
                <w:lang w:val="en-US" w:eastAsia="zh-CN"/>
              </w:rPr>
              <w:t>铸造、制芯工序</w:t>
            </w:r>
          </w:p>
        </w:tc>
        <w:tc>
          <w:tcPr>
            <w:tcW w:w="1472" w:type="dxa"/>
            <w:vMerge w:val="restart"/>
            <w:tcBorders>
              <w:tl2br w:val="nil"/>
              <w:tr2bl w:val="nil"/>
            </w:tcBorders>
            <w:vAlign w:val="center"/>
          </w:tcPr>
          <w:p>
            <w:pPr>
              <w:autoSpaceDE w:val="0"/>
              <w:autoSpaceDN w:val="0"/>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lang w:val="en-US" w:eastAsia="zh-CN"/>
              </w:rPr>
              <w:t>5880</w:t>
            </w: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vertAlign w:val="superscript"/>
              </w:rPr>
              <w:t>4</w:t>
            </w:r>
          </w:p>
        </w:tc>
        <w:tc>
          <w:tcPr>
            <w:tcW w:w="1018" w:type="dxa"/>
            <w:tcBorders>
              <w:bottom w:val="single" w:color="auto" w:sz="4" w:space="0"/>
              <w:tl2br w:val="nil"/>
              <w:tr2bl w:val="nil"/>
            </w:tcBorders>
            <w:vAlign w:val="center"/>
          </w:tcPr>
          <w:p>
            <w:pPr>
              <w:adjustRightInd w:val="0"/>
              <w:snapToGrid w:val="0"/>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颗粒物</w:t>
            </w:r>
          </w:p>
        </w:tc>
        <w:tc>
          <w:tcPr>
            <w:tcW w:w="1911" w:type="dxa"/>
            <w:vMerge w:val="restart"/>
            <w:tcBorders>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sz w:val="21"/>
                <w:szCs w:val="21"/>
                <w:shd w:val="clear" w:color="auto" w:fill="auto"/>
                <w:lang w:eastAsia="zh-CN"/>
              </w:rPr>
              <w:t>设置集气装置将废气收集后引至水喷淋+UV光解装置进行处理后经15m排气筒高空排放</w:t>
            </w:r>
          </w:p>
        </w:tc>
        <w:tc>
          <w:tcPr>
            <w:tcW w:w="1249"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lang w:val="en-US" w:eastAsia="zh-CN"/>
              </w:rPr>
              <w:t>0.177</w:t>
            </w:r>
          </w:p>
        </w:tc>
        <w:tc>
          <w:tcPr>
            <w:tcW w:w="857"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lang w:val="en-US" w:eastAsia="zh-CN"/>
              </w:rPr>
              <w:t>0.01</w:t>
            </w:r>
          </w:p>
        </w:tc>
        <w:tc>
          <w:tcPr>
            <w:tcW w:w="783"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lang w:val="en-US" w:eastAsia="zh-CN"/>
              </w:rPr>
              <w:t>0.004</w:t>
            </w:r>
          </w:p>
        </w:tc>
        <w:tc>
          <w:tcPr>
            <w:tcW w:w="1180" w:type="dxa"/>
            <w:tcBorders>
              <w:bottom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75</w:t>
            </w:r>
          </w:p>
        </w:tc>
        <w:tc>
          <w:tcPr>
            <w:tcW w:w="750" w:type="dxa"/>
            <w:tcBorders>
              <w:bottom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w:t>
            </w:r>
          </w:p>
        </w:tc>
        <w:tc>
          <w:tcPr>
            <w:tcW w:w="645" w:type="dxa"/>
            <w:vMerge w:val="restart"/>
            <w:tcBorders>
              <w:tl2br w:val="nil"/>
              <w:tr2bl w:val="nil"/>
            </w:tcBorders>
            <w:vAlign w:val="center"/>
          </w:tcPr>
          <w:p>
            <w:pPr>
              <w:snapToGrid w:val="0"/>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15</w:t>
            </w:r>
          </w:p>
        </w:tc>
        <w:tc>
          <w:tcPr>
            <w:tcW w:w="735" w:type="dxa"/>
            <w:vMerge w:val="restart"/>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sz w:val="21"/>
                <w:szCs w:val="21"/>
                <w:highlight w:val="none"/>
                <w:lang w:val="en-US" w:eastAsia="zh-CN"/>
              </w:rPr>
              <w:t>0.8</w:t>
            </w:r>
          </w:p>
        </w:tc>
        <w:tc>
          <w:tcPr>
            <w:tcW w:w="647" w:type="dxa"/>
            <w:vMerge w:val="restart"/>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30</w:t>
            </w:r>
          </w:p>
        </w:tc>
        <w:tc>
          <w:tcPr>
            <w:tcW w:w="705"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536"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vMerge w:val="continue"/>
            <w:tcBorders>
              <w:bottom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rPr>
            </w:pPr>
          </w:p>
        </w:tc>
        <w:tc>
          <w:tcPr>
            <w:tcW w:w="1472" w:type="dxa"/>
            <w:vMerge w:val="continue"/>
            <w:tcBorders>
              <w:bottom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lang w:val="en-US" w:eastAsia="zh-CN"/>
              </w:rPr>
            </w:pPr>
          </w:p>
        </w:tc>
        <w:tc>
          <w:tcPr>
            <w:tcW w:w="1018" w:type="dxa"/>
            <w:tcBorders>
              <w:top w:val="single" w:color="auto" w:sz="4" w:space="0"/>
              <w:bottom w:val="single" w:color="auto" w:sz="4" w:space="0"/>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1911" w:type="dxa"/>
            <w:vMerge w:val="continue"/>
            <w:tcBorders>
              <w:bottom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eastAsia="zh-CN"/>
              </w:rPr>
            </w:pPr>
          </w:p>
        </w:tc>
        <w:tc>
          <w:tcPr>
            <w:tcW w:w="1249"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0.102</w:t>
            </w:r>
          </w:p>
        </w:tc>
        <w:tc>
          <w:tcPr>
            <w:tcW w:w="857"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0.006</w:t>
            </w:r>
          </w:p>
        </w:tc>
        <w:tc>
          <w:tcPr>
            <w:tcW w:w="783"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0.003</w:t>
            </w:r>
          </w:p>
        </w:tc>
        <w:tc>
          <w:tcPr>
            <w:tcW w:w="1180" w:type="dxa"/>
            <w:tcBorders>
              <w:top w:val="single" w:color="auto" w:sz="4" w:space="0"/>
              <w:bottom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120</w:t>
            </w:r>
          </w:p>
        </w:tc>
        <w:tc>
          <w:tcPr>
            <w:tcW w:w="750" w:type="dxa"/>
            <w:tcBorders>
              <w:top w:val="single" w:color="auto" w:sz="4" w:space="0"/>
              <w:bottom w:val="single" w:color="auto" w:sz="4" w:space="0"/>
              <w:tl2br w:val="nil"/>
              <w:tr2bl w:val="nil"/>
            </w:tcBorders>
            <w:vAlign w:val="center"/>
          </w:tcPr>
          <w:p>
            <w:pPr>
              <w:snapToGrid w:val="0"/>
              <w:jc w:val="center"/>
              <w:rPr>
                <w:rFonts w:hint="default" w:ascii="Times New Roman" w:hAnsi="Times New Roman"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4.2</w:t>
            </w:r>
          </w:p>
        </w:tc>
        <w:tc>
          <w:tcPr>
            <w:tcW w:w="645" w:type="dxa"/>
            <w:vMerge w:val="continue"/>
            <w:tcBorders>
              <w:bottom w:val="single" w:color="auto" w:sz="4" w:space="0"/>
              <w:tl2br w:val="nil"/>
              <w:tr2bl w:val="nil"/>
            </w:tcBorders>
            <w:vAlign w:val="center"/>
          </w:tcPr>
          <w:p>
            <w:pPr>
              <w:snapToGrid w:val="0"/>
              <w:jc w:val="center"/>
              <w:rPr>
                <w:rFonts w:hint="default" w:ascii="Times New Roman" w:hAnsi="Times New Roman" w:cs="Times New Roman"/>
                <w:color w:val="auto"/>
                <w:kern w:val="24"/>
                <w:sz w:val="21"/>
                <w:szCs w:val="21"/>
                <w:highlight w:val="none"/>
              </w:rPr>
            </w:pPr>
          </w:p>
        </w:tc>
        <w:tc>
          <w:tcPr>
            <w:tcW w:w="735" w:type="dxa"/>
            <w:vMerge w:val="continue"/>
            <w:tcBorders>
              <w:bottom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rPr>
            </w:pPr>
          </w:p>
        </w:tc>
        <w:tc>
          <w:tcPr>
            <w:tcW w:w="647"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705"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536"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vMerge w:val="continue"/>
            <w:tcBorders>
              <w:bottom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rPr>
            </w:pPr>
          </w:p>
        </w:tc>
        <w:tc>
          <w:tcPr>
            <w:tcW w:w="1472" w:type="dxa"/>
            <w:vMerge w:val="continue"/>
            <w:tcBorders>
              <w:bottom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lang w:val="en-US" w:eastAsia="zh-CN"/>
              </w:rPr>
            </w:pPr>
          </w:p>
        </w:tc>
        <w:tc>
          <w:tcPr>
            <w:tcW w:w="1018" w:type="dxa"/>
            <w:tcBorders>
              <w:top w:val="single" w:color="auto" w:sz="4" w:space="0"/>
              <w:bottom w:val="single" w:color="auto" w:sz="4" w:space="0"/>
              <w:tl2br w:val="nil"/>
              <w:tr2bl w:val="nil"/>
            </w:tcBorders>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911" w:type="dxa"/>
            <w:vMerge w:val="continue"/>
            <w:tcBorders>
              <w:bottom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eastAsia="zh-CN"/>
              </w:rPr>
            </w:pPr>
          </w:p>
        </w:tc>
        <w:tc>
          <w:tcPr>
            <w:tcW w:w="1249"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857"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少量</w:t>
            </w:r>
          </w:p>
        </w:tc>
        <w:tc>
          <w:tcPr>
            <w:tcW w:w="783"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1180"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rPr>
              <w:t>&lt;20</w:t>
            </w:r>
            <w:r>
              <w:rPr>
                <w:rFonts w:hint="eastAsia" w:cs="Times New Roman"/>
                <w:color w:val="auto"/>
                <w:kern w:val="24"/>
                <w:sz w:val="21"/>
                <w:szCs w:val="21"/>
                <w:highlight w:val="none"/>
                <w:lang w:val="en-US" w:eastAsia="zh-CN"/>
              </w:rPr>
              <w:t>00</w:t>
            </w:r>
          </w:p>
          <w:p>
            <w:pPr>
              <w:snapToGrid w:val="0"/>
              <w:jc w:val="center"/>
              <w:rPr>
                <w:rFonts w:hint="eastAsia"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rPr>
              <w:t>（无纲量）</w:t>
            </w:r>
          </w:p>
        </w:tc>
        <w:tc>
          <w:tcPr>
            <w:tcW w:w="750" w:type="dxa"/>
            <w:tcBorders>
              <w:top w:val="single" w:color="auto" w:sz="4" w:space="0"/>
              <w:bottom w:val="single" w:color="auto" w:sz="4" w:space="0"/>
              <w:tl2br w:val="nil"/>
              <w:tr2bl w:val="nil"/>
            </w:tcBorders>
            <w:vAlign w:val="center"/>
          </w:tcPr>
          <w:p>
            <w:pPr>
              <w:snapToGrid w:val="0"/>
              <w:jc w:val="center"/>
              <w:rPr>
                <w:rFonts w:hint="default"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w:t>
            </w:r>
          </w:p>
        </w:tc>
        <w:tc>
          <w:tcPr>
            <w:tcW w:w="645" w:type="dxa"/>
            <w:vMerge w:val="continue"/>
            <w:tcBorders>
              <w:bottom w:val="single" w:color="auto" w:sz="4" w:space="0"/>
              <w:tl2br w:val="nil"/>
              <w:tr2bl w:val="nil"/>
            </w:tcBorders>
            <w:vAlign w:val="center"/>
          </w:tcPr>
          <w:p>
            <w:pPr>
              <w:snapToGrid w:val="0"/>
              <w:jc w:val="center"/>
              <w:rPr>
                <w:rFonts w:hint="default" w:ascii="Times New Roman" w:hAnsi="Times New Roman" w:cs="Times New Roman"/>
                <w:color w:val="auto"/>
                <w:kern w:val="24"/>
                <w:sz w:val="21"/>
                <w:szCs w:val="21"/>
                <w:highlight w:val="none"/>
              </w:rPr>
            </w:pPr>
          </w:p>
        </w:tc>
        <w:tc>
          <w:tcPr>
            <w:tcW w:w="735" w:type="dxa"/>
            <w:vMerge w:val="continue"/>
            <w:tcBorders>
              <w:bottom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rPr>
            </w:pPr>
          </w:p>
        </w:tc>
        <w:tc>
          <w:tcPr>
            <w:tcW w:w="647"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705"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54" w:hRule="atLeast"/>
          <w:jc w:val="center"/>
        </w:trPr>
        <w:tc>
          <w:tcPr>
            <w:tcW w:w="536" w:type="dxa"/>
            <w:vMerge w:val="continue"/>
            <w:tcBorders>
              <w:tl2br w:val="nil"/>
              <w:tr2bl w:val="nil"/>
            </w:tcBorders>
            <w:vAlign w:val="center"/>
          </w:tcPr>
          <w:p>
            <w:pPr>
              <w:jc w:val="center"/>
              <w:rPr>
                <w:rFonts w:hint="default" w:ascii="Times New Roman" w:hAnsi="Times New Roman" w:cs="Times New Roman"/>
                <w:b/>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tcBorders>
              <w:top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G2</w:t>
            </w:r>
            <w:r>
              <w:rPr>
                <w:rFonts w:hint="default" w:ascii="Times New Roman" w:hAnsi="Times New Roman" w:cs="Times New Roman"/>
                <w:color w:val="auto"/>
                <w:sz w:val="21"/>
                <w:szCs w:val="21"/>
                <w:highlight w:val="none"/>
                <w:lang w:eastAsia="zh-CN"/>
              </w:rPr>
              <w:t>抛光工序</w:t>
            </w:r>
          </w:p>
        </w:tc>
        <w:tc>
          <w:tcPr>
            <w:tcW w:w="1472" w:type="dxa"/>
            <w:tcBorders>
              <w:top w:val="single" w:color="auto" w:sz="4" w:space="0"/>
              <w:tl2br w:val="nil"/>
              <w:tr2bl w:val="nil"/>
            </w:tcBorders>
            <w:vAlign w:val="center"/>
          </w:tcPr>
          <w:p>
            <w:pPr>
              <w:autoSpaceDE w:val="0"/>
              <w:autoSpaceDN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15552</w:t>
            </w: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vertAlign w:val="superscript"/>
              </w:rPr>
              <w:t>4</w:t>
            </w:r>
          </w:p>
        </w:tc>
        <w:tc>
          <w:tcPr>
            <w:tcW w:w="1018" w:type="dxa"/>
            <w:tcBorders>
              <w:top w:val="single" w:color="auto" w:sz="4" w:space="0"/>
              <w:tl2br w:val="nil"/>
              <w:tr2bl w:val="nil"/>
            </w:tcBorders>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911" w:type="dxa"/>
            <w:tcBorders>
              <w:top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sz w:val="21"/>
                <w:szCs w:val="21"/>
                <w:shd w:val="clear" w:color="auto" w:fill="auto"/>
                <w:lang w:eastAsia="zh-CN"/>
              </w:rPr>
              <w:t>设置集气装置将粉尘收集后引至布袋除尘装置进行处理后经15m排气筒高空排放</w:t>
            </w:r>
          </w:p>
        </w:tc>
        <w:tc>
          <w:tcPr>
            <w:tcW w:w="1249" w:type="dxa"/>
            <w:tcBorders>
              <w:top w:val="single" w:color="auto" w:sz="4" w:space="0"/>
              <w:tl2br w:val="nil"/>
              <w:tr2bl w:val="nil"/>
            </w:tcBorders>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0.006</w:t>
            </w:r>
          </w:p>
        </w:tc>
        <w:tc>
          <w:tcPr>
            <w:tcW w:w="857" w:type="dxa"/>
            <w:tcBorders>
              <w:top w:val="single" w:color="auto" w:sz="4" w:space="0"/>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0.001</w:t>
            </w:r>
          </w:p>
        </w:tc>
        <w:tc>
          <w:tcPr>
            <w:tcW w:w="783" w:type="dxa"/>
            <w:tcBorders>
              <w:top w:val="single" w:color="auto" w:sz="4" w:space="0"/>
              <w:tl2br w:val="nil"/>
              <w:tr2bl w:val="nil"/>
            </w:tcBorders>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r>
              <w:rPr>
                <w:rFonts w:hint="default" w:ascii="Times New Roman" w:hAnsi="Times New Roman" w:cs="Times New Roman"/>
                <w:color w:val="auto"/>
                <w:sz w:val="21"/>
                <w:szCs w:val="21"/>
                <w:lang w:val="en-US" w:eastAsia="zh-CN"/>
              </w:rPr>
              <w:t>04</w:t>
            </w:r>
          </w:p>
        </w:tc>
        <w:tc>
          <w:tcPr>
            <w:tcW w:w="1180" w:type="dxa"/>
            <w:tcBorders>
              <w:top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120</w:t>
            </w:r>
          </w:p>
        </w:tc>
        <w:tc>
          <w:tcPr>
            <w:tcW w:w="750" w:type="dxa"/>
            <w:tcBorders>
              <w:top w:val="single" w:color="auto" w:sz="4" w:space="0"/>
              <w:tl2br w:val="nil"/>
              <w:tr2bl w:val="nil"/>
            </w:tcBorders>
            <w:vAlign w:val="center"/>
          </w:tcPr>
          <w:p>
            <w:pPr>
              <w:snapToGrid w:val="0"/>
              <w:jc w:val="center"/>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1.45</w:t>
            </w:r>
          </w:p>
        </w:tc>
        <w:tc>
          <w:tcPr>
            <w:tcW w:w="645" w:type="dxa"/>
            <w:tcBorders>
              <w:top w:val="single" w:color="auto" w:sz="4" w:space="0"/>
              <w:tl2br w:val="nil"/>
              <w:tr2bl w:val="nil"/>
            </w:tcBorders>
            <w:vAlign w:val="center"/>
          </w:tcPr>
          <w:p>
            <w:pPr>
              <w:snapToGrid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15</w:t>
            </w:r>
          </w:p>
        </w:tc>
        <w:tc>
          <w:tcPr>
            <w:tcW w:w="735" w:type="dxa"/>
            <w:tcBorders>
              <w:top w:val="single" w:color="auto" w:sz="4" w:space="0"/>
              <w:tl2br w:val="nil"/>
              <w:tr2bl w:val="nil"/>
            </w:tcBorders>
            <w:vAlign w:val="center"/>
          </w:tcPr>
          <w:p>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0.9</w:t>
            </w:r>
          </w:p>
        </w:tc>
        <w:tc>
          <w:tcPr>
            <w:tcW w:w="647" w:type="dxa"/>
            <w:tcBorders>
              <w:top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25</w:t>
            </w:r>
          </w:p>
        </w:tc>
        <w:tc>
          <w:tcPr>
            <w:tcW w:w="705" w:type="dxa"/>
            <w:tcBorders>
              <w:top w:val="single" w:color="auto" w:sz="4" w:space="0"/>
              <w:tl2br w:val="nil"/>
              <w:tr2bl w:val="nil"/>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0"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559"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无组织</w:t>
            </w:r>
          </w:p>
        </w:tc>
        <w:tc>
          <w:tcPr>
            <w:tcW w:w="1143" w:type="dxa"/>
            <w:vMerge w:val="restart"/>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eastAsia="宋体" w:cs="Times New Roman"/>
                <w:color w:val="auto"/>
                <w:kern w:val="24"/>
                <w:sz w:val="21"/>
                <w:szCs w:val="21"/>
                <w:highlight w:val="none"/>
                <w:lang w:eastAsia="zh-CN"/>
              </w:rPr>
              <w:t>熔化、铸造、制芯工序</w:t>
            </w:r>
          </w:p>
        </w:tc>
        <w:tc>
          <w:tcPr>
            <w:tcW w:w="1472"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018"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颗粒物</w:t>
            </w:r>
          </w:p>
        </w:tc>
        <w:tc>
          <w:tcPr>
            <w:tcW w:w="1911"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加强通风</w:t>
            </w:r>
          </w:p>
        </w:tc>
        <w:tc>
          <w:tcPr>
            <w:tcW w:w="1249"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857"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sz w:val="21"/>
                <w:szCs w:val="21"/>
                <w:lang w:val="en-US" w:eastAsia="zh-CN"/>
              </w:rPr>
              <w:t>0.02</w:t>
            </w:r>
          </w:p>
        </w:tc>
        <w:tc>
          <w:tcPr>
            <w:tcW w:w="783"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sz w:val="21"/>
                <w:szCs w:val="21"/>
                <w:lang w:val="en-US" w:eastAsia="zh-CN"/>
              </w:rPr>
              <w:t>0.008</w:t>
            </w:r>
          </w:p>
        </w:tc>
        <w:tc>
          <w:tcPr>
            <w:tcW w:w="1180"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1</w:t>
            </w:r>
          </w:p>
        </w:tc>
        <w:tc>
          <w:tcPr>
            <w:tcW w:w="750"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vMerge w:val="restart"/>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vMerge w:val="restart"/>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vMerge w:val="restart"/>
            <w:tcBorders>
              <w:top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30</w:t>
            </w:r>
          </w:p>
        </w:tc>
        <w:tc>
          <w:tcPr>
            <w:tcW w:w="705" w:type="dxa"/>
            <w:vMerge w:val="restart"/>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2"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vMerge w:val="continue"/>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p>
        </w:tc>
        <w:tc>
          <w:tcPr>
            <w:tcW w:w="1472"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018"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tc>
        <w:tc>
          <w:tcPr>
            <w:tcW w:w="1911" w:type="dxa"/>
            <w:vMerge w:val="continue"/>
            <w:tcBorders>
              <w:tl2br w:val="nil"/>
              <w:tr2bl w:val="nil"/>
            </w:tcBorders>
            <w:vAlign w:val="center"/>
          </w:tcPr>
          <w:p>
            <w:pPr>
              <w:jc w:val="center"/>
              <w:rPr>
                <w:rFonts w:hint="default" w:ascii="Times New Roman" w:hAnsi="Times New Roman" w:cs="Times New Roman"/>
                <w:color w:val="auto"/>
                <w:sz w:val="21"/>
                <w:szCs w:val="21"/>
                <w:highlight w:val="none"/>
              </w:rPr>
            </w:pPr>
          </w:p>
        </w:tc>
        <w:tc>
          <w:tcPr>
            <w:tcW w:w="1249"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857"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sz w:val="21"/>
                <w:szCs w:val="21"/>
                <w:lang w:val="en-US" w:eastAsia="zh-CN"/>
              </w:rPr>
              <w:t>0.002</w:t>
            </w:r>
          </w:p>
        </w:tc>
        <w:tc>
          <w:tcPr>
            <w:tcW w:w="783"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sz w:val="21"/>
                <w:szCs w:val="21"/>
                <w:lang w:val="en-US" w:eastAsia="zh-CN"/>
              </w:rPr>
              <w:t>0.001</w:t>
            </w:r>
          </w:p>
        </w:tc>
        <w:tc>
          <w:tcPr>
            <w:tcW w:w="1180"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4</w:t>
            </w:r>
          </w:p>
        </w:tc>
        <w:tc>
          <w:tcPr>
            <w:tcW w:w="750"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735"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647"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705"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33"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vMerge w:val="continue"/>
            <w:tcBorders>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p>
        </w:tc>
        <w:tc>
          <w:tcPr>
            <w:tcW w:w="1472"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018"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911"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p>
        </w:tc>
        <w:tc>
          <w:tcPr>
            <w:tcW w:w="1249" w:type="dxa"/>
            <w:tcBorders>
              <w:top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kern w:val="24"/>
                <w:sz w:val="21"/>
                <w:szCs w:val="21"/>
                <w:highlight w:val="none"/>
              </w:rPr>
              <w:t>/</w:t>
            </w:r>
          </w:p>
        </w:tc>
        <w:tc>
          <w:tcPr>
            <w:tcW w:w="857" w:type="dxa"/>
            <w:tcBorders>
              <w:top w:val="single" w:color="auto" w:sz="4" w:space="0"/>
              <w:left w:val="single" w:color="auto" w:sz="4" w:space="0"/>
              <w:bottom w:val="single" w:color="auto" w:sz="4" w:space="0"/>
              <w:right w:val="single" w:color="auto" w:sz="4" w:space="0"/>
              <w:tl2br w:val="nil"/>
              <w:tr2bl w:val="nil"/>
            </w:tcBorders>
            <w:vAlign w:val="center"/>
          </w:tcPr>
          <w:p>
            <w:pPr>
              <w:jc w:val="center"/>
              <w:rPr>
                <w:rFonts w:hint="eastAsia"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少量</w:t>
            </w:r>
          </w:p>
        </w:tc>
        <w:tc>
          <w:tcPr>
            <w:tcW w:w="783" w:type="dxa"/>
            <w:tcBorders>
              <w:top w:val="single" w:color="auto" w:sz="4" w:space="0"/>
              <w:left w:val="single" w:color="auto" w:sz="4" w:space="0"/>
              <w:bottom w:val="single" w:color="auto" w:sz="4" w:space="0"/>
              <w:tl2br w:val="nil"/>
              <w:tr2bl w:val="nil"/>
            </w:tcBorders>
            <w:vAlign w:val="center"/>
          </w:tcPr>
          <w:p>
            <w:pPr>
              <w:jc w:val="center"/>
              <w:rPr>
                <w:rFonts w:hint="eastAsia"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rPr>
              <w:t>/</w:t>
            </w:r>
          </w:p>
        </w:tc>
        <w:tc>
          <w:tcPr>
            <w:tcW w:w="1180" w:type="dxa"/>
            <w:tcBorders>
              <w:top w:val="single" w:color="auto" w:sz="4" w:space="0"/>
              <w:bottom w:val="single" w:color="auto" w:sz="4" w:space="0"/>
              <w:tl2br w:val="nil"/>
              <w:tr2bl w:val="nil"/>
            </w:tcBorders>
            <w:vAlign w:val="center"/>
          </w:tcPr>
          <w:p>
            <w:pPr>
              <w:jc w:val="center"/>
              <w:rPr>
                <w:rFonts w:hint="eastAsia" w:ascii="Times New Roman" w:hAnsi="Times New Roman" w:cs="Times New Roman"/>
                <w:color w:val="auto"/>
                <w:kern w:val="24"/>
                <w:sz w:val="21"/>
                <w:szCs w:val="21"/>
                <w:highlight w:val="none"/>
              </w:rPr>
            </w:pPr>
            <w:r>
              <w:rPr>
                <w:rFonts w:hint="eastAsia" w:ascii="Times New Roman" w:hAnsi="Times New Roman" w:cs="Times New Roman"/>
                <w:color w:val="auto"/>
                <w:kern w:val="24"/>
                <w:sz w:val="21"/>
                <w:szCs w:val="21"/>
                <w:highlight w:val="none"/>
              </w:rPr>
              <w:t>&lt;20</w:t>
            </w:r>
          </w:p>
          <w:p>
            <w:pPr>
              <w:jc w:val="center"/>
              <w:rPr>
                <w:rFonts w:hint="default" w:ascii="Times New Roman" w:hAnsi="Times New Roman" w:cs="Times New Roman"/>
                <w:color w:val="auto"/>
                <w:kern w:val="24"/>
                <w:sz w:val="21"/>
                <w:szCs w:val="21"/>
                <w:highlight w:val="none"/>
                <w:lang w:val="en-US" w:eastAsia="zh-CN"/>
              </w:rPr>
            </w:pPr>
            <w:r>
              <w:rPr>
                <w:rFonts w:hint="eastAsia" w:ascii="Times New Roman" w:hAnsi="Times New Roman" w:cs="Times New Roman"/>
                <w:color w:val="auto"/>
                <w:kern w:val="24"/>
                <w:sz w:val="21"/>
                <w:szCs w:val="21"/>
                <w:highlight w:val="none"/>
              </w:rPr>
              <w:t>（无纲量）</w:t>
            </w:r>
          </w:p>
        </w:tc>
        <w:tc>
          <w:tcPr>
            <w:tcW w:w="750"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lang w:val="en-US" w:eastAsia="zh-CN"/>
              </w:rPr>
              <w:t>30</w:t>
            </w:r>
          </w:p>
        </w:tc>
        <w:tc>
          <w:tcPr>
            <w:tcW w:w="705" w:type="dxa"/>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9"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lang w:eastAsia="zh-CN"/>
              </w:rPr>
            </w:pPr>
            <w:r>
              <w:rPr>
                <w:rFonts w:hint="default" w:ascii="Times New Roman" w:hAnsi="Times New Roman" w:cs="Times New Roman"/>
                <w:color w:val="auto"/>
                <w:kern w:val="24"/>
                <w:sz w:val="21"/>
                <w:szCs w:val="21"/>
                <w:highlight w:val="none"/>
                <w:lang w:eastAsia="zh-CN"/>
              </w:rPr>
              <w:t>滚砂、机加工工序</w:t>
            </w:r>
          </w:p>
        </w:tc>
        <w:tc>
          <w:tcPr>
            <w:tcW w:w="1472" w:type="dxa"/>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018" w:type="dxa"/>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911" w:type="dxa"/>
            <w:tcBorders>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加强通风</w:t>
            </w:r>
          </w:p>
        </w:tc>
        <w:tc>
          <w:tcPr>
            <w:tcW w:w="1249"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857" w:type="dxa"/>
            <w:tcBorders>
              <w:top w:val="single" w:color="auto" w:sz="4" w:space="0"/>
              <w:bottom w:val="single" w:color="auto" w:sz="4" w:space="0"/>
              <w:tl2br w:val="nil"/>
              <w:tr2bl w:val="nil"/>
            </w:tcBorders>
            <w:vAlign w:val="center"/>
          </w:tcPr>
          <w:p>
            <w:pPr>
              <w:autoSpaceDE w:val="0"/>
              <w:autoSpaceDN w:val="0"/>
              <w:jc w:val="center"/>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0.012</w:t>
            </w:r>
          </w:p>
        </w:tc>
        <w:tc>
          <w:tcPr>
            <w:tcW w:w="783" w:type="dxa"/>
            <w:tcBorders>
              <w:top w:val="single" w:color="auto" w:sz="4" w:space="0"/>
              <w:bottom w:val="single" w:color="auto" w:sz="4" w:space="0"/>
              <w:tl2br w:val="nil"/>
              <w:tr2bl w:val="nil"/>
            </w:tcBorders>
            <w:vAlign w:val="center"/>
          </w:tcPr>
          <w:p>
            <w:pPr>
              <w:autoSpaceDE w:val="0"/>
              <w:autoSpaceDN w:val="0"/>
              <w:jc w:val="center"/>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0.005</w:t>
            </w:r>
          </w:p>
        </w:tc>
        <w:tc>
          <w:tcPr>
            <w:tcW w:w="1180"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1</w:t>
            </w:r>
          </w:p>
        </w:tc>
        <w:tc>
          <w:tcPr>
            <w:tcW w:w="750"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25</w:t>
            </w:r>
          </w:p>
        </w:tc>
        <w:tc>
          <w:tcPr>
            <w:tcW w:w="705" w:type="dxa"/>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559"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143" w:type="dxa"/>
            <w:tcBorders>
              <w:top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kern w:val="24"/>
                <w:sz w:val="21"/>
                <w:szCs w:val="21"/>
                <w:highlight w:val="none"/>
                <w:lang w:eastAsia="zh-CN"/>
              </w:rPr>
              <w:t>抛光工序</w:t>
            </w:r>
          </w:p>
        </w:tc>
        <w:tc>
          <w:tcPr>
            <w:tcW w:w="1472" w:type="dxa"/>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018" w:type="dxa"/>
            <w:tcBorders>
              <w:top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911" w:type="dxa"/>
            <w:tcBorders>
              <w:top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加强通风</w:t>
            </w:r>
          </w:p>
        </w:tc>
        <w:tc>
          <w:tcPr>
            <w:tcW w:w="1249" w:type="dxa"/>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857" w:type="dxa"/>
            <w:tcBorders>
              <w:top w:val="single" w:color="auto" w:sz="4" w:space="0"/>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0.01</w:t>
            </w:r>
          </w:p>
        </w:tc>
        <w:tc>
          <w:tcPr>
            <w:tcW w:w="783" w:type="dxa"/>
            <w:tcBorders>
              <w:top w:val="single" w:color="auto" w:sz="4" w:space="0"/>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eastAsia" w:cs="Times New Roman"/>
                <w:color w:val="auto"/>
                <w:kern w:val="24"/>
                <w:sz w:val="21"/>
                <w:szCs w:val="21"/>
                <w:highlight w:val="none"/>
                <w:lang w:val="en-US" w:eastAsia="zh-CN"/>
              </w:rPr>
              <w:t>0.024</w:t>
            </w:r>
          </w:p>
        </w:tc>
        <w:tc>
          <w:tcPr>
            <w:tcW w:w="1180" w:type="dxa"/>
            <w:tcBorders>
              <w:top w:val="single" w:color="auto" w:sz="4" w:space="0"/>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kern w:val="24"/>
                <w:sz w:val="21"/>
                <w:szCs w:val="21"/>
                <w:highlight w:val="none"/>
                <w:lang w:val="en-US" w:eastAsia="zh-CN"/>
              </w:rPr>
              <w:t>1</w:t>
            </w:r>
          </w:p>
        </w:tc>
        <w:tc>
          <w:tcPr>
            <w:tcW w:w="750" w:type="dxa"/>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25</w:t>
            </w:r>
          </w:p>
        </w:tc>
        <w:tc>
          <w:tcPr>
            <w:tcW w:w="705" w:type="dxa"/>
            <w:tcBorders>
              <w:top w:val="single" w:color="auto" w:sz="4" w:space="0"/>
              <w:tl2br w:val="nil"/>
              <w:tr2bl w:val="nil"/>
            </w:tcBorders>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1" w:hRule="atLeast"/>
          <w:jc w:val="center"/>
        </w:trPr>
        <w:tc>
          <w:tcPr>
            <w:tcW w:w="536" w:type="dxa"/>
            <w:vMerge w:val="restart"/>
            <w:tcBorders>
              <w:top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废水</w:t>
            </w:r>
          </w:p>
        </w:tc>
        <w:tc>
          <w:tcPr>
            <w:tcW w:w="1702" w:type="dxa"/>
            <w:gridSpan w:val="2"/>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生活污水</w:t>
            </w:r>
          </w:p>
        </w:tc>
        <w:tc>
          <w:tcPr>
            <w:tcW w:w="1472"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0"/>
                <w:sz w:val="21"/>
                <w:szCs w:val="21"/>
                <w:highlight w:val="none"/>
                <w:lang w:val="en-US" w:eastAsia="zh-CN"/>
              </w:rPr>
              <w:t>756t</w:t>
            </w:r>
            <w:r>
              <w:rPr>
                <w:rFonts w:hint="default" w:ascii="Times New Roman" w:hAnsi="Times New Roman" w:cs="Times New Roman"/>
                <w:color w:val="auto"/>
                <w:kern w:val="0"/>
                <w:sz w:val="21"/>
                <w:szCs w:val="21"/>
                <w:highlight w:val="none"/>
              </w:rPr>
              <w:t>/a</w:t>
            </w:r>
          </w:p>
        </w:tc>
        <w:tc>
          <w:tcPr>
            <w:tcW w:w="1018" w:type="dxa"/>
            <w:tcBorders>
              <w:tl2br w:val="nil"/>
              <w:tr2bl w:val="nil"/>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r>
              <w:rPr>
                <w:rFonts w:hint="default" w:ascii="Times New Roman" w:hAnsi="Times New Roman" w:cs="Times New Roman"/>
                <w:color w:val="auto"/>
                <w:sz w:val="21"/>
                <w:szCs w:val="21"/>
                <w:highlight w:val="none"/>
                <w:vertAlign w:val="subscript"/>
              </w:rPr>
              <w:t>Cr</w:t>
            </w:r>
          </w:p>
        </w:tc>
        <w:tc>
          <w:tcPr>
            <w:tcW w:w="1911"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经三级化粪池处理后排放到市政污水管网，引至开平市水口污水处理厂处理</w:t>
            </w:r>
          </w:p>
        </w:tc>
        <w:tc>
          <w:tcPr>
            <w:tcW w:w="1249"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200</w:t>
            </w: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0.151</w:t>
            </w:r>
          </w:p>
        </w:tc>
        <w:tc>
          <w:tcPr>
            <w:tcW w:w="783"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18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500</w:t>
            </w:r>
          </w:p>
        </w:tc>
        <w:tc>
          <w:tcPr>
            <w:tcW w:w="75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05" w:type="dxa"/>
            <w:vMerge w:val="restart"/>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2400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472"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018" w:type="dxa"/>
            <w:tcBorders>
              <w:tl2br w:val="nil"/>
              <w:tr2bl w:val="nil"/>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BOD</w:t>
            </w:r>
            <w:r>
              <w:rPr>
                <w:rFonts w:hint="default" w:ascii="Times New Roman" w:hAnsi="Times New Roman" w:cs="Times New Roman"/>
                <w:color w:val="auto"/>
                <w:sz w:val="21"/>
                <w:szCs w:val="21"/>
                <w:highlight w:val="none"/>
                <w:vertAlign w:val="subscript"/>
              </w:rPr>
              <w:t>5</w:t>
            </w:r>
          </w:p>
        </w:tc>
        <w:tc>
          <w:tcPr>
            <w:tcW w:w="1911"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249"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120</w:t>
            </w: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0.091</w:t>
            </w:r>
          </w:p>
        </w:tc>
        <w:tc>
          <w:tcPr>
            <w:tcW w:w="783"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18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highlight w:val="none"/>
              </w:rPr>
              <w:t>300</w:t>
            </w:r>
          </w:p>
        </w:tc>
        <w:tc>
          <w:tcPr>
            <w:tcW w:w="75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05"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472"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018" w:type="dxa"/>
            <w:tcBorders>
              <w:tl2br w:val="nil"/>
              <w:tr2bl w:val="nil"/>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tc>
        <w:tc>
          <w:tcPr>
            <w:tcW w:w="1911"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249"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120</w:t>
            </w: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0.091</w:t>
            </w:r>
          </w:p>
        </w:tc>
        <w:tc>
          <w:tcPr>
            <w:tcW w:w="783"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180" w:type="dxa"/>
            <w:tcBorders>
              <w:tl2br w:val="nil"/>
              <w:tr2bl w:val="nil"/>
            </w:tcBorders>
            <w:vAlign w:val="center"/>
          </w:tcPr>
          <w:p>
            <w:pPr>
              <w:snapToGrid w:val="0"/>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400</w:t>
            </w:r>
          </w:p>
        </w:tc>
        <w:tc>
          <w:tcPr>
            <w:tcW w:w="75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05"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472"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018" w:type="dxa"/>
            <w:tcBorders>
              <w:tl2br w:val="nil"/>
              <w:tr2bl w:val="nil"/>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911"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249" w:type="dxa"/>
            <w:tcBorders>
              <w:tl2br w:val="nil"/>
              <w:tr2bl w:val="nil"/>
            </w:tcBorders>
            <w:vAlign w:val="center"/>
          </w:tcPr>
          <w:p>
            <w:pPr>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857"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0.015</w:t>
            </w:r>
          </w:p>
        </w:tc>
        <w:tc>
          <w:tcPr>
            <w:tcW w:w="783"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18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45</w:t>
            </w:r>
          </w:p>
        </w:tc>
        <w:tc>
          <w:tcPr>
            <w:tcW w:w="750"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35"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647"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705"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冷却用水</w:t>
            </w:r>
          </w:p>
        </w:tc>
        <w:tc>
          <w:tcPr>
            <w:tcW w:w="1472"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018" w:type="dxa"/>
            <w:tcBorders>
              <w:tl2br w:val="nil"/>
              <w:tr2bl w:val="nil"/>
            </w:tcBorders>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4"/>
                <w:sz w:val="21"/>
                <w:szCs w:val="21"/>
                <w:highlight w:val="none"/>
              </w:rPr>
              <w:t>/</w:t>
            </w:r>
          </w:p>
        </w:tc>
        <w:tc>
          <w:tcPr>
            <w:tcW w:w="1911"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循环使用，不外排</w:t>
            </w:r>
          </w:p>
        </w:tc>
        <w:tc>
          <w:tcPr>
            <w:tcW w:w="1249" w:type="dxa"/>
            <w:tcBorders>
              <w:tl2br w:val="nil"/>
              <w:tr2bl w:val="nil"/>
            </w:tcBorders>
            <w:vAlign w:val="center"/>
          </w:tcPr>
          <w:p>
            <w:pPr>
              <w:autoSpaceDE w:val="0"/>
              <w:autoSpaceDN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4"/>
                <w:sz w:val="21"/>
                <w:szCs w:val="21"/>
                <w:highlight w:val="none"/>
              </w:rPr>
              <w:t>0</w:t>
            </w:r>
          </w:p>
        </w:tc>
        <w:tc>
          <w:tcPr>
            <w:tcW w:w="3570"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循环使用，不外排</w:t>
            </w:r>
          </w:p>
        </w:tc>
        <w:tc>
          <w:tcPr>
            <w:tcW w:w="2732"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7" w:hRule="atLeast"/>
          <w:jc w:val="center"/>
        </w:trPr>
        <w:tc>
          <w:tcPr>
            <w:tcW w:w="536" w:type="dxa"/>
            <w:vMerge w:val="continue"/>
            <w:tcBorders>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sz w:val="21"/>
                <w:szCs w:val="21"/>
                <w:shd w:val="clear" w:color="auto" w:fill="auto"/>
                <w:lang w:eastAsia="zh-CN"/>
              </w:rPr>
              <w:t>测试用水</w:t>
            </w:r>
          </w:p>
        </w:tc>
        <w:tc>
          <w:tcPr>
            <w:tcW w:w="1472"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018" w:type="dxa"/>
            <w:tcBorders>
              <w:tl2br w:val="nil"/>
              <w:tr2bl w:val="nil"/>
            </w:tcBorders>
            <w:vAlign w:val="center"/>
          </w:tcPr>
          <w:p>
            <w:pPr>
              <w:widowControl/>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911"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循环使用，不外排</w:t>
            </w:r>
          </w:p>
        </w:tc>
        <w:tc>
          <w:tcPr>
            <w:tcW w:w="1249" w:type="dxa"/>
            <w:tcBorders>
              <w:tl2br w:val="nil"/>
              <w:tr2bl w:val="nil"/>
            </w:tcBorders>
            <w:vAlign w:val="center"/>
          </w:tcPr>
          <w:p>
            <w:pPr>
              <w:autoSpaceDE w:val="0"/>
              <w:autoSpaceDN w:val="0"/>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0</w:t>
            </w:r>
          </w:p>
        </w:tc>
        <w:tc>
          <w:tcPr>
            <w:tcW w:w="3570"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循环使用，不外排</w:t>
            </w:r>
          </w:p>
        </w:tc>
        <w:tc>
          <w:tcPr>
            <w:tcW w:w="2732"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536" w:type="dxa"/>
            <w:vMerge w:val="continue"/>
            <w:tcBorders>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kern w:val="24"/>
                <w:sz w:val="21"/>
                <w:szCs w:val="21"/>
                <w:highlight w:val="none"/>
                <w:lang w:eastAsia="zh-CN"/>
              </w:rPr>
              <w:t>喷淋废水</w:t>
            </w:r>
          </w:p>
        </w:tc>
        <w:tc>
          <w:tcPr>
            <w:tcW w:w="1472" w:type="dxa"/>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6</w:t>
            </w:r>
            <w:r>
              <w:rPr>
                <w:rFonts w:hint="default" w:ascii="Times New Roman" w:hAnsi="Times New Roman" w:cs="Times New Roman"/>
                <w:color w:val="auto"/>
                <w:kern w:val="0"/>
                <w:sz w:val="21"/>
                <w:szCs w:val="21"/>
                <w:highlight w:val="none"/>
                <w:lang w:val="en-US" w:eastAsia="zh-CN"/>
              </w:rPr>
              <w:t>t</w:t>
            </w:r>
            <w:r>
              <w:rPr>
                <w:rFonts w:hint="default" w:ascii="Times New Roman" w:hAnsi="Times New Roman" w:cs="Times New Roman"/>
                <w:color w:val="auto"/>
                <w:kern w:val="0"/>
                <w:sz w:val="21"/>
                <w:szCs w:val="21"/>
                <w:highlight w:val="none"/>
              </w:rPr>
              <w:t>/a</w:t>
            </w:r>
          </w:p>
        </w:tc>
        <w:tc>
          <w:tcPr>
            <w:tcW w:w="1018" w:type="dxa"/>
            <w:tcBorders>
              <w:tl2br w:val="nil"/>
              <w:tr2bl w:val="nil"/>
            </w:tcBorders>
            <w:vAlign w:val="center"/>
          </w:tcPr>
          <w:p>
            <w:pPr>
              <w:widowControl/>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c>
          <w:tcPr>
            <w:tcW w:w="1911"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0"/>
                <w:sz w:val="21"/>
                <w:szCs w:val="21"/>
                <w:lang w:val="en-US" w:eastAsia="zh-CN"/>
              </w:rPr>
              <w:t>经收集后定期交具有零星废水处理资质的单位处理，不外排</w:t>
            </w:r>
          </w:p>
        </w:tc>
        <w:tc>
          <w:tcPr>
            <w:tcW w:w="1249" w:type="dxa"/>
            <w:tcBorders>
              <w:tl2br w:val="nil"/>
              <w:tr2bl w:val="nil"/>
            </w:tcBorders>
            <w:vAlign w:val="center"/>
          </w:tcPr>
          <w:p>
            <w:pPr>
              <w:autoSpaceDE w:val="0"/>
              <w:autoSpaceDN w:val="0"/>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w:t>
            </w:r>
          </w:p>
        </w:tc>
        <w:tc>
          <w:tcPr>
            <w:tcW w:w="3570"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0"/>
                <w:sz w:val="21"/>
                <w:szCs w:val="21"/>
                <w:lang w:val="en-US" w:eastAsia="zh-CN"/>
              </w:rPr>
              <w:t>经收集后定期交具有零星废水处理资质的单位处理，不外排</w:t>
            </w:r>
          </w:p>
        </w:tc>
        <w:tc>
          <w:tcPr>
            <w:tcW w:w="2732"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1" w:hRule="atLeast"/>
          <w:jc w:val="center"/>
        </w:trPr>
        <w:tc>
          <w:tcPr>
            <w:tcW w:w="536" w:type="dxa"/>
            <w:vMerge w:val="restart"/>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固废</w:t>
            </w:r>
          </w:p>
        </w:tc>
        <w:tc>
          <w:tcPr>
            <w:tcW w:w="1702" w:type="dxa"/>
            <w:gridSpan w:val="2"/>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一般工业固废</w:t>
            </w:r>
          </w:p>
        </w:tc>
        <w:tc>
          <w:tcPr>
            <w:tcW w:w="4401" w:type="dxa"/>
            <w:gridSpan w:val="3"/>
            <w:tcBorders>
              <w:tl2br w:val="nil"/>
              <w:tr2bl w:val="nil"/>
            </w:tcBorders>
            <w:vAlign w:val="center"/>
          </w:tcPr>
          <w:p>
            <w:pPr>
              <w:widowControl w:val="0"/>
              <w:jc w:val="center"/>
              <w:outlineLvl w:val="7"/>
              <w:rPr>
                <w:rFonts w:hint="default" w:ascii="Times New Roman" w:hAnsi="Times New Roman" w:eastAsia="宋体" w:cs="Times New Roman"/>
                <w:color w:val="auto"/>
                <w:kern w:val="24"/>
                <w:sz w:val="21"/>
                <w:szCs w:val="21"/>
                <w:highlight w:val="none"/>
                <w:lang w:val="en-US" w:eastAsia="zh-CN" w:bidi="ar-SA"/>
              </w:rPr>
            </w:pPr>
            <w:r>
              <w:rPr>
                <w:rFonts w:hint="eastAsia"/>
                <w:color w:val="auto"/>
                <w:spacing w:val="-2"/>
                <w:sz w:val="21"/>
                <w:szCs w:val="21"/>
                <w:shd w:val="clear" w:color="auto" w:fill="auto"/>
                <w:lang w:eastAsia="zh-CN"/>
              </w:rPr>
              <w:t>炉渣、</w:t>
            </w:r>
            <w:r>
              <w:rPr>
                <w:rFonts w:hint="eastAsia"/>
                <w:color w:val="auto"/>
                <w:sz w:val="21"/>
                <w:szCs w:val="21"/>
                <w:shd w:val="clear" w:color="auto" w:fill="auto"/>
                <w:lang w:eastAsia="zh-CN"/>
              </w:rPr>
              <w:t>废砂、</w:t>
            </w:r>
            <w:r>
              <w:rPr>
                <w:rFonts w:hint="eastAsia"/>
                <w:color w:val="auto"/>
                <w:spacing w:val="-2"/>
                <w:sz w:val="21"/>
                <w:szCs w:val="21"/>
                <w:shd w:val="clear" w:color="auto" w:fill="auto"/>
                <w:lang w:eastAsia="zh-CN"/>
              </w:rPr>
              <w:t>金属边角料、废抛光轮、不合格品、废包装材料、布袋除尘装置收集的粉尘</w:t>
            </w:r>
          </w:p>
        </w:tc>
        <w:tc>
          <w:tcPr>
            <w:tcW w:w="1249"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0</w:t>
            </w:r>
          </w:p>
        </w:tc>
        <w:tc>
          <w:tcPr>
            <w:tcW w:w="3570"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color w:val="auto"/>
                <w:sz w:val="21"/>
                <w:szCs w:val="21"/>
                <w:shd w:val="clear" w:color="auto" w:fill="auto"/>
              </w:rPr>
              <w:t>交专业公司回收处理</w:t>
            </w:r>
          </w:p>
        </w:tc>
        <w:tc>
          <w:tcPr>
            <w:tcW w:w="2732"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7" w:hRule="atLeast"/>
          <w:jc w:val="center"/>
        </w:trPr>
        <w:tc>
          <w:tcPr>
            <w:tcW w:w="536" w:type="dxa"/>
            <w:vMerge w:val="continue"/>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eastAsia="zh-CN"/>
              </w:rPr>
            </w:pPr>
            <w:r>
              <w:rPr>
                <w:rFonts w:hint="default" w:ascii="Times New Roman" w:hAnsi="Times New Roman" w:cs="Times New Roman"/>
                <w:color w:val="auto"/>
                <w:kern w:val="24"/>
                <w:sz w:val="21"/>
                <w:szCs w:val="21"/>
                <w:highlight w:val="none"/>
                <w:lang w:eastAsia="zh-CN"/>
              </w:rPr>
              <w:t>危险废物</w:t>
            </w:r>
          </w:p>
        </w:tc>
        <w:tc>
          <w:tcPr>
            <w:tcW w:w="4401" w:type="dxa"/>
            <w:gridSpan w:val="3"/>
            <w:tcBorders>
              <w:tl2br w:val="nil"/>
              <w:tr2bl w:val="nil"/>
            </w:tcBorders>
            <w:vAlign w:val="center"/>
          </w:tcPr>
          <w:p>
            <w:pPr>
              <w:widowControl w:val="0"/>
              <w:jc w:val="center"/>
              <w:outlineLvl w:val="7"/>
              <w:rPr>
                <w:rFonts w:hint="eastAsia" w:ascii="Times New Roman" w:hAnsi="Times New Roman" w:eastAsia="宋体" w:cs="Times New Roman"/>
                <w:color w:val="auto"/>
                <w:kern w:val="24"/>
                <w:sz w:val="21"/>
                <w:szCs w:val="21"/>
                <w:highlight w:val="none"/>
                <w:lang w:val="en-US" w:eastAsia="zh-CN" w:bidi="ar-SA"/>
              </w:rPr>
            </w:pPr>
            <w:r>
              <w:rPr>
                <w:rFonts w:hint="eastAsia" w:ascii="Times New Roman" w:hAnsi="Times New Roman" w:eastAsia="宋体" w:cs="Times New Roman"/>
                <w:color w:val="auto"/>
                <w:kern w:val="0"/>
                <w:sz w:val="21"/>
                <w:szCs w:val="21"/>
                <w:highlight w:val="none"/>
              </w:rPr>
              <w:t>废树脂桶、废机油油桶、含油废抹布</w:t>
            </w:r>
            <w:r>
              <w:rPr>
                <w:rFonts w:hint="eastAsia" w:cs="Times New Roman"/>
                <w:color w:val="auto"/>
                <w:kern w:val="0"/>
                <w:sz w:val="21"/>
                <w:szCs w:val="21"/>
                <w:highlight w:val="none"/>
                <w:lang w:eastAsia="zh-CN"/>
              </w:rPr>
              <w:t>、</w:t>
            </w:r>
            <w:r>
              <w:rPr>
                <w:rFonts w:ascii="Times New Roman" w:hAnsi="Times New Roman" w:eastAsia="宋体" w:cs="Times New Roman"/>
                <w:bCs/>
                <w:color w:val="auto"/>
                <w:sz w:val="21"/>
                <w:szCs w:val="21"/>
                <w:highlight w:val="none"/>
              </w:rPr>
              <w:t>废</w:t>
            </w:r>
            <w:r>
              <w:rPr>
                <w:rFonts w:hint="eastAsia" w:ascii="Times New Roman" w:hAnsi="Times New Roman" w:cs="Times New Roman"/>
                <w:bCs/>
                <w:color w:val="auto"/>
                <w:sz w:val="21"/>
                <w:szCs w:val="21"/>
                <w:highlight w:val="none"/>
                <w:lang w:eastAsia="zh-CN"/>
              </w:rPr>
              <w:t>机油</w:t>
            </w:r>
            <w:r>
              <w:rPr>
                <w:rFonts w:hint="eastAsia" w:cs="Times New Roman"/>
                <w:bCs/>
                <w:color w:val="auto"/>
                <w:sz w:val="21"/>
                <w:szCs w:val="21"/>
                <w:highlight w:val="none"/>
                <w:lang w:eastAsia="zh-CN"/>
              </w:rPr>
              <w:t>、</w:t>
            </w:r>
            <w:r>
              <w:rPr>
                <w:rFonts w:hint="eastAsia"/>
                <w:color w:val="auto"/>
                <w:kern w:val="0"/>
                <w:sz w:val="21"/>
                <w:szCs w:val="21"/>
              </w:rPr>
              <w:t>废UV灯管</w:t>
            </w:r>
          </w:p>
        </w:tc>
        <w:tc>
          <w:tcPr>
            <w:tcW w:w="1249" w:type="dxa"/>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w:t>
            </w:r>
          </w:p>
        </w:tc>
        <w:tc>
          <w:tcPr>
            <w:tcW w:w="3570" w:type="dxa"/>
            <w:gridSpan w:val="4"/>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eastAsia="宋体" w:cs="Times New Roman"/>
                <w:color w:val="auto"/>
                <w:kern w:val="24"/>
                <w:sz w:val="21"/>
                <w:szCs w:val="21"/>
                <w:highlight w:val="none"/>
                <w:lang w:val="en-US" w:eastAsia="zh-CN"/>
              </w:rPr>
              <w:t>交给有危险废物处置资质单位处置</w:t>
            </w:r>
          </w:p>
        </w:tc>
        <w:tc>
          <w:tcPr>
            <w:tcW w:w="2732" w:type="dxa"/>
            <w:gridSpan w:val="4"/>
            <w:tcBorders>
              <w:tl2br w:val="nil"/>
              <w:tr2bl w:val="nil"/>
            </w:tcBorders>
            <w:vAlign w:val="center"/>
          </w:tcPr>
          <w:p>
            <w:pPr>
              <w:jc w:val="center"/>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536" w:type="dxa"/>
            <w:vMerge w:val="continue"/>
            <w:tcBorders>
              <w:top w:val="single" w:color="auto" w:sz="4" w:space="0"/>
              <w:bottom w:val="single" w:color="auto" w:sz="4" w:space="0"/>
              <w:tl2br w:val="nil"/>
              <w:tr2bl w:val="nil"/>
            </w:tcBorders>
            <w:vAlign w:val="center"/>
          </w:tcPr>
          <w:p>
            <w:pPr>
              <w:jc w:val="center"/>
              <w:rPr>
                <w:rFonts w:hint="default" w:ascii="Times New Roman" w:hAnsi="Times New Roman" w:cs="Times New Roman"/>
                <w:color w:val="auto"/>
                <w:kern w:val="24"/>
                <w:sz w:val="21"/>
                <w:szCs w:val="21"/>
                <w:highlight w:val="none"/>
              </w:rPr>
            </w:pPr>
          </w:p>
        </w:tc>
        <w:tc>
          <w:tcPr>
            <w:tcW w:w="1702" w:type="dxa"/>
            <w:gridSpan w:val="2"/>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生活垃圾</w:t>
            </w:r>
          </w:p>
        </w:tc>
        <w:tc>
          <w:tcPr>
            <w:tcW w:w="4401" w:type="dxa"/>
            <w:gridSpan w:val="3"/>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生活垃圾</w:t>
            </w:r>
          </w:p>
        </w:tc>
        <w:tc>
          <w:tcPr>
            <w:tcW w:w="1249" w:type="dxa"/>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0</w:t>
            </w:r>
          </w:p>
        </w:tc>
        <w:tc>
          <w:tcPr>
            <w:tcW w:w="3570"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环卫部门清运</w:t>
            </w:r>
          </w:p>
        </w:tc>
        <w:tc>
          <w:tcPr>
            <w:tcW w:w="2732" w:type="dxa"/>
            <w:gridSpan w:val="4"/>
            <w:tcBorders>
              <w:tl2br w:val="nil"/>
              <w:tr2bl w:val="nil"/>
            </w:tcBorders>
            <w:vAlign w:val="center"/>
          </w:tcPr>
          <w:p>
            <w:pPr>
              <w:jc w:val="center"/>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w:t>
            </w:r>
          </w:p>
        </w:tc>
      </w:tr>
    </w:tbl>
    <w:p>
      <w:pPr>
        <w:pStyle w:val="38"/>
        <w:jc w:val="left"/>
        <w:rPr>
          <w:rFonts w:ascii="Times New Roman" w:hAnsi="Times New Roman"/>
          <w:color w:val="auto"/>
          <w:shd w:val="clear" w:color="auto" w:fill="auto"/>
        </w:rPr>
        <w:sectPr>
          <w:pgSz w:w="16840" w:h="11907" w:orient="landscape"/>
          <w:pgMar w:top="1418" w:right="1440" w:bottom="1134" w:left="1134" w:header="0" w:footer="898" w:gutter="0"/>
          <w:pgBorders>
            <w:top w:val="none" w:sz="0" w:space="0"/>
            <w:left w:val="none" w:sz="0" w:space="0"/>
            <w:bottom w:val="none" w:sz="0" w:space="0"/>
            <w:right w:val="none" w:sz="0" w:space="0"/>
          </w:pgBorders>
          <w:cols w:space="720" w:num="1"/>
          <w:docGrid w:linePitch="326" w:charSpace="-4916"/>
        </w:sectPr>
      </w:pPr>
    </w:p>
    <w:p>
      <w:pPr>
        <w:pStyle w:val="38"/>
        <w:jc w:val="left"/>
        <w:rPr>
          <w:rFonts w:ascii="Times New Roman" w:hAnsi="Times New Roman"/>
          <w:color w:val="auto"/>
          <w:shd w:val="clear" w:color="auto" w:fill="auto"/>
        </w:rPr>
      </w:pPr>
      <w:r>
        <w:rPr>
          <w:rFonts w:ascii="Times New Roman" w:hAnsi="Times New Roman"/>
          <w:color w:val="auto"/>
          <w:shd w:val="clear" w:color="auto" w:fill="auto"/>
        </w:rPr>
        <w:t>建设项目拟采取的防治措施及预期治理效果</w:t>
      </w:r>
    </w:p>
    <w:tbl>
      <w:tblPr>
        <w:tblStyle w:val="40"/>
        <w:tblW w:w="10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637"/>
        <w:gridCol w:w="2040"/>
        <w:gridCol w:w="1740"/>
        <w:gridCol w:w="4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33" w:hRule="atLeast"/>
          <w:jc w:val="center"/>
        </w:trPr>
        <w:tc>
          <w:tcPr>
            <w:tcW w:w="675" w:type="dxa"/>
            <w:tcBorders>
              <w:tl2br w:val="single" w:color="auto" w:sz="4" w:space="0"/>
            </w:tcBorders>
            <w:textDirection w:val="tbRlV"/>
            <w:vAlign w:val="center"/>
          </w:tcPr>
          <w:p>
            <w:pPr>
              <w:ind w:left="113" w:right="113"/>
              <w:rPr>
                <w:color w:val="auto"/>
                <w:sz w:val="21"/>
                <w:szCs w:val="21"/>
                <w:shd w:val="clear" w:color="auto" w:fill="auto"/>
              </w:rPr>
            </w:pPr>
            <w:r>
              <w:rPr>
                <w:rFonts w:hAnsi="宋体"/>
                <w:color w:val="auto"/>
                <w:sz w:val="21"/>
                <w:szCs w:val="21"/>
                <w:shd w:val="clear" w:color="auto" w:fill="auto"/>
              </w:rPr>
              <w:t>内容</w:t>
            </w:r>
          </w:p>
          <w:p>
            <w:pPr>
              <w:ind w:left="113" w:right="113"/>
              <w:jc w:val="center"/>
              <w:rPr>
                <w:color w:val="auto"/>
                <w:sz w:val="21"/>
                <w:szCs w:val="21"/>
                <w:shd w:val="clear" w:color="auto" w:fill="auto"/>
              </w:rPr>
            </w:pPr>
            <w:r>
              <w:rPr>
                <w:color w:val="auto"/>
                <w:sz w:val="21"/>
                <w:szCs w:val="21"/>
                <w:shd w:val="clear" w:color="auto" w:fill="auto"/>
              </w:rPr>
              <w:t xml:space="preserve"> </w:t>
            </w:r>
            <w:r>
              <w:rPr>
                <w:rFonts w:hAnsi="宋体"/>
                <w:color w:val="auto"/>
                <w:sz w:val="21"/>
                <w:szCs w:val="21"/>
                <w:shd w:val="clear" w:color="auto" w:fill="auto"/>
              </w:rPr>
              <w:t>类型</w:t>
            </w:r>
          </w:p>
        </w:tc>
        <w:tc>
          <w:tcPr>
            <w:tcW w:w="1637" w:type="dxa"/>
            <w:vAlign w:val="center"/>
          </w:tcPr>
          <w:p>
            <w:pPr>
              <w:jc w:val="center"/>
              <w:rPr>
                <w:color w:val="auto"/>
                <w:sz w:val="21"/>
                <w:szCs w:val="21"/>
                <w:shd w:val="clear" w:color="auto" w:fill="auto"/>
              </w:rPr>
            </w:pPr>
            <w:r>
              <w:rPr>
                <w:rFonts w:hAnsi="宋体"/>
                <w:color w:val="auto"/>
                <w:sz w:val="21"/>
                <w:szCs w:val="21"/>
                <w:shd w:val="clear" w:color="auto" w:fill="auto"/>
              </w:rPr>
              <w:t>排放源</w:t>
            </w:r>
          </w:p>
          <w:p>
            <w:pPr>
              <w:jc w:val="center"/>
              <w:rPr>
                <w:color w:val="auto"/>
                <w:sz w:val="21"/>
                <w:szCs w:val="21"/>
                <w:shd w:val="clear" w:color="auto" w:fill="auto"/>
              </w:rPr>
            </w:pPr>
            <w:r>
              <w:rPr>
                <w:rFonts w:hAnsi="宋体"/>
                <w:color w:val="auto"/>
                <w:sz w:val="21"/>
                <w:szCs w:val="21"/>
                <w:shd w:val="clear" w:color="auto" w:fill="auto"/>
              </w:rPr>
              <w:t>（编号）</w:t>
            </w:r>
          </w:p>
        </w:tc>
        <w:tc>
          <w:tcPr>
            <w:tcW w:w="2040" w:type="dxa"/>
            <w:vAlign w:val="center"/>
          </w:tcPr>
          <w:p>
            <w:pPr>
              <w:jc w:val="center"/>
              <w:rPr>
                <w:color w:val="auto"/>
                <w:sz w:val="21"/>
                <w:szCs w:val="21"/>
                <w:shd w:val="clear" w:color="auto" w:fill="auto"/>
              </w:rPr>
            </w:pPr>
            <w:r>
              <w:rPr>
                <w:rFonts w:hAnsi="宋体"/>
                <w:color w:val="auto"/>
                <w:sz w:val="21"/>
                <w:szCs w:val="21"/>
                <w:shd w:val="clear" w:color="auto" w:fill="auto"/>
              </w:rPr>
              <w:t>污染物</w:t>
            </w:r>
          </w:p>
          <w:p>
            <w:pPr>
              <w:jc w:val="center"/>
              <w:rPr>
                <w:color w:val="auto"/>
                <w:sz w:val="21"/>
                <w:szCs w:val="21"/>
                <w:shd w:val="clear" w:color="auto" w:fill="auto"/>
              </w:rPr>
            </w:pPr>
            <w:r>
              <w:rPr>
                <w:rFonts w:hAnsi="宋体"/>
                <w:color w:val="auto"/>
                <w:sz w:val="21"/>
                <w:szCs w:val="21"/>
                <w:shd w:val="clear" w:color="auto" w:fill="auto"/>
              </w:rPr>
              <w:t>名称</w:t>
            </w:r>
          </w:p>
        </w:tc>
        <w:tc>
          <w:tcPr>
            <w:tcW w:w="1740" w:type="dxa"/>
            <w:vAlign w:val="center"/>
          </w:tcPr>
          <w:p>
            <w:pPr>
              <w:jc w:val="center"/>
              <w:rPr>
                <w:color w:val="auto"/>
                <w:sz w:val="21"/>
                <w:szCs w:val="21"/>
                <w:shd w:val="clear" w:color="auto" w:fill="auto"/>
              </w:rPr>
            </w:pPr>
            <w:r>
              <w:rPr>
                <w:rFonts w:hAnsi="宋体"/>
                <w:color w:val="auto"/>
                <w:sz w:val="21"/>
                <w:szCs w:val="21"/>
                <w:shd w:val="clear" w:color="auto" w:fill="auto"/>
              </w:rPr>
              <w:t>防治措施</w:t>
            </w:r>
          </w:p>
        </w:tc>
        <w:tc>
          <w:tcPr>
            <w:tcW w:w="4425" w:type="dxa"/>
            <w:vAlign w:val="center"/>
          </w:tcPr>
          <w:p>
            <w:pPr>
              <w:jc w:val="center"/>
              <w:rPr>
                <w:color w:val="auto"/>
                <w:sz w:val="21"/>
                <w:szCs w:val="21"/>
                <w:shd w:val="clear" w:color="auto" w:fill="auto"/>
              </w:rPr>
            </w:pPr>
            <w:r>
              <w:rPr>
                <w:rFonts w:hAnsi="宋体"/>
                <w:color w:val="auto"/>
                <w:sz w:val="21"/>
                <w:szCs w:val="21"/>
                <w:shd w:val="clear" w:color="auto" w:fill="auto"/>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jc w:val="center"/>
        </w:trPr>
        <w:tc>
          <w:tcPr>
            <w:tcW w:w="675" w:type="dxa"/>
            <w:vMerge w:val="restart"/>
            <w:vAlign w:val="center"/>
          </w:tcPr>
          <w:p>
            <w:pPr>
              <w:ind w:firstLine="105" w:firstLineChars="50"/>
              <w:rPr>
                <w:color w:val="auto"/>
                <w:sz w:val="21"/>
                <w:szCs w:val="21"/>
                <w:shd w:val="clear" w:color="auto" w:fill="auto"/>
              </w:rPr>
            </w:pPr>
            <w:r>
              <w:rPr>
                <w:rFonts w:hAnsi="宋体"/>
                <w:color w:val="auto"/>
                <w:sz w:val="21"/>
                <w:szCs w:val="21"/>
                <w:shd w:val="clear" w:color="auto" w:fill="auto"/>
              </w:rPr>
              <w:t>大</w:t>
            </w:r>
          </w:p>
          <w:p>
            <w:pPr>
              <w:jc w:val="center"/>
              <w:rPr>
                <w:color w:val="auto"/>
                <w:sz w:val="21"/>
                <w:szCs w:val="21"/>
                <w:shd w:val="clear" w:color="auto" w:fill="auto"/>
              </w:rPr>
            </w:pPr>
            <w:r>
              <w:rPr>
                <w:rFonts w:hAnsi="宋体"/>
                <w:color w:val="auto"/>
                <w:sz w:val="21"/>
                <w:szCs w:val="21"/>
                <w:shd w:val="clear" w:color="auto" w:fill="auto"/>
              </w:rPr>
              <w:t>气</w:t>
            </w:r>
          </w:p>
          <w:p>
            <w:pPr>
              <w:jc w:val="center"/>
              <w:rPr>
                <w:color w:val="auto"/>
                <w:sz w:val="21"/>
                <w:szCs w:val="21"/>
                <w:shd w:val="clear" w:color="auto" w:fill="auto"/>
              </w:rPr>
            </w:pPr>
            <w:r>
              <w:rPr>
                <w:rFonts w:hAnsi="宋体"/>
                <w:color w:val="auto"/>
                <w:sz w:val="21"/>
                <w:szCs w:val="21"/>
                <w:shd w:val="clear" w:color="auto" w:fill="auto"/>
              </w:rPr>
              <w:t>污</w:t>
            </w:r>
          </w:p>
          <w:p>
            <w:pPr>
              <w:jc w:val="center"/>
              <w:rPr>
                <w:color w:val="auto"/>
                <w:sz w:val="21"/>
                <w:szCs w:val="21"/>
                <w:shd w:val="clear" w:color="auto" w:fill="auto"/>
              </w:rPr>
            </w:pPr>
            <w:r>
              <w:rPr>
                <w:rFonts w:hAnsi="宋体"/>
                <w:color w:val="auto"/>
                <w:sz w:val="21"/>
                <w:szCs w:val="21"/>
                <w:shd w:val="clear" w:color="auto" w:fill="auto"/>
              </w:rPr>
              <w:t>染</w:t>
            </w:r>
          </w:p>
          <w:p>
            <w:pPr>
              <w:jc w:val="center"/>
              <w:rPr>
                <w:color w:val="auto"/>
                <w:sz w:val="21"/>
                <w:szCs w:val="21"/>
                <w:shd w:val="clear" w:color="auto" w:fill="auto"/>
              </w:rPr>
            </w:pPr>
            <w:r>
              <w:rPr>
                <w:rFonts w:hAnsi="宋体"/>
                <w:color w:val="auto"/>
                <w:sz w:val="21"/>
                <w:szCs w:val="21"/>
                <w:shd w:val="clear" w:color="auto" w:fill="auto"/>
              </w:rPr>
              <w:t>物</w:t>
            </w:r>
          </w:p>
        </w:tc>
        <w:tc>
          <w:tcPr>
            <w:tcW w:w="1637" w:type="dxa"/>
            <w:vAlign w:val="center"/>
          </w:tcPr>
          <w:p>
            <w:pPr>
              <w:widowControl/>
              <w:autoSpaceDE w:val="0"/>
              <w:autoSpaceDN w:val="0"/>
              <w:adjustRightInd w:val="0"/>
              <w:jc w:val="center"/>
              <w:textAlignment w:val="baseline"/>
              <w:rPr>
                <w:rFonts w:hint="eastAsia" w:eastAsia="宋体"/>
                <w:color w:val="auto"/>
                <w:kern w:val="2"/>
                <w:sz w:val="21"/>
                <w:szCs w:val="21"/>
                <w:shd w:val="clear" w:color="auto" w:fill="auto"/>
                <w:lang w:eastAsia="zh-CN"/>
              </w:rPr>
            </w:pPr>
            <w:r>
              <w:rPr>
                <w:rFonts w:hint="eastAsia" w:ascii="宋体" w:hAnsi="Impact"/>
                <w:bCs/>
                <w:color w:val="auto"/>
                <w:kern w:val="24"/>
                <w:sz w:val="21"/>
                <w:szCs w:val="21"/>
                <w:lang w:val="en-US" w:eastAsia="zh-CN"/>
              </w:rPr>
              <w:t>熔化、</w:t>
            </w:r>
            <w:r>
              <w:rPr>
                <w:rFonts w:hint="eastAsia" w:ascii="Times New Roman" w:hAnsi="Times New Roman" w:cs="Times New Roman"/>
                <w:color w:val="auto"/>
                <w:kern w:val="2"/>
                <w:sz w:val="21"/>
                <w:szCs w:val="21"/>
                <w:lang w:val="en-US" w:eastAsia="zh-CN"/>
              </w:rPr>
              <w:t>铸造</w:t>
            </w:r>
            <w:r>
              <w:rPr>
                <w:rFonts w:hint="eastAsia" w:cs="Times New Roman"/>
                <w:color w:val="auto"/>
                <w:kern w:val="2"/>
                <w:sz w:val="21"/>
                <w:szCs w:val="21"/>
                <w:lang w:val="en-US" w:eastAsia="zh-CN"/>
              </w:rPr>
              <w:t>工序</w:t>
            </w:r>
          </w:p>
        </w:tc>
        <w:tc>
          <w:tcPr>
            <w:tcW w:w="2040" w:type="dxa"/>
            <w:vAlign w:val="center"/>
          </w:tcPr>
          <w:p>
            <w:pPr>
              <w:adjustRightInd w:val="0"/>
              <w:snapToGrid w:val="0"/>
              <w:jc w:val="center"/>
              <w:rPr>
                <w:rFonts w:hint="eastAsia" w:ascii="Times New Roman" w:eastAsia="宋体"/>
                <w:color w:val="auto"/>
                <w:position w:val="0"/>
                <w:sz w:val="21"/>
                <w:szCs w:val="21"/>
                <w:shd w:val="clear" w:color="auto" w:fill="auto"/>
                <w:lang w:eastAsia="zh-CN"/>
              </w:rPr>
            </w:pPr>
            <w:r>
              <w:rPr>
                <w:rFonts w:hint="eastAsia" w:cs="Times New Roman"/>
                <w:bCs/>
                <w:color w:val="auto"/>
                <w:sz w:val="21"/>
                <w:szCs w:val="21"/>
                <w:lang w:val="en-US" w:eastAsia="zh-CN"/>
              </w:rPr>
              <w:t>烟尘</w:t>
            </w:r>
          </w:p>
        </w:tc>
        <w:tc>
          <w:tcPr>
            <w:tcW w:w="1740" w:type="dxa"/>
            <w:vMerge w:val="restart"/>
            <w:vAlign w:val="center"/>
          </w:tcPr>
          <w:p>
            <w:pPr>
              <w:snapToGrid w:val="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设置集气装置将废气收集后引至水喷淋+UV光解装置进行处理后经15m排气筒高空排放</w:t>
            </w:r>
          </w:p>
        </w:tc>
        <w:tc>
          <w:tcPr>
            <w:tcW w:w="4425" w:type="dxa"/>
            <w:vAlign w:val="center"/>
          </w:tcPr>
          <w:p>
            <w:pPr>
              <w:jc w:val="center"/>
              <w:rPr>
                <w:color w:val="auto"/>
                <w:sz w:val="21"/>
                <w:szCs w:val="21"/>
                <w:shd w:val="clear" w:color="auto" w:fill="auto"/>
              </w:rPr>
            </w:pPr>
            <w:r>
              <w:rPr>
                <w:rFonts w:hint="eastAsia" w:hAnsi="宋体"/>
                <w:color w:val="auto"/>
                <w:sz w:val="21"/>
                <w:szCs w:val="21"/>
              </w:rPr>
              <w:t>达到《工业炉窑大气污染物排放标准》（GB9078-1996）表2“金属熔化炉”二级标准</w:t>
            </w:r>
            <w:r>
              <w:rPr>
                <w:rFonts w:hint="eastAsia" w:hAnsi="宋体"/>
                <w:color w:val="auto"/>
                <w:sz w:val="21"/>
                <w:szCs w:val="21"/>
                <w:lang w:eastAsia="zh-CN"/>
              </w:rPr>
              <w:t>和广东省地方标准《大气污染物排放限值》（DB44/27－2001）无组织排放监控浓度限值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675" w:type="dxa"/>
            <w:vMerge w:val="continue"/>
            <w:vAlign w:val="center"/>
          </w:tcPr>
          <w:p>
            <w:pPr>
              <w:jc w:val="center"/>
              <w:rPr>
                <w:rFonts w:hAnsi="宋体"/>
                <w:color w:val="auto"/>
                <w:sz w:val="21"/>
                <w:szCs w:val="21"/>
                <w:shd w:val="clear" w:color="auto" w:fill="auto"/>
              </w:rPr>
            </w:pPr>
          </w:p>
        </w:tc>
        <w:tc>
          <w:tcPr>
            <w:tcW w:w="1637" w:type="dxa"/>
            <w:vAlign w:val="center"/>
          </w:tcPr>
          <w:p>
            <w:pPr>
              <w:widowControl/>
              <w:autoSpaceDE w:val="0"/>
              <w:autoSpaceDN w:val="0"/>
              <w:adjustRightInd w:val="0"/>
              <w:jc w:val="center"/>
              <w:textAlignment w:val="baseline"/>
              <w:rPr>
                <w:rFonts w:hint="eastAsia" w:ascii="宋体" w:hAnsi="Impact"/>
                <w:bCs/>
                <w:color w:val="auto"/>
                <w:kern w:val="24"/>
                <w:sz w:val="21"/>
                <w:szCs w:val="21"/>
                <w:lang w:val="en-US" w:eastAsia="zh-CN"/>
              </w:rPr>
            </w:pPr>
            <w:r>
              <w:rPr>
                <w:rFonts w:hint="eastAsia" w:ascii="Times New Roman" w:hAnsi="Times New Roman" w:cs="Times New Roman"/>
                <w:color w:val="auto"/>
                <w:kern w:val="2"/>
                <w:sz w:val="21"/>
                <w:szCs w:val="21"/>
                <w:lang w:val="en-US" w:eastAsia="zh-CN"/>
              </w:rPr>
              <w:t>制芯</w:t>
            </w:r>
            <w:r>
              <w:rPr>
                <w:rFonts w:hint="eastAsia" w:cs="Times New Roman"/>
                <w:color w:val="auto"/>
                <w:kern w:val="2"/>
                <w:sz w:val="21"/>
                <w:szCs w:val="21"/>
                <w:lang w:val="en-US" w:eastAsia="zh-CN"/>
              </w:rPr>
              <w:t>、铸造</w:t>
            </w:r>
            <w:r>
              <w:rPr>
                <w:rFonts w:hint="default" w:ascii="Times New Roman" w:hAnsi="Times New Roman" w:eastAsia="宋体" w:cs="Times New Roman"/>
                <w:color w:val="auto"/>
                <w:kern w:val="2"/>
                <w:sz w:val="21"/>
                <w:szCs w:val="21"/>
              </w:rPr>
              <w:t>工序</w:t>
            </w:r>
          </w:p>
        </w:tc>
        <w:tc>
          <w:tcPr>
            <w:tcW w:w="2040" w:type="dxa"/>
            <w:vAlign w:val="center"/>
          </w:tcPr>
          <w:p>
            <w:pPr>
              <w:adjustRightInd w:val="0"/>
              <w:snapToGrid w:val="0"/>
              <w:jc w:val="center"/>
              <w:rPr>
                <w:rFonts w:hint="eastAsia" w:cs="Times New Roman"/>
                <w:bCs/>
                <w:color w:val="auto"/>
                <w:sz w:val="21"/>
                <w:szCs w:val="21"/>
                <w:lang w:val="en-US" w:eastAsia="zh-CN"/>
              </w:rPr>
            </w:pPr>
            <w:r>
              <w:rPr>
                <w:rFonts w:hint="eastAsia"/>
                <w:color w:val="auto"/>
                <w:sz w:val="21"/>
                <w:szCs w:val="21"/>
                <w:lang w:val="en-US" w:eastAsia="zh-CN"/>
              </w:rPr>
              <w:t>非甲烷总烃</w:t>
            </w:r>
            <w:r>
              <w:rPr>
                <w:rFonts w:hint="eastAsia" w:cs="Times New Roman"/>
                <w:bCs/>
                <w:color w:val="auto"/>
                <w:sz w:val="21"/>
                <w:szCs w:val="21"/>
                <w:lang w:val="en-US" w:eastAsia="zh-CN"/>
              </w:rPr>
              <w:t>、臭气浓度</w:t>
            </w:r>
          </w:p>
        </w:tc>
        <w:tc>
          <w:tcPr>
            <w:tcW w:w="1740" w:type="dxa"/>
            <w:vMerge w:val="continue"/>
            <w:vAlign w:val="center"/>
          </w:tcPr>
          <w:p>
            <w:pPr>
              <w:snapToGrid w:val="0"/>
              <w:jc w:val="center"/>
              <w:rPr>
                <w:rFonts w:hint="eastAsia"/>
                <w:color w:val="auto"/>
                <w:sz w:val="21"/>
                <w:szCs w:val="21"/>
                <w:shd w:val="clear" w:color="auto" w:fill="auto"/>
              </w:rPr>
            </w:pPr>
          </w:p>
        </w:tc>
        <w:tc>
          <w:tcPr>
            <w:tcW w:w="4425" w:type="dxa"/>
            <w:vAlign w:val="center"/>
          </w:tcPr>
          <w:p>
            <w:pPr>
              <w:jc w:val="center"/>
              <w:rPr>
                <w:rFonts w:hint="eastAsia" w:eastAsia="宋体"/>
                <w:color w:val="auto"/>
                <w:sz w:val="21"/>
                <w:szCs w:val="21"/>
                <w:lang w:eastAsia="zh-CN"/>
              </w:rPr>
            </w:pPr>
            <w:r>
              <w:rPr>
                <w:rFonts w:hint="eastAsia"/>
                <w:color w:val="auto"/>
                <w:sz w:val="21"/>
                <w:szCs w:val="21"/>
                <w:lang w:val="en-US" w:eastAsia="zh-CN"/>
              </w:rPr>
              <w:t>非甲烷总烃</w:t>
            </w:r>
            <w:r>
              <w:rPr>
                <w:rFonts w:hint="eastAsia"/>
                <w:color w:val="auto"/>
                <w:sz w:val="21"/>
                <w:szCs w:val="21"/>
              </w:rPr>
              <w:t>达到</w:t>
            </w:r>
            <w:r>
              <w:rPr>
                <w:rFonts w:hint="eastAsia"/>
                <w:color w:val="auto"/>
                <w:sz w:val="21"/>
                <w:szCs w:val="21"/>
                <w:lang w:eastAsia="zh-CN"/>
              </w:rPr>
              <w:t>广东省地方标准《大气污染物排放限值》（DB44/27-2001）中第二时段二级标准和第二时段无组织排放监控浓度限值；</w:t>
            </w:r>
            <w:r>
              <w:rPr>
                <w:rFonts w:hint="eastAsia" w:cs="Times New Roman"/>
                <w:bCs/>
                <w:color w:val="auto"/>
                <w:sz w:val="21"/>
                <w:szCs w:val="21"/>
                <w:lang w:val="en-US" w:eastAsia="zh-CN"/>
              </w:rPr>
              <w:t>臭气浓度达到《恶臭污染物排放标准》（GB 14554—93）表1恶臭污染物厂界标准值二级新扩改建臭气浓度和表2恶臭污染物排放标准值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675" w:type="dxa"/>
            <w:vMerge w:val="continue"/>
            <w:vAlign w:val="center"/>
          </w:tcPr>
          <w:p>
            <w:pPr>
              <w:jc w:val="center"/>
              <w:rPr>
                <w:rFonts w:hAnsi="宋体"/>
                <w:color w:val="auto"/>
                <w:sz w:val="21"/>
                <w:szCs w:val="21"/>
                <w:shd w:val="clear" w:color="auto" w:fill="auto"/>
              </w:rPr>
            </w:pPr>
          </w:p>
        </w:tc>
        <w:tc>
          <w:tcPr>
            <w:tcW w:w="1637" w:type="dxa"/>
            <w:vAlign w:val="center"/>
          </w:tcPr>
          <w:p>
            <w:pPr>
              <w:pStyle w:val="57"/>
              <w:rPr>
                <w:rFonts w:hint="eastAsia" w:ascii="Times New Roman" w:hAnsi="Times New Roman"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滚砂、机加工工序</w:t>
            </w:r>
          </w:p>
        </w:tc>
        <w:tc>
          <w:tcPr>
            <w:tcW w:w="2040" w:type="dxa"/>
            <w:vAlign w:val="center"/>
          </w:tcPr>
          <w:p>
            <w:pPr>
              <w:widowControl/>
              <w:jc w:val="center"/>
              <w:rPr>
                <w:rFonts w:hint="eastAsia" w:cs="Times New Roman"/>
                <w:bCs/>
                <w:color w:val="auto"/>
                <w:sz w:val="21"/>
                <w:szCs w:val="21"/>
                <w:lang w:val="en-US" w:eastAsia="zh-CN"/>
              </w:rPr>
            </w:pPr>
            <w:r>
              <w:rPr>
                <w:rFonts w:hint="eastAsia"/>
                <w:color w:val="auto"/>
                <w:kern w:val="24"/>
                <w:sz w:val="21"/>
                <w:szCs w:val="21"/>
                <w:lang w:eastAsia="zh-CN"/>
              </w:rPr>
              <w:t>粉尘</w:t>
            </w:r>
          </w:p>
        </w:tc>
        <w:tc>
          <w:tcPr>
            <w:tcW w:w="1740" w:type="dxa"/>
            <w:vAlign w:val="center"/>
          </w:tcPr>
          <w:p>
            <w:pPr>
              <w:snapToGrid w:val="0"/>
              <w:jc w:val="center"/>
              <w:rPr>
                <w:rFonts w:hint="eastAsia" w:eastAsia="宋体"/>
                <w:color w:val="auto"/>
                <w:sz w:val="21"/>
                <w:szCs w:val="21"/>
                <w:shd w:val="clear" w:color="auto" w:fill="auto"/>
                <w:lang w:eastAsia="zh-CN"/>
              </w:rPr>
            </w:pPr>
            <w:r>
              <w:rPr>
                <w:rFonts w:hint="eastAsia"/>
                <w:color w:val="auto"/>
                <w:sz w:val="21"/>
                <w:szCs w:val="21"/>
                <w:shd w:val="clear" w:color="auto" w:fill="auto"/>
                <w:lang w:eastAsia="zh-CN"/>
              </w:rPr>
              <w:t>加强机械通风措施</w:t>
            </w:r>
          </w:p>
        </w:tc>
        <w:tc>
          <w:tcPr>
            <w:tcW w:w="4425" w:type="dxa"/>
            <w:vAlign w:val="center"/>
          </w:tcPr>
          <w:p>
            <w:pPr>
              <w:jc w:val="center"/>
              <w:rPr>
                <w:rFonts w:hint="eastAsia"/>
                <w:color w:val="auto"/>
                <w:sz w:val="21"/>
                <w:szCs w:val="21"/>
              </w:rPr>
            </w:pPr>
            <w:r>
              <w:rPr>
                <w:rFonts w:hint="eastAsia"/>
                <w:color w:val="auto"/>
                <w:szCs w:val="21"/>
                <w:lang w:eastAsia="zh-CN"/>
              </w:rPr>
              <w:t>达到</w:t>
            </w:r>
            <w:r>
              <w:rPr>
                <w:color w:val="auto"/>
                <w:szCs w:val="21"/>
              </w:rPr>
              <w:t>广东省地方标准《大气污染物排放限值》（DB44/27</w:t>
            </w:r>
            <w:r>
              <w:rPr>
                <w:rFonts w:hint="default" w:ascii="Times New Roman" w:hAnsi="Times New Roman" w:cs="Times New Roman"/>
                <w:color w:val="auto"/>
                <w:sz w:val="21"/>
                <w:szCs w:val="21"/>
                <w:shd w:val="clear" w:color="auto" w:fill="auto"/>
              </w:rPr>
              <w:t>-</w:t>
            </w:r>
            <w:r>
              <w:rPr>
                <w:color w:val="auto"/>
                <w:szCs w:val="21"/>
              </w:rPr>
              <w:t>2001）第二时段无组织排放监控浓度限值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5" w:hRule="atLeast"/>
          <w:jc w:val="center"/>
        </w:trPr>
        <w:tc>
          <w:tcPr>
            <w:tcW w:w="675" w:type="dxa"/>
            <w:vMerge w:val="continue"/>
            <w:vAlign w:val="center"/>
          </w:tcPr>
          <w:p>
            <w:pPr>
              <w:ind w:firstLine="105" w:firstLineChars="50"/>
              <w:rPr>
                <w:rFonts w:hAnsi="宋体"/>
                <w:color w:val="auto"/>
                <w:sz w:val="21"/>
                <w:szCs w:val="21"/>
                <w:shd w:val="clear" w:color="auto" w:fill="auto"/>
              </w:rPr>
            </w:pPr>
          </w:p>
        </w:tc>
        <w:tc>
          <w:tcPr>
            <w:tcW w:w="1637" w:type="dxa"/>
            <w:vAlign w:val="center"/>
          </w:tcPr>
          <w:p>
            <w:pPr>
              <w:pStyle w:val="57"/>
              <w:rPr>
                <w:rFonts w:hint="eastAsia" w:ascii="Times New Roman" w:hAnsi="Times New Roman"/>
                <w:color w:val="auto"/>
                <w:position w:val="0"/>
                <w:sz w:val="21"/>
                <w:szCs w:val="21"/>
                <w:shd w:val="clear" w:color="auto" w:fill="auto"/>
              </w:rPr>
            </w:pPr>
            <w:r>
              <w:rPr>
                <w:rFonts w:hint="eastAsia" w:ascii="Times New Roman" w:hAnsi="Times New Roman"/>
                <w:color w:val="auto"/>
                <w:kern w:val="2"/>
                <w:sz w:val="21"/>
                <w:szCs w:val="21"/>
                <w:shd w:val="clear" w:color="auto" w:fill="auto"/>
                <w:lang w:eastAsia="zh-CN"/>
              </w:rPr>
              <w:t>抛光工序</w:t>
            </w:r>
          </w:p>
        </w:tc>
        <w:tc>
          <w:tcPr>
            <w:tcW w:w="2040" w:type="dxa"/>
            <w:vAlign w:val="center"/>
          </w:tcPr>
          <w:p>
            <w:pPr>
              <w:pStyle w:val="56"/>
              <w:rPr>
                <w:rFonts w:hint="eastAsia" w:ascii="Times New Roman" w:hAnsi="Times New Roman"/>
                <w:color w:val="auto"/>
                <w:position w:val="0"/>
                <w:sz w:val="21"/>
                <w:szCs w:val="21"/>
                <w:shd w:val="clear" w:color="auto" w:fill="auto"/>
              </w:rPr>
            </w:pPr>
            <w:r>
              <w:rPr>
                <w:rFonts w:hint="eastAsia" w:ascii="Times New Roman" w:hAnsi="Times New Roman"/>
                <w:color w:val="auto"/>
                <w:position w:val="0"/>
                <w:sz w:val="21"/>
                <w:szCs w:val="21"/>
                <w:shd w:val="clear" w:color="auto" w:fill="auto"/>
                <w:lang w:eastAsia="zh-CN"/>
              </w:rPr>
              <w:t>粉尘</w:t>
            </w:r>
          </w:p>
        </w:tc>
        <w:tc>
          <w:tcPr>
            <w:tcW w:w="1740" w:type="dxa"/>
            <w:vAlign w:val="center"/>
          </w:tcPr>
          <w:p>
            <w:pPr>
              <w:jc w:val="center"/>
              <w:rPr>
                <w:rFonts w:hint="default" w:ascii="Times New Roman" w:hAnsi="Times New Roman" w:eastAsia="宋体" w:cs="Times New Roman"/>
                <w:color w:val="auto"/>
                <w:sz w:val="21"/>
                <w:szCs w:val="21"/>
                <w:shd w:val="clear" w:color="auto" w:fill="auto"/>
                <w:lang w:eastAsia="zh-CN"/>
              </w:rPr>
            </w:pPr>
            <w:r>
              <w:rPr>
                <w:rFonts w:hint="default" w:ascii="Times New Roman" w:hAnsi="Times New Roman" w:cs="Times New Roman"/>
                <w:color w:val="auto"/>
                <w:sz w:val="21"/>
                <w:szCs w:val="21"/>
                <w:shd w:val="clear" w:color="auto" w:fill="auto"/>
                <w:lang w:eastAsia="zh-CN"/>
              </w:rPr>
              <w:t>设置集气装置将粉尘收集后引至布袋除尘装置进行处理后经15m排气筒高空排放</w:t>
            </w:r>
          </w:p>
        </w:tc>
        <w:tc>
          <w:tcPr>
            <w:tcW w:w="4425" w:type="dxa"/>
            <w:vAlign w:val="center"/>
          </w:tcPr>
          <w:p>
            <w:pPr>
              <w:spacing w:line="216" w:lineRule="auto"/>
              <w:jc w:val="center"/>
              <w:rPr>
                <w:rFonts w:hint="default" w:ascii="Times New Roman" w:hAnsi="Times New Roman" w:cs="Times New Roman"/>
                <w:color w:val="auto"/>
                <w:sz w:val="21"/>
                <w:szCs w:val="21"/>
                <w:shd w:val="clear" w:color="auto" w:fill="auto"/>
              </w:rPr>
            </w:pPr>
            <w:r>
              <w:rPr>
                <w:rFonts w:hint="default" w:ascii="Times New Roman" w:hAnsi="Times New Roman" w:cs="Times New Roman"/>
                <w:color w:val="auto"/>
                <w:sz w:val="21"/>
                <w:szCs w:val="21"/>
                <w:shd w:val="clear" w:color="auto" w:fill="auto"/>
              </w:rPr>
              <w:t>达到广东省地方标准《大气污染物排放限值》（DB44/27-2001）中第二时段二级标准和无组织排放监控浓度限值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6" w:hRule="atLeast"/>
          <w:jc w:val="center"/>
        </w:trPr>
        <w:tc>
          <w:tcPr>
            <w:tcW w:w="675" w:type="dxa"/>
            <w:vMerge w:val="restart"/>
            <w:vAlign w:val="center"/>
          </w:tcPr>
          <w:p>
            <w:pPr>
              <w:jc w:val="center"/>
              <w:rPr>
                <w:color w:val="auto"/>
                <w:sz w:val="21"/>
                <w:szCs w:val="21"/>
                <w:shd w:val="clear" w:color="auto" w:fill="auto"/>
              </w:rPr>
            </w:pPr>
            <w:r>
              <w:rPr>
                <w:rFonts w:hAnsi="宋体"/>
                <w:color w:val="auto"/>
                <w:sz w:val="21"/>
                <w:szCs w:val="21"/>
                <w:shd w:val="clear" w:color="auto" w:fill="auto"/>
              </w:rPr>
              <w:t>水</w:t>
            </w:r>
          </w:p>
          <w:p>
            <w:pPr>
              <w:jc w:val="center"/>
              <w:rPr>
                <w:color w:val="auto"/>
                <w:sz w:val="21"/>
                <w:szCs w:val="21"/>
                <w:shd w:val="clear" w:color="auto" w:fill="auto"/>
              </w:rPr>
            </w:pPr>
            <w:r>
              <w:rPr>
                <w:rFonts w:hAnsi="宋体"/>
                <w:color w:val="auto"/>
                <w:sz w:val="21"/>
                <w:szCs w:val="21"/>
                <w:shd w:val="clear" w:color="auto" w:fill="auto"/>
              </w:rPr>
              <w:t>污</w:t>
            </w:r>
          </w:p>
          <w:p>
            <w:pPr>
              <w:jc w:val="center"/>
              <w:rPr>
                <w:color w:val="auto"/>
                <w:sz w:val="21"/>
                <w:szCs w:val="21"/>
                <w:shd w:val="clear" w:color="auto" w:fill="auto"/>
              </w:rPr>
            </w:pPr>
            <w:r>
              <w:rPr>
                <w:rFonts w:hAnsi="宋体"/>
                <w:color w:val="auto"/>
                <w:sz w:val="21"/>
                <w:szCs w:val="21"/>
                <w:shd w:val="clear" w:color="auto" w:fill="auto"/>
              </w:rPr>
              <w:t>染</w:t>
            </w:r>
          </w:p>
          <w:p>
            <w:pPr>
              <w:jc w:val="center"/>
              <w:rPr>
                <w:color w:val="auto"/>
                <w:sz w:val="21"/>
                <w:szCs w:val="21"/>
                <w:shd w:val="clear" w:color="auto" w:fill="auto"/>
              </w:rPr>
            </w:pPr>
            <w:r>
              <w:rPr>
                <w:rFonts w:hAnsi="宋体"/>
                <w:color w:val="auto"/>
                <w:sz w:val="21"/>
                <w:szCs w:val="21"/>
                <w:shd w:val="clear" w:color="auto" w:fill="auto"/>
              </w:rPr>
              <w:t>物</w:t>
            </w:r>
          </w:p>
        </w:tc>
        <w:tc>
          <w:tcPr>
            <w:tcW w:w="1637" w:type="dxa"/>
            <w:vAlign w:val="center"/>
          </w:tcPr>
          <w:p>
            <w:pPr>
              <w:jc w:val="center"/>
              <w:rPr>
                <w:color w:val="auto"/>
                <w:sz w:val="21"/>
                <w:szCs w:val="21"/>
                <w:shd w:val="clear" w:color="auto" w:fill="auto"/>
              </w:rPr>
            </w:pPr>
            <w:r>
              <w:rPr>
                <w:rFonts w:hint="eastAsia" w:hAnsi="宋体"/>
                <w:color w:val="auto"/>
                <w:sz w:val="21"/>
                <w:szCs w:val="21"/>
                <w:shd w:val="clear" w:color="auto" w:fill="auto"/>
              </w:rPr>
              <w:t>冷却用水</w:t>
            </w:r>
          </w:p>
        </w:tc>
        <w:tc>
          <w:tcPr>
            <w:tcW w:w="8205" w:type="dxa"/>
            <w:gridSpan w:val="3"/>
            <w:vAlign w:val="center"/>
          </w:tcPr>
          <w:p>
            <w:pPr>
              <w:adjustRightInd w:val="0"/>
              <w:rPr>
                <w:color w:val="auto"/>
                <w:sz w:val="21"/>
                <w:szCs w:val="21"/>
                <w:shd w:val="clear" w:color="auto" w:fill="auto"/>
              </w:rPr>
            </w:pPr>
            <w:r>
              <w:rPr>
                <w:rFonts w:hAnsi="宋体"/>
                <w:color w:val="auto"/>
                <w:sz w:val="21"/>
                <w:szCs w:val="21"/>
              </w:rPr>
              <w:t>循环使用，不外排，</w:t>
            </w:r>
            <w:r>
              <w:rPr>
                <w:rFonts w:hint="eastAsia" w:hAnsi="宋体"/>
                <w:color w:val="auto"/>
                <w:sz w:val="21"/>
                <w:szCs w:val="21"/>
              </w:rPr>
              <w:t>循环水量为</w:t>
            </w:r>
            <w:r>
              <w:rPr>
                <w:rFonts w:hint="eastAsia" w:hAnsi="宋体"/>
                <w:color w:val="auto"/>
                <w:sz w:val="21"/>
                <w:szCs w:val="21"/>
                <w:lang w:val="en-US" w:eastAsia="zh-CN"/>
              </w:rPr>
              <w:t>2</w:t>
            </w:r>
            <w:r>
              <w:rPr>
                <w:rFonts w:hint="eastAsia" w:hAnsi="宋体"/>
                <w:color w:val="auto"/>
                <w:sz w:val="21"/>
                <w:szCs w:val="21"/>
              </w:rPr>
              <w:t>t</w:t>
            </w:r>
            <w:r>
              <w:rPr>
                <w:rFonts w:hint="eastAsia" w:hAnsi="宋体"/>
                <w:color w:val="auto"/>
                <w:sz w:val="21"/>
                <w:szCs w:val="21"/>
                <w:lang w:val="en-US" w:eastAsia="zh-CN"/>
              </w:rPr>
              <w:t>/h</w:t>
            </w:r>
            <w:r>
              <w:rPr>
                <w:rFonts w:hint="eastAsia" w:hAnsi="宋体"/>
                <w:color w:val="auto"/>
                <w:sz w:val="21"/>
                <w:szCs w:val="21"/>
              </w:rPr>
              <w:t>，</w:t>
            </w:r>
            <w:r>
              <w:rPr>
                <w:rFonts w:hAnsi="宋体"/>
                <w:color w:val="auto"/>
                <w:sz w:val="21"/>
                <w:szCs w:val="21"/>
              </w:rPr>
              <w:t>因受热等因素损失，</w:t>
            </w:r>
            <w:r>
              <w:rPr>
                <w:rFonts w:hint="eastAsia" w:hAnsi="宋体"/>
                <w:color w:val="auto"/>
                <w:sz w:val="21"/>
                <w:szCs w:val="21"/>
              </w:rPr>
              <w:t>需定期补充新鲜水，损耗补充用水约占循环水量的2%，即补充用水量为</w:t>
            </w:r>
            <w:r>
              <w:rPr>
                <w:rFonts w:hint="eastAsia"/>
                <w:color w:val="auto"/>
                <w:sz w:val="21"/>
                <w:szCs w:val="21"/>
                <w:highlight w:val="none"/>
                <w:lang w:val="en-US" w:eastAsia="zh-CN"/>
              </w:rPr>
              <w:t>0.04t</w:t>
            </w:r>
            <w:r>
              <w:rPr>
                <w:rFonts w:hint="eastAsia"/>
                <w:color w:val="auto"/>
                <w:sz w:val="21"/>
                <w:szCs w:val="21"/>
                <w:highlight w:val="none"/>
              </w:rPr>
              <w:t>/</w:t>
            </w:r>
            <w:r>
              <w:rPr>
                <w:rFonts w:hint="eastAsia"/>
                <w:color w:val="auto"/>
                <w:sz w:val="21"/>
                <w:szCs w:val="21"/>
                <w:highlight w:val="none"/>
                <w:lang w:val="en-US" w:eastAsia="zh-CN"/>
              </w:rPr>
              <w:t>h</w:t>
            </w:r>
            <w:r>
              <w:rPr>
                <w:rFonts w:hint="eastAsia"/>
                <w:color w:val="auto"/>
                <w:sz w:val="21"/>
                <w:szCs w:val="21"/>
                <w:highlight w:val="none"/>
              </w:rPr>
              <w:t>（</w:t>
            </w:r>
            <w:r>
              <w:rPr>
                <w:rFonts w:hint="eastAsia"/>
                <w:color w:val="auto"/>
                <w:sz w:val="21"/>
                <w:szCs w:val="21"/>
                <w:highlight w:val="none"/>
                <w:lang w:val="en-US" w:eastAsia="zh-CN"/>
              </w:rPr>
              <w:t>96t</w:t>
            </w:r>
            <w:r>
              <w:rPr>
                <w:rFonts w:hint="eastAsia"/>
                <w:color w:val="auto"/>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675" w:type="dxa"/>
            <w:vMerge w:val="continue"/>
            <w:vAlign w:val="center"/>
          </w:tcPr>
          <w:p>
            <w:pPr>
              <w:jc w:val="center"/>
              <w:rPr>
                <w:rFonts w:hAnsi="宋体"/>
                <w:color w:val="auto"/>
                <w:sz w:val="21"/>
                <w:szCs w:val="21"/>
                <w:shd w:val="clear" w:color="auto" w:fill="auto"/>
              </w:rPr>
            </w:pPr>
          </w:p>
        </w:tc>
        <w:tc>
          <w:tcPr>
            <w:tcW w:w="1637" w:type="dxa"/>
            <w:vAlign w:val="center"/>
          </w:tcPr>
          <w:p>
            <w:pPr>
              <w:jc w:val="center"/>
              <w:rPr>
                <w:color w:val="auto"/>
                <w:sz w:val="21"/>
                <w:szCs w:val="21"/>
                <w:shd w:val="clear" w:color="auto" w:fill="auto"/>
              </w:rPr>
            </w:pPr>
            <w:r>
              <w:rPr>
                <w:rFonts w:hint="eastAsia" w:hAnsi="宋体"/>
                <w:color w:val="auto"/>
                <w:sz w:val="21"/>
                <w:szCs w:val="21"/>
                <w:shd w:val="clear" w:color="auto" w:fill="auto"/>
                <w:lang w:eastAsia="zh-CN"/>
              </w:rPr>
              <w:t>测试用水</w:t>
            </w:r>
          </w:p>
        </w:tc>
        <w:tc>
          <w:tcPr>
            <w:tcW w:w="8205" w:type="dxa"/>
            <w:gridSpan w:val="3"/>
            <w:vAlign w:val="center"/>
          </w:tcPr>
          <w:p>
            <w:pPr>
              <w:adjustRightInd w:val="0"/>
              <w:rPr>
                <w:color w:val="auto"/>
                <w:sz w:val="21"/>
                <w:szCs w:val="21"/>
                <w:shd w:val="clear" w:color="auto" w:fill="auto"/>
              </w:rPr>
            </w:pPr>
            <w:r>
              <w:rPr>
                <w:rFonts w:hint="eastAsia" w:hAnsi="宋体"/>
                <w:b w:val="0"/>
                <w:bCs w:val="0"/>
                <w:color w:val="auto"/>
                <w:sz w:val="21"/>
                <w:szCs w:val="21"/>
                <w:shd w:val="clear" w:color="auto" w:fill="auto"/>
                <w:lang w:eastAsia="zh-CN"/>
              </w:rPr>
              <w:t>循环使用，定期补充，不外排，年用量约3t/a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9" w:hRule="atLeast"/>
          <w:jc w:val="center"/>
        </w:trPr>
        <w:tc>
          <w:tcPr>
            <w:tcW w:w="675" w:type="dxa"/>
            <w:vMerge w:val="continue"/>
            <w:vAlign w:val="center"/>
          </w:tcPr>
          <w:p>
            <w:pPr>
              <w:jc w:val="center"/>
              <w:rPr>
                <w:rFonts w:hAnsi="宋体"/>
                <w:color w:val="auto"/>
                <w:sz w:val="21"/>
                <w:szCs w:val="21"/>
                <w:shd w:val="clear" w:color="auto" w:fill="auto"/>
              </w:rPr>
            </w:pPr>
          </w:p>
        </w:tc>
        <w:tc>
          <w:tcPr>
            <w:tcW w:w="1637" w:type="dxa"/>
            <w:vAlign w:val="center"/>
          </w:tcPr>
          <w:p>
            <w:pPr>
              <w:spacing w:line="240" w:lineRule="auto"/>
              <w:jc w:val="center"/>
              <w:rPr>
                <w:color w:val="auto"/>
                <w:sz w:val="21"/>
                <w:szCs w:val="21"/>
                <w:shd w:val="clear" w:color="auto" w:fill="auto"/>
              </w:rPr>
            </w:pPr>
            <w:r>
              <w:rPr>
                <w:rFonts w:hint="eastAsia"/>
                <w:color w:val="auto"/>
                <w:sz w:val="21"/>
                <w:szCs w:val="21"/>
                <w:highlight w:val="none"/>
                <w:lang w:eastAsia="zh-CN"/>
              </w:rPr>
              <w:t>喷淋废水</w:t>
            </w:r>
          </w:p>
        </w:tc>
        <w:tc>
          <w:tcPr>
            <w:tcW w:w="8205" w:type="dxa"/>
            <w:gridSpan w:val="3"/>
            <w:vAlign w:val="center"/>
          </w:tcPr>
          <w:p>
            <w:pPr>
              <w:widowControl/>
              <w:jc w:val="both"/>
              <w:rPr>
                <w:color w:val="auto"/>
                <w:sz w:val="21"/>
                <w:szCs w:val="21"/>
                <w:shd w:val="clear" w:color="auto" w:fill="auto"/>
              </w:rPr>
            </w:pPr>
            <w:r>
              <w:rPr>
                <w:rFonts w:hint="default" w:ascii="Times New Roman" w:hAnsi="Times New Roman" w:cs="Times New Roman"/>
                <w:color w:val="auto"/>
                <w:kern w:val="0"/>
                <w:sz w:val="21"/>
                <w:szCs w:val="21"/>
                <w:lang w:val="en-US" w:eastAsia="zh-CN"/>
              </w:rPr>
              <w:t>产生量为6t/a，经收集后</w:t>
            </w:r>
            <w:r>
              <w:rPr>
                <w:rFonts w:hint="eastAsia" w:cs="Times New Roman"/>
                <w:color w:val="auto"/>
                <w:kern w:val="0"/>
                <w:sz w:val="21"/>
                <w:szCs w:val="21"/>
                <w:lang w:val="en-US" w:eastAsia="zh-CN"/>
              </w:rPr>
              <w:t>定期交具有零星废水处理资质的单位处理，不外排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6" w:hRule="atLeast"/>
          <w:jc w:val="center"/>
        </w:trPr>
        <w:tc>
          <w:tcPr>
            <w:tcW w:w="675" w:type="dxa"/>
            <w:vMerge w:val="continue"/>
            <w:vAlign w:val="center"/>
          </w:tcPr>
          <w:p>
            <w:pPr>
              <w:jc w:val="center"/>
              <w:rPr>
                <w:rFonts w:hAnsi="宋体"/>
                <w:color w:val="auto"/>
                <w:sz w:val="21"/>
                <w:szCs w:val="21"/>
                <w:shd w:val="clear" w:color="auto" w:fill="auto"/>
              </w:rPr>
            </w:pPr>
          </w:p>
        </w:tc>
        <w:tc>
          <w:tcPr>
            <w:tcW w:w="1637" w:type="dxa"/>
            <w:vAlign w:val="center"/>
          </w:tcPr>
          <w:p>
            <w:pPr>
              <w:jc w:val="center"/>
              <w:rPr>
                <w:rFonts w:hAnsi="宋体"/>
                <w:color w:val="auto"/>
                <w:sz w:val="21"/>
                <w:szCs w:val="21"/>
                <w:shd w:val="clear" w:color="auto" w:fill="auto"/>
              </w:rPr>
            </w:pPr>
            <w:r>
              <w:rPr>
                <w:rFonts w:hAnsi="宋体"/>
                <w:color w:val="auto"/>
                <w:sz w:val="21"/>
                <w:szCs w:val="21"/>
                <w:shd w:val="clear" w:color="auto" w:fill="auto"/>
              </w:rPr>
              <w:t>生活污水</w:t>
            </w:r>
          </w:p>
        </w:tc>
        <w:tc>
          <w:tcPr>
            <w:tcW w:w="2040" w:type="dxa"/>
            <w:vAlign w:val="center"/>
          </w:tcPr>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COD</w:t>
            </w:r>
            <w:r>
              <w:rPr>
                <w:rFonts w:ascii="Times New Roman" w:hAnsi="Times New Roman"/>
                <w:color w:val="auto"/>
                <w:position w:val="0"/>
                <w:sz w:val="21"/>
                <w:szCs w:val="21"/>
                <w:shd w:val="clear" w:color="auto" w:fill="auto"/>
                <w:vertAlign w:val="subscript"/>
              </w:rPr>
              <w:t>cr</w:t>
            </w:r>
          </w:p>
          <w:p>
            <w:pPr>
              <w:pStyle w:val="56"/>
              <w:rPr>
                <w:rFonts w:ascii="Times New Roman" w:hAnsi="Times New Roman"/>
                <w:color w:val="auto"/>
                <w:position w:val="0"/>
                <w:sz w:val="21"/>
                <w:szCs w:val="21"/>
                <w:shd w:val="clear" w:color="auto" w:fill="auto"/>
              </w:rPr>
            </w:pPr>
            <w:r>
              <w:rPr>
                <w:rFonts w:ascii="Times New Roman" w:hAnsi="Times New Roman"/>
                <w:color w:val="auto"/>
                <w:position w:val="0"/>
                <w:sz w:val="21"/>
                <w:szCs w:val="21"/>
                <w:shd w:val="clear" w:color="auto" w:fill="auto"/>
              </w:rPr>
              <w:t>BOD</w:t>
            </w:r>
            <w:r>
              <w:rPr>
                <w:rFonts w:ascii="Times New Roman" w:hAnsi="Times New Roman"/>
                <w:color w:val="auto"/>
                <w:position w:val="0"/>
                <w:sz w:val="21"/>
                <w:szCs w:val="21"/>
                <w:shd w:val="clear" w:color="auto" w:fill="auto"/>
                <w:vertAlign w:val="subscript"/>
              </w:rPr>
              <w:t>5</w:t>
            </w:r>
          </w:p>
          <w:p>
            <w:pPr>
              <w:jc w:val="center"/>
              <w:rPr>
                <w:color w:val="auto"/>
                <w:sz w:val="21"/>
                <w:szCs w:val="21"/>
                <w:shd w:val="clear" w:color="auto" w:fill="auto"/>
              </w:rPr>
            </w:pPr>
            <w:r>
              <w:rPr>
                <w:color w:val="auto"/>
                <w:sz w:val="21"/>
                <w:szCs w:val="21"/>
                <w:shd w:val="clear" w:color="auto" w:fill="auto"/>
              </w:rPr>
              <w:t>SS</w:t>
            </w:r>
          </w:p>
          <w:p>
            <w:pPr>
              <w:jc w:val="center"/>
              <w:rPr>
                <w:color w:val="auto"/>
                <w:sz w:val="21"/>
                <w:szCs w:val="21"/>
                <w:shd w:val="clear" w:color="auto" w:fill="auto"/>
              </w:rPr>
            </w:pPr>
            <w:r>
              <w:rPr>
                <w:color w:val="auto"/>
                <w:sz w:val="21"/>
                <w:szCs w:val="21"/>
                <w:shd w:val="clear" w:color="auto" w:fill="auto"/>
              </w:rPr>
              <w:t>NH</w:t>
            </w:r>
            <w:r>
              <w:rPr>
                <w:color w:val="auto"/>
                <w:sz w:val="21"/>
                <w:szCs w:val="21"/>
                <w:shd w:val="clear" w:color="auto" w:fill="auto"/>
                <w:vertAlign w:val="subscript"/>
              </w:rPr>
              <w:t>3</w:t>
            </w:r>
            <w:r>
              <w:rPr>
                <w:color w:val="auto"/>
                <w:sz w:val="21"/>
                <w:szCs w:val="21"/>
                <w:shd w:val="clear" w:color="auto" w:fill="auto"/>
              </w:rPr>
              <w:t xml:space="preserve">-N </w:t>
            </w:r>
          </w:p>
          <w:p>
            <w:pPr>
              <w:jc w:val="center"/>
              <w:rPr>
                <w:color w:val="auto"/>
                <w:sz w:val="21"/>
                <w:szCs w:val="21"/>
                <w:shd w:val="clear" w:color="auto" w:fill="auto"/>
              </w:rPr>
            </w:pPr>
          </w:p>
        </w:tc>
        <w:tc>
          <w:tcPr>
            <w:tcW w:w="1740" w:type="dxa"/>
            <w:vAlign w:val="center"/>
          </w:tcPr>
          <w:p>
            <w:pPr>
              <w:jc w:val="center"/>
              <w:rPr>
                <w:rFonts w:hAnsi="宋体"/>
                <w:color w:val="auto"/>
                <w:sz w:val="21"/>
                <w:szCs w:val="21"/>
                <w:shd w:val="clear" w:color="auto" w:fill="auto"/>
              </w:rPr>
            </w:pPr>
            <w:r>
              <w:rPr>
                <w:rFonts w:hAnsi="宋体"/>
                <w:color w:val="auto"/>
                <w:sz w:val="21"/>
                <w:szCs w:val="21"/>
                <w:shd w:val="clear" w:color="auto" w:fill="auto"/>
              </w:rPr>
              <w:t>经</w:t>
            </w:r>
            <w:r>
              <w:rPr>
                <w:rFonts w:hint="eastAsia" w:hAnsi="宋体"/>
                <w:color w:val="auto"/>
                <w:sz w:val="21"/>
                <w:szCs w:val="21"/>
                <w:shd w:val="clear" w:color="auto" w:fill="auto"/>
              </w:rPr>
              <w:t>三级化粪池</w:t>
            </w:r>
            <w:r>
              <w:rPr>
                <w:rFonts w:hAnsi="宋体"/>
                <w:color w:val="auto"/>
                <w:sz w:val="21"/>
                <w:szCs w:val="21"/>
                <w:shd w:val="clear" w:color="auto" w:fill="auto"/>
              </w:rPr>
              <w:t>处理后排放到市政</w:t>
            </w:r>
            <w:r>
              <w:rPr>
                <w:rFonts w:hint="eastAsia" w:hAnsi="宋体"/>
                <w:color w:val="auto"/>
                <w:sz w:val="21"/>
                <w:szCs w:val="21"/>
                <w:shd w:val="clear" w:color="auto" w:fill="auto"/>
              </w:rPr>
              <w:t>污水</w:t>
            </w:r>
            <w:r>
              <w:rPr>
                <w:rFonts w:hAnsi="宋体"/>
                <w:color w:val="auto"/>
                <w:spacing w:val="15"/>
                <w:sz w:val="21"/>
                <w:szCs w:val="21"/>
                <w:shd w:val="clear" w:color="auto" w:fill="auto"/>
              </w:rPr>
              <w:t>管网</w:t>
            </w:r>
            <w:r>
              <w:rPr>
                <w:rFonts w:hAnsi="宋体"/>
                <w:color w:val="auto"/>
                <w:sz w:val="21"/>
                <w:szCs w:val="21"/>
                <w:shd w:val="clear" w:color="auto" w:fill="auto"/>
              </w:rPr>
              <w:t>，引至</w:t>
            </w:r>
            <w:r>
              <w:rPr>
                <w:rFonts w:hint="eastAsia" w:hAnsi="宋体"/>
                <w:color w:val="auto"/>
                <w:sz w:val="21"/>
                <w:szCs w:val="21"/>
                <w:shd w:val="clear" w:color="auto" w:fill="auto"/>
              </w:rPr>
              <w:t>开平市水口污水处理厂</w:t>
            </w:r>
            <w:r>
              <w:rPr>
                <w:rFonts w:hAnsi="宋体"/>
                <w:color w:val="auto"/>
                <w:sz w:val="21"/>
                <w:szCs w:val="21"/>
                <w:shd w:val="clear" w:color="auto" w:fill="auto"/>
              </w:rPr>
              <w:t>处理</w:t>
            </w:r>
          </w:p>
        </w:tc>
        <w:tc>
          <w:tcPr>
            <w:tcW w:w="4425" w:type="dxa"/>
            <w:vAlign w:val="center"/>
          </w:tcPr>
          <w:p>
            <w:pPr>
              <w:jc w:val="center"/>
              <w:rPr>
                <w:rFonts w:hAnsi="宋体"/>
                <w:color w:val="auto"/>
                <w:sz w:val="21"/>
                <w:szCs w:val="21"/>
                <w:shd w:val="clear" w:color="auto" w:fill="auto"/>
              </w:rPr>
            </w:pPr>
            <w:r>
              <w:rPr>
                <w:rFonts w:hAnsi="宋体"/>
                <w:color w:val="auto"/>
                <w:sz w:val="21"/>
                <w:szCs w:val="21"/>
                <w:shd w:val="clear" w:color="auto" w:fill="auto"/>
              </w:rPr>
              <w:t>达到</w:t>
            </w:r>
            <w:r>
              <w:rPr>
                <w:rFonts w:hint="eastAsia"/>
                <w:color w:val="auto"/>
                <w:sz w:val="21"/>
                <w:szCs w:val="21"/>
                <w:shd w:val="clear" w:color="auto" w:fill="auto"/>
                <w:lang w:eastAsia="zh-CN"/>
              </w:rPr>
              <w:t>广东省地方标准《水污染物排放限值》</w:t>
            </w:r>
            <w:r>
              <w:rPr>
                <w:color w:val="auto"/>
                <w:sz w:val="21"/>
                <w:szCs w:val="21"/>
                <w:shd w:val="clear" w:color="auto" w:fill="auto"/>
              </w:rPr>
              <w:t>（DB44/26-2001）第二时段三级标准</w:t>
            </w:r>
            <w:r>
              <w:rPr>
                <w:rFonts w:hint="eastAsia"/>
                <w:color w:val="auto"/>
                <w:sz w:val="21"/>
                <w:szCs w:val="21"/>
                <w:shd w:val="clear" w:color="auto" w:fill="auto"/>
              </w:rPr>
              <w:t>和</w:t>
            </w:r>
            <w:r>
              <w:rPr>
                <w:rFonts w:hint="eastAsia"/>
                <w:color w:val="auto"/>
                <w:sz w:val="21"/>
                <w:szCs w:val="21"/>
                <w:shd w:val="clear" w:color="auto" w:fill="auto"/>
                <w:lang w:eastAsia="zh-CN"/>
              </w:rPr>
              <w:t>《污水排入城镇下水道水质标准》(GB/T31962-2015 )B级标准</w:t>
            </w:r>
            <w:r>
              <w:rPr>
                <w:rFonts w:hint="eastAsia"/>
                <w:color w:val="auto"/>
                <w:sz w:val="21"/>
                <w:szCs w:val="21"/>
                <w:shd w:val="clear" w:color="auto" w:fill="auto"/>
              </w:rPr>
              <w:t>较严者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1" w:hRule="atLeast"/>
          <w:jc w:val="center"/>
        </w:trPr>
        <w:tc>
          <w:tcPr>
            <w:tcW w:w="675" w:type="dxa"/>
            <w:vMerge w:val="restart"/>
            <w:vAlign w:val="center"/>
          </w:tcPr>
          <w:p>
            <w:pPr>
              <w:jc w:val="center"/>
              <w:rPr>
                <w:color w:val="auto"/>
                <w:sz w:val="21"/>
                <w:szCs w:val="21"/>
                <w:shd w:val="clear" w:color="auto" w:fill="auto"/>
              </w:rPr>
            </w:pPr>
            <w:r>
              <w:rPr>
                <w:rFonts w:hAnsi="宋体"/>
                <w:color w:val="auto"/>
                <w:sz w:val="21"/>
                <w:szCs w:val="21"/>
                <w:shd w:val="clear" w:color="auto" w:fill="auto"/>
              </w:rPr>
              <w:t>固</w:t>
            </w:r>
          </w:p>
          <w:p>
            <w:pPr>
              <w:jc w:val="center"/>
              <w:rPr>
                <w:color w:val="auto"/>
                <w:sz w:val="21"/>
                <w:szCs w:val="21"/>
                <w:shd w:val="clear" w:color="auto" w:fill="auto"/>
              </w:rPr>
            </w:pPr>
            <w:r>
              <w:rPr>
                <w:rFonts w:hAnsi="宋体"/>
                <w:color w:val="auto"/>
                <w:sz w:val="21"/>
                <w:szCs w:val="21"/>
                <w:shd w:val="clear" w:color="auto" w:fill="auto"/>
              </w:rPr>
              <w:t>体</w:t>
            </w:r>
          </w:p>
          <w:p>
            <w:pPr>
              <w:jc w:val="center"/>
              <w:rPr>
                <w:color w:val="auto"/>
                <w:sz w:val="21"/>
                <w:szCs w:val="21"/>
                <w:shd w:val="clear" w:color="auto" w:fill="auto"/>
              </w:rPr>
            </w:pPr>
            <w:r>
              <w:rPr>
                <w:rFonts w:hAnsi="宋体"/>
                <w:color w:val="auto"/>
                <w:sz w:val="21"/>
                <w:szCs w:val="21"/>
                <w:shd w:val="clear" w:color="auto" w:fill="auto"/>
              </w:rPr>
              <w:t>废</w:t>
            </w:r>
          </w:p>
          <w:p>
            <w:pPr>
              <w:jc w:val="center"/>
              <w:rPr>
                <w:color w:val="auto"/>
                <w:sz w:val="21"/>
                <w:szCs w:val="21"/>
                <w:shd w:val="clear" w:color="auto" w:fill="auto"/>
              </w:rPr>
            </w:pPr>
            <w:r>
              <w:rPr>
                <w:rFonts w:hAnsi="宋体"/>
                <w:color w:val="auto"/>
                <w:sz w:val="21"/>
                <w:szCs w:val="21"/>
                <w:shd w:val="clear" w:color="auto" w:fill="auto"/>
              </w:rPr>
              <w:t>物</w:t>
            </w:r>
          </w:p>
        </w:tc>
        <w:tc>
          <w:tcPr>
            <w:tcW w:w="1637" w:type="dxa"/>
            <w:vAlign w:val="center"/>
          </w:tcPr>
          <w:p>
            <w:pPr>
              <w:pStyle w:val="56"/>
              <w:rPr>
                <w:rFonts w:ascii="Times New Roman" w:hAnsi="Times New Roman"/>
                <w:color w:val="auto"/>
                <w:position w:val="0"/>
                <w:sz w:val="21"/>
                <w:szCs w:val="21"/>
                <w:shd w:val="clear" w:color="auto" w:fill="auto"/>
              </w:rPr>
            </w:pPr>
            <w:r>
              <w:rPr>
                <w:rFonts w:ascii="Times New Roman" w:hAnsi="宋体"/>
                <w:color w:val="auto"/>
                <w:position w:val="0"/>
                <w:sz w:val="21"/>
                <w:szCs w:val="21"/>
                <w:shd w:val="clear" w:color="auto" w:fill="auto"/>
              </w:rPr>
              <w:t>生活垃圾</w:t>
            </w:r>
          </w:p>
        </w:tc>
        <w:tc>
          <w:tcPr>
            <w:tcW w:w="2040" w:type="dxa"/>
            <w:vAlign w:val="center"/>
          </w:tcPr>
          <w:p>
            <w:pPr>
              <w:pStyle w:val="56"/>
              <w:rPr>
                <w:rFonts w:ascii="Times New Roman" w:hAnsi="Times New Roman"/>
                <w:color w:val="auto"/>
                <w:position w:val="0"/>
                <w:sz w:val="21"/>
                <w:szCs w:val="21"/>
                <w:shd w:val="clear" w:color="auto" w:fill="auto"/>
              </w:rPr>
            </w:pPr>
            <w:r>
              <w:rPr>
                <w:rFonts w:ascii="Times New Roman" w:hAnsi="宋体"/>
                <w:color w:val="auto"/>
                <w:position w:val="0"/>
                <w:sz w:val="21"/>
                <w:szCs w:val="21"/>
                <w:shd w:val="clear" w:color="auto" w:fill="auto"/>
              </w:rPr>
              <w:t>生活垃圾</w:t>
            </w:r>
          </w:p>
        </w:tc>
        <w:tc>
          <w:tcPr>
            <w:tcW w:w="1740" w:type="dxa"/>
            <w:vAlign w:val="center"/>
          </w:tcPr>
          <w:p>
            <w:pPr>
              <w:jc w:val="center"/>
              <w:rPr>
                <w:color w:val="auto"/>
                <w:sz w:val="21"/>
                <w:szCs w:val="21"/>
                <w:shd w:val="clear" w:color="auto" w:fill="auto"/>
              </w:rPr>
            </w:pPr>
            <w:r>
              <w:rPr>
                <w:rFonts w:hAnsi="宋体"/>
                <w:color w:val="auto"/>
                <w:sz w:val="21"/>
                <w:szCs w:val="21"/>
                <w:shd w:val="clear" w:color="auto" w:fill="auto"/>
              </w:rPr>
              <w:t>交环卫部门处理</w:t>
            </w:r>
          </w:p>
        </w:tc>
        <w:tc>
          <w:tcPr>
            <w:tcW w:w="4425" w:type="dxa"/>
            <w:vMerge w:val="restart"/>
            <w:vAlign w:val="center"/>
          </w:tcPr>
          <w:p>
            <w:pPr>
              <w:spacing w:line="216" w:lineRule="auto"/>
              <w:jc w:val="center"/>
              <w:rPr>
                <w:color w:val="auto"/>
                <w:sz w:val="21"/>
                <w:szCs w:val="21"/>
                <w:shd w:val="clear" w:color="auto" w:fill="auto"/>
              </w:rPr>
            </w:pPr>
            <w:r>
              <w:rPr>
                <w:rFonts w:hAnsi="宋体"/>
                <w:color w:val="auto"/>
                <w:sz w:val="21"/>
                <w:szCs w:val="21"/>
                <w:shd w:val="clear" w:color="auto" w:fill="auto"/>
              </w:rPr>
              <w:t>符合环保有关要求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6" w:hRule="atLeast"/>
          <w:jc w:val="center"/>
        </w:trPr>
        <w:tc>
          <w:tcPr>
            <w:tcW w:w="675" w:type="dxa"/>
            <w:vMerge w:val="continue"/>
            <w:vAlign w:val="center"/>
          </w:tcPr>
          <w:p>
            <w:pPr>
              <w:jc w:val="center"/>
              <w:rPr>
                <w:color w:val="auto"/>
                <w:sz w:val="21"/>
                <w:szCs w:val="21"/>
                <w:shd w:val="clear" w:color="auto" w:fill="auto"/>
              </w:rPr>
            </w:pPr>
          </w:p>
        </w:tc>
        <w:tc>
          <w:tcPr>
            <w:tcW w:w="1637" w:type="dxa"/>
            <w:vAlign w:val="center"/>
          </w:tcPr>
          <w:p>
            <w:pPr>
              <w:pStyle w:val="56"/>
              <w:rPr>
                <w:rFonts w:hint="eastAsia" w:ascii="Times New Roman" w:hAnsi="宋体" w:eastAsia="宋体" w:cs="Times New Roman"/>
                <w:color w:val="auto"/>
                <w:kern w:val="2"/>
                <w:position w:val="0"/>
                <w:sz w:val="21"/>
                <w:szCs w:val="21"/>
                <w:shd w:val="clear" w:color="auto" w:fill="auto"/>
                <w:lang w:val="en-US" w:eastAsia="zh-CN" w:bidi="ar-SA"/>
              </w:rPr>
            </w:pPr>
            <w:r>
              <w:rPr>
                <w:rFonts w:hint="eastAsia" w:ascii="Times New Roman" w:hAnsi="宋体" w:eastAsia="宋体" w:cs="Times New Roman"/>
                <w:color w:val="auto"/>
                <w:kern w:val="2"/>
                <w:position w:val="0"/>
                <w:sz w:val="21"/>
                <w:szCs w:val="21"/>
                <w:shd w:val="clear" w:color="auto" w:fill="auto"/>
                <w:lang w:val="en-US" w:eastAsia="zh-CN" w:bidi="ar-SA"/>
              </w:rPr>
              <w:t>一般固体废物</w:t>
            </w:r>
          </w:p>
        </w:tc>
        <w:tc>
          <w:tcPr>
            <w:tcW w:w="2040" w:type="dxa"/>
            <w:vAlign w:val="center"/>
          </w:tcPr>
          <w:p>
            <w:pPr>
              <w:pStyle w:val="133"/>
              <w:rPr>
                <w:rFonts w:hint="eastAsia" w:ascii="Times New Roman" w:hAnsi="宋体" w:eastAsia="宋体" w:cs="Times New Roman"/>
                <w:color w:val="auto"/>
                <w:kern w:val="2"/>
                <w:position w:val="0"/>
                <w:sz w:val="21"/>
                <w:szCs w:val="21"/>
                <w:shd w:val="clear" w:color="auto" w:fill="auto"/>
                <w:lang w:val="en-US" w:eastAsia="zh-CN" w:bidi="ar-SA"/>
              </w:rPr>
            </w:pPr>
            <w:r>
              <w:rPr>
                <w:rFonts w:hint="eastAsia" w:ascii="Times New Roman" w:hAnsi="宋体" w:eastAsia="宋体" w:cs="Times New Roman"/>
                <w:color w:val="auto"/>
                <w:kern w:val="2"/>
                <w:position w:val="0"/>
                <w:sz w:val="21"/>
                <w:szCs w:val="21"/>
                <w:shd w:val="clear" w:color="auto" w:fill="auto"/>
                <w:lang w:val="en-US" w:eastAsia="zh-CN" w:bidi="ar-SA"/>
              </w:rPr>
              <w:t>炉渣、废砂、金属边角料、</w:t>
            </w:r>
            <w:r>
              <w:rPr>
                <w:rFonts w:hint="eastAsia" w:hAnsi="宋体" w:cs="Times New Roman"/>
                <w:color w:val="auto"/>
                <w:kern w:val="2"/>
                <w:position w:val="0"/>
                <w:sz w:val="21"/>
                <w:szCs w:val="21"/>
                <w:shd w:val="clear" w:color="auto" w:fill="auto"/>
                <w:lang w:val="en-US" w:eastAsia="zh-CN" w:bidi="ar-SA"/>
              </w:rPr>
              <w:t>废抛光轮、</w:t>
            </w:r>
            <w:r>
              <w:rPr>
                <w:rFonts w:hint="eastAsia" w:ascii="Times New Roman" w:hAnsi="宋体" w:eastAsia="宋体" w:cs="Times New Roman"/>
                <w:color w:val="auto"/>
                <w:kern w:val="2"/>
                <w:position w:val="0"/>
                <w:sz w:val="21"/>
                <w:szCs w:val="21"/>
                <w:shd w:val="clear" w:color="auto" w:fill="auto"/>
                <w:lang w:val="en-US" w:eastAsia="zh-CN" w:bidi="ar-SA"/>
              </w:rPr>
              <w:t>不合格品、废包装材料、布袋除尘装置收集的粉尘</w:t>
            </w:r>
          </w:p>
        </w:tc>
        <w:tc>
          <w:tcPr>
            <w:tcW w:w="1740" w:type="dxa"/>
            <w:vAlign w:val="center"/>
          </w:tcPr>
          <w:p>
            <w:pPr>
              <w:jc w:val="center"/>
              <w:rPr>
                <w:rFonts w:hint="eastAsia" w:ascii="Times New Roman" w:hAnsi="宋体" w:eastAsia="宋体" w:cs="Times New Roman"/>
                <w:color w:val="auto"/>
                <w:kern w:val="2"/>
                <w:position w:val="0"/>
                <w:sz w:val="21"/>
                <w:szCs w:val="21"/>
                <w:shd w:val="clear" w:color="auto" w:fill="auto"/>
                <w:lang w:val="en-US" w:eastAsia="zh-CN" w:bidi="ar-SA"/>
              </w:rPr>
            </w:pPr>
            <w:r>
              <w:rPr>
                <w:rFonts w:hint="eastAsia" w:ascii="Times New Roman" w:hAnsi="宋体" w:eastAsia="宋体" w:cs="Times New Roman"/>
                <w:color w:val="auto"/>
                <w:kern w:val="2"/>
                <w:position w:val="0"/>
                <w:sz w:val="21"/>
                <w:szCs w:val="21"/>
                <w:shd w:val="clear" w:color="auto" w:fill="auto"/>
                <w:lang w:val="en-US" w:eastAsia="zh-CN" w:bidi="ar-SA"/>
              </w:rPr>
              <w:t>交专业公司回收处理</w:t>
            </w:r>
          </w:p>
        </w:tc>
        <w:tc>
          <w:tcPr>
            <w:tcW w:w="4425" w:type="dxa"/>
            <w:vMerge w:val="continue"/>
            <w:vAlign w:val="center"/>
          </w:tcPr>
          <w:p>
            <w:pPr>
              <w:spacing w:line="216" w:lineRule="auto"/>
              <w:jc w:val="center"/>
              <w:rPr>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6" w:hRule="atLeast"/>
          <w:jc w:val="center"/>
        </w:trPr>
        <w:tc>
          <w:tcPr>
            <w:tcW w:w="675" w:type="dxa"/>
            <w:vMerge w:val="continue"/>
            <w:vAlign w:val="center"/>
          </w:tcPr>
          <w:p>
            <w:pPr>
              <w:jc w:val="center"/>
              <w:rPr>
                <w:color w:val="auto"/>
                <w:sz w:val="21"/>
                <w:szCs w:val="21"/>
                <w:shd w:val="clear" w:color="auto" w:fill="auto"/>
              </w:rPr>
            </w:pPr>
          </w:p>
        </w:tc>
        <w:tc>
          <w:tcPr>
            <w:tcW w:w="1637" w:type="dxa"/>
            <w:vAlign w:val="center"/>
          </w:tcPr>
          <w:p>
            <w:pPr>
              <w:pStyle w:val="56"/>
              <w:rPr>
                <w:rFonts w:ascii="Times New Roman" w:hAnsi="宋体"/>
                <w:color w:val="auto"/>
                <w:position w:val="0"/>
                <w:sz w:val="21"/>
                <w:szCs w:val="21"/>
                <w:shd w:val="clear" w:color="auto" w:fill="auto"/>
              </w:rPr>
            </w:pPr>
            <w:r>
              <w:rPr>
                <w:rFonts w:hint="eastAsia"/>
                <w:color w:val="auto"/>
                <w:sz w:val="21"/>
                <w:szCs w:val="21"/>
              </w:rPr>
              <w:t>危险废物</w:t>
            </w:r>
          </w:p>
        </w:tc>
        <w:tc>
          <w:tcPr>
            <w:tcW w:w="2040" w:type="dxa"/>
            <w:vAlign w:val="center"/>
          </w:tcPr>
          <w:p>
            <w:pPr>
              <w:pStyle w:val="133"/>
              <w:rPr>
                <w:rFonts w:hint="eastAsia" w:eastAsia="宋体"/>
                <w:color w:val="auto"/>
                <w:spacing w:val="-2"/>
                <w:sz w:val="21"/>
                <w:szCs w:val="21"/>
                <w:shd w:val="clear" w:color="auto" w:fill="auto"/>
                <w:lang w:eastAsia="zh-CN"/>
              </w:rPr>
            </w:pPr>
            <w:r>
              <w:rPr>
                <w:rFonts w:hint="eastAsia" w:ascii="Times New Roman" w:hAnsi="Times New Roman" w:eastAsia="宋体" w:cs="Times New Roman"/>
                <w:color w:val="auto"/>
                <w:kern w:val="0"/>
                <w:sz w:val="21"/>
                <w:szCs w:val="21"/>
                <w:highlight w:val="none"/>
              </w:rPr>
              <w:t>废树脂桶、废机油油桶、含油废抹布</w:t>
            </w:r>
            <w:r>
              <w:rPr>
                <w:rFonts w:hint="eastAsia" w:cs="Times New Roman"/>
                <w:color w:val="auto"/>
                <w:kern w:val="0"/>
                <w:sz w:val="21"/>
                <w:szCs w:val="21"/>
                <w:highlight w:val="none"/>
                <w:lang w:eastAsia="zh-CN"/>
              </w:rPr>
              <w:t>、</w:t>
            </w:r>
            <w:r>
              <w:rPr>
                <w:rFonts w:ascii="Times New Roman" w:hAnsi="Times New Roman" w:eastAsia="宋体" w:cs="Times New Roman"/>
                <w:bCs/>
                <w:color w:val="auto"/>
                <w:sz w:val="21"/>
                <w:szCs w:val="21"/>
                <w:highlight w:val="none"/>
              </w:rPr>
              <w:t>废</w:t>
            </w:r>
            <w:r>
              <w:rPr>
                <w:rFonts w:hint="eastAsia" w:ascii="Times New Roman" w:hAnsi="Times New Roman" w:cs="Times New Roman"/>
                <w:bCs/>
                <w:color w:val="auto"/>
                <w:sz w:val="21"/>
                <w:szCs w:val="21"/>
                <w:highlight w:val="none"/>
                <w:lang w:eastAsia="zh-CN"/>
              </w:rPr>
              <w:t>机油</w:t>
            </w:r>
            <w:r>
              <w:rPr>
                <w:rFonts w:hint="eastAsia" w:cs="Times New Roman"/>
                <w:bCs/>
                <w:color w:val="auto"/>
                <w:sz w:val="21"/>
                <w:szCs w:val="21"/>
                <w:highlight w:val="none"/>
                <w:lang w:eastAsia="zh-CN"/>
              </w:rPr>
              <w:t>、</w:t>
            </w:r>
            <w:r>
              <w:rPr>
                <w:rFonts w:hint="eastAsia"/>
                <w:color w:val="auto"/>
                <w:kern w:val="0"/>
                <w:sz w:val="21"/>
                <w:szCs w:val="21"/>
              </w:rPr>
              <w:t>废UV灯管</w:t>
            </w:r>
          </w:p>
        </w:tc>
        <w:tc>
          <w:tcPr>
            <w:tcW w:w="1740" w:type="dxa"/>
            <w:vAlign w:val="center"/>
          </w:tcPr>
          <w:p>
            <w:pPr>
              <w:jc w:val="center"/>
              <w:rPr>
                <w:rFonts w:hAnsi="宋体"/>
                <w:color w:val="auto"/>
                <w:sz w:val="21"/>
                <w:szCs w:val="21"/>
                <w:shd w:val="clear" w:color="auto" w:fill="auto"/>
              </w:rPr>
            </w:pPr>
            <w:r>
              <w:rPr>
                <w:rFonts w:hint="eastAsia" w:hAnsi="宋体"/>
                <w:color w:val="auto"/>
                <w:sz w:val="21"/>
                <w:szCs w:val="21"/>
              </w:rPr>
              <w:t>交给有危险废物处置资质单位处置</w:t>
            </w:r>
          </w:p>
        </w:tc>
        <w:tc>
          <w:tcPr>
            <w:tcW w:w="4425" w:type="dxa"/>
            <w:vMerge w:val="continue"/>
            <w:vAlign w:val="center"/>
          </w:tcPr>
          <w:p>
            <w:pPr>
              <w:spacing w:line="216" w:lineRule="auto"/>
              <w:jc w:val="center"/>
              <w:rPr>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8" w:hRule="atLeast"/>
          <w:jc w:val="center"/>
        </w:trPr>
        <w:tc>
          <w:tcPr>
            <w:tcW w:w="675" w:type="dxa"/>
            <w:vAlign w:val="center"/>
          </w:tcPr>
          <w:p>
            <w:pPr>
              <w:keepNext w:val="0"/>
              <w:keepLines w:val="0"/>
              <w:pageBreakBefore w:val="0"/>
              <w:widowControl w:val="0"/>
              <w:kinsoku/>
              <w:wordWrap/>
              <w:overflowPunct/>
              <w:topLinePunct w:val="0"/>
              <w:autoSpaceDE/>
              <w:autoSpaceDN/>
              <w:bidi w:val="0"/>
              <w:adjustRightInd/>
              <w:snapToGrid/>
              <w:spacing w:line="288" w:lineRule="auto"/>
              <w:jc w:val="center"/>
              <w:textAlignment w:val="auto"/>
              <w:rPr>
                <w:color w:val="auto"/>
                <w:sz w:val="21"/>
                <w:szCs w:val="21"/>
                <w:shd w:val="clear" w:color="auto" w:fill="auto"/>
              </w:rPr>
            </w:pPr>
            <w:r>
              <w:rPr>
                <w:rFonts w:hAnsi="宋体"/>
                <w:color w:val="auto"/>
                <w:sz w:val="21"/>
                <w:szCs w:val="21"/>
                <w:shd w:val="clear" w:color="auto" w:fill="auto"/>
              </w:rPr>
              <w:t>噪</w:t>
            </w:r>
          </w:p>
          <w:p>
            <w:pPr>
              <w:keepNext w:val="0"/>
              <w:keepLines w:val="0"/>
              <w:pageBreakBefore w:val="0"/>
              <w:widowControl w:val="0"/>
              <w:kinsoku/>
              <w:wordWrap/>
              <w:overflowPunct/>
              <w:topLinePunct w:val="0"/>
              <w:autoSpaceDE/>
              <w:autoSpaceDN/>
              <w:bidi w:val="0"/>
              <w:adjustRightInd/>
              <w:snapToGrid/>
              <w:spacing w:line="288" w:lineRule="auto"/>
              <w:jc w:val="center"/>
              <w:textAlignment w:val="auto"/>
              <w:rPr>
                <w:color w:val="auto"/>
                <w:sz w:val="21"/>
                <w:szCs w:val="21"/>
                <w:shd w:val="clear" w:color="auto" w:fill="auto"/>
              </w:rPr>
            </w:pPr>
            <w:r>
              <w:rPr>
                <w:rFonts w:hAnsi="宋体"/>
                <w:color w:val="auto"/>
                <w:sz w:val="21"/>
                <w:szCs w:val="21"/>
                <w:shd w:val="clear" w:color="auto" w:fill="auto"/>
              </w:rPr>
              <w:t>声</w:t>
            </w:r>
          </w:p>
        </w:tc>
        <w:tc>
          <w:tcPr>
            <w:tcW w:w="9842" w:type="dxa"/>
            <w:gridSpan w:val="4"/>
            <w:vAlign w:val="center"/>
          </w:tcPr>
          <w:p>
            <w:pPr>
              <w:pStyle w:val="132"/>
              <w:keepNext w:val="0"/>
              <w:keepLines w:val="0"/>
              <w:pageBreakBefore w:val="0"/>
              <w:widowControl w:val="0"/>
              <w:kinsoku/>
              <w:wordWrap/>
              <w:overflowPunct/>
              <w:topLinePunct w:val="0"/>
              <w:autoSpaceDE/>
              <w:autoSpaceDN/>
              <w:bidi w:val="0"/>
              <w:adjustRightInd/>
              <w:snapToGrid/>
              <w:spacing w:line="288" w:lineRule="auto"/>
              <w:ind w:firstLine="0" w:firstLineChars="0"/>
              <w:textAlignment w:val="auto"/>
              <w:rPr>
                <w:rFonts w:ascii="Times New Roman" w:hAnsi="Times New Roman" w:cs="Times New Roman"/>
                <w:color w:val="auto"/>
                <w:sz w:val="21"/>
                <w:szCs w:val="21"/>
                <w:shd w:val="clear" w:color="auto" w:fill="auto"/>
              </w:rPr>
            </w:pPr>
            <w:r>
              <w:rPr>
                <w:rFonts w:ascii="Times New Roman" w:hAnsi="Times New Roman" w:cs="Times New Roman"/>
                <w:color w:val="auto"/>
                <w:sz w:val="21"/>
                <w:szCs w:val="21"/>
                <w:shd w:val="clear" w:color="auto" w:fill="auto"/>
              </w:rPr>
              <w:t>车间各主要工艺设备运行时产生的噪声值约为70~</w:t>
            </w:r>
            <w:r>
              <w:rPr>
                <w:rFonts w:hint="eastAsia" w:ascii="Times New Roman" w:hAnsi="Times New Roman" w:cs="Times New Roman"/>
                <w:color w:val="auto"/>
                <w:sz w:val="21"/>
                <w:szCs w:val="21"/>
                <w:shd w:val="clear" w:color="auto" w:fill="auto"/>
                <w:lang w:val="en-US" w:eastAsia="zh-CN"/>
              </w:rPr>
              <w:t>90</w:t>
            </w:r>
            <w:r>
              <w:rPr>
                <w:rFonts w:ascii="Times New Roman" w:hAnsi="Times New Roman" w:cs="Times New Roman"/>
                <w:color w:val="auto"/>
                <w:sz w:val="21"/>
                <w:szCs w:val="21"/>
                <w:shd w:val="clear" w:color="auto" w:fill="auto"/>
              </w:rPr>
              <w:t xml:space="preserve">dB(A)；通过适当的隔声、减震、吸声并设置单独隔声间等降噪措施，使得噪声的排放达到《工业企业厂界环境噪声排放标准》(GB12348-2008) </w:t>
            </w:r>
            <w:r>
              <w:rPr>
                <w:rFonts w:hint="eastAsia" w:ascii="Times New Roman" w:hAnsi="Times New Roman" w:cs="Times New Roman"/>
                <w:color w:val="auto"/>
                <w:sz w:val="21"/>
                <w:szCs w:val="21"/>
                <w:shd w:val="clear" w:color="auto" w:fill="auto"/>
                <w:lang w:eastAsia="zh-CN"/>
              </w:rPr>
              <w:t>2类和4类</w:t>
            </w:r>
            <w:r>
              <w:rPr>
                <w:rFonts w:ascii="Times New Roman" w:hAnsi="Times New Roman" w:cs="Times New Roman"/>
                <w:color w:val="auto"/>
                <w:sz w:val="21"/>
                <w:szCs w:val="21"/>
                <w:shd w:val="clear" w:color="auto" w:fill="auto"/>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6" w:hRule="atLeast"/>
          <w:jc w:val="center"/>
        </w:trPr>
        <w:tc>
          <w:tcPr>
            <w:tcW w:w="10517" w:type="dxa"/>
            <w:gridSpan w:val="5"/>
          </w:tcPr>
          <w:p>
            <w:pPr>
              <w:keepNext w:val="0"/>
              <w:keepLines w:val="0"/>
              <w:pageBreakBefore w:val="0"/>
              <w:widowControl w:val="0"/>
              <w:kinsoku/>
              <w:wordWrap/>
              <w:overflowPunct/>
              <w:topLinePunct w:val="0"/>
              <w:autoSpaceDE/>
              <w:autoSpaceDN/>
              <w:bidi w:val="0"/>
              <w:adjustRightInd/>
              <w:snapToGrid/>
              <w:spacing w:line="288" w:lineRule="auto"/>
              <w:textAlignment w:val="auto"/>
              <w:rPr>
                <w:b/>
                <w:bCs/>
                <w:color w:val="auto"/>
                <w:sz w:val="21"/>
                <w:szCs w:val="21"/>
                <w:shd w:val="clear" w:color="auto" w:fill="auto"/>
              </w:rPr>
            </w:pPr>
            <w:r>
              <w:rPr>
                <w:rFonts w:hAnsi="宋体"/>
                <w:b/>
                <w:bCs/>
                <w:color w:val="auto"/>
                <w:sz w:val="21"/>
                <w:szCs w:val="21"/>
                <w:shd w:val="clear" w:color="auto" w:fill="auto"/>
              </w:rPr>
              <w:t>生态保护措施及预期效果</w:t>
            </w:r>
          </w:p>
          <w:p>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color w:val="auto"/>
                <w:sz w:val="21"/>
                <w:szCs w:val="21"/>
                <w:shd w:val="clear" w:color="auto" w:fill="auto"/>
              </w:rPr>
            </w:pPr>
            <w:r>
              <w:rPr>
                <w:rFonts w:hAnsi="宋体"/>
                <w:color w:val="auto"/>
                <w:sz w:val="21"/>
                <w:szCs w:val="21"/>
                <w:shd w:val="clear" w:color="auto" w:fill="auto"/>
              </w:rPr>
              <w:t>本项目无施工工程及土地开发等方面，不直接对生态环境存在不利影响。项目建设在落实上述措施对各种污染物进行有效的治理，防治厂区内环境的污染，可降低其对周围生态环境的影响，并搞好周围的绿化、美化，以减少对附近区域生态环境的影响。</w:t>
            </w:r>
          </w:p>
        </w:tc>
      </w:tr>
    </w:tbl>
    <w:p>
      <w:pPr>
        <w:pStyle w:val="38"/>
        <w:jc w:val="left"/>
        <w:rPr>
          <w:rFonts w:ascii="Times New Roman" w:hAnsi="Times New Roman"/>
          <w:color w:val="auto"/>
          <w:shd w:val="clear" w:color="auto" w:fill="auto"/>
        </w:rPr>
      </w:pPr>
      <w:r>
        <w:rPr>
          <w:rFonts w:hint="eastAsia" w:ascii="Times New Roman" w:hAnsi="Times New Roman"/>
          <w:color w:val="auto"/>
          <w:shd w:val="clear" w:color="auto" w:fill="auto"/>
        </w:rPr>
        <w:t>结论与建议</w:t>
      </w:r>
    </w:p>
    <w:tbl>
      <w:tblPr>
        <w:tblStyle w:val="40"/>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6" w:hRule="atLeast"/>
        </w:trPr>
        <w:tc>
          <w:tcPr>
            <w:tcW w:w="9571" w:type="dxa"/>
          </w:tcPr>
          <w:p>
            <w:pPr>
              <w:adjustRightInd w:val="0"/>
              <w:snapToGrid w:val="0"/>
              <w:spacing w:line="360" w:lineRule="auto"/>
              <w:ind w:firstLine="431"/>
              <w:rPr>
                <w:b/>
                <w:bCs/>
                <w:color w:val="auto"/>
                <w:sz w:val="24"/>
                <w:shd w:val="clear" w:color="auto" w:fill="auto"/>
              </w:rPr>
            </w:pPr>
            <w:r>
              <w:rPr>
                <w:rFonts w:hint="eastAsia"/>
                <w:b/>
                <w:bCs/>
                <w:color w:val="auto"/>
                <w:sz w:val="24"/>
                <w:shd w:val="clear" w:color="auto" w:fill="auto"/>
              </w:rPr>
              <w:t>一、项目概况</w:t>
            </w:r>
          </w:p>
          <w:p>
            <w:pPr>
              <w:spacing w:line="360" w:lineRule="auto"/>
              <w:ind w:left="-44" w:leftChars="-21" w:firstLine="511" w:firstLineChars="213"/>
              <w:rPr>
                <w:color w:val="auto"/>
                <w:sz w:val="24"/>
                <w:shd w:val="clear" w:color="auto" w:fill="auto"/>
              </w:rPr>
            </w:pPr>
            <w:r>
              <w:rPr>
                <w:rFonts w:hint="eastAsia"/>
                <w:color w:val="auto"/>
                <w:sz w:val="24"/>
                <w:shd w:val="clear" w:color="auto" w:fill="auto"/>
                <w:lang w:eastAsia="zh-CN"/>
              </w:rPr>
              <w:t>开平市朝升卫浴有限公司年产水龙头40万个新建项目</w:t>
            </w:r>
            <w:r>
              <w:rPr>
                <w:color w:val="auto"/>
                <w:sz w:val="24"/>
                <w:shd w:val="clear" w:color="auto" w:fill="auto"/>
              </w:rPr>
              <w:t>位于</w:t>
            </w:r>
            <w:r>
              <w:rPr>
                <w:rFonts w:hint="eastAsia"/>
                <w:bCs/>
                <w:color w:val="auto"/>
                <w:sz w:val="24"/>
                <w:shd w:val="clear" w:color="auto" w:fill="auto"/>
                <w:lang w:eastAsia="zh-CN"/>
              </w:rPr>
              <w:t>开平市水口镇黎村狗山开发区</w:t>
            </w:r>
            <w:r>
              <w:rPr>
                <w:b w:val="0"/>
                <w:bCs/>
                <w:color w:val="auto"/>
                <w:sz w:val="24"/>
                <w:shd w:val="clear" w:color="auto" w:fill="auto"/>
              </w:rPr>
              <w:t>（项目所在地中心卫星坐标：北纬</w:t>
            </w:r>
            <w:r>
              <w:rPr>
                <w:rFonts w:hint="eastAsia"/>
                <w:b w:val="0"/>
                <w:bCs/>
                <w:color w:val="auto"/>
                <w:sz w:val="24"/>
                <w:shd w:val="clear" w:color="auto" w:fill="auto"/>
              </w:rPr>
              <w:t>22.4613</w:t>
            </w:r>
            <w:r>
              <w:rPr>
                <w:rFonts w:hint="eastAsia"/>
                <w:b w:val="0"/>
                <w:bCs/>
                <w:color w:val="auto"/>
                <w:sz w:val="24"/>
                <w:shd w:val="clear" w:color="auto" w:fill="auto"/>
                <w:lang w:val="en-US" w:eastAsia="zh-CN"/>
              </w:rPr>
              <w:t>°</w:t>
            </w:r>
            <w:r>
              <w:rPr>
                <w:b w:val="0"/>
                <w:bCs/>
                <w:color w:val="auto"/>
                <w:sz w:val="24"/>
                <w:shd w:val="clear" w:color="auto" w:fill="auto"/>
              </w:rPr>
              <w:t>，东经</w:t>
            </w:r>
            <w:r>
              <w:rPr>
                <w:rFonts w:hint="eastAsia"/>
                <w:b w:val="0"/>
                <w:bCs/>
                <w:color w:val="auto"/>
                <w:sz w:val="24"/>
                <w:shd w:val="clear" w:color="auto" w:fill="auto"/>
              </w:rPr>
              <w:t>112.7749</w:t>
            </w:r>
            <w:r>
              <w:rPr>
                <w:rFonts w:hint="eastAsia"/>
                <w:b w:val="0"/>
                <w:bCs/>
                <w:color w:val="auto"/>
                <w:sz w:val="24"/>
                <w:shd w:val="clear" w:color="auto" w:fill="auto"/>
                <w:lang w:val="en-US" w:eastAsia="zh-CN"/>
              </w:rPr>
              <w:t>°</w:t>
            </w:r>
            <w:r>
              <w:rPr>
                <w:rFonts w:hint="eastAsia"/>
                <w:b w:val="0"/>
                <w:bCs/>
                <w:color w:val="auto"/>
                <w:sz w:val="24"/>
                <w:shd w:val="clear" w:color="auto" w:fill="auto"/>
              </w:rPr>
              <w:t>）</w:t>
            </w:r>
            <w:r>
              <w:rPr>
                <w:rFonts w:hint="eastAsia"/>
                <w:bCs/>
                <w:color w:val="auto"/>
                <w:sz w:val="24"/>
                <w:shd w:val="clear" w:color="auto" w:fill="auto"/>
              </w:rPr>
              <w:t>。</w:t>
            </w:r>
            <w:r>
              <w:rPr>
                <w:rFonts w:hint="eastAsia"/>
                <w:bCs/>
                <w:color w:val="auto"/>
                <w:sz w:val="24"/>
                <w:shd w:val="clear" w:color="auto" w:fill="auto"/>
                <w:lang w:eastAsia="zh-CN"/>
              </w:rPr>
              <w:t>项目总投资100万元</w:t>
            </w:r>
            <w:r>
              <w:rPr>
                <w:rFonts w:hint="eastAsia"/>
                <w:bCs/>
                <w:color w:val="auto"/>
                <w:sz w:val="24"/>
                <w:shd w:val="clear" w:color="auto" w:fill="auto"/>
              </w:rPr>
              <w:t>，</w:t>
            </w:r>
            <w:r>
              <w:rPr>
                <w:rFonts w:hint="eastAsia"/>
                <w:bCs/>
                <w:color w:val="auto"/>
                <w:sz w:val="24"/>
                <w:shd w:val="clear" w:color="auto" w:fill="auto"/>
                <w:lang w:eastAsia="zh-CN"/>
              </w:rPr>
              <w:t>占地面积6000平方米，建筑面积6470平方米</w:t>
            </w:r>
            <w:r>
              <w:rPr>
                <w:rFonts w:hint="eastAsia"/>
                <w:bCs/>
                <w:color w:val="auto"/>
                <w:sz w:val="24"/>
                <w:shd w:val="clear" w:color="auto" w:fill="auto"/>
              </w:rPr>
              <w:t>，</w:t>
            </w:r>
            <w:r>
              <w:rPr>
                <w:rFonts w:hint="eastAsia"/>
                <w:bCs/>
                <w:color w:val="auto"/>
                <w:sz w:val="24"/>
                <w:shd w:val="clear" w:color="auto" w:fill="auto"/>
                <w:lang w:eastAsia="zh-CN"/>
              </w:rPr>
              <w:t>主要从事水龙头的加工生产，年产量为40万个</w:t>
            </w:r>
            <w:r>
              <w:rPr>
                <w:rFonts w:hint="eastAsia"/>
                <w:color w:val="auto"/>
                <w:sz w:val="24"/>
                <w:shd w:val="clear" w:color="auto" w:fill="auto"/>
              </w:rPr>
              <w:t>。</w:t>
            </w:r>
          </w:p>
          <w:p>
            <w:pPr>
              <w:adjustRightInd w:val="0"/>
              <w:snapToGrid w:val="0"/>
              <w:spacing w:line="360" w:lineRule="auto"/>
              <w:ind w:firstLine="431"/>
              <w:rPr>
                <w:b/>
                <w:bCs/>
                <w:color w:val="auto"/>
                <w:sz w:val="24"/>
                <w:shd w:val="clear" w:color="auto" w:fill="auto"/>
              </w:rPr>
            </w:pPr>
            <w:r>
              <w:rPr>
                <w:b/>
                <w:bCs/>
                <w:color w:val="auto"/>
                <w:sz w:val="24"/>
                <w:shd w:val="clear" w:color="auto" w:fill="auto"/>
              </w:rPr>
              <w:t>二、环境质量现状</w:t>
            </w:r>
          </w:p>
          <w:p>
            <w:pPr>
              <w:widowControl w:val="0"/>
              <w:spacing w:after="0" w:line="360" w:lineRule="auto"/>
              <w:ind w:firstLine="480" w:firstLineChars="200"/>
              <w:jc w:val="left"/>
              <w:rPr>
                <w:rFonts w:hint="eastAsia"/>
                <w:color w:val="auto"/>
                <w:sz w:val="24"/>
                <w:shd w:val="clear" w:color="auto" w:fill="auto"/>
                <w:lang w:val="en-US" w:eastAsia="zh-CN"/>
              </w:rPr>
            </w:pPr>
            <w:r>
              <w:rPr>
                <w:color w:val="auto"/>
                <w:sz w:val="24"/>
                <w:shd w:val="clear" w:color="auto" w:fill="auto"/>
              </w:rPr>
              <w:t>（1）</w:t>
            </w:r>
            <w:r>
              <w:rPr>
                <w:rFonts w:hint="eastAsia" w:ascii="宋体" w:hAnsi="宋体" w:eastAsia="宋体"/>
                <w:color w:val="auto"/>
                <w:sz w:val="24"/>
                <w:highlight w:val="none"/>
              </w:rPr>
              <w:t>该地区</w:t>
            </w:r>
            <w:r>
              <w:rPr>
                <w:rFonts w:hint="eastAsia" w:ascii="TimesNewRomanPSMT" w:hAnsi="TimesNewRomanPSMT" w:eastAsia="TimesNewRomanPSMT"/>
                <w:color w:val="auto"/>
                <w:sz w:val="24"/>
                <w:highlight w:val="none"/>
              </w:rPr>
              <w:t>SO</w:t>
            </w:r>
            <w:r>
              <w:rPr>
                <w:rFonts w:hint="eastAsia" w:ascii="TimesNewRomanPSMT" w:hAnsi="TimesNewRomanPSMT" w:eastAsia="TimesNewRomanPSMT"/>
                <w:color w:val="auto"/>
                <w:sz w:val="16"/>
                <w:highlight w:val="none"/>
              </w:rPr>
              <w:t>2</w:t>
            </w:r>
            <w:r>
              <w:rPr>
                <w:rFonts w:hint="eastAsia" w:ascii="宋体" w:hAnsi="宋体" w:eastAsia="宋体"/>
                <w:color w:val="auto"/>
                <w:sz w:val="24"/>
                <w:highlight w:val="none"/>
              </w:rPr>
              <w:t>、</w:t>
            </w:r>
            <w:r>
              <w:rPr>
                <w:rFonts w:hint="eastAsia" w:ascii="TimesNewRomanPSMT" w:hAnsi="TimesNewRomanPSMT" w:eastAsia="TimesNewRomanPSMT"/>
                <w:color w:val="auto"/>
                <w:sz w:val="24"/>
                <w:highlight w:val="none"/>
              </w:rPr>
              <w:t>NO</w:t>
            </w:r>
            <w:r>
              <w:rPr>
                <w:rFonts w:hint="eastAsia" w:ascii="TimesNewRomanPSMT" w:hAnsi="TimesNewRomanPSMT" w:eastAsia="TimesNewRomanPSMT"/>
                <w:color w:val="auto"/>
                <w:sz w:val="16"/>
                <w:highlight w:val="none"/>
              </w:rPr>
              <w:t>2</w:t>
            </w:r>
            <w:r>
              <w:rPr>
                <w:rFonts w:hint="eastAsia" w:ascii="宋体" w:hAnsi="宋体" w:eastAsia="宋体"/>
                <w:color w:val="auto"/>
                <w:sz w:val="24"/>
                <w:highlight w:val="none"/>
              </w:rPr>
              <w:t>、</w:t>
            </w:r>
            <w:r>
              <w:rPr>
                <w:rFonts w:hint="eastAsia" w:ascii="TimesNewRomanPSMT" w:hAnsi="TimesNewRomanPSMT" w:eastAsia="TimesNewRomanPSMT"/>
                <w:color w:val="auto"/>
                <w:sz w:val="24"/>
                <w:highlight w:val="none"/>
              </w:rPr>
              <w:t>PM</w:t>
            </w:r>
            <w:r>
              <w:rPr>
                <w:rFonts w:hint="eastAsia" w:ascii="TimesNewRomanPSMT" w:hAnsi="TimesNewRomanPSMT" w:eastAsia="TimesNewRomanPSMT"/>
                <w:color w:val="auto"/>
                <w:sz w:val="16"/>
                <w:highlight w:val="none"/>
              </w:rPr>
              <w:t xml:space="preserve">10 </w:t>
            </w:r>
            <w:r>
              <w:rPr>
                <w:rFonts w:hint="eastAsia" w:ascii="宋体" w:hAnsi="宋体" w:eastAsia="宋体"/>
                <w:color w:val="auto"/>
                <w:sz w:val="24"/>
                <w:highlight w:val="none"/>
              </w:rPr>
              <w:t>、</w:t>
            </w:r>
            <w:r>
              <w:rPr>
                <w:rFonts w:hint="eastAsia" w:ascii="TimesNewRomanPSMT" w:hAnsi="TimesNewRomanPSMT" w:eastAsia="TimesNewRomanPSMT"/>
                <w:color w:val="auto"/>
                <w:sz w:val="24"/>
                <w:highlight w:val="none"/>
              </w:rPr>
              <w:t>PM</w:t>
            </w:r>
            <w:r>
              <w:rPr>
                <w:rFonts w:hint="eastAsia" w:ascii="TimesNewRomanPSMT" w:hAnsi="TimesNewRomanPSMT" w:eastAsia="TimesNewRomanPSMT"/>
                <w:color w:val="auto"/>
                <w:sz w:val="16"/>
                <w:highlight w:val="none"/>
              </w:rPr>
              <w:t xml:space="preserve">2.5 </w:t>
            </w:r>
            <w:r>
              <w:rPr>
                <w:rFonts w:hint="eastAsia" w:cs="Times New Roman"/>
                <w:color w:val="auto"/>
                <w:sz w:val="24"/>
                <w:szCs w:val="24"/>
                <w:highlight w:val="none"/>
                <w:lang w:eastAsia="zh-CN"/>
              </w:rPr>
              <w:t>年平均质量浓度</w:t>
            </w:r>
            <w:r>
              <w:rPr>
                <w:rFonts w:hint="eastAsia" w:ascii="宋体" w:hAnsi="宋体"/>
                <w:color w:val="auto"/>
                <w:sz w:val="24"/>
                <w:highlight w:val="none"/>
                <w:lang w:eastAsia="zh-CN"/>
              </w:rPr>
              <w:t>以及</w:t>
            </w:r>
            <w:r>
              <w:rPr>
                <w:rFonts w:hint="eastAsia" w:ascii="TimesNewRomanPSMT" w:hAnsi="TimesNewRomanPSMT" w:eastAsia="TimesNewRomanPSMT"/>
                <w:color w:val="auto"/>
                <w:sz w:val="24"/>
                <w:highlight w:val="none"/>
              </w:rPr>
              <w:t>CO日均值第95百分位数浓度</w:t>
            </w:r>
            <w:r>
              <w:rPr>
                <w:rFonts w:hint="eastAsia" w:ascii="宋体" w:hAnsi="宋体" w:eastAsia="宋体"/>
                <w:color w:val="auto"/>
                <w:sz w:val="24"/>
                <w:highlight w:val="none"/>
              </w:rPr>
              <w:t>均满足《环境空气质量标准》（</w:t>
            </w:r>
            <w:r>
              <w:rPr>
                <w:rFonts w:hint="eastAsia" w:ascii="TimesNewRomanPSMT" w:hAnsi="TimesNewRomanPSMT" w:eastAsia="TimesNewRomanPSMT"/>
                <w:color w:val="auto"/>
                <w:sz w:val="24"/>
                <w:highlight w:val="none"/>
              </w:rPr>
              <w:t>GB3095-2012</w:t>
            </w:r>
            <w:r>
              <w:rPr>
                <w:rFonts w:hint="eastAsia" w:ascii="宋体" w:hAnsi="宋体" w:eastAsia="宋体"/>
                <w:color w:val="auto"/>
                <w:sz w:val="24"/>
                <w:highlight w:val="none"/>
              </w:rPr>
              <w:t>）及</w:t>
            </w:r>
            <w:r>
              <w:rPr>
                <w:rFonts w:hint="eastAsia" w:ascii="TimesNewRomanPSMT" w:hAnsi="TimesNewRomanPSMT" w:eastAsia="TimesNewRomanPSMT"/>
                <w:color w:val="auto"/>
                <w:sz w:val="24"/>
                <w:highlight w:val="none"/>
              </w:rPr>
              <w:t>”2018</w:t>
            </w:r>
            <w:r>
              <w:rPr>
                <w:rFonts w:hint="eastAsia" w:ascii="宋体" w:hAnsi="宋体" w:eastAsia="宋体"/>
                <w:color w:val="auto"/>
                <w:sz w:val="24"/>
                <w:highlight w:val="none"/>
              </w:rPr>
              <w:t>修改单</w:t>
            </w:r>
            <w:r>
              <w:rPr>
                <w:rFonts w:hint="eastAsia" w:ascii="TimesNewRomanPSMT" w:hAnsi="TimesNewRomanPSMT" w:eastAsia="TimesNewRomanPSMT"/>
                <w:color w:val="auto"/>
                <w:sz w:val="24"/>
                <w:highlight w:val="none"/>
              </w:rPr>
              <w:t>”</w:t>
            </w:r>
            <w:r>
              <w:rPr>
                <w:rFonts w:hint="eastAsia" w:ascii="宋体" w:hAnsi="宋体" w:eastAsia="宋体"/>
                <w:color w:val="auto"/>
                <w:sz w:val="24"/>
                <w:highlight w:val="none"/>
              </w:rPr>
              <w:t>二级标准要求，</w:t>
            </w:r>
            <w:r>
              <w:rPr>
                <w:rFonts w:hint="default" w:ascii="Times New Roman" w:hAnsi="Times New Roman" w:cs="Times New Roman"/>
                <w:color w:val="auto"/>
                <w:sz w:val="24"/>
                <w:szCs w:val="24"/>
                <w:highlight w:val="none"/>
              </w:rPr>
              <w:t>O</w:t>
            </w:r>
            <w:r>
              <w:rPr>
                <w:rFonts w:hint="default" w:ascii="Times New Roman" w:hAnsi="Times New Roman" w:cs="Times New Roman"/>
                <w:color w:val="auto"/>
                <w:sz w:val="24"/>
                <w:szCs w:val="24"/>
                <w:highlight w:val="none"/>
                <w:vertAlign w:val="subscript"/>
              </w:rPr>
              <w:t>3</w:t>
            </w:r>
            <w:r>
              <w:rPr>
                <w:rFonts w:hint="eastAsia" w:ascii="宋体" w:hAnsi="宋体" w:eastAsia="宋体"/>
                <w:color w:val="auto"/>
                <w:sz w:val="24"/>
                <w:highlight w:val="none"/>
              </w:rPr>
              <w:t>日最大</w:t>
            </w:r>
            <w:r>
              <w:rPr>
                <w:rFonts w:hint="eastAsia" w:ascii="TimesNewRomanPSMT" w:hAnsi="TimesNewRomanPSMT" w:eastAsia="TimesNewRomanPSMT"/>
                <w:color w:val="auto"/>
                <w:sz w:val="24"/>
                <w:highlight w:val="none"/>
              </w:rPr>
              <w:t>8</w:t>
            </w:r>
            <w:r>
              <w:rPr>
                <w:rFonts w:hint="eastAsia" w:ascii="宋体" w:hAnsi="宋体" w:eastAsia="宋体"/>
                <w:color w:val="auto"/>
                <w:sz w:val="24"/>
                <w:highlight w:val="none"/>
              </w:rPr>
              <w:t>小时平均第</w:t>
            </w:r>
            <w:r>
              <w:rPr>
                <w:rFonts w:hint="eastAsia" w:ascii="TimesNewRomanPSMT" w:hAnsi="TimesNewRomanPSMT" w:eastAsia="TimesNewRomanPSMT"/>
                <w:color w:val="auto"/>
                <w:sz w:val="24"/>
                <w:highlight w:val="none"/>
              </w:rPr>
              <w:t>90</w:t>
            </w:r>
            <w:r>
              <w:rPr>
                <w:rFonts w:hint="eastAsia" w:ascii="宋体" w:hAnsi="宋体" w:eastAsia="宋体"/>
                <w:color w:val="auto"/>
                <w:sz w:val="24"/>
                <w:highlight w:val="none"/>
              </w:rPr>
              <w:t>百分位数不能满足《环境空气质量标准》（</w:t>
            </w:r>
            <w:r>
              <w:rPr>
                <w:rFonts w:hint="eastAsia" w:ascii="TimesNewRomanPSMT" w:hAnsi="TimesNewRomanPSMT" w:eastAsia="TimesNewRomanPSMT"/>
                <w:color w:val="auto"/>
                <w:sz w:val="24"/>
                <w:highlight w:val="none"/>
              </w:rPr>
              <w:t>GB3095-2012</w:t>
            </w:r>
            <w:r>
              <w:rPr>
                <w:rFonts w:hint="eastAsia" w:ascii="宋体" w:hAnsi="宋体" w:eastAsia="宋体"/>
                <w:color w:val="auto"/>
                <w:sz w:val="24"/>
                <w:highlight w:val="none"/>
              </w:rPr>
              <w:t>）及</w:t>
            </w:r>
            <w:r>
              <w:rPr>
                <w:rFonts w:hint="eastAsia" w:ascii="TimesNewRomanPSMT" w:hAnsi="TimesNewRomanPSMT" w:eastAsia="TimesNewRomanPSMT"/>
                <w:color w:val="auto"/>
                <w:sz w:val="24"/>
                <w:highlight w:val="none"/>
              </w:rPr>
              <w:t>”2018</w:t>
            </w:r>
            <w:r>
              <w:rPr>
                <w:rFonts w:hint="eastAsia" w:ascii="宋体" w:hAnsi="宋体" w:eastAsia="宋体"/>
                <w:color w:val="auto"/>
                <w:sz w:val="24"/>
                <w:highlight w:val="none"/>
              </w:rPr>
              <w:t>修改单</w:t>
            </w:r>
            <w:r>
              <w:rPr>
                <w:rFonts w:hint="eastAsia" w:ascii="TimesNewRomanPSMT" w:hAnsi="TimesNewRomanPSMT" w:eastAsia="TimesNewRomanPSMT"/>
                <w:color w:val="auto"/>
                <w:sz w:val="24"/>
                <w:highlight w:val="none"/>
              </w:rPr>
              <w:t>”</w:t>
            </w:r>
            <w:r>
              <w:rPr>
                <w:rFonts w:hint="eastAsia" w:ascii="宋体" w:hAnsi="宋体" w:eastAsia="宋体"/>
                <w:color w:val="auto"/>
                <w:sz w:val="24"/>
                <w:highlight w:val="none"/>
              </w:rPr>
              <w:t>二级标准要求，</w:t>
            </w:r>
            <w:r>
              <w:rPr>
                <w:rFonts w:hint="eastAsia" w:ascii="宋体" w:hAnsi="宋体" w:eastAsia="宋体"/>
                <w:b w:val="0"/>
                <w:bCs/>
                <w:color w:val="auto"/>
                <w:sz w:val="24"/>
                <w:highlight w:val="none"/>
              </w:rPr>
              <w:t>故该区域为环境空气质量不达标区域。</w:t>
            </w:r>
            <w:r>
              <w:rPr>
                <w:rFonts w:hint="default" w:ascii="Times New Roman" w:hAnsi="Times New Roman" w:eastAsia="宋体" w:cs="Times New Roman"/>
                <w:color w:val="auto"/>
                <w:kern w:val="2"/>
                <w:sz w:val="24"/>
                <w:szCs w:val="24"/>
                <w:highlight w:val="none"/>
              </w:rPr>
              <w:t>项目所在地TVOC</w:t>
            </w:r>
            <w:r>
              <w:rPr>
                <w:rFonts w:hint="eastAsia" w:cs="Times New Roman"/>
                <w:color w:val="auto"/>
                <w:kern w:val="2"/>
                <w:sz w:val="24"/>
                <w:szCs w:val="24"/>
                <w:highlight w:val="none"/>
                <w:lang w:eastAsia="zh-CN"/>
              </w:rPr>
              <w:t>满足</w:t>
            </w:r>
            <w:r>
              <w:rPr>
                <w:rFonts w:hint="default" w:ascii="Times New Roman" w:hAnsi="Times New Roman" w:eastAsia="宋体" w:cs="Times New Roman"/>
                <w:color w:val="auto"/>
                <w:kern w:val="2"/>
                <w:sz w:val="24"/>
                <w:szCs w:val="24"/>
                <w:highlight w:val="none"/>
              </w:rPr>
              <w:t>《环境影响评价技术导则—大气环境》（HJ2.2-2018）附录D</w:t>
            </w:r>
            <w:r>
              <w:rPr>
                <w:rFonts w:hint="eastAsia" w:cs="Times New Roman"/>
                <w:color w:val="auto"/>
                <w:kern w:val="2"/>
                <w:sz w:val="24"/>
                <w:szCs w:val="24"/>
                <w:highlight w:val="none"/>
                <w:lang w:eastAsia="zh-CN"/>
              </w:rPr>
              <w:t>标准</w:t>
            </w:r>
            <w:r>
              <w:rPr>
                <w:rFonts w:hint="default" w:ascii="Times New Roman" w:hAnsi="Times New Roman" w:eastAsia="宋体" w:cs="Times New Roman"/>
                <w:color w:val="auto"/>
                <w:kern w:val="2"/>
                <w:sz w:val="24"/>
                <w:szCs w:val="24"/>
                <w:highlight w:val="none"/>
              </w:rPr>
              <w:t>值</w:t>
            </w:r>
            <w:r>
              <w:rPr>
                <w:rFonts w:hint="eastAsia" w:cs="Times New Roman"/>
                <w:color w:val="auto"/>
                <w:kern w:val="2"/>
                <w:sz w:val="24"/>
                <w:szCs w:val="24"/>
                <w:highlight w:val="none"/>
                <w:lang w:eastAsia="zh-CN"/>
              </w:rPr>
              <w:t>，</w:t>
            </w:r>
            <w:r>
              <w:rPr>
                <w:rFonts w:hint="eastAsia" w:ascii="Times New Roman" w:hAnsi="Times New Roman" w:eastAsia="宋体" w:cs="Times New Roman"/>
                <w:color w:val="auto"/>
                <w:kern w:val="2"/>
                <w:sz w:val="24"/>
                <w:szCs w:val="24"/>
                <w:highlight w:val="none"/>
                <w:lang w:val="en-US" w:eastAsia="zh-CN"/>
              </w:rPr>
              <w:t>TSP</w:t>
            </w:r>
            <w:r>
              <w:rPr>
                <w:rFonts w:hint="default" w:ascii="Times New Roman" w:hAnsi="Times New Roman" w:cs="Times New Roman" w:eastAsiaTheme="minorEastAsia"/>
                <w:b w:val="0"/>
                <w:bCs/>
                <w:color w:val="auto"/>
                <w:kern w:val="24"/>
                <w:sz w:val="24"/>
                <w:szCs w:val="20"/>
                <w:highlight w:val="none"/>
                <w:lang w:val="en-US" w:eastAsia="zh-CN" w:bidi="ar-SA"/>
              </w:rPr>
              <w:t>满足</w:t>
            </w:r>
            <w:r>
              <w:rPr>
                <w:rFonts w:hint="eastAsia" w:cs="Times New Roman" w:eastAsiaTheme="minorEastAsia"/>
                <w:b w:val="0"/>
                <w:bCs/>
                <w:color w:val="auto"/>
                <w:kern w:val="24"/>
                <w:sz w:val="24"/>
                <w:szCs w:val="20"/>
                <w:highlight w:val="none"/>
                <w:lang w:val="en-US" w:eastAsia="zh-CN" w:bidi="ar-SA"/>
              </w:rPr>
              <w:t>《环境空气质量标准》（GB3095-2012）及”2018修改单”二级标准要求</w:t>
            </w:r>
            <w:r>
              <w:rPr>
                <w:rFonts w:hint="default" w:ascii="Times New Roman" w:hAnsi="Times New Roman" w:eastAsia="宋体" w:cs="Times New Roman"/>
                <w:color w:val="auto"/>
                <w:kern w:val="2"/>
                <w:sz w:val="24"/>
                <w:szCs w:val="24"/>
                <w:highlight w:val="none"/>
              </w:rPr>
              <w:t>。</w:t>
            </w:r>
          </w:p>
          <w:p>
            <w:pPr>
              <w:pStyle w:val="3"/>
              <w:spacing w:before="0" w:after="0" w:line="360" w:lineRule="auto"/>
              <w:ind w:firstLine="470" w:firstLineChars="196"/>
              <w:rPr>
                <w:rFonts w:hint="eastAsia" w:ascii="Times New Roman" w:hAnsi="Times New Roman" w:eastAsia="宋体"/>
                <w:b w:val="0"/>
                <w:bCs/>
                <w:color w:val="auto"/>
                <w:szCs w:val="24"/>
                <w:shd w:val="clear" w:color="auto" w:fill="auto"/>
                <w:lang w:eastAsia="zh-CN"/>
              </w:rPr>
            </w:pPr>
            <w:r>
              <w:rPr>
                <w:rFonts w:hint="default" w:ascii="Times New Roman" w:hAnsi="Times New Roman" w:cs="Times New Roman" w:eastAsiaTheme="minorEastAsia"/>
                <w:b w:val="0"/>
                <w:bCs/>
                <w:color w:val="auto"/>
                <w:sz w:val="24"/>
                <w:shd w:val="clear" w:color="auto" w:fill="auto"/>
              </w:rPr>
              <w:t>（2）</w:t>
            </w:r>
            <w:r>
              <w:rPr>
                <w:rFonts w:ascii="Times New Roman" w:hAnsi="Times New Roman" w:eastAsia="宋体"/>
                <w:b w:val="0"/>
                <w:bCs/>
                <w:color w:val="auto"/>
                <w:szCs w:val="24"/>
                <w:shd w:val="clear" w:color="auto" w:fill="auto"/>
              </w:rPr>
              <w:t>根据江门市生态环境局发布的《2018年11月江门市江河水水质月报》，潭江干流牛湾（退潮）断面地表水水质未能达到《地表水环境质量标准》（GB3838-2002）中的</w:t>
            </w:r>
            <w:r>
              <w:rPr>
                <w:rFonts w:hint="eastAsia" w:ascii="Times New Roman" w:hAnsi="Times New Roman" w:eastAsia="宋体"/>
                <w:b w:val="0"/>
                <w:bCs/>
                <w:color w:val="auto"/>
                <w:szCs w:val="24"/>
                <w:shd w:val="clear" w:color="auto" w:fill="auto"/>
                <w:lang w:eastAsia="zh-CN"/>
              </w:rPr>
              <w:t>Ⅲ</w:t>
            </w:r>
            <w:r>
              <w:rPr>
                <w:rFonts w:ascii="Times New Roman" w:hAnsi="Times New Roman" w:eastAsia="宋体"/>
                <w:b w:val="0"/>
                <w:bCs/>
                <w:color w:val="auto"/>
                <w:szCs w:val="24"/>
                <w:shd w:val="clear" w:color="auto" w:fill="auto"/>
              </w:rPr>
              <w:t>类标准，主要超标项目为溶解氧，该断面位于污水处理厂下游约6.2km处，说明本项目附近地表水环境质量一般</w:t>
            </w:r>
            <w:r>
              <w:rPr>
                <w:rFonts w:hint="eastAsia" w:ascii="Times New Roman" w:hAnsi="Times New Roman" w:eastAsia="宋体"/>
                <w:b w:val="0"/>
                <w:bCs/>
                <w:color w:val="auto"/>
                <w:szCs w:val="24"/>
                <w:shd w:val="clear" w:color="auto" w:fill="auto"/>
                <w:lang w:eastAsia="zh-CN"/>
              </w:rPr>
              <w:t>。</w:t>
            </w:r>
          </w:p>
          <w:p>
            <w:pPr>
              <w:adjustRightInd w:val="0"/>
              <w:snapToGrid w:val="0"/>
              <w:spacing w:line="360" w:lineRule="auto"/>
              <w:ind w:firstLine="480" w:firstLineChars="200"/>
              <w:rPr>
                <w:color w:val="auto"/>
                <w:sz w:val="24"/>
                <w:shd w:val="clear" w:color="auto" w:fill="auto"/>
              </w:rPr>
            </w:pPr>
            <w:r>
              <w:rPr>
                <w:color w:val="auto"/>
                <w:sz w:val="24"/>
                <w:shd w:val="clear" w:color="auto" w:fill="auto"/>
              </w:rPr>
              <w:t>（3）从监测结果可以看出，项目所在地</w:t>
            </w:r>
            <w:r>
              <w:rPr>
                <w:rFonts w:hint="eastAsia"/>
                <w:color w:val="auto"/>
                <w:sz w:val="24"/>
                <w:shd w:val="clear" w:color="auto" w:fill="auto"/>
              </w:rPr>
              <w:t>各</w:t>
            </w:r>
            <w:r>
              <w:rPr>
                <w:color w:val="auto"/>
                <w:sz w:val="24"/>
                <w:shd w:val="clear" w:color="auto" w:fill="auto"/>
              </w:rPr>
              <w:t>监测点噪声值</w:t>
            </w:r>
            <w:r>
              <w:rPr>
                <w:rFonts w:hint="eastAsia"/>
                <w:color w:val="auto"/>
                <w:sz w:val="24"/>
                <w:shd w:val="clear" w:color="auto" w:fill="auto"/>
              </w:rPr>
              <w:t>均达到</w:t>
            </w:r>
            <w:r>
              <w:rPr>
                <w:color w:val="auto"/>
                <w:sz w:val="24"/>
                <w:shd w:val="clear" w:color="auto" w:fill="auto"/>
              </w:rPr>
              <w:t>《声环境质量标准》(GB3096—2008)</w:t>
            </w:r>
            <w:r>
              <w:rPr>
                <w:rFonts w:hint="eastAsia"/>
                <w:color w:val="auto"/>
                <w:sz w:val="24"/>
                <w:shd w:val="clear" w:color="auto" w:fill="auto"/>
                <w:lang w:eastAsia="zh-CN"/>
              </w:rPr>
              <w:t>2类</w:t>
            </w:r>
            <w:r>
              <w:rPr>
                <w:color w:val="auto"/>
                <w:sz w:val="24"/>
              </w:rPr>
              <w:t>和4a类</w:t>
            </w:r>
            <w:r>
              <w:rPr>
                <w:color w:val="auto"/>
                <w:sz w:val="24"/>
                <w:shd w:val="clear" w:color="auto" w:fill="auto"/>
              </w:rPr>
              <w:t>标准。结果表明项目所在地声环境质量</w:t>
            </w:r>
            <w:r>
              <w:rPr>
                <w:rFonts w:hint="eastAsia"/>
                <w:color w:val="auto"/>
                <w:sz w:val="24"/>
                <w:shd w:val="clear" w:color="auto" w:fill="auto"/>
              </w:rPr>
              <w:t>较好</w:t>
            </w:r>
            <w:r>
              <w:rPr>
                <w:color w:val="auto"/>
                <w:sz w:val="24"/>
                <w:shd w:val="clear" w:color="auto" w:fill="auto"/>
              </w:rPr>
              <w:t>。</w:t>
            </w:r>
          </w:p>
          <w:p>
            <w:pPr>
              <w:adjustRightInd w:val="0"/>
              <w:snapToGrid w:val="0"/>
              <w:spacing w:line="360" w:lineRule="auto"/>
              <w:ind w:firstLine="354" w:firstLineChars="147"/>
              <w:rPr>
                <w:b/>
                <w:bCs/>
                <w:color w:val="auto"/>
                <w:sz w:val="24"/>
                <w:shd w:val="clear" w:color="auto" w:fill="auto"/>
              </w:rPr>
            </w:pPr>
            <w:r>
              <w:rPr>
                <w:rFonts w:hint="eastAsia"/>
                <w:b/>
                <w:bCs/>
                <w:color w:val="auto"/>
                <w:sz w:val="24"/>
                <w:shd w:val="clear" w:color="auto" w:fill="auto"/>
              </w:rPr>
              <w:t>三、环境影响评价结论</w:t>
            </w:r>
          </w:p>
          <w:p>
            <w:pPr>
              <w:spacing w:line="360" w:lineRule="auto"/>
              <w:ind w:firstLine="480"/>
              <w:rPr>
                <w:b/>
                <w:bCs/>
                <w:color w:val="auto"/>
                <w:sz w:val="24"/>
                <w:shd w:val="clear" w:color="auto" w:fill="auto"/>
              </w:rPr>
            </w:pPr>
            <w:r>
              <w:rPr>
                <w:b/>
                <w:bCs/>
                <w:color w:val="auto"/>
                <w:sz w:val="24"/>
                <w:shd w:val="clear" w:color="auto" w:fill="auto"/>
              </w:rPr>
              <w:t>1、环境空气影响评价结论</w:t>
            </w:r>
          </w:p>
          <w:p>
            <w:pPr>
              <w:spacing w:line="360" w:lineRule="auto"/>
              <w:ind w:firstLine="482" w:firstLineChars="200"/>
              <w:rPr>
                <w:rFonts w:hint="eastAsia"/>
                <w:b w:val="0"/>
                <w:bCs w:val="0"/>
                <w:color w:val="auto"/>
                <w:sz w:val="24"/>
                <w:szCs w:val="24"/>
                <w:vertAlign w:val="baseline"/>
                <w:lang w:eastAsia="zh-CN"/>
              </w:rPr>
            </w:pPr>
            <w:r>
              <w:rPr>
                <w:rFonts w:hint="eastAsia"/>
                <w:b/>
                <w:bCs/>
                <w:color w:val="auto"/>
                <w:sz w:val="24"/>
                <w:szCs w:val="24"/>
                <w:vertAlign w:val="baseline"/>
                <w:lang w:val="en-US" w:eastAsia="zh-CN"/>
              </w:rPr>
              <w:t>熔化、铸造工序：</w:t>
            </w:r>
            <w:r>
              <w:rPr>
                <w:rFonts w:hint="eastAsia" w:ascii="Times New Roman" w:eastAsia="宋体"/>
                <w:bCs/>
                <w:color w:val="auto"/>
                <w:sz w:val="24"/>
                <w:lang w:val="en-US" w:eastAsia="zh-CN"/>
              </w:rPr>
              <w:t>项目</w:t>
            </w:r>
            <w:r>
              <w:rPr>
                <w:rFonts w:hint="eastAsia"/>
                <w:b w:val="0"/>
                <w:bCs w:val="0"/>
                <w:color w:val="auto"/>
                <w:sz w:val="24"/>
                <w:szCs w:val="24"/>
                <w:vertAlign w:val="baseline"/>
                <w:lang w:eastAsia="zh-CN"/>
              </w:rPr>
              <w:t>熔化、铸造</w:t>
            </w:r>
            <w:r>
              <w:rPr>
                <w:rFonts w:hint="eastAsia"/>
                <w:b w:val="0"/>
                <w:bCs w:val="0"/>
                <w:color w:val="auto"/>
                <w:sz w:val="24"/>
                <w:szCs w:val="24"/>
                <w:vertAlign w:val="baseline"/>
                <w:lang w:val="en-US" w:eastAsia="zh-CN"/>
              </w:rPr>
              <w:t>工序</w:t>
            </w:r>
            <w:r>
              <w:rPr>
                <w:rFonts w:hint="eastAsia"/>
                <w:b w:val="0"/>
                <w:bCs w:val="0"/>
                <w:color w:val="auto"/>
                <w:sz w:val="24"/>
                <w:szCs w:val="24"/>
                <w:vertAlign w:val="baseline"/>
                <w:lang w:eastAsia="zh-CN"/>
              </w:rPr>
              <w:t>产生的烟尘约</w:t>
            </w:r>
            <w:r>
              <w:rPr>
                <w:rFonts w:hint="eastAsia"/>
                <w:b w:val="0"/>
                <w:bCs w:val="0"/>
                <w:color w:val="auto"/>
                <w:sz w:val="24"/>
                <w:szCs w:val="24"/>
                <w:vertAlign w:val="baseline"/>
                <w:lang w:val="en-US" w:eastAsia="zh-CN"/>
              </w:rPr>
              <w:t>为0.1</w:t>
            </w:r>
            <w:r>
              <w:rPr>
                <w:rFonts w:hint="eastAsia"/>
                <w:b w:val="0"/>
                <w:bCs w:val="0"/>
                <w:color w:val="auto"/>
                <w:sz w:val="24"/>
                <w:szCs w:val="24"/>
                <w:vertAlign w:val="baseline"/>
                <w:lang w:eastAsia="zh-CN"/>
              </w:rPr>
              <w:t>t/a。</w:t>
            </w:r>
          </w:p>
          <w:p>
            <w:pPr>
              <w:spacing w:line="360" w:lineRule="auto"/>
              <w:ind w:firstLine="482" w:firstLineChars="200"/>
              <w:rPr>
                <w:rFonts w:hint="eastAsia"/>
                <w:b w:val="0"/>
                <w:bCs/>
                <w:color w:val="auto"/>
                <w:sz w:val="24"/>
                <w:szCs w:val="24"/>
                <w:vertAlign w:val="baseline"/>
                <w:lang w:eastAsia="zh-CN"/>
              </w:rPr>
            </w:pPr>
            <w:r>
              <w:rPr>
                <w:rFonts w:hint="eastAsia"/>
                <w:b/>
                <w:color w:val="auto"/>
                <w:sz w:val="24"/>
                <w:szCs w:val="23"/>
                <w:shd w:val="clear" w:color="auto" w:fill="auto"/>
              </w:rPr>
              <w:t>制芯</w:t>
            </w:r>
            <w:r>
              <w:rPr>
                <w:rFonts w:hint="eastAsia"/>
                <w:b/>
                <w:color w:val="auto"/>
                <w:sz w:val="24"/>
                <w:szCs w:val="23"/>
                <w:shd w:val="clear" w:color="auto" w:fill="auto"/>
                <w:lang w:eastAsia="zh-CN"/>
              </w:rPr>
              <w:t>、铸造</w:t>
            </w:r>
            <w:r>
              <w:rPr>
                <w:rFonts w:hint="eastAsia"/>
                <w:b/>
                <w:color w:val="auto"/>
                <w:sz w:val="24"/>
                <w:szCs w:val="23"/>
                <w:shd w:val="clear" w:color="auto" w:fill="auto"/>
              </w:rPr>
              <w:t>工序：</w:t>
            </w:r>
            <w:r>
              <w:rPr>
                <w:rFonts w:hint="eastAsia"/>
                <w:b w:val="0"/>
                <w:bCs w:val="0"/>
                <w:color w:val="auto"/>
                <w:sz w:val="24"/>
                <w:szCs w:val="24"/>
                <w:shd w:val="clear" w:color="auto" w:fill="auto"/>
                <w:vertAlign w:val="baseline"/>
                <w:lang w:eastAsia="zh-CN"/>
              </w:rPr>
              <w:t>项目制芯、铸造工序使用呋喃树脂过程中会产生臭气和有机废气，</w:t>
            </w:r>
            <w:r>
              <w:rPr>
                <w:rFonts w:hint="eastAsia" w:hAnsi="宋体"/>
                <w:color w:val="auto"/>
                <w:sz w:val="24"/>
              </w:rPr>
              <w:t>臭气浓度较低，通过水喷淋</w:t>
            </w:r>
            <w:r>
              <w:rPr>
                <w:rFonts w:hint="eastAsia" w:hAnsi="宋体"/>
                <w:color w:val="auto"/>
                <w:sz w:val="24"/>
                <w:lang w:val="en-US" w:eastAsia="zh-CN"/>
              </w:rPr>
              <w:t>+UV光解装置</w:t>
            </w:r>
            <w:r>
              <w:rPr>
                <w:rFonts w:hint="eastAsia" w:hAnsi="宋体"/>
                <w:color w:val="auto"/>
                <w:sz w:val="24"/>
              </w:rPr>
              <w:t>处理，降低恶臭浓度，同时</w:t>
            </w:r>
            <w:r>
              <w:rPr>
                <w:rFonts w:hint="eastAsia"/>
                <w:color w:val="auto"/>
                <w:sz w:val="24"/>
              </w:rPr>
              <w:t>加强车间机械通风措施</w:t>
            </w:r>
            <w:r>
              <w:rPr>
                <w:rFonts w:hint="eastAsia"/>
                <w:color w:val="auto"/>
                <w:sz w:val="24"/>
                <w:lang w:eastAsia="zh-CN"/>
              </w:rPr>
              <w:t>，</w:t>
            </w:r>
            <w:r>
              <w:rPr>
                <w:rFonts w:hint="eastAsia" w:hAnsi="宋体"/>
                <w:color w:val="auto"/>
                <w:sz w:val="24"/>
                <w:lang w:val="en-US" w:eastAsia="zh-CN"/>
              </w:rPr>
              <w:t>臭气排放满足《</w:t>
            </w:r>
            <w:r>
              <w:rPr>
                <w:rFonts w:hint="eastAsia" w:hAnsi="宋体"/>
                <w:color w:val="auto"/>
                <w:sz w:val="24"/>
              </w:rPr>
              <w:t>恶臭污染物排放标准</w:t>
            </w:r>
            <w:r>
              <w:rPr>
                <w:rFonts w:hint="eastAsia" w:hAnsi="宋体"/>
                <w:color w:val="auto"/>
                <w:sz w:val="24"/>
                <w:lang w:val="en-US" w:eastAsia="zh-CN"/>
              </w:rPr>
              <w:t>》（GB 14554—93）表1恶臭污染物厂界标准值二级新扩改建臭气浓度</w:t>
            </w:r>
            <w:r>
              <w:rPr>
                <w:rFonts w:hint="eastAsia"/>
                <w:color w:val="auto"/>
                <w:kern w:val="0"/>
                <w:sz w:val="24"/>
                <w:lang w:eastAsia="zh-CN"/>
              </w:rPr>
              <w:t>和表</w:t>
            </w:r>
            <w:r>
              <w:rPr>
                <w:rFonts w:hint="eastAsia"/>
                <w:color w:val="auto"/>
                <w:kern w:val="0"/>
                <w:sz w:val="24"/>
                <w:lang w:val="en-US" w:eastAsia="zh-CN"/>
              </w:rPr>
              <w:t>2恶臭污染物排放标准值</w:t>
            </w:r>
            <w:r>
              <w:rPr>
                <w:rFonts w:hint="eastAsia" w:hAnsi="宋体"/>
                <w:color w:val="auto"/>
                <w:sz w:val="24"/>
                <w:lang w:val="en-US" w:eastAsia="zh-CN"/>
              </w:rPr>
              <w:t>；</w:t>
            </w:r>
            <w:r>
              <w:rPr>
                <w:rFonts w:hint="eastAsia" w:hAnsi="宋体"/>
                <w:color w:val="auto"/>
                <w:sz w:val="24"/>
              </w:rPr>
              <w:t>有机废气</w:t>
            </w:r>
            <w:r>
              <w:rPr>
                <w:rFonts w:hint="eastAsia" w:hAnsi="宋体"/>
                <w:color w:val="auto"/>
                <w:sz w:val="24"/>
                <w:shd w:val="clear" w:color="auto" w:fill="auto"/>
              </w:rPr>
              <w:t>主要成分为</w:t>
            </w:r>
            <w:r>
              <w:rPr>
                <w:rFonts w:hint="eastAsia" w:cs="Times New Roman"/>
                <w:color w:val="auto"/>
                <w:sz w:val="24"/>
                <w:szCs w:val="24"/>
                <w:lang w:val="en-US" w:eastAsia="zh-CN"/>
              </w:rPr>
              <w:t>非甲烷总烃</w:t>
            </w:r>
            <w:r>
              <w:rPr>
                <w:rFonts w:hint="eastAsia"/>
                <w:b w:val="0"/>
                <w:bCs w:val="0"/>
                <w:color w:val="auto"/>
                <w:sz w:val="24"/>
                <w:szCs w:val="24"/>
                <w:shd w:val="clear" w:color="auto" w:fill="auto"/>
                <w:vertAlign w:val="baseline"/>
                <w:lang w:eastAsia="zh-CN"/>
              </w:rPr>
              <w:t>，</w:t>
            </w:r>
            <w:r>
              <w:rPr>
                <w:rFonts w:hint="eastAsia"/>
                <w:b w:val="0"/>
                <w:bCs w:val="0"/>
                <w:color w:val="auto"/>
                <w:sz w:val="24"/>
                <w:szCs w:val="24"/>
                <w:shd w:val="clear" w:color="auto" w:fill="auto"/>
                <w:vertAlign w:val="baseline"/>
                <w:lang w:val="en-US" w:eastAsia="zh-CN"/>
              </w:rPr>
              <w:t>产生量约为0.012t/a。</w:t>
            </w:r>
          </w:p>
          <w:p>
            <w:pPr>
              <w:spacing w:line="360" w:lineRule="auto"/>
              <w:ind w:firstLine="480" w:firstLineChars="200"/>
              <w:rPr>
                <w:rFonts w:hint="eastAsia"/>
                <w:color w:val="auto"/>
                <w:sz w:val="24"/>
              </w:rPr>
            </w:pPr>
            <w:r>
              <w:rPr>
                <w:rFonts w:hint="eastAsia" w:eastAsia="宋体"/>
                <w:bCs/>
                <w:color w:val="auto"/>
                <w:sz w:val="24"/>
                <w:lang w:eastAsia="zh-CN"/>
              </w:rPr>
              <w:t>建设单位拟</w:t>
            </w:r>
            <w:r>
              <w:rPr>
                <w:rFonts w:hint="eastAsia" w:hAnsi="宋体"/>
                <w:color w:val="auto"/>
                <w:sz w:val="24"/>
                <w:shd w:val="clear" w:color="auto" w:fill="auto"/>
                <w:lang w:eastAsia="zh-CN"/>
              </w:rPr>
              <w:t>安装集气和抽风装置将</w:t>
            </w:r>
            <w:r>
              <w:rPr>
                <w:rFonts w:hint="eastAsia"/>
                <w:b w:val="0"/>
                <w:bCs w:val="0"/>
                <w:color w:val="auto"/>
                <w:sz w:val="24"/>
                <w:szCs w:val="24"/>
                <w:vertAlign w:val="baseline"/>
                <w:lang w:eastAsia="zh-CN"/>
              </w:rPr>
              <w:t>熔化、铸造、</w:t>
            </w:r>
            <w:r>
              <w:rPr>
                <w:rFonts w:hint="eastAsia"/>
                <w:b w:val="0"/>
                <w:bCs w:val="0"/>
                <w:color w:val="auto"/>
                <w:sz w:val="24"/>
                <w:szCs w:val="24"/>
                <w:shd w:val="clear" w:color="auto" w:fill="auto"/>
                <w:vertAlign w:val="baseline"/>
                <w:lang w:val="en-US" w:eastAsia="zh-CN"/>
              </w:rPr>
              <w:t>制芯</w:t>
            </w:r>
            <w:r>
              <w:rPr>
                <w:rFonts w:hint="eastAsia"/>
                <w:b w:val="0"/>
                <w:bCs w:val="0"/>
                <w:color w:val="auto"/>
                <w:sz w:val="24"/>
                <w:szCs w:val="24"/>
                <w:vertAlign w:val="baseline"/>
                <w:lang w:val="en-US" w:eastAsia="zh-CN"/>
              </w:rPr>
              <w:t>工序废气</w:t>
            </w:r>
            <w:r>
              <w:rPr>
                <w:rFonts w:hint="eastAsia" w:hAnsi="宋体"/>
                <w:color w:val="auto"/>
                <w:sz w:val="24"/>
                <w:shd w:val="clear" w:color="auto" w:fill="auto"/>
                <w:lang w:eastAsia="zh-CN"/>
              </w:rPr>
              <w:t>统一收集至水喷淋+UV光解装置处理后经15m排气筒高空排放。</w:t>
            </w:r>
            <w:r>
              <w:rPr>
                <w:rFonts w:hint="eastAsia"/>
                <w:bCs/>
                <w:color w:val="auto"/>
                <w:sz w:val="24"/>
                <w:lang w:eastAsia="zh-CN"/>
              </w:rPr>
              <w:t>烟尘</w:t>
            </w:r>
            <w:r>
              <w:rPr>
                <w:rFonts w:hint="eastAsia" w:hAnsi="宋体"/>
                <w:color w:val="auto"/>
                <w:sz w:val="24"/>
              </w:rPr>
              <w:t>可以达到《工业炉窑大气污染物排放标准》（GB9078-1996）表2“金属熔化炉”二级标准</w:t>
            </w:r>
            <w:r>
              <w:rPr>
                <w:rFonts w:hint="eastAsia" w:hAnsi="宋体"/>
                <w:color w:val="auto"/>
                <w:sz w:val="24"/>
                <w:lang w:eastAsia="zh-CN"/>
              </w:rPr>
              <w:t>和广东省地方标准《大气污染物排放限值》（DB44/27－2001）无组织排放监控浓度限值</w:t>
            </w:r>
            <w:r>
              <w:rPr>
                <w:rFonts w:hint="eastAsia" w:ascii="宋体" w:hAnsi="宋体" w:cs="宋体"/>
                <w:color w:val="auto"/>
                <w:sz w:val="24"/>
                <w:szCs w:val="24"/>
                <w:lang w:eastAsia="zh-CN"/>
              </w:rPr>
              <w:t>。非甲烷总烃</w:t>
            </w:r>
            <w:r>
              <w:rPr>
                <w:rFonts w:hint="eastAsia" w:eastAsia="宋体"/>
                <w:color w:val="auto"/>
                <w:kern w:val="0"/>
                <w:sz w:val="24"/>
                <w:lang w:eastAsia="zh-CN"/>
              </w:rPr>
              <w:t>可以</w:t>
            </w:r>
            <w:r>
              <w:rPr>
                <w:rFonts w:hint="eastAsia" w:ascii="Times New Roman" w:eastAsia="宋体"/>
                <w:color w:val="auto"/>
                <w:sz w:val="24"/>
                <w:lang w:val="en-US" w:eastAsia="zh-CN"/>
              </w:rPr>
              <w:t>达到</w:t>
            </w:r>
            <w:r>
              <w:rPr>
                <w:rFonts w:hint="eastAsia"/>
                <w:b w:val="0"/>
                <w:bCs w:val="0"/>
                <w:color w:val="auto"/>
                <w:sz w:val="24"/>
                <w:szCs w:val="24"/>
                <w:lang w:val="en-US" w:eastAsia="zh-CN"/>
              </w:rPr>
              <w:t>广东省地方标准《大气污染物排放限值》（DB44/27-2001）中第二时段二级标准和第二时段无组织排放监控浓度限值</w:t>
            </w:r>
            <w:r>
              <w:rPr>
                <w:rFonts w:hint="eastAsia" w:ascii="Times New Roman" w:hAnsi="Times New Roman" w:cs="Times New Roman"/>
                <w:color w:val="auto"/>
                <w:sz w:val="24"/>
                <w:highlight w:val="none"/>
                <w:u w:val="none"/>
                <w:lang w:val="en-US" w:eastAsia="zh-CN"/>
              </w:rPr>
              <w:t>要求，</w:t>
            </w:r>
            <w:r>
              <w:rPr>
                <w:rFonts w:hint="eastAsia"/>
                <w:color w:val="auto"/>
                <w:sz w:val="24"/>
              </w:rPr>
              <w:t>对周围环境影响较小。</w:t>
            </w:r>
          </w:p>
          <w:p>
            <w:pPr>
              <w:spacing w:line="360" w:lineRule="auto"/>
              <w:ind w:firstLine="482" w:firstLineChars="200"/>
              <w:rPr>
                <w:rFonts w:hint="default"/>
                <w:b w:val="0"/>
                <w:bCs/>
                <w:color w:val="auto"/>
                <w:sz w:val="24"/>
                <w:highlight w:val="none"/>
                <w:lang w:val="en-US" w:eastAsia="zh-CN"/>
              </w:rPr>
            </w:pPr>
            <w:r>
              <w:rPr>
                <w:rFonts w:hint="eastAsia"/>
                <w:b/>
                <w:color w:val="auto"/>
                <w:sz w:val="24"/>
                <w:highlight w:val="none"/>
                <w:lang w:eastAsia="zh-CN"/>
              </w:rPr>
              <w:t>滚砂、</w:t>
            </w:r>
            <w:r>
              <w:rPr>
                <w:rFonts w:hint="eastAsia" w:ascii="Times New Roman" w:hAnsi="Times New Roman" w:cs="Times New Roman"/>
                <w:b/>
                <w:bCs/>
                <w:color w:val="auto"/>
                <w:kern w:val="2"/>
                <w:sz w:val="24"/>
                <w:szCs w:val="24"/>
                <w:lang w:val="en-US" w:eastAsia="zh-CN" w:bidi="ar-SA"/>
              </w:rPr>
              <w:t>机加工工序</w:t>
            </w:r>
            <w:r>
              <w:rPr>
                <w:rFonts w:hint="eastAsia"/>
                <w:b/>
                <w:color w:val="auto"/>
                <w:sz w:val="24"/>
                <w:highlight w:val="none"/>
                <w:lang w:eastAsia="zh-CN"/>
              </w:rPr>
              <w:t>：</w:t>
            </w:r>
            <w:r>
              <w:rPr>
                <w:rFonts w:hint="eastAsia"/>
                <w:color w:val="auto"/>
                <w:sz w:val="24"/>
                <w:highlight w:val="none"/>
              </w:rPr>
              <w:t>滚砂、机加工工序产生粉尘量为</w:t>
            </w:r>
            <w:r>
              <w:rPr>
                <w:rFonts w:hint="eastAsia"/>
                <w:color w:val="auto"/>
                <w:sz w:val="24"/>
                <w:highlight w:val="none"/>
                <w:lang w:val="en-US" w:eastAsia="zh-CN"/>
              </w:rPr>
              <w:t>0.12t</w:t>
            </w:r>
            <w:r>
              <w:rPr>
                <w:rFonts w:hint="eastAsia"/>
                <w:color w:val="auto"/>
                <w:sz w:val="24"/>
                <w:highlight w:val="none"/>
              </w:rPr>
              <w:t>/a</w:t>
            </w:r>
            <w:r>
              <w:rPr>
                <w:rFonts w:hint="eastAsia"/>
                <w:color w:val="auto"/>
                <w:sz w:val="24"/>
                <w:highlight w:val="none"/>
                <w:lang w:eastAsia="zh-CN"/>
              </w:rPr>
              <w:t>，</w:t>
            </w:r>
            <w:r>
              <w:rPr>
                <w:rFonts w:hint="eastAsia"/>
                <w:b w:val="0"/>
                <w:bCs/>
                <w:color w:val="auto"/>
                <w:sz w:val="24"/>
                <w:highlight w:val="none"/>
                <w:lang w:val="en-US" w:eastAsia="zh-CN"/>
              </w:rPr>
              <w:t>无组织排放量为0.012</w:t>
            </w:r>
            <w:r>
              <w:rPr>
                <w:rFonts w:hint="eastAsia"/>
                <w:color w:val="auto"/>
                <w:sz w:val="24"/>
                <w:highlight w:val="none"/>
                <w:lang w:val="en-US" w:eastAsia="zh-CN"/>
              </w:rPr>
              <w:t>t</w:t>
            </w:r>
            <w:r>
              <w:rPr>
                <w:rFonts w:hint="eastAsia"/>
                <w:color w:val="auto"/>
                <w:sz w:val="24"/>
                <w:highlight w:val="none"/>
              </w:rPr>
              <w:t>/a</w:t>
            </w:r>
            <w:r>
              <w:rPr>
                <w:rFonts w:hint="eastAsia"/>
                <w:color w:val="auto"/>
                <w:sz w:val="24"/>
                <w:highlight w:val="none"/>
                <w:lang w:eastAsia="zh-CN"/>
              </w:rPr>
              <w:t>，排放速率为</w:t>
            </w:r>
            <w:r>
              <w:rPr>
                <w:rFonts w:hint="eastAsia"/>
                <w:color w:val="auto"/>
                <w:sz w:val="24"/>
                <w:highlight w:val="none"/>
                <w:lang w:val="en-US" w:eastAsia="zh-CN"/>
              </w:rPr>
              <w:t>0.005kg/h，</w:t>
            </w:r>
            <w:r>
              <w:rPr>
                <w:rFonts w:hint="eastAsia"/>
                <w:b w:val="0"/>
                <w:bCs/>
                <w:color w:val="auto"/>
                <w:sz w:val="24"/>
                <w:highlight w:val="none"/>
                <w:lang w:val="en-US" w:eastAsia="zh-CN"/>
              </w:rPr>
              <w:t>可达到广东省地方标准《大气污染物排放限值》（DB44/ 27-2001）第二时段无组织排放监控浓度限值。</w:t>
            </w:r>
            <w:r>
              <w:rPr>
                <w:rFonts w:hint="default" w:ascii="Times New Roman" w:hAnsi="Times New Roman" w:cs="Times New Roman"/>
                <w:color w:val="auto"/>
                <w:sz w:val="24"/>
                <w:highlight w:val="none"/>
              </w:rPr>
              <w:t>同时加强车间机械通风措施，使生产车间符合《工业企业设计卫生标准》（TJ36-79）（GBZ1-2010）要求，</w:t>
            </w:r>
            <w:r>
              <w:rPr>
                <w:rFonts w:hint="default" w:ascii="Times New Roman" w:hAnsi="Times New Roman" w:cs="Times New Roman"/>
                <w:color w:val="auto"/>
                <w:spacing w:val="-2"/>
                <w:sz w:val="24"/>
                <w:highlight w:val="none"/>
              </w:rPr>
              <w:t>另外，建设单位必须做好员工的防护措施（如配带口罩）</w:t>
            </w:r>
            <w:r>
              <w:rPr>
                <w:rFonts w:hint="default" w:ascii="Times New Roman" w:hAnsi="Times New Roman" w:cs="Times New Roman"/>
                <w:color w:val="auto"/>
                <w:sz w:val="24"/>
                <w:highlight w:val="none"/>
              </w:rPr>
              <w:t>，以确保员工身体健康不受到影响，</w:t>
            </w:r>
            <w:r>
              <w:rPr>
                <w:rFonts w:hint="default" w:ascii="Times New Roman" w:hAnsi="Times New Roman" w:cs="Times New Roman"/>
                <w:color w:val="auto"/>
                <w:kern w:val="0"/>
                <w:sz w:val="24"/>
                <w:highlight w:val="none"/>
              </w:rPr>
              <w:t>则不会对周围空气环境造成明显影响</w:t>
            </w:r>
            <w:r>
              <w:rPr>
                <w:rFonts w:hint="default" w:ascii="Times New Roman" w:hAnsi="Times New Roman" w:cs="Times New Roman"/>
                <w:color w:val="auto"/>
                <w:spacing w:val="-2"/>
                <w:sz w:val="24"/>
                <w:highlight w:val="none"/>
              </w:rPr>
              <w:t>。</w:t>
            </w:r>
          </w:p>
          <w:p>
            <w:pPr>
              <w:spacing w:line="360" w:lineRule="auto"/>
              <w:ind w:firstLine="482" w:firstLineChars="200"/>
              <w:rPr>
                <w:rFonts w:hint="eastAsia" w:hAnsi="宋体" w:eastAsia="宋体"/>
                <w:color w:val="auto"/>
                <w:sz w:val="24"/>
                <w:shd w:val="clear" w:color="auto" w:fill="auto"/>
                <w:lang w:eastAsia="zh-CN"/>
              </w:rPr>
            </w:pPr>
            <w:r>
              <w:rPr>
                <w:rFonts w:hint="eastAsia"/>
                <w:b/>
                <w:color w:val="auto"/>
                <w:sz w:val="24"/>
                <w:highlight w:val="none"/>
              </w:rPr>
              <w:t>抛光工序：</w:t>
            </w:r>
            <w:r>
              <w:rPr>
                <w:rFonts w:hint="eastAsia"/>
                <w:color w:val="auto"/>
                <w:sz w:val="24"/>
                <w:highlight w:val="none"/>
              </w:rPr>
              <w:t>项目</w:t>
            </w:r>
            <w:r>
              <w:rPr>
                <w:rFonts w:hint="eastAsia"/>
                <w:color w:val="auto"/>
                <w:sz w:val="24"/>
                <w:highlight w:val="none"/>
                <w:lang w:eastAsia="zh-CN"/>
              </w:rPr>
              <w:t>抛光工序</w:t>
            </w:r>
            <w:r>
              <w:rPr>
                <w:rFonts w:hint="eastAsia"/>
                <w:color w:val="auto"/>
                <w:sz w:val="24"/>
                <w:highlight w:val="none"/>
              </w:rPr>
              <w:t>粉尘产生量为</w:t>
            </w:r>
            <w:r>
              <w:rPr>
                <w:rFonts w:hint="eastAsia"/>
                <w:color w:val="auto"/>
                <w:sz w:val="24"/>
                <w:highlight w:val="none"/>
                <w:lang w:val="en-US" w:eastAsia="zh-CN"/>
              </w:rPr>
              <w:t>0.12t</w:t>
            </w:r>
            <w:r>
              <w:rPr>
                <w:rFonts w:hint="eastAsia"/>
                <w:color w:val="auto"/>
                <w:sz w:val="24"/>
                <w:highlight w:val="none"/>
              </w:rPr>
              <w:t>/a</w:t>
            </w:r>
            <w:r>
              <w:rPr>
                <w:rFonts w:hint="eastAsia"/>
                <w:color w:val="auto"/>
                <w:sz w:val="24"/>
                <w:highlight w:val="none"/>
                <w:lang w:eastAsia="zh-CN"/>
              </w:rPr>
              <w:t>，</w:t>
            </w:r>
            <w:r>
              <w:rPr>
                <w:rFonts w:hint="eastAsia" w:eastAsia="宋体"/>
                <w:bCs/>
                <w:color w:val="auto"/>
                <w:sz w:val="24"/>
                <w:lang w:eastAsia="zh-CN"/>
              </w:rPr>
              <w:t>建设单位拟</w:t>
            </w:r>
            <w:r>
              <w:rPr>
                <w:rFonts w:hint="eastAsia" w:hAnsi="宋体"/>
                <w:color w:val="auto"/>
                <w:sz w:val="24"/>
                <w:shd w:val="clear" w:color="auto" w:fill="auto"/>
                <w:lang w:eastAsia="zh-CN"/>
              </w:rPr>
              <w:t>安装集气和抽风装置将</w:t>
            </w:r>
            <w:r>
              <w:rPr>
                <w:rFonts w:hint="eastAsia"/>
                <w:b w:val="0"/>
                <w:bCs w:val="0"/>
                <w:color w:val="auto"/>
                <w:sz w:val="24"/>
                <w:szCs w:val="24"/>
                <w:vertAlign w:val="baseline"/>
                <w:lang w:eastAsia="zh-CN"/>
              </w:rPr>
              <w:t>粉尘</w:t>
            </w:r>
            <w:r>
              <w:rPr>
                <w:rFonts w:hint="eastAsia" w:hAnsi="宋体"/>
                <w:color w:val="auto"/>
                <w:sz w:val="24"/>
                <w:shd w:val="clear" w:color="auto" w:fill="auto"/>
                <w:lang w:eastAsia="zh-CN"/>
              </w:rPr>
              <w:t>收集至</w:t>
            </w:r>
            <w:r>
              <w:rPr>
                <w:rFonts w:hint="eastAsia"/>
                <w:color w:val="auto"/>
                <w:sz w:val="24"/>
                <w:shd w:val="clear" w:color="auto" w:fill="auto"/>
              </w:rPr>
              <w:t>布</w:t>
            </w:r>
            <w:r>
              <w:rPr>
                <w:rFonts w:hint="default" w:ascii="Times New Roman" w:hAnsi="Times New Roman" w:cs="Times New Roman"/>
                <w:color w:val="auto"/>
                <w:sz w:val="24"/>
                <w:shd w:val="clear" w:color="auto" w:fill="auto"/>
              </w:rPr>
              <w:t>袋除尘装置</w:t>
            </w:r>
            <w:r>
              <w:rPr>
                <w:rFonts w:hint="default" w:ascii="Times New Roman" w:hAnsi="Times New Roman" w:cs="Times New Roman"/>
                <w:color w:val="auto"/>
                <w:sz w:val="24"/>
                <w:shd w:val="clear" w:color="auto" w:fill="auto"/>
                <w:lang w:eastAsia="zh-CN"/>
              </w:rPr>
              <w:t>处理后经15m排气筒高空排放。</w:t>
            </w:r>
            <w:r>
              <w:rPr>
                <w:rFonts w:hint="default" w:ascii="Times New Roman" w:hAnsi="Times New Roman" w:cs="Times New Roman"/>
                <w:b w:val="0"/>
                <w:bCs w:val="0"/>
                <w:color w:val="auto"/>
                <w:sz w:val="24"/>
                <w:szCs w:val="24"/>
                <w:vertAlign w:val="baseline"/>
                <w:lang w:eastAsia="zh-CN"/>
              </w:rPr>
              <w:t>粉尘</w:t>
            </w:r>
            <w:r>
              <w:rPr>
                <w:rFonts w:hint="eastAsia" w:eastAsia="宋体"/>
                <w:color w:val="auto"/>
                <w:kern w:val="0"/>
                <w:sz w:val="24"/>
                <w:lang w:eastAsia="zh-CN"/>
              </w:rPr>
              <w:t>可以</w:t>
            </w:r>
            <w:r>
              <w:rPr>
                <w:rFonts w:hint="eastAsia" w:ascii="Times New Roman" w:eastAsia="宋体"/>
                <w:color w:val="auto"/>
                <w:sz w:val="24"/>
                <w:lang w:val="en-US" w:eastAsia="zh-CN"/>
              </w:rPr>
              <w:t>达到</w:t>
            </w:r>
            <w:r>
              <w:rPr>
                <w:rFonts w:hint="eastAsia"/>
                <w:color w:val="auto"/>
                <w:sz w:val="24"/>
              </w:rPr>
              <w:t>广东省地方标准《大气污染物排放限值》</w:t>
            </w:r>
            <w:r>
              <w:rPr>
                <w:color w:val="auto"/>
                <w:sz w:val="24"/>
              </w:rPr>
              <w:t>（DB44/27-2001）中第二时段二级标准</w:t>
            </w:r>
            <w:r>
              <w:rPr>
                <w:rFonts w:hint="eastAsia" w:eastAsia="宋体"/>
                <w:color w:val="auto"/>
                <w:sz w:val="24"/>
                <w:lang w:eastAsia="zh-CN"/>
              </w:rPr>
              <w:t>和</w:t>
            </w:r>
            <w:r>
              <w:rPr>
                <w:rFonts w:hint="eastAsia"/>
                <w:color w:val="auto"/>
                <w:kern w:val="0"/>
                <w:sz w:val="24"/>
              </w:rPr>
              <w:t>无组织排放监控浓度限值</w:t>
            </w:r>
            <w:r>
              <w:rPr>
                <w:rFonts w:hint="eastAsia" w:ascii="Times New Roman" w:hAnsi="Times New Roman" w:cs="Times New Roman"/>
                <w:color w:val="auto"/>
                <w:sz w:val="24"/>
                <w:highlight w:val="none"/>
                <w:u w:val="none"/>
                <w:lang w:val="en-US" w:eastAsia="zh-CN"/>
              </w:rPr>
              <w:t>要求，</w:t>
            </w:r>
            <w:r>
              <w:rPr>
                <w:rFonts w:hint="eastAsia"/>
                <w:color w:val="auto"/>
                <w:sz w:val="24"/>
              </w:rPr>
              <w:t>对周围环境影响较小。</w:t>
            </w:r>
          </w:p>
          <w:p>
            <w:pPr>
              <w:spacing w:line="360" w:lineRule="auto"/>
              <w:ind w:firstLine="480"/>
              <w:rPr>
                <w:b/>
                <w:bCs/>
                <w:color w:val="auto"/>
                <w:sz w:val="24"/>
                <w:shd w:val="clear" w:color="auto" w:fill="auto"/>
              </w:rPr>
            </w:pPr>
            <w:r>
              <w:rPr>
                <w:b/>
                <w:bCs/>
                <w:color w:val="auto"/>
                <w:sz w:val="24"/>
                <w:shd w:val="clear" w:color="auto" w:fill="auto"/>
              </w:rPr>
              <w:t>2、水环境影响评价结论</w:t>
            </w:r>
          </w:p>
          <w:p>
            <w:pPr>
              <w:adjustRightInd w:val="0"/>
              <w:spacing w:line="360" w:lineRule="auto"/>
              <w:ind w:firstLine="482" w:firstLineChars="200"/>
              <w:rPr>
                <w:rFonts w:hint="eastAsia"/>
                <w:color w:val="auto"/>
                <w:sz w:val="24"/>
                <w:highlight w:val="none"/>
                <w:lang w:eastAsia="zh-CN"/>
              </w:rPr>
            </w:pPr>
            <w:r>
              <w:rPr>
                <w:rFonts w:hint="eastAsia" w:hAnsi="宋体"/>
                <w:b/>
                <w:color w:val="auto"/>
                <w:sz w:val="24"/>
                <w:shd w:val="clear" w:color="auto" w:fill="auto"/>
                <w:lang w:val="en-US" w:eastAsia="zh-CN"/>
              </w:rPr>
              <w:t>冷</w:t>
            </w:r>
            <w:r>
              <w:rPr>
                <w:rFonts w:hAnsi="宋体"/>
                <w:b/>
                <w:color w:val="auto"/>
                <w:sz w:val="24"/>
                <w:shd w:val="clear" w:color="auto" w:fill="auto"/>
              </w:rPr>
              <w:t>却用水：</w:t>
            </w:r>
            <w:r>
              <w:rPr>
                <w:rFonts w:hAnsi="宋体"/>
                <w:color w:val="auto"/>
                <w:sz w:val="24"/>
                <w:shd w:val="clear" w:color="auto" w:fill="auto"/>
              </w:rPr>
              <w:t>项目</w:t>
            </w:r>
            <w:r>
              <w:rPr>
                <w:rFonts w:hint="eastAsia" w:hAnsi="宋体"/>
                <w:color w:val="auto"/>
                <w:sz w:val="24"/>
                <w:shd w:val="clear" w:color="auto" w:fill="auto"/>
                <w:lang w:val="en-US" w:eastAsia="zh-CN"/>
              </w:rPr>
              <w:t>铸造</w:t>
            </w:r>
            <w:r>
              <w:rPr>
                <w:rFonts w:hAnsi="宋体"/>
                <w:color w:val="auto"/>
                <w:sz w:val="24"/>
                <w:shd w:val="clear" w:color="auto" w:fill="auto"/>
              </w:rPr>
              <w:t>工序中</w:t>
            </w:r>
            <w:r>
              <w:rPr>
                <w:rFonts w:hint="eastAsia" w:hAnsi="宋体"/>
                <w:color w:val="auto"/>
                <w:sz w:val="24"/>
                <w:shd w:val="clear" w:color="auto" w:fill="auto"/>
              </w:rPr>
              <w:t>需使用冷却塔进行</w:t>
            </w:r>
            <w:r>
              <w:rPr>
                <w:rFonts w:hAnsi="宋体"/>
                <w:color w:val="auto"/>
                <w:sz w:val="24"/>
                <w:shd w:val="clear" w:color="auto" w:fill="auto"/>
              </w:rPr>
              <w:t>冷却，冷却方式为间接冷却，冷却用水为普通的自来水，其中无需添加矿物油、乳化液等冷却剂，根据建设单位提供资料，</w:t>
            </w:r>
            <w:r>
              <w:rPr>
                <w:rFonts w:hint="eastAsia" w:hAnsi="宋体"/>
                <w:color w:val="auto"/>
                <w:sz w:val="24"/>
              </w:rPr>
              <w:t>项目冷却塔</w:t>
            </w:r>
            <w:r>
              <w:rPr>
                <w:rFonts w:hAnsi="宋体"/>
                <w:color w:val="auto"/>
                <w:sz w:val="24"/>
              </w:rPr>
              <w:t>循环水量为</w:t>
            </w:r>
            <w:r>
              <w:rPr>
                <w:rFonts w:hint="eastAsia"/>
                <w:color w:val="auto"/>
                <w:sz w:val="24"/>
                <w:lang w:val="en-US" w:eastAsia="zh-CN"/>
              </w:rPr>
              <w:t>2</w:t>
            </w:r>
            <w:r>
              <w:rPr>
                <w:rFonts w:hint="eastAsia"/>
                <w:color w:val="auto"/>
                <w:sz w:val="24"/>
              </w:rPr>
              <w:t>t</w:t>
            </w:r>
            <w:r>
              <w:rPr>
                <w:rStyle w:val="46"/>
                <w:rFonts w:hint="eastAsia"/>
                <w:color w:val="auto"/>
                <w:lang w:val="en-US" w:eastAsia="zh-CN"/>
              </w:rPr>
              <w:t>/h</w:t>
            </w:r>
            <w:r>
              <w:rPr>
                <w:rFonts w:hAnsi="宋体"/>
                <w:color w:val="auto"/>
                <w:sz w:val="24"/>
              </w:rPr>
              <w:t>，该冷却水循环使用，不外排，</w:t>
            </w:r>
            <w:r>
              <w:rPr>
                <w:rFonts w:hint="eastAsia"/>
                <w:color w:val="auto"/>
                <w:sz w:val="24"/>
              </w:rPr>
              <w:t>因受热等因素损失，需定期补充新鲜水，</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olor w:val="auto"/>
                <w:sz w:val="24"/>
                <w:highlight w:val="none"/>
                <w:lang w:val="en-US" w:eastAsia="zh-CN"/>
              </w:rPr>
              <w:t>0.04t</w:t>
            </w:r>
            <w:r>
              <w:rPr>
                <w:rFonts w:hint="eastAsia"/>
                <w:color w:val="auto"/>
                <w:sz w:val="24"/>
                <w:highlight w:val="none"/>
              </w:rPr>
              <w:t>/</w:t>
            </w:r>
            <w:r>
              <w:rPr>
                <w:rFonts w:hint="eastAsia"/>
                <w:color w:val="auto"/>
                <w:sz w:val="24"/>
                <w:highlight w:val="none"/>
                <w:lang w:val="en-US" w:eastAsia="zh-CN"/>
              </w:rPr>
              <w:t>h</w:t>
            </w:r>
            <w:r>
              <w:rPr>
                <w:rFonts w:hint="eastAsia"/>
                <w:color w:val="auto"/>
                <w:sz w:val="24"/>
                <w:highlight w:val="none"/>
              </w:rPr>
              <w:t>（</w:t>
            </w:r>
            <w:r>
              <w:rPr>
                <w:rFonts w:hint="eastAsia"/>
                <w:color w:val="auto"/>
                <w:sz w:val="24"/>
                <w:highlight w:val="none"/>
                <w:lang w:val="en-US" w:eastAsia="zh-CN"/>
              </w:rPr>
              <w:t>96t</w:t>
            </w:r>
            <w:r>
              <w:rPr>
                <w:rFonts w:hint="eastAsia"/>
                <w:color w:val="auto"/>
                <w:sz w:val="24"/>
                <w:highlight w:val="none"/>
              </w:rPr>
              <w:t>/a）</w:t>
            </w:r>
            <w:r>
              <w:rPr>
                <w:rFonts w:hint="eastAsia"/>
                <w:color w:val="auto"/>
                <w:sz w:val="24"/>
                <w:highlight w:val="none"/>
                <w:lang w:eastAsia="zh-CN"/>
              </w:rPr>
              <w:t>。</w:t>
            </w:r>
          </w:p>
          <w:p>
            <w:pPr>
              <w:adjustRightInd w:val="0"/>
              <w:spacing w:line="360" w:lineRule="auto"/>
              <w:ind w:firstLine="482" w:firstLineChars="200"/>
              <w:rPr>
                <w:rFonts w:hint="eastAsia" w:hAnsi="宋体" w:eastAsia="宋体"/>
                <w:b/>
                <w:bCs/>
                <w:color w:val="auto"/>
                <w:sz w:val="24"/>
                <w:shd w:val="clear" w:color="auto" w:fill="auto"/>
                <w:lang w:eastAsia="zh-CN"/>
              </w:rPr>
            </w:pPr>
            <w:r>
              <w:rPr>
                <w:rFonts w:hint="eastAsia" w:hAnsi="宋体"/>
                <w:b/>
                <w:bCs/>
                <w:color w:val="auto"/>
                <w:sz w:val="24"/>
                <w:shd w:val="clear" w:color="auto" w:fill="auto"/>
                <w:lang w:eastAsia="zh-CN"/>
              </w:rPr>
              <w:t>测试用水：</w:t>
            </w:r>
            <w:r>
              <w:rPr>
                <w:rFonts w:hint="eastAsia" w:hAnsi="宋体"/>
                <w:b w:val="0"/>
                <w:bCs w:val="0"/>
                <w:color w:val="auto"/>
                <w:sz w:val="24"/>
                <w:shd w:val="clear" w:color="auto" w:fill="auto"/>
                <w:lang w:eastAsia="zh-CN"/>
              </w:rPr>
              <w:t>项目测试工序使用试水机对产品进行测试其性能，该</w:t>
            </w:r>
            <w:r>
              <w:rPr>
                <w:rFonts w:hAnsi="宋体"/>
                <w:color w:val="auto"/>
                <w:sz w:val="24"/>
                <w:shd w:val="clear" w:color="auto" w:fill="auto"/>
              </w:rPr>
              <w:t>用水为普通的自来水</w:t>
            </w:r>
            <w:r>
              <w:rPr>
                <w:rFonts w:hint="eastAsia" w:hAnsi="宋体"/>
                <w:b w:val="0"/>
                <w:bCs w:val="0"/>
                <w:color w:val="auto"/>
                <w:sz w:val="24"/>
                <w:shd w:val="clear" w:color="auto" w:fill="auto"/>
                <w:lang w:eastAsia="zh-CN"/>
              </w:rPr>
              <w:t>。</w:t>
            </w:r>
            <w:r>
              <w:rPr>
                <w:rFonts w:hAnsi="宋体"/>
                <w:color w:val="auto"/>
                <w:sz w:val="24"/>
                <w:shd w:val="clear" w:color="auto" w:fill="auto"/>
              </w:rPr>
              <w:t>根据建设单位提供资料，</w:t>
            </w:r>
            <w:r>
              <w:rPr>
                <w:rFonts w:hint="eastAsia" w:hAnsi="宋体"/>
                <w:b w:val="0"/>
                <w:bCs w:val="0"/>
                <w:color w:val="auto"/>
                <w:sz w:val="24"/>
                <w:shd w:val="clear" w:color="auto" w:fill="auto"/>
                <w:lang w:eastAsia="zh-CN"/>
              </w:rPr>
              <w:t>测试用水量较少，且循环使用，定期补充，不外排，年用量约3t/a。</w:t>
            </w:r>
          </w:p>
          <w:p>
            <w:pPr>
              <w:widowControl w:val="0"/>
              <w:spacing w:after="0" w:line="360" w:lineRule="auto"/>
              <w:ind w:right="170" w:firstLine="472" w:firstLineChars="196"/>
              <w:jc w:val="both"/>
              <w:rPr>
                <w:rFonts w:hint="default" w:ascii="Times New Roman" w:hAnsi="Times New Roman" w:eastAsia="宋体" w:cs="Times New Roman"/>
                <w:color w:val="auto"/>
                <w:kern w:val="2"/>
                <w:sz w:val="24"/>
                <w:szCs w:val="24"/>
              </w:rPr>
            </w:pPr>
            <w:r>
              <w:rPr>
                <w:rFonts w:hint="eastAsia" w:hAnsi="宋体"/>
                <w:b/>
                <w:color w:val="auto"/>
                <w:sz w:val="24"/>
                <w:lang w:eastAsia="zh-CN"/>
              </w:rPr>
              <w:t>喷淋废水</w:t>
            </w:r>
            <w:r>
              <w:rPr>
                <w:rFonts w:hint="eastAsia" w:hAnsi="宋体"/>
                <w:b/>
                <w:color w:val="auto"/>
                <w:sz w:val="24"/>
              </w:rPr>
              <w:t>：</w:t>
            </w:r>
            <w:r>
              <w:rPr>
                <w:rFonts w:hint="eastAsia" w:hAnsi="宋体"/>
                <w:color w:val="auto"/>
                <w:sz w:val="24"/>
              </w:rPr>
              <w:t>项目采用水喷淋</w:t>
            </w:r>
            <w:r>
              <w:rPr>
                <w:rFonts w:hint="eastAsia" w:hAnsi="宋体"/>
                <w:color w:val="auto"/>
                <w:sz w:val="24"/>
                <w:lang w:val="en-US" w:eastAsia="zh-CN"/>
              </w:rPr>
              <w:t>+UV光解</w:t>
            </w:r>
            <w:r>
              <w:rPr>
                <w:rFonts w:hint="eastAsia" w:hAnsi="宋体"/>
                <w:color w:val="auto"/>
                <w:sz w:val="24"/>
              </w:rPr>
              <w:t>装置对</w:t>
            </w:r>
            <w:r>
              <w:rPr>
                <w:rFonts w:hint="eastAsia" w:hAnsi="宋体"/>
                <w:color w:val="auto"/>
                <w:sz w:val="24"/>
                <w:lang w:val="en-US" w:eastAsia="zh-CN"/>
              </w:rPr>
              <w:t>熔化、铸造、制芯</w:t>
            </w:r>
            <w:r>
              <w:rPr>
                <w:rFonts w:hint="eastAsia" w:hAnsi="宋体"/>
                <w:color w:val="auto"/>
                <w:sz w:val="24"/>
              </w:rPr>
              <w:t>工序产生的</w:t>
            </w:r>
            <w:r>
              <w:rPr>
                <w:rFonts w:hint="eastAsia" w:hAnsi="宋体"/>
                <w:color w:val="auto"/>
                <w:sz w:val="24"/>
                <w:lang w:eastAsia="zh-CN"/>
              </w:rPr>
              <w:t>废气</w:t>
            </w:r>
            <w:r>
              <w:rPr>
                <w:rFonts w:hint="eastAsia" w:hAnsi="宋体"/>
                <w:color w:val="auto"/>
                <w:sz w:val="24"/>
              </w:rPr>
              <w:t>进行处理，</w:t>
            </w:r>
            <w:r>
              <w:rPr>
                <w:rFonts w:hint="eastAsia" w:hAnsi="宋体"/>
                <w:color w:val="auto"/>
                <w:sz w:val="24"/>
                <w:lang w:eastAsia="zh-CN"/>
              </w:rPr>
              <w:t>喷淋废水</w:t>
            </w:r>
            <w:r>
              <w:rPr>
                <w:rFonts w:hint="default" w:ascii="Times New Roman" w:hAnsi="Times New Roman" w:eastAsia="宋体" w:cs="Times New Roman"/>
                <w:color w:val="auto"/>
                <w:kern w:val="2"/>
                <w:sz w:val="24"/>
                <w:szCs w:val="24"/>
              </w:rPr>
              <w:t>经喷淋塔配套循环水池循环后使用，</w:t>
            </w:r>
            <w:r>
              <w:rPr>
                <w:rFonts w:hint="default" w:ascii="Times New Roman" w:hAnsi="Times New Roman" w:cs="Times New Roman"/>
                <w:color w:val="auto"/>
                <w:sz w:val="24"/>
              </w:rPr>
              <w:t>因受热等因素损失，需定期补充新鲜水，</w:t>
            </w:r>
            <w:r>
              <w:rPr>
                <w:rFonts w:hint="default" w:ascii="Times New Roman" w:hAnsi="Times New Roman" w:cs="Times New Roman"/>
                <w:color w:val="auto"/>
                <w:sz w:val="24"/>
                <w:lang w:eastAsia="zh-CN"/>
              </w:rPr>
              <w:t>根据建设单位提供的资料，水喷淋装置循环水池有效水容积为</w:t>
            </w:r>
            <w:r>
              <w:rPr>
                <w:rFonts w:hint="eastAsia" w:cs="Times New Roman"/>
                <w:color w:val="auto"/>
                <w:sz w:val="24"/>
                <w:lang w:val="en-US" w:eastAsia="zh-CN"/>
              </w:rPr>
              <w:t>1.5</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eastAsia="zh-CN"/>
              </w:rPr>
              <w:t>，水泵流量为0.5t/h</w:t>
            </w:r>
            <w:r>
              <w:rPr>
                <w:rFonts w:hint="eastAsia" w:cs="Times New Roman"/>
                <w:color w:val="auto"/>
                <w:sz w:val="24"/>
                <w:lang w:eastAsia="zh-CN"/>
              </w:rPr>
              <w:t>，每天工作8h，循环水量为4t/d</w:t>
            </w:r>
            <w:r>
              <w:rPr>
                <w:rFonts w:hint="default" w:ascii="Times New Roman" w:hAnsi="Times New Roman" w:cs="Times New Roman"/>
                <w:color w:val="auto"/>
                <w:sz w:val="24"/>
                <w:lang w:val="en-US" w:eastAsia="zh-CN"/>
              </w:rPr>
              <w:t>，</w:t>
            </w:r>
            <w:r>
              <w:rPr>
                <w:rFonts w:hint="eastAsia"/>
                <w:color w:val="auto"/>
                <w:sz w:val="24"/>
                <w:highlight w:val="none"/>
              </w:rPr>
              <w:t>损耗</w:t>
            </w:r>
            <w:r>
              <w:rPr>
                <w:color w:val="auto"/>
                <w:sz w:val="24"/>
                <w:highlight w:val="none"/>
              </w:rPr>
              <w:t>补充用水约占</w:t>
            </w:r>
            <w:r>
              <w:rPr>
                <w:rFonts w:hint="eastAsia"/>
                <w:color w:val="auto"/>
                <w:sz w:val="24"/>
                <w:highlight w:val="none"/>
              </w:rPr>
              <w:t>循环水量</w:t>
            </w:r>
            <w:r>
              <w:rPr>
                <w:color w:val="auto"/>
                <w:sz w:val="24"/>
                <w:highlight w:val="none"/>
              </w:rPr>
              <w:t>的</w:t>
            </w:r>
            <w:r>
              <w:rPr>
                <w:rFonts w:hint="eastAsia"/>
                <w:color w:val="auto"/>
                <w:sz w:val="24"/>
                <w:highlight w:val="none"/>
              </w:rPr>
              <w:t>2</w:t>
            </w:r>
            <w:r>
              <w:rPr>
                <w:color w:val="auto"/>
                <w:sz w:val="24"/>
                <w:highlight w:val="none"/>
              </w:rPr>
              <w:t>%，</w:t>
            </w:r>
            <w:r>
              <w:rPr>
                <w:rFonts w:hint="eastAsia"/>
                <w:color w:val="auto"/>
                <w:sz w:val="24"/>
                <w:highlight w:val="none"/>
              </w:rPr>
              <w:t>即补充用水量为</w:t>
            </w:r>
            <w:r>
              <w:rPr>
                <w:rFonts w:hint="eastAsia" w:cs="Times New Roman"/>
                <w:color w:val="auto"/>
                <w:sz w:val="24"/>
                <w:lang w:val="en-US" w:eastAsia="zh-CN"/>
              </w:rPr>
              <w:t>0.08</w:t>
            </w:r>
            <w:r>
              <w:rPr>
                <w:rFonts w:hint="default" w:ascii="Times New Roman" w:hAnsi="Times New Roman" w:cs="Times New Roman"/>
                <w:color w:val="auto"/>
                <w:sz w:val="24"/>
              </w:rPr>
              <w:t>t/</w:t>
            </w:r>
            <w:r>
              <w:rPr>
                <w:rFonts w:hint="default" w:ascii="Times New Roman" w:hAnsi="Times New Roman" w:eastAsia="宋体" w:cs="Times New Roman"/>
                <w:color w:val="auto"/>
                <w:sz w:val="24"/>
                <w:lang w:val="en-US" w:eastAsia="zh-CN"/>
              </w:rPr>
              <w:t>d，即</w:t>
            </w:r>
            <w:r>
              <w:rPr>
                <w:rFonts w:hint="eastAsia" w:cs="Times New Roman"/>
                <w:color w:val="auto"/>
                <w:sz w:val="24"/>
                <w:lang w:val="en-US" w:eastAsia="zh-CN"/>
              </w:rPr>
              <w:t>24</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喷淋废水</w:t>
            </w:r>
            <w:r>
              <w:rPr>
                <w:rFonts w:hint="eastAsia" w:ascii="Times New Roman" w:hAnsi="Times New Roman" w:cs="Times New Roman"/>
                <w:bCs/>
                <w:color w:val="auto"/>
                <w:sz w:val="24"/>
                <w:szCs w:val="24"/>
                <w:highlight w:val="none"/>
                <w:lang w:eastAsia="zh-CN"/>
              </w:rPr>
              <w:t>循环</w:t>
            </w:r>
            <w:r>
              <w:rPr>
                <w:rFonts w:hint="default" w:ascii="Times New Roman" w:hAnsi="Times New Roman" w:cs="Times New Roman"/>
                <w:bCs/>
                <w:color w:val="auto"/>
                <w:sz w:val="24"/>
                <w:szCs w:val="24"/>
                <w:highlight w:val="none"/>
              </w:rPr>
              <w:t>一段时间后需定期更换</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2"/>
                <w:highlight w:val="none"/>
              </w:rPr>
              <w:t>每</w:t>
            </w:r>
            <w:r>
              <w:rPr>
                <w:rFonts w:hint="eastAsia" w:ascii="Times New Roman" w:hAnsi="Times New Roman" w:cs="Times New Roman"/>
                <w:color w:val="auto"/>
                <w:sz w:val="24"/>
                <w:szCs w:val="22"/>
                <w:highlight w:val="none"/>
                <w:lang w:val="en-US" w:eastAsia="zh-CN"/>
              </w:rPr>
              <w:t>3</w:t>
            </w:r>
            <w:r>
              <w:rPr>
                <w:rFonts w:hint="default" w:ascii="Times New Roman" w:hAnsi="Times New Roman" w:cs="Times New Roman"/>
                <w:color w:val="auto"/>
                <w:sz w:val="24"/>
                <w:szCs w:val="22"/>
                <w:highlight w:val="none"/>
              </w:rPr>
              <w:t>个月更换一次，更换水量为</w:t>
            </w:r>
            <w:r>
              <w:rPr>
                <w:rFonts w:hint="eastAsia" w:cs="Times New Roman"/>
                <w:color w:val="auto"/>
                <w:sz w:val="24"/>
                <w:szCs w:val="22"/>
                <w:highlight w:val="none"/>
                <w:lang w:val="en-US" w:eastAsia="zh-CN"/>
              </w:rPr>
              <w:t>1.5</w:t>
            </w:r>
            <w:r>
              <w:rPr>
                <w:rFonts w:hint="default" w:ascii="Times New Roman" w:hAnsi="Times New Roman" w:cs="Times New Roman"/>
                <w:color w:val="auto"/>
                <w:sz w:val="24"/>
                <w:szCs w:val="22"/>
                <w:highlight w:val="none"/>
              </w:rPr>
              <w:t>吨/次，则更换废水产生量为</w:t>
            </w:r>
            <w:r>
              <w:rPr>
                <w:rFonts w:hint="eastAsia" w:cs="Times New Roman"/>
                <w:color w:val="auto"/>
                <w:sz w:val="24"/>
                <w:szCs w:val="22"/>
                <w:highlight w:val="none"/>
                <w:lang w:val="en-US" w:eastAsia="zh-CN"/>
              </w:rPr>
              <w:t>6</w:t>
            </w:r>
            <w:r>
              <w:rPr>
                <w:rFonts w:hint="default" w:ascii="Times New Roman" w:hAnsi="Times New Roman" w:cs="Times New Roman"/>
                <w:color w:val="auto"/>
                <w:sz w:val="24"/>
                <w:szCs w:val="22"/>
                <w:highlight w:val="none"/>
              </w:rPr>
              <w:t>t/a。该废水经收集后</w:t>
            </w:r>
            <w:r>
              <w:rPr>
                <w:rFonts w:hint="eastAsia" w:cs="Times New Roman"/>
                <w:color w:val="auto"/>
                <w:sz w:val="24"/>
                <w:szCs w:val="22"/>
                <w:highlight w:val="none"/>
                <w:lang w:eastAsia="zh-CN"/>
              </w:rPr>
              <w:t>定期交具有零星废水处理资质的单位处理，不外排</w:t>
            </w:r>
            <w:r>
              <w:rPr>
                <w:rFonts w:hint="default" w:ascii="Times New Roman" w:hAnsi="Times New Roman" w:cs="Times New Roman"/>
                <w:color w:val="auto"/>
                <w:sz w:val="24"/>
                <w:szCs w:val="22"/>
                <w:highlight w:val="none"/>
              </w:rPr>
              <w:t>。</w:t>
            </w:r>
          </w:p>
          <w:p>
            <w:pPr>
              <w:spacing w:line="360" w:lineRule="auto"/>
              <w:ind w:firstLine="480"/>
              <w:rPr>
                <w:bCs/>
                <w:color w:val="auto"/>
                <w:sz w:val="24"/>
                <w:szCs w:val="20"/>
                <w:shd w:val="clear" w:color="auto" w:fill="auto"/>
              </w:rPr>
            </w:pPr>
            <w:r>
              <w:rPr>
                <w:rFonts w:hint="eastAsia"/>
                <w:b/>
                <w:color w:val="auto"/>
                <w:sz w:val="24"/>
                <w:shd w:val="clear" w:color="auto" w:fill="auto"/>
              </w:rPr>
              <w:t>生活污水：</w:t>
            </w:r>
            <w:r>
              <w:rPr>
                <w:rFonts w:hint="eastAsia"/>
                <w:color w:val="auto"/>
                <w:sz w:val="24"/>
                <w:shd w:val="clear" w:color="auto" w:fill="auto"/>
              </w:rPr>
              <w:t>项目</w:t>
            </w:r>
            <w:r>
              <w:rPr>
                <w:color w:val="auto"/>
                <w:sz w:val="24"/>
                <w:shd w:val="clear" w:color="auto" w:fill="auto"/>
              </w:rPr>
              <w:t>员工生活污水排放量为</w:t>
            </w:r>
            <w:r>
              <w:rPr>
                <w:rFonts w:hint="eastAsia"/>
                <w:color w:val="auto"/>
                <w:sz w:val="24"/>
                <w:shd w:val="clear" w:color="auto" w:fill="auto"/>
                <w:lang w:val="en-US" w:eastAsia="zh-CN"/>
              </w:rPr>
              <w:t>756</w:t>
            </w:r>
            <w:r>
              <w:rPr>
                <w:color w:val="auto"/>
                <w:sz w:val="24"/>
                <w:shd w:val="clear" w:color="auto" w:fill="auto"/>
              </w:rPr>
              <w:t>t/a</w:t>
            </w:r>
            <w:r>
              <w:rPr>
                <w:rFonts w:hint="eastAsia"/>
                <w:color w:val="auto"/>
                <w:sz w:val="24"/>
                <w:shd w:val="clear" w:color="auto" w:fill="auto"/>
              </w:rPr>
              <w:t>，</w:t>
            </w:r>
            <w:r>
              <w:rPr>
                <w:color w:val="auto"/>
                <w:sz w:val="24"/>
                <w:shd w:val="clear" w:color="auto" w:fill="auto"/>
              </w:rPr>
              <w:t>主要污染物为COD</w:t>
            </w:r>
            <w:r>
              <w:rPr>
                <w:color w:val="auto"/>
                <w:sz w:val="24"/>
                <w:shd w:val="clear" w:color="auto" w:fill="auto"/>
                <w:vertAlign w:val="subscript"/>
              </w:rPr>
              <w:t>cr</w:t>
            </w:r>
            <w:r>
              <w:rPr>
                <w:color w:val="auto"/>
                <w:sz w:val="24"/>
                <w:shd w:val="clear" w:color="auto" w:fill="auto"/>
              </w:rPr>
              <w:t>、BOD</w:t>
            </w:r>
            <w:r>
              <w:rPr>
                <w:color w:val="auto"/>
                <w:sz w:val="24"/>
                <w:shd w:val="clear" w:color="auto" w:fill="auto"/>
                <w:vertAlign w:val="subscript"/>
              </w:rPr>
              <w:t>5</w:t>
            </w:r>
            <w:r>
              <w:rPr>
                <w:color w:val="auto"/>
                <w:sz w:val="24"/>
                <w:shd w:val="clear" w:color="auto" w:fill="auto"/>
              </w:rPr>
              <w:t>、SS、NH</w:t>
            </w:r>
            <w:r>
              <w:rPr>
                <w:color w:val="auto"/>
                <w:sz w:val="24"/>
                <w:shd w:val="clear" w:color="auto" w:fill="auto"/>
                <w:vertAlign w:val="subscript"/>
              </w:rPr>
              <w:t>3</w:t>
            </w:r>
            <w:r>
              <w:rPr>
                <w:color w:val="auto"/>
                <w:sz w:val="24"/>
                <w:shd w:val="clear" w:color="auto" w:fill="auto"/>
              </w:rPr>
              <w:t>-N等。</w:t>
            </w:r>
            <w:r>
              <w:rPr>
                <w:rFonts w:hint="eastAsia"/>
                <w:bCs/>
                <w:color w:val="auto"/>
                <w:sz w:val="24"/>
                <w:shd w:val="clear" w:color="auto" w:fill="auto"/>
              </w:rPr>
              <w:t>项目生活污水经三级化粪池预处理后，</w:t>
            </w:r>
            <w:r>
              <w:rPr>
                <w:rFonts w:hint="eastAsia" w:cs="Times New Roman"/>
                <w:color w:val="auto"/>
                <w:sz w:val="24"/>
                <w:szCs w:val="24"/>
                <w:highlight w:val="none"/>
                <w:lang w:eastAsia="zh-CN"/>
              </w:rPr>
              <w:t>达到广东省地方标准《水污染物排放限值》（DB44/26-2001）第二时段三级标准和《污水排入城镇下水道水质标准》(GB/T31962-2015 )B级标准较严者排放至市政污水管网，然后引至开平市水口污水处理厂处理后达到《城镇污水处理厂污染物排放标准》（GB18918-2002）中一级A 标准及广东省地方标准《水污染物排放限值》（DB44/26-2001）第二时段一级标准的较严值后排放。</w:t>
            </w:r>
            <w:r>
              <w:rPr>
                <w:color w:val="auto"/>
                <w:sz w:val="24"/>
                <w:shd w:val="clear" w:color="auto" w:fill="auto"/>
              </w:rPr>
              <w:t>项目产生</w:t>
            </w:r>
            <w:r>
              <w:rPr>
                <w:rFonts w:hint="eastAsia"/>
                <w:color w:val="auto"/>
                <w:sz w:val="24"/>
                <w:shd w:val="clear" w:color="auto" w:fill="auto"/>
                <w:lang w:eastAsia="zh-CN"/>
              </w:rPr>
              <w:t>的</w:t>
            </w:r>
            <w:r>
              <w:rPr>
                <w:color w:val="auto"/>
                <w:sz w:val="24"/>
                <w:shd w:val="clear" w:color="auto" w:fill="auto"/>
              </w:rPr>
              <w:t>污水经处理后水污染物得到一定量削减，减轻了污水排放对纳污水体的污染负荷，有利于水环境保护</w:t>
            </w:r>
            <w:r>
              <w:rPr>
                <w:rFonts w:hint="eastAsia"/>
                <w:color w:val="auto"/>
                <w:sz w:val="24"/>
                <w:shd w:val="clear" w:color="auto" w:fill="auto"/>
              </w:rPr>
              <w:t>，</w:t>
            </w:r>
            <w:r>
              <w:rPr>
                <w:bCs/>
                <w:color w:val="auto"/>
                <w:sz w:val="24"/>
                <w:szCs w:val="20"/>
                <w:shd w:val="clear" w:color="auto" w:fill="auto"/>
              </w:rPr>
              <w:t>则项目污水对周围环境影响不大。</w:t>
            </w:r>
          </w:p>
          <w:p>
            <w:pPr>
              <w:spacing w:line="360" w:lineRule="auto"/>
              <w:ind w:firstLine="480"/>
              <w:rPr>
                <w:b/>
                <w:bCs/>
                <w:color w:val="auto"/>
                <w:sz w:val="24"/>
                <w:shd w:val="clear" w:color="auto" w:fill="auto"/>
              </w:rPr>
            </w:pPr>
            <w:r>
              <w:rPr>
                <w:rFonts w:hint="eastAsia"/>
                <w:b/>
                <w:bCs/>
                <w:color w:val="auto"/>
                <w:sz w:val="24"/>
                <w:shd w:val="clear" w:color="auto" w:fill="auto"/>
              </w:rPr>
              <w:t>3</w:t>
            </w:r>
            <w:r>
              <w:rPr>
                <w:b/>
                <w:bCs/>
                <w:color w:val="auto"/>
                <w:sz w:val="24"/>
                <w:shd w:val="clear" w:color="auto" w:fill="auto"/>
              </w:rPr>
              <w:t>、声环境影响评价结论</w:t>
            </w:r>
          </w:p>
          <w:p>
            <w:pPr>
              <w:pStyle w:val="132"/>
              <w:ind w:firstLine="480"/>
              <w:rPr>
                <w:color w:val="auto"/>
                <w:sz w:val="24"/>
                <w:shd w:val="clear" w:color="auto" w:fill="auto"/>
              </w:rPr>
            </w:pPr>
            <w:r>
              <w:rPr>
                <w:rFonts w:hint="eastAsia" w:hAnsi="宋体"/>
                <w:color w:val="auto"/>
                <w:sz w:val="24"/>
                <w:shd w:val="clear" w:color="auto" w:fill="auto"/>
              </w:rPr>
              <w:t>项目营运期车间机械产生噪声值在</w:t>
            </w:r>
            <w:r>
              <w:rPr>
                <w:rFonts w:ascii="Times New Roman" w:hAnsi="Times New Roman" w:cs="Times New Roman"/>
                <w:color w:val="auto"/>
                <w:sz w:val="24"/>
                <w:shd w:val="clear" w:color="auto" w:fill="auto"/>
              </w:rPr>
              <w:t>70</w:t>
            </w:r>
            <w:r>
              <w:rPr>
                <w:rFonts w:ascii="Times New Roman" w:cs="Times New Roman"/>
                <w:color w:val="auto"/>
                <w:sz w:val="24"/>
                <w:shd w:val="clear" w:color="auto" w:fill="auto"/>
              </w:rPr>
              <w:t>～</w:t>
            </w:r>
            <w:r>
              <w:rPr>
                <w:rFonts w:hint="eastAsia" w:ascii="Times New Roman" w:hAnsi="Times New Roman" w:cs="Times New Roman"/>
                <w:color w:val="auto"/>
                <w:sz w:val="24"/>
                <w:shd w:val="clear" w:color="auto" w:fill="auto"/>
                <w:lang w:val="en-US" w:eastAsia="zh-CN"/>
              </w:rPr>
              <w:t>90</w:t>
            </w:r>
            <w:r>
              <w:rPr>
                <w:rFonts w:ascii="Times New Roman" w:hAnsi="Times New Roman" w:cs="Times New Roman"/>
                <w:color w:val="auto"/>
                <w:sz w:val="24"/>
                <w:shd w:val="clear" w:color="auto" w:fill="auto"/>
              </w:rPr>
              <w:t>dB(A)</w:t>
            </w:r>
            <w:r>
              <w:rPr>
                <w:rFonts w:hint="eastAsia"/>
                <w:color w:val="auto"/>
                <w:sz w:val="24"/>
                <w:shd w:val="clear" w:color="auto" w:fill="auto"/>
              </w:rPr>
              <w:t>之间</w:t>
            </w:r>
            <w:r>
              <w:rPr>
                <w:color w:val="auto"/>
                <w:sz w:val="24"/>
                <w:shd w:val="clear" w:color="auto" w:fill="auto"/>
              </w:rPr>
              <w:t>。</w:t>
            </w:r>
            <w:r>
              <w:rPr>
                <w:rFonts w:hint="eastAsia" w:ascii="Times New Roman"/>
                <w:color w:val="auto"/>
                <w:sz w:val="24"/>
                <w:szCs w:val="24"/>
                <w:shd w:val="clear" w:color="auto" w:fill="auto"/>
              </w:rPr>
              <w:t>项目</w:t>
            </w:r>
            <w:r>
              <w:rPr>
                <w:rFonts w:ascii="Times New Roman"/>
                <w:color w:val="auto"/>
                <w:sz w:val="24"/>
                <w:szCs w:val="24"/>
                <w:shd w:val="clear" w:color="auto" w:fill="auto"/>
              </w:rPr>
              <w:t>除选用噪声低的设备外，还</w:t>
            </w:r>
            <w:r>
              <w:rPr>
                <w:rFonts w:hint="eastAsia" w:ascii="Times New Roman"/>
                <w:color w:val="auto"/>
                <w:sz w:val="24"/>
                <w:szCs w:val="24"/>
                <w:shd w:val="clear" w:color="auto" w:fill="auto"/>
              </w:rPr>
              <w:t>应</w:t>
            </w:r>
            <w:r>
              <w:rPr>
                <w:rFonts w:ascii="Times New Roman"/>
                <w:color w:val="auto"/>
                <w:sz w:val="24"/>
                <w:szCs w:val="24"/>
                <w:shd w:val="clear" w:color="auto" w:fill="auto"/>
              </w:rPr>
              <w:t>进行减振和减噪声处理，如车间的门窗部位选用隔声性能良好的铝合金或双层门窗结构等</w:t>
            </w:r>
            <w:r>
              <w:rPr>
                <w:rFonts w:hint="eastAsia" w:ascii="Times New Roman"/>
                <w:color w:val="auto"/>
                <w:sz w:val="24"/>
                <w:szCs w:val="24"/>
                <w:shd w:val="clear" w:color="auto" w:fill="auto"/>
              </w:rPr>
              <w:t>，并设置单独隔声间，</w:t>
            </w:r>
            <w:r>
              <w:rPr>
                <w:rFonts w:ascii="Times New Roman"/>
                <w:color w:val="auto"/>
                <w:sz w:val="24"/>
                <w:szCs w:val="24"/>
                <w:shd w:val="clear" w:color="auto" w:fill="auto"/>
              </w:rPr>
              <w:t>再经过一定自然距离的衰减作用，</w:t>
            </w:r>
            <w:r>
              <w:rPr>
                <w:color w:val="auto"/>
                <w:sz w:val="24"/>
                <w:shd w:val="clear" w:color="auto" w:fill="auto"/>
              </w:rPr>
              <w:t>使得项目产生的噪声达到《工业企业厂界环境噪声排放标准》</w:t>
            </w:r>
            <w:r>
              <w:rPr>
                <w:rFonts w:ascii="Times New Roman" w:hAnsi="Times New Roman" w:cs="Times New Roman"/>
                <w:color w:val="auto"/>
                <w:sz w:val="24"/>
                <w:shd w:val="clear" w:color="auto" w:fill="auto"/>
              </w:rPr>
              <w:t>(GB12348</w:t>
            </w:r>
            <w:r>
              <w:rPr>
                <w:rFonts w:hint="eastAsia" w:ascii="Times New Roman" w:hAnsi="Times New Roman" w:cs="Times New Roman"/>
                <w:color w:val="auto"/>
                <w:sz w:val="24"/>
                <w:shd w:val="clear" w:color="auto" w:fill="auto"/>
              </w:rPr>
              <w:t>-</w:t>
            </w:r>
            <w:r>
              <w:rPr>
                <w:rFonts w:ascii="Times New Roman" w:hAnsi="Times New Roman" w:cs="Times New Roman"/>
                <w:color w:val="auto"/>
                <w:sz w:val="24"/>
                <w:shd w:val="clear" w:color="auto" w:fill="auto"/>
              </w:rPr>
              <w:t xml:space="preserve">2008) </w:t>
            </w:r>
            <w:r>
              <w:rPr>
                <w:rFonts w:hint="eastAsia" w:ascii="Times New Roman" w:hAnsi="Times New Roman" w:cs="Times New Roman"/>
                <w:color w:val="auto"/>
                <w:sz w:val="24"/>
                <w:shd w:val="clear" w:color="auto" w:fill="auto"/>
                <w:lang w:eastAsia="zh-CN"/>
              </w:rPr>
              <w:t>2类和4类</w:t>
            </w:r>
            <w:r>
              <w:rPr>
                <w:color w:val="auto"/>
                <w:sz w:val="24"/>
                <w:shd w:val="clear" w:color="auto" w:fill="auto"/>
              </w:rPr>
              <w:t>标准要求，</w:t>
            </w:r>
            <w:r>
              <w:rPr>
                <w:rFonts w:hint="eastAsia"/>
                <w:color w:val="auto"/>
                <w:sz w:val="24"/>
                <w:shd w:val="clear" w:color="auto" w:fill="auto"/>
              </w:rPr>
              <w:t>对周围环境影响不大。</w:t>
            </w:r>
          </w:p>
          <w:p>
            <w:pPr>
              <w:spacing w:line="360" w:lineRule="auto"/>
              <w:ind w:firstLine="480"/>
              <w:rPr>
                <w:b/>
                <w:bCs/>
                <w:color w:val="auto"/>
                <w:sz w:val="24"/>
                <w:shd w:val="clear" w:color="auto" w:fill="auto"/>
              </w:rPr>
            </w:pPr>
            <w:r>
              <w:rPr>
                <w:rFonts w:hint="eastAsia"/>
                <w:b/>
                <w:bCs/>
                <w:color w:val="auto"/>
                <w:sz w:val="24"/>
                <w:shd w:val="clear" w:color="auto" w:fill="auto"/>
              </w:rPr>
              <w:t>4</w:t>
            </w:r>
            <w:r>
              <w:rPr>
                <w:b/>
                <w:bCs/>
                <w:color w:val="auto"/>
                <w:sz w:val="24"/>
                <w:shd w:val="clear" w:color="auto" w:fill="auto"/>
              </w:rPr>
              <w:t>、固体废弃物影响评价结论</w:t>
            </w:r>
          </w:p>
          <w:p>
            <w:pPr>
              <w:spacing w:line="360" w:lineRule="auto"/>
              <w:ind w:firstLine="520" w:firstLineChars="200"/>
              <w:rPr>
                <w:color w:val="auto"/>
                <w:sz w:val="24"/>
                <w:shd w:val="clear" w:color="auto" w:fill="auto"/>
              </w:rPr>
            </w:pPr>
            <w:r>
              <w:rPr>
                <w:rFonts w:hint="eastAsia" w:ascii="宋体" w:hAnsi="宋体"/>
                <w:color w:val="auto"/>
                <w:spacing w:val="10"/>
                <w:sz w:val="24"/>
                <w:shd w:val="clear" w:color="auto" w:fill="auto"/>
              </w:rPr>
              <w:t>一般工业固废</w:t>
            </w:r>
            <w:r>
              <w:rPr>
                <w:rFonts w:ascii="宋体" w:hAnsi="宋体"/>
                <w:color w:val="auto"/>
                <w:spacing w:val="10"/>
                <w:sz w:val="24"/>
                <w:shd w:val="clear" w:color="auto" w:fill="auto"/>
              </w:rPr>
              <w:t>交</w:t>
            </w:r>
            <w:r>
              <w:rPr>
                <w:rFonts w:hint="eastAsia" w:ascii="宋体" w:hAnsi="宋体"/>
                <w:color w:val="auto"/>
                <w:spacing w:val="10"/>
                <w:sz w:val="24"/>
                <w:shd w:val="clear" w:color="auto" w:fill="auto"/>
              </w:rPr>
              <w:t>专业公司回收处理；</w:t>
            </w:r>
            <w:r>
              <w:rPr>
                <w:rFonts w:hint="eastAsia"/>
                <w:color w:val="auto"/>
                <w:sz w:val="24"/>
                <w:szCs w:val="24"/>
              </w:rPr>
              <w:t>危险废物</w:t>
            </w:r>
            <w:r>
              <w:rPr>
                <w:rFonts w:hint="eastAsia" w:hAnsi="宋体"/>
                <w:color w:val="auto"/>
                <w:sz w:val="24"/>
                <w:szCs w:val="24"/>
              </w:rPr>
              <w:t>交给有危险废物处置资质单位处置</w:t>
            </w:r>
            <w:r>
              <w:rPr>
                <w:rFonts w:hint="eastAsia" w:hAnsi="宋体"/>
                <w:color w:val="auto"/>
                <w:sz w:val="24"/>
                <w:szCs w:val="24"/>
                <w:lang w:eastAsia="zh-CN"/>
              </w:rPr>
              <w:t>；</w:t>
            </w:r>
            <w:r>
              <w:rPr>
                <w:rFonts w:hint="eastAsia"/>
                <w:color w:val="auto"/>
                <w:spacing w:val="-4"/>
                <w:sz w:val="24"/>
                <w:shd w:val="clear" w:color="auto" w:fill="auto"/>
              </w:rPr>
              <w:t>员工生活</w:t>
            </w:r>
            <w:r>
              <w:rPr>
                <w:rFonts w:hint="eastAsia"/>
                <w:color w:val="auto"/>
                <w:sz w:val="24"/>
                <w:shd w:val="clear" w:color="auto" w:fill="auto"/>
              </w:rPr>
              <w:t>产生</w:t>
            </w:r>
            <w:r>
              <w:rPr>
                <w:rFonts w:hint="eastAsia"/>
                <w:bCs/>
                <w:color w:val="auto"/>
                <w:sz w:val="24"/>
                <w:shd w:val="clear" w:color="auto" w:fill="auto"/>
              </w:rPr>
              <w:t>的普通</w:t>
            </w:r>
            <w:r>
              <w:rPr>
                <w:rFonts w:hint="eastAsia"/>
                <w:color w:val="auto"/>
                <w:sz w:val="24"/>
                <w:shd w:val="clear" w:color="auto" w:fill="auto"/>
              </w:rPr>
              <w:t>生活垃圾必须按照指定地点堆放在生活垃圾堆放点，每日由环卫部门清理运走，并对堆放点进行定期的清洁消毒，杀灭害虫。</w:t>
            </w:r>
          </w:p>
          <w:p>
            <w:pPr>
              <w:adjustRightInd w:val="0"/>
              <w:snapToGrid w:val="0"/>
              <w:spacing w:line="360" w:lineRule="auto"/>
              <w:ind w:firstLine="480" w:firstLineChars="200"/>
              <w:rPr>
                <w:color w:val="auto"/>
                <w:sz w:val="24"/>
                <w:shd w:val="clear" w:color="auto" w:fill="auto"/>
              </w:rPr>
            </w:pPr>
            <w:r>
              <w:rPr>
                <w:rFonts w:hint="eastAsia"/>
                <w:color w:val="auto"/>
                <w:sz w:val="24"/>
                <w:shd w:val="clear" w:color="auto" w:fill="auto"/>
              </w:rPr>
              <w:t>因此，项目产生的固体废物经处理后对周围环境影响不明显。</w:t>
            </w:r>
          </w:p>
          <w:p>
            <w:pPr>
              <w:spacing w:line="360" w:lineRule="auto"/>
              <w:ind w:firstLine="482" w:firstLineChars="200"/>
              <w:rPr>
                <w:b/>
                <w:bCs/>
                <w:color w:val="auto"/>
                <w:sz w:val="24"/>
              </w:rPr>
            </w:pPr>
            <w:r>
              <w:rPr>
                <w:rFonts w:hint="eastAsia"/>
                <w:b/>
                <w:bCs/>
                <w:color w:val="auto"/>
                <w:sz w:val="24"/>
              </w:rPr>
              <w:t>5、风险</w:t>
            </w:r>
            <w:r>
              <w:rPr>
                <w:b/>
                <w:bCs/>
                <w:color w:val="auto"/>
                <w:sz w:val="24"/>
              </w:rPr>
              <w:t>影响评价结论</w:t>
            </w:r>
          </w:p>
          <w:p>
            <w:pPr>
              <w:spacing w:line="360" w:lineRule="auto"/>
              <w:ind w:firstLine="480" w:firstLineChars="200"/>
              <w:rPr>
                <w:rFonts w:eastAsiaTheme="minorEastAsia"/>
                <w:color w:val="auto"/>
                <w:sz w:val="24"/>
              </w:rPr>
            </w:pPr>
            <w:r>
              <w:rPr>
                <w:rFonts w:eastAsiaTheme="minorEastAsia"/>
                <w:color w:val="auto"/>
                <w:sz w:val="24"/>
              </w:rPr>
              <w:t>项目物质不构成重大危险源</w:t>
            </w:r>
            <w:r>
              <w:rPr>
                <w:rFonts w:hint="eastAsia" w:eastAsiaTheme="minorEastAsia"/>
                <w:color w:val="auto"/>
                <w:sz w:val="24"/>
              </w:rPr>
              <w:t>，</w:t>
            </w:r>
            <w:r>
              <w:rPr>
                <w:rFonts w:eastAsiaTheme="minorEastAsia"/>
                <w:color w:val="auto"/>
                <w:sz w:val="24"/>
              </w:rPr>
              <w:t>企业在落实相应风险防范和控制措施的情况下，总体环境风险可控。</w:t>
            </w:r>
          </w:p>
          <w:p>
            <w:pPr>
              <w:numPr>
                <w:ilvl w:val="0"/>
                <w:numId w:val="11"/>
              </w:numPr>
              <w:adjustRightInd w:val="0"/>
              <w:snapToGrid w:val="0"/>
              <w:spacing w:line="360" w:lineRule="auto"/>
              <w:ind w:firstLine="431"/>
              <w:rPr>
                <w:b/>
                <w:bCs/>
                <w:color w:val="auto"/>
                <w:sz w:val="24"/>
              </w:rPr>
            </w:pPr>
            <w:r>
              <w:rPr>
                <w:rFonts w:hint="eastAsia"/>
                <w:b/>
                <w:bCs/>
                <w:color w:val="auto"/>
                <w:sz w:val="24"/>
              </w:rPr>
              <w:t>土壤环境影响分析结论</w:t>
            </w:r>
          </w:p>
          <w:p>
            <w:pPr>
              <w:keepNext w:val="0"/>
              <w:keepLines w:val="0"/>
              <w:pageBreakBefore w:val="0"/>
              <w:widowControl w:val="0"/>
              <w:kinsoku/>
              <w:wordWrap/>
              <w:overflowPunct/>
              <w:topLinePunct w:val="0"/>
              <w:bidi w:val="0"/>
              <w:adjustRightInd w:val="0"/>
              <w:snapToGrid w:val="0"/>
              <w:spacing w:line="336"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rPr>
              <w:t>按</w:t>
            </w:r>
            <w:r>
              <w:rPr>
                <w:rFonts w:hint="default" w:ascii="Times New Roman" w:hAnsi="Times New Roman" w:eastAsia="宋体" w:cs="Times New Roman"/>
                <w:bCs/>
                <w:color w:val="auto"/>
                <w:sz w:val="24"/>
                <w:szCs w:val="24"/>
                <w:highlight w:val="none"/>
              </w:rPr>
              <w:t>照有关的规范要求采取污染</w:t>
            </w:r>
            <w:r>
              <w:rPr>
                <w:rFonts w:hint="default" w:ascii="Times New Roman" w:hAnsi="Times New Roman" w:eastAsia="宋体" w:cs="Times New Roman"/>
                <w:bCs/>
                <w:color w:val="auto"/>
                <w:sz w:val="24"/>
                <w:szCs w:val="24"/>
                <w:highlight w:val="none"/>
                <w:lang w:eastAsia="zh-CN"/>
              </w:rPr>
              <w:t>防治</w:t>
            </w:r>
            <w:r>
              <w:rPr>
                <w:rFonts w:hint="default" w:ascii="Times New Roman" w:hAnsi="Times New Roman" w:eastAsia="宋体" w:cs="Times New Roman"/>
                <w:bCs/>
                <w:color w:val="auto"/>
                <w:sz w:val="24"/>
                <w:szCs w:val="24"/>
                <w:highlight w:val="none"/>
              </w:rPr>
              <w:t>措施，可以避免项目对周边土壤产生明显影响</w:t>
            </w:r>
            <w:r>
              <w:rPr>
                <w:rFonts w:hint="default" w:ascii="Times New Roman" w:hAnsi="Times New Roman" w:eastAsia="宋体" w:cs="Times New Roman"/>
                <w:color w:val="auto"/>
                <w:sz w:val="24"/>
                <w:szCs w:val="24"/>
                <w:highlight w:val="none"/>
                <w:lang w:eastAsia="zh-CN"/>
              </w:rPr>
              <w:t>，因此</w:t>
            </w:r>
            <w:r>
              <w:rPr>
                <w:rFonts w:hint="default" w:ascii="Times New Roman" w:hAnsi="Times New Roman" w:eastAsia="宋体" w:cs="Times New Roman"/>
                <w:color w:val="auto"/>
                <w:sz w:val="24"/>
                <w:szCs w:val="24"/>
                <w:highlight w:val="none"/>
              </w:rPr>
              <w:t>从土壤环境影响的角度，项目</w:t>
            </w:r>
            <w:r>
              <w:rPr>
                <w:rFonts w:hint="default" w:ascii="Times New Roman" w:hAnsi="Times New Roman"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建设</w:t>
            </w:r>
            <w:r>
              <w:rPr>
                <w:rFonts w:hint="default" w:ascii="Times New Roman" w:hAnsi="Times New Roman" w:cs="Times New Roman"/>
                <w:color w:val="auto"/>
                <w:sz w:val="24"/>
                <w:szCs w:val="24"/>
                <w:highlight w:val="none"/>
                <w:lang w:eastAsia="zh-CN"/>
              </w:rPr>
              <w:t>是</w:t>
            </w:r>
            <w:r>
              <w:rPr>
                <w:rFonts w:hint="default" w:ascii="Times New Roman" w:hAnsi="Times New Roman" w:eastAsia="宋体" w:cs="Times New Roman"/>
                <w:color w:val="auto"/>
                <w:sz w:val="24"/>
                <w:szCs w:val="24"/>
                <w:highlight w:val="none"/>
              </w:rPr>
              <w:t>可行</w:t>
            </w:r>
            <w:r>
              <w:rPr>
                <w:rFonts w:hint="default" w:ascii="Times New Roman" w:hAnsi="Times New Roman"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w:t>
            </w:r>
          </w:p>
          <w:p>
            <w:pPr>
              <w:adjustRightInd w:val="0"/>
              <w:snapToGrid w:val="0"/>
              <w:spacing w:line="360" w:lineRule="auto"/>
              <w:ind w:firstLine="431"/>
              <w:rPr>
                <w:b/>
                <w:bCs/>
                <w:color w:val="auto"/>
                <w:sz w:val="24"/>
                <w:shd w:val="clear" w:color="auto" w:fill="auto"/>
              </w:rPr>
            </w:pPr>
            <w:r>
              <w:rPr>
                <w:b/>
                <w:bCs/>
                <w:color w:val="auto"/>
                <w:sz w:val="24"/>
                <w:shd w:val="clear" w:color="auto" w:fill="auto"/>
              </w:rPr>
              <w:t>四、项目产业政策符合性</w:t>
            </w:r>
          </w:p>
          <w:p>
            <w:pPr>
              <w:pStyle w:val="148"/>
              <w:ind w:firstLine="480"/>
              <w:rPr>
                <w:rFonts w:hint="eastAsia"/>
                <w:color w:val="auto"/>
              </w:rPr>
            </w:pPr>
            <w:r>
              <w:rPr>
                <w:rFonts w:hint="eastAsia"/>
                <w:color w:val="auto"/>
              </w:rPr>
              <w:t>项目不属于国家</w:t>
            </w:r>
            <w:r>
              <w:rPr>
                <w:rFonts w:hint="eastAsia"/>
                <w:color w:val="auto"/>
                <w:lang w:eastAsia="zh-CN"/>
              </w:rPr>
              <w:t>《产业结构调整指导目录（2019年本）》</w:t>
            </w:r>
            <w:r>
              <w:rPr>
                <w:rFonts w:hint="eastAsia"/>
                <w:color w:val="auto"/>
              </w:rPr>
              <w:t>的限制或淘汰类别，</w:t>
            </w:r>
            <w:r>
              <w:rPr>
                <w:rFonts w:hint="default" w:ascii="Times New Roman" w:hAnsi="Times New Roman" w:cs="Times New Roman"/>
                <w:bCs/>
                <w:color w:val="auto"/>
                <w:sz w:val="24"/>
                <w:shd w:val="clear" w:color="auto" w:fill="auto"/>
                <w:lang w:val="en-US" w:eastAsia="zh-CN"/>
              </w:rPr>
              <w:t>不</w:t>
            </w:r>
            <w:r>
              <w:rPr>
                <w:rFonts w:hint="eastAsia" w:cs="Times New Roman"/>
                <w:bCs/>
                <w:color w:val="auto"/>
                <w:sz w:val="24"/>
                <w:shd w:val="clear" w:color="auto" w:fill="auto"/>
                <w:lang w:val="en-US" w:eastAsia="zh-CN"/>
              </w:rPr>
              <w:t>属于《市场准入负面清单（2019年版）》发改体改[2019]1685号中</w:t>
            </w:r>
            <w:r>
              <w:rPr>
                <w:rFonts w:hint="default" w:ascii="Times New Roman" w:hAnsi="Times New Roman" w:cs="Times New Roman"/>
                <w:bCs/>
                <w:color w:val="auto"/>
                <w:sz w:val="24"/>
                <w:shd w:val="clear" w:color="auto" w:fill="auto"/>
                <w:lang w:val="en-US" w:eastAsia="zh-CN"/>
              </w:rPr>
              <w:t>禁止准入类和限制准入类</w:t>
            </w:r>
            <w:r>
              <w:rPr>
                <w:rFonts w:hint="eastAsia" w:cs="Times New Roman"/>
                <w:bCs/>
                <w:color w:val="auto"/>
                <w:sz w:val="24"/>
                <w:shd w:val="clear" w:color="auto" w:fill="auto"/>
                <w:lang w:val="en-US" w:eastAsia="zh-CN"/>
              </w:rPr>
              <w:t>，</w:t>
            </w:r>
            <w:r>
              <w:rPr>
                <w:rFonts w:hint="eastAsia"/>
                <w:b w:val="0"/>
                <w:bCs w:val="0"/>
                <w:color w:val="auto"/>
                <w:sz w:val="24"/>
                <w:szCs w:val="24"/>
                <w:highlight w:val="none"/>
              </w:rPr>
              <w:t>与《广东省挥发性有机物（VOCs）整治与减排工作方案（2018-2020年）》（粤环发〔2018〕6 号）、《江门市挥发性有机物（VOCs）整治与减排工作方案（2018~2020年）》、《十三五挥发性有机物污染防治工作方案》</w:t>
            </w:r>
            <w:r>
              <w:rPr>
                <w:rFonts w:hint="eastAsia"/>
                <w:b w:val="0"/>
                <w:bCs w:val="0"/>
                <w:color w:val="auto"/>
                <w:sz w:val="24"/>
                <w:szCs w:val="24"/>
                <w:highlight w:val="none"/>
                <w:lang w:eastAsia="zh-CN"/>
              </w:rPr>
              <w:t>、</w:t>
            </w:r>
            <w:r>
              <w:rPr>
                <w:rFonts w:hint="eastAsia"/>
                <w:b w:val="0"/>
                <w:bCs/>
                <w:color w:val="auto"/>
                <w:sz w:val="24"/>
                <w:szCs w:val="24"/>
                <w:highlight w:val="none"/>
                <w:lang w:val="en-US" w:eastAsia="zh-CN"/>
              </w:rPr>
              <w:t>《工业炉窑大气污染综合治理方案》</w:t>
            </w:r>
            <w:r>
              <w:rPr>
                <w:rFonts w:hint="eastAsia"/>
                <w:b w:val="0"/>
                <w:bCs w:val="0"/>
                <w:color w:val="auto"/>
                <w:sz w:val="24"/>
                <w:szCs w:val="24"/>
                <w:highlight w:val="none"/>
              </w:rPr>
              <w:t>相符</w:t>
            </w:r>
            <w:r>
              <w:rPr>
                <w:rFonts w:hint="eastAsia"/>
                <w:b w:val="0"/>
                <w:bCs w:val="0"/>
                <w:color w:val="auto"/>
                <w:sz w:val="24"/>
                <w:szCs w:val="24"/>
                <w:highlight w:val="none"/>
                <w:lang w:eastAsia="zh-CN"/>
              </w:rPr>
              <w:t>，</w:t>
            </w:r>
            <w:r>
              <w:rPr>
                <w:rFonts w:hint="eastAsia"/>
                <w:color w:val="auto"/>
              </w:rPr>
              <w:t>因此项目符合国家、广东省的产业政策。</w:t>
            </w:r>
          </w:p>
          <w:p>
            <w:pPr>
              <w:adjustRightInd w:val="0"/>
              <w:snapToGrid w:val="0"/>
              <w:spacing w:line="336" w:lineRule="auto"/>
              <w:ind w:firstLine="482" w:firstLineChars="200"/>
              <w:rPr>
                <w:b/>
                <w:bCs/>
                <w:color w:val="auto"/>
                <w:sz w:val="24"/>
                <w:szCs w:val="24"/>
                <w:shd w:val="clear" w:color="auto" w:fill="auto"/>
              </w:rPr>
            </w:pPr>
            <w:r>
              <w:rPr>
                <w:rFonts w:hint="eastAsia"/>
                <w:b/>
                <w:bCs/>
                <w:color w:val="auto"/>
                <w:sz w:val="24"/>
                <w:szCs w:val="24"/>
                <w:shd w:val="clear" w:color="auto" w:fill="auto"/>
              </w:rPr>
              <w:t>五、项目选址合理性</w:t>
            </w:r>
          </w:p>
          <w:p>
            <w:pPr>
              <w:adjustRightInd w:val="0"/>
              <w:snapToGrid w:val="0"/>
              <w:spacing w:line="360" w:lineRule="auto"/>
              <w:ind w:firstLine="470" w:firstLineChars="196"/>
              <w:rPr>
                <w:rFonts w:hint="eastAsia"/>
                <w:color w:val="auto"/>
                <w:sz w:val="24"/>
                <w:szCs w:val="24"/>
              </w:rPr>
            </w:pPr>
            <w:r>
              <w:rPr>
                <w:rFonts w:hint="eastAsia"/>
                <w:color w:val="auto"/>
                <w:sz w:val="24"/>
                <w:szCs w:val="24"/>
              </w:rPr>
              <w:t>本项目位于</w:t>
            </w:r>
            <w:r>
              <w:rPr>
                <w:rFonts w:hint="eastAsia"/>
                <w:bCs/>
                <w:color w:val="auto"/>
                <w:sz w:val="24"/>
                <w:szCs w:val="24"/>
                <w:shd w:val="clear" w:color="auto" w:fill="auto"/>
                <w:lang w:eastAsia="zh-CN"/>
              </w:rPr>
              <w:t>开平市水口镇黎村狗山开发区</w:t>
            </w:r>
            <w:r>
              <w:rPr>
                <w:rFonts w:hint="eastAsia"/>
                <w:color w:val="auto"/>
                <w:sz w:val="24"/>
                <w:szCs w:val="24"/>
              </w:rPr>
              <w:t>，</w:t>
            </w:r>
            <w:r>
              <w:rPr>
                <w:rFonts w:hint="eastAsia"/>
                <w:color w:val="auto"/>
                <w:sz w:val="24"/>
                <w:szCs w:val="24"/>
                <w:lang w:eastAsia="zh-CN"/>
              </w:rPr>
              <w:t>根据附件</w:t>
            </w:r>
            <w:r>
              <w:rPr>
                <w:rFonts w:hint="eastAsia"/>
                <w:color w:val="auto"/>
                <w:sz w:val="24"/>
                <w:szCs w:val="24"/>
                <w:lang w:val="en-US" w:eastAsia="zh-CN"/>
              </w:rPr>
              <w:t>3国土证，</w:t>
            </w:r>
            <w:r>
              <w:rPr>
                <w:rFonts w:hint="eastAsia"/>
                <w:color w:val="auto"/>
                <w:sz w:val="24"/>
                <w:szCs w:val="24"/>
              </w:rPr>
              <w:t>属于工业用地，土地功能符合规划要求。</w:t>
            </w:r>
          </w:p>
          <w:p>
            <w:pPr>
              <w:adjustRightInd w:val="0"/>
              <w:snapToGrid w:val="0"/>
              <w:spacing w:line="360" w:lineRule="auto"/>
              <w:ind w:firstLine="472" w:firstLineChars="196"/>
              <w:rPr>
                <w:b/>
                <w:color w:val="auto"/>
                <w:sz w:val="24"/>
                <w:shd w:val="clear" w:color="auto" w:fill="auto"/>
              </w:rPr>
            </w:pPr>
            <w:r>
              <w:rPr>
                <w:rFonts w:hint="eastAsia"/>
                <w:b/>
                <w:color w:val="auto"/>
                <w:sz w:val="24"/>
                <w:shd w:val="clear" w:color="auto" w:fill="auto"/>
              </w:rPr>
              <w:t>六、</w:t>
            </w:r>
            <w:r>
              <w:rPr>
                <w:b/>
                <w:color w:val="auto"/>
                <w:sz w:val="24"/>
                <w:shd w:val="clear" w:color="auto" w:fill="auto"/>
              </w:rPr>
              <w:t>综合结论</w:t>
            </w:r>
          </w:p>
          <w:p>
            <w:pPr>
              <w:pStyle w:val="73"/>
              <w:spacing w:line="336" w:lineRule="auto"/>
              <w:ind w:left="0" w:right="0" w:firstLine="480" w:firstLineChars="200"/>
              <w:jc w:val="both"/>
              <w:rPr>
                <w:color w:val="auto"/>
                <w:shd w:val="clear" w:color="auto" w:fill="auto"/>
              </w:rPr>
            </w:pPr>
            <w:r>
              <w:rPr>
                <w:color w:val="auto"/>
                <w:shd w:val="clear" w:color="auto" w:fill="auto"/>
              </w:rPr>
              <w:t>通过上述分析，</w:t>
            </w:r>
            <w:r>
              <w:rPr>
                <w:rFonts w:hint="eastAsia"/>
                <w:color w:val="auto"/>
                <w:shd w:val="clear" w:color="auto" w:fill="auto"/>
              </w:rPr>
              <w:t>本项目符合国家和地方产业政策，符合当地城市规划和环境保护规划，采取的“三废”治理措施经济技术可行有效，工程实施后可满足当地环境质量要求。</w:t>
            </w:r>
          </w:p>
          <w:p>
            <w:pPr>
              <w:pStyle w:val="73"/>
              <w:spacing w:line="336" w:lineRule="auto"/>
              <w:ind w:left="0" w:right="0" w:firstLine="480" w:firstLineChars="200"/>
              <w:jc w:val="both"/>
              <w:rPr>
                <w:color w:val="auto"/>
                <w:shd w:val="clear" w:color="auto" w:fill="auto"/>
              </w:rPr>
            </w:pPr>
            <w:r>
              <w:rPr>
                <w:rFonts w:hint="eastAsia"/>
                <w:color w:val="auto"/>
                <w:shd w:val="clear" w:color="auto" w:fill="auto"/>
              </w:rPr>
              <w:t>评价认为，在确保各项污染治理措施“三同时”建设和外排污染物达标的前提下，从环境保护角度而言本项目建设是可行的。</w:t>
            </w: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rFonts w:hint="eastAsia"/>
                <w:b/>
                <w:bCs/>
                <w:color w:val="auto"/>
                <w:sz w:val="24"/>
                <w:shd w:val="clear" w:color="auto" w:fill="auto"/>
              </w:rPr>
            </w:pPr>
          </w:p>
          <w:p>
            <w:pPr>
              <w:adjustRightInd w:val="0"/>
              <w:snapToGrid w:val="0"/>
              <w:spacing w:line="360" w:lineRule="auto"/>
              <w:ind w:firstLine="431"/>
              <w:rPr>
                <w:b/>
                <w:bCs/>
                <w:color w:val="auto"/>
                <w:sz w:val="24"/>
                <w:shd w:val="clear" w:color="auto" w:fill="auto"/>
              </w:rPr>
            </w:pPr>
            <w:r>
              <w:rPr>
                <w:rFonts w:hint="eastAsia"/>
                <w:b/>
                <w:bCs/>
                <w:color w:val="auto"/>
                <w:sz w:val="24"/>
                <w:shd w:val="clear" w:color="auto" w:fill="auto"/>
              </w:rPr>
              <w:t>七</w:t>
            </w:r>
            <w:r>
              <w:rPr>
                <w:b/>
                <w:bCs/>
                <w:color w:val="auto"/>
                <w:sz w:val="24"/>
                <w:shd w:val="clear" w:color="auto" w:fill="auto"/>
              </w:rPr>
              <w:t>、建议</w:t>
            </w:r>
          </w:p>
          <w:p>
            <w:pPr>
              <w:spacing w:line="360" w:lineRule="auto"/>
              <w:ind w:firstLine="480" w:firstLineChars="200"/>
              <w:rPr>
                <w:color w:val="auto"/>
                <w:sz w:val="24"/>
                <w:shd w:val="clear" w:color="auto" w:fill="auto"/>
              </w:rPr>
            </w:pPr>
            <w:r>
              <w:rPr>
                <w:color w:val="auto"/>
                <w:sz w:val="24"/>
                <w:shd w:val="clear" w:color="auto" w:fill="auto"/>
              </w:rPr>
              <w:t>1、根据环评要求，落实“三废治理”费用，做到专款专用，项目实施后应保证足够的环保资金，确保污染防治措施有效地运行，保证污染物达标排放；</w:t>
            </w:r>
          </w:p>
          <w:p>
            <w:pPr>
              <w:spacing w:line="360" w:lineRule="auto"/>
              <w:ind w:firstLine="480" w:firstLineChars="200"/>
              <w:rPr>
                <w:color w:val="auto"/>
                <w:sz w:val="24"/>
                <w:shd w:val="clear" w:color="auto" w:fill="auto"/>
              </w:rPr>
            </w:pPr>
            <w:r>
              <w:rPr>
                <w:color w:val="auto"/>
                <w:sz w:val="24"/>
                <w:shd w:val="clear" w:color="auto" w:fill="auto"/>
              </w:rPr>
              <w:t>2、加强环境管理和宣传教育，提高员工环保意识；</w:t>
            </w:r>
          </w:p>
          <w:p>
            <w:pPr>
              <w:spacing w:line="360" w:lineRule="auto"/>
              <w:ind w:firstLine="480" w:firstLineChars="200"/>
              <w:rPr>
                <w:color w:val="auto"/>
                <w:sz w:val="24"/>
                <w:shd w:val="clear" w:color="auto" w:fill="auto"/>
              </w:rPr>
            </w:pPr>
            <w:r>
              <w:rPr>
                <w:color w:val="auto"/>
                <w:sz w:val="24"/>
                <w:shd w:val="clear" w:color="auto" w:fill="auto"/>
              </w:rPr>
              <w:t>3、搞好厂区的绿化</w:t>
            </w:r>
            <w:r>
              <w:rPr>
                <w:rFonts w:hint="eastAsia"/>
                <w:color w:val="auto"/>
                <w:sz w:val="24"/>
                <w:shd w:val="clear" w:color="auto" w:fill="auto"/>
              </w:rPr>
              <w:t>、</w:t>
            </w:r>
            <w:r>
              <w:rPr>
                <w:color w:val="auto"/>
                <w:sz w:val="24"/>
                <w:shd w:val="clear" w:color="auto" w:fill="auto"/>
              </w:rPr>
              <w:t>美化</w:t>
            </w:r>
            <w:r>
              <w:rPr>
                <w:rFonts w:hint="eastAsia"/>
                <w:color w:val="auto"/>
                <w:sz w:val="24"/>
                <w:shd w:val="clear" w:color="auto" w:fill="auto"/>
              </w:rPr>
              <w:t>、</w:t>
            </w:r>
            <w:r>
              <w:rPr>
                <w:color w:val="auto"/>
                <w:sz w:val="24"/>
                <w:shd w:val="clear" w:color="auto" w:fill="auto"/>
              </w:rPr>
              <w:t xml:space="preserve">净化工作； </w:t>
            </w:r>
          </w:p>
          <w:p>
            <w:pPr>
              <w:spacing w:line="360" w:lineRule="auto"/>
              <w:ind w:firstLine="480" w:firstLineChars="200"/>
              <w:rPr>
                <w:color w:val="auto"/>
                <w:sz w:val="24"/>
                <w:shd w:val="clear" w:color="auto" w:fill="auto"/>
              </w:rPr>
            </w:pPr>
            <w:r>
              <w:rPr>
                <w:color w:val="auto"/>
                <w:sz w:val="24"/>
                <w:shd w:val="clear" w:color="auto" w:fill="auto"/>
              </w:rPr>
              <w:t>4、建立健全一套完善的环境管理制度，并严格按管理制度执行；</w:t>
            </w:r>
          </w:p>
          <w:p>
            <w:pPr>
              <w:spacing w:line="360" w:lineRule="auto"/>
              <w:ind w:firstLine="480" w:firstLineChars="200"/>
              <w:rPr>
                <w:color w:val="auto"/>
                <w:sz w:val="24"/>
                <w:shd w:val="clear" w:color="auto" w:fill="auto"/>
              </w:rPr>
            </w:pPr>
            <w:r>
              <w:rPr>
                <w:color w:val="auto"/>
                <w:sz w:val="24"/>
                <w:shd w:val="clear" w:color="auto" w:fill="auto"/>
              </w:rPr>
              <w:t>5、加强生产管理，实施清洁生产，从而减少污染物的产生量；</w:t>
            </w:r>
          </w:p>
          <w:p>
            <w:pPr>
              <w:spacing w:line="360" w:lineRule="auto"/>
              <w:ind w:firstLine="480" w:firstLineChars="200"/>
              <w:rPr>
                <w:color w:val="auto"/>
                <w:sz w:val="24"/>
                <w:shd w:val="clear" w:color="auto" w:fill="auto"/>
              </w:rPr>
            </w:pPr>
            <w:r>
              <w:rPr>
                <w:color w:val="auto"/>
                <w:sz w:val="24"/>
                <w:shd w:val="clear" w:color="auto" w:fill="auto"/>
              </w:rPr>
              <w:t>6、合理生产布局，建立设备管理网络体系，形成保证设备正常运行和正常维修保养的一系列工程程序，确保设备完好，尽可能减少污染物排放量；</w:t>
            </w:r>
          </w:p>
          <w:p>
            <w:pPr>
              <w:spacing w:line="360" w:lineRule="auto"/>
              <w:ind w:firstLine="480" w:firstLineChars="200"/>
              <w:rPr>
                <w:color w:val="auto"/>
                <w:sz w:val="24"/>
                <w:shd w:val="clear" w:color="auto" w:fill="auto"/>
              </w:rPr>
            </w:pPr>
            <w:r>
              <w:rPr>
                <w:color w:val="auto"/>
                <w:sz w:val="24"/>
                <w:shd w:val="clear" w:color="auto" w:fill="auto"/>
              </w:rPr>
              <w:t>7、关心并积极听取可能受项目环境影响的附近居民等人员</w:t>
            </w:r>
            <w:r>
              <w:rPr>
                <w:rFonts w:hint="eastAsia"/>
                <w:color w:val="auto"/>
                <w:sz w:val="24"/>
                <w:shd w:val="clear" w:color="auto" w:fill="auto"/>
              </w:rPr>
              <w:t>、</w:t>
            </w:r>
            <w:r>
              <w:rPr>
                <w:color w:val="auto"/>
                <w:sz w:val="24"/>
                <w:shd w:val="clear" w:color="auto" w:fill="auto"/>
              </w:rPr>
              <w:t>单位的反映，定期向项目最高管理者和当地环保部门汇报项目环境保护工作的情况，同时接受当地环境保护部门的监督和管理。遵守有关环境法律；法规，树立良好的企业形象，实现经济效益与社会效益；环境效益相统一；</w:t>
            </w:r>
          </w:p>
          <w:p>
            <w:pPr>
              <w:pStyle w:val="25"/>
              <w:ind w:firstLine="480"/>
              <w:rPr>
                <w:b w:val="0"/>
                <w:color w:val="auto"/>
                <w:sz w:val="24"/>
                <w:shd w:val="clear" w:color="auto" w:fill="auto"/>
              </w:rPr>
            </w:pPr>
            <w:r>
              <w:rPr>
                <w:rFonts w:hint="eastAsia"/>
                <w:b w:val="0"/>
                <w:color w:val="auto"/>
                <w:sz w:val="24"/>
                <w:shd w:val="clear" w:color="auto" w:fill="auto"/>
              </w:rPr>
              <w:t>8、作好防范措施，防治废气、噪声扰民；一旦出现相关投诉，项目应立即停止生产并协调处理相关投诉，采取有效措施；</w:t>
            </w:r>
          </w:p>
          <w:p>
            <w:pPr>
              <w:pStyle w:val="25"/>
              <w:ind w:firstLine="480"/>
              <w:rPr>
                <w:b w:val="0"/>
                <w:color w:val="auto"/>
                <w:sz w:val="24"/>
                <w:shd w:val="clear" w:color="auto" w:fill="auto"/>
              </w:rPr>
            </w:pPr>
            <w:r>
              <w:rPr>
                <w:rFonts w:hint="eastAsia"/>
                <w:b w:val="0"/>
                <w:color w:val="auto"/>
                <w:sz w:val="24"/>
                <w:shd w:val="clear" w:color="auto" w:fill="auto"/>
              </w:rPr>
              <w:t>9、企业要定期或不定期委托具有监测能力和资格单位对本项目的有组织或无组织排放情况进行监测，以便掌握本项目污染及达标排放情况，一旦出现有投诉影响人体健康或污染物排放超过国家和地方有关环保标准，应及时停产并对环保设施进行检修；</w:t>
            </w:r>
          </w:p>
          <w:p>
            <w:pPr>
              <w:spacing w:line="360" w:lineRule="auto"/>
              <w:ind w:firstLine="480" w:firstLineChars="200"/>
              <w:rPr>
                <w:rFonts w:hint="eastAsia"/>
                <w:color w:val="auto"/>
                <w:sz w:val="24"/>
                <w:shd w:val="clear" w:color="auto" w:fill="auto"/>
              </w:rPr>
            </w:pPr>
            <w:r>
              <w:rPr>
                <w:rFonts w:hint="eastAsia"/>
                <w:color w:val="auto"/>
                <w:sz w:val="24"/>
                <w:shd w:val="clear" w:color="auto" w:fill="auto"/>
              </w:rPr>
              <w:t>10</w:t>
            </w:r>
            <w:r>
              <w:rPr>
                <w:color w:val="auto"/>
                <w:sz w:val="24"/>
                <w:shd w:val="clear" w:color="auto" w:fill="auto"/>
              </w:rPr>
              <w:t>、今后若企业的生产工艺发生变化或生产规模扩大；生产技术更新改造，都必须重新进行环境影响评价，并征得环保部门审批同意后方可实施。</w:t>
            </w:r>
          </w:p>
          <w:p>
            <w:pPr>
              <w:spacing w:line="360" w:lineRule="auto"/>
              <w:ind w:firstLine="480" w:firstLineChars="200"/>
              <w:rPr>
                <w:rFonts w:hint="eastAsia"/>
                <w:color w:val="auto"/>
                <w:sz w:val="24"/>
                <w:shd w:val="clear" w:color="auto" w:fill="auto"/>
              </w:rPr>
            </w:pPr>
          </w:p>
          <w:p>
            <w:pPr>
              <w:pStyle w:val="47"/>
              <w:rPr>
                <w:rFonts w:hint="eastAsia"/>
                <w:color w:val="auto"/>
                <w:sz w:val="24"/>
                <w:shd w:val="clear" w:color="auto" w:fill="auto"/>
              </w:rPr>
            </w:pPr>
          </w:p>
          <w:p>
            <w:pPr>
              <w:pStyle w:val="47"/>
              <w:rPr>
                <w:rFonts w:hint="eastAsia"/>
                <w:color w:val="auto"/>
                <w:sz w:val="24"/>
                <w:shd w:val="clear" w:color="auto" w:fill="auto"/>
              </w:rPr>
            </w:pPr>
          </w:p>
          <w:p>
            <w:pPr>
              <w:pStyle w:val="47"/>
              <w:wordWrap w:val="0"/>
              <w:spacing w:line="360" w:lineRule="auto"/>
              <w:jc w:val="right"/>
              <w:rPr>
                <w:rFonts w:hint="default"/>
                <w:color w:val="auto"/>
                <w:sz w:val="24"/>
                <w:shd w:val="clear" w:color="auto" w:fill="auto"/>
                <w:lang w:val="en-US" w:eastAsia="zh-CN"/>
              </w:rPr>
            </w:pPr>
            <w:r>
              <w:rPr>
                <w:rFonts w:hint="eastAsia"/>
                <w:color w:val="auto"/>
                <w:sz w:val="24"/>
                <w:shd w:val="clear" w:color="auto" w:fill="auto"/>
                <w:lang w:eastAsia="zh-CN"/>
              </w:rPr>
              <w:t>评价单位：</w:t>
            </w:r>
            <w:r>
              <w:rPr>
                <w:rFonts w:hint="eastAsia"/>
                <w:color w:val="auto"/>
                <w:sz w:val="24"/>
                <w:shd w:val="clear" w:color="auto" w:fill="auto"/>
                <w:lang w:val="en-US" w:eastAsia="zh-CN"/>
              </w:rPr>
              <w:t xml:space="preserve">                              </w:t>
            </w:r>
          </w:p>
          <w:p>
            <w:pPr>
              <w:pStyle w:val="47"/>
              <w:wordWrap w:val="0"/>
              <w:spacing w:line="360" w:lineRule="auto"/>
              <w:jc w:val="right"/>
              <w:rPr>
                <w:rFonts w:hint="eastAsia"/>
                <w:color w:val="auto"/>
                <w:sz w:val="24"/>
                <w:shd w:val="clear" w:color="auto" w:fill="auto"/>
                <w:lang w:val="en-US" w:eastAsia="zh-CN"/>
              </w:rPr>
            </w:pPr>
            <w:r>
              <w:rPr>
                <w:rFonts w:hint="eastAsia"/>
                <w:color w:val="auto"/>
                <w:sz w:val="24"/>
                <w:shd w:val="clear" w:color="auto" w:fill="auto"/>
                <w:lang w:val="en-US" w:eastAsia="zh-CN"/>
              </w:rPr>
              <w:t xml:space="preserve"> </w:t>
            </w:r>
            <w:r>
              <w:rPr>
                <w:rFonts w:hint="eastAsia"/>
                <w:color w:val="auto"/>
                <w:sz w:val="24"/>
                <w:shd w:val="clear" w:color="auto" w:fill="auto"/>
                <w:lang w:eastAsia="zh-CN"/>
              </w:rPr>
              <w:t>项目负责人：</w:t>
            </w:r>
            <w:r>
              <w:rPr>
                <w:rFonts w:hint="eastAsia"/>
                <w:color w:val="auto"/>
                <w:sz w:val="24"/>
                <w:shd w:val="clear" w:color="auto" w:fill="auto"/>
                <w:lang w:val="en-US" w:eastAsia="zh-CN"/>
              </w:rPr>
              <w:t xml:space="preserve">                            </w:t>
            </w:r>
          </w:p>
          <w:p>
            <w:pPr>
              <w:pStyle w:val="47"/>
              <w:jc w:val="center"/>
              <w:rPr>
                <w:rFonts w:hint="eastAsia"/>
                <w:color w:val="auto"/>
              </w:rPr>
            </w:pPr>
            <w:r>
              <w:rPr>
                <w:rFonts w:hint="eastAsia"/>
                <w:color w:val="auto"/>
                <w:sz w:val="24"/>
                <w:shd w:val="clear" w:color="auto" w:fill="auto"/>
                <w:lang w:val="en-US" w:eastAsia="zh-CN"/>
              </w:rPr>
              <w:t xml:space="preserve">        </w:t>
            </w:r>
            <w:r>
              <w:rPr>
                <w:rFonts w:hint="eastAsia"/>
                <w:color w:val="auto"/>
                <w:sz w:val="24"/>
                <w:shd w:val="clear" w:color="auto" w:fill="auto"/>
                <w:lang w:eastAsia="zh-CN"/>
              </w:rPr>
              <w:t>审核日期：</w:t>
            </w:r>
          </w:p>
          <w:p>
            <w:pPr>
              <w:pStyle w:val="47"/>
              <w:rPr>
                <w:rFonts w:hint="eastAsia"/>
                <w:color w:val="auto"/>
                <w:sz w:val="24"/>
                <w:shd w:val="clear" w:color="auto" w:fill="auto"/>
              </w:rPr>
            </w:pPr>
          </w:p>
          <w:p>
            <w:pPr>
              <w:pStyle w:val="47"/>
              <w:rPr>
                <w:rFonts w:hint="eastAsia"/>
                <w:color w:val="auto"/>
                <w:sz w:val="24"/>
                <w:shd w:val="clear" w:color="auto" w:fill="auto"/>
              </w:rPr>
            </w:pPr>
          </w:p>
          <w:p>
            <w:pPr>
              <w:pStyle w:val="47"/>
              <w:rPr>
                <w:rFonts w:hint="eastAsia"/>
                <w:color w:val="auto"/>
                <w:sz w:val="24"/>
                <w:shd w:val="clear" w:color="auto" w:fill="auto"/>
              </w:rPr>
            </w:pPr>
          </w:p>
          <w:p>
            <w:pPr>
              <w:pStyle w:val="47"/>
              <w:rPr>
                <w:rFonts w:hint="eastAsia"/>
                <w:color w:val="auto"/>
                <w:sz w:val="24"/>
                <w:shd w:val="clear" w:color="auto" w:fill="auto"/>
              </w:rPr>
            </w:pPr>
          </w:p>
          <w:p>
            <w:pPr>
              <w:pStyle w:val="47"/>
              <w:rPr>
                <w:rFonts w:hint="eastAsia"/>
                <w:color w:val="auto"/>
                <w:sz w:val="24"/>
                <w:shd w:val="clear" w:color="auto" w:fill="auto"/>
              </w:rPr>
            </w:pPr>
          </w:p>
          <w:p>
            <w:pPr>
              <w:pStyle w:val="47"/>
              <w:rPr>
                <w:rFonts w:hint="eastAsia"/>
                <w:color w:val="auto"/>
                <w:sz w:val="24"/>
                <w:shd w:val="clear" w:color="auto" w:fill="auto"/>
              </w:rPr>
            </w:pPr>
          </w:p>
          <w:p>
            <w:pPr>
              <w:pStyle w:val="47"/>
              <w:rPr>
                <w:rFonts w:hint="eastAsia"/>
                <w:color w:val="auto"/>
                <w:sz w:val="24"/>
                <w:shd w:val="clear" w:color="auto" w:fill="auto"/>
              </w:rPr>
            </w:pPr>
          </w:p>
          <w:p>
            <w:pPr>
              <w:spacing w:line="360" w:lineRule="auto"/>
              <w:ind w:firstLine="480" w:firstLineChars="200"/>
              <w:rPr>
                <w:color w:val="auto"/>
                <w:sz w:val="24"/>
                <w:shd w:val="clear" w:color="auto" w:fill="auto"/>
              </w:rPr>
            </w:pPr>
            <w:r>
              <w:rPr>
                <w:color w:val="auto"/>
                <w:sz w:val="24"/>
                <w:shd w:val="clear" w:color="auto" w:fill="auto"/>
              </w:rPr>
              <w:tab/>
            </w:r>
          </w:p>
        </w:tc>
      </w:tr>
    </w:tbl>
    <w:p>
      <w:pPr>
        <w:rPr>
          <w:color w:val="auto"/>
          <w:sz w:val="28"/>
          <w:shd w:val="clear" w:color="auto" w:fill="auto"/>
        </w:rPr>
        <w:sectPr>
          <w:pgSz w:w="11907" w:h="16840"/>
          <w:pgMar w:top="1440" w:right="1134" w:bottom="1134" w:left="1418" w:header="0" w:footer="898" w:gutter="0"/>
          <w:pgBorders>
            <w:top w:val="none" w:sz="0" w:space="0"/>
            <w:left w:val="none" w:sz="0" w:space="0"/>
            <w:bottom w:val="none" w:sz="0" w:space="0"/>
            <w:right w:val="none" w:sz="0" w:space="0"/>
          </w:pgBorders>
          <w:cols w:space="720" w:num="1"/>
          <w:docGrid w:linePitch="326" w:charSpace="-4916"/>
        </w:sectPr>
      </w:pPr>
    </w:p>
    <w:tbl>
      <w:tblPr>
        <w:tblStyle w:val="40"/>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6" w:hRule="atLeast"/>
        </w:trPr>
        <w:tc>
          <w:tcPr>
            <w:tcW w:w="9288" w:type="dxa"/>
          </w:tcPr>
          <w:p>
            <w:pPr>
              <w:pStyle w:val="59"/>
              <w:spacing w:before="200" w:line="240" w:lineRule="auto"/>
              <w:ind w:firstLine="0"/>
              <w:rPr>
                <w:rFonts w:eastAsia="宋体"/>
                <w:color w:val="auto"/>
                <w:szCs w:val="24"/>
                <w:shd w:val="clear" w:color="auto" w:fill="auto"/>
              </w:rPr>
            </w:pPr>
            <w:r>
              <w:rPr>
                <w:rFonts w:eastAsia="宋体"/>
                <w:color w:val="auto"/>
                <w:shd w:val="clear" w:color="auto" w:fill="auto"/>
              </w:rPr>
              <w:br w:type="page"/>
            </w:r>
            <w:r>
              <w:rPr>
                <w:rFonts w:hint="eastAsia" w:eastAsia="宋体"/>
                <w:bCs/>
                <w:color w:val="auto"/>
                <w:szCs w:val="24"/>
                <w:shd w:val="clear" w:color="auto" w:fill="auto"/>
              </w:rPr>
              <w:t>预审意见：</w:t>
            </w: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r>
              <w:rPr>
                <w:rFonts w:hint="eastAsia" w:eastAsia="宋体"/>
                <w:color w:val="auto"/>
                <w:shd w:val="clear" w:color="auto" w:fill="auto"/>
              </w:rPr>
              <w:t>　　　　　　　　　　　　　　　　　　　　　　　　　　　　　　　公　章</w:t>
            </w:r>
          </w:p>
          <w:p>
            <w:pPr>
              <w:pStyle w:val="59"/>
              <w:spacing w:before="200" w:line="240" w:lineRule="auto"/>
              <w:ind w:firstLine="0"/>
              <w:rPr>
                <w:rFonts w:eastAsia="宋体"/>
                <w:color w:val="auto"/>
                <w:shd w:val="clear" w:color="auto" w:fill="auto"/>
              </w:rPr>
            </w:pPr>
            <w:r>
              <w:rPr>
                <w:rFonts w:hint="eastAsia" w:eastAsia="宋体"/>
                <w:color w:val="auto"/>
                <w:shd w:val="clear" w:color="auto" w:fill="auto"/>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9288" w:type="dxa"/>
          </w:tcPr>
          <w:p>
            <w:pPr>
              <w:pStyle w:val="59"/>
              <w:spacing w:before="200" w:line="240" w:lineRule="auto"/>
              <w:ind w:firstLine="0"/>
              <w:rPr>
                <w:rFonts w:eastAsia="宋体"/>
                <w:bCs/>
                <w:color w:val="auto"/>
                <w:szCs w:val="24"/>
                <w:shd w:val="clear" w:color="auto" w:fill="auto"/>
              </w:rPr>
            </w:pPr>
            <w:r>
              <w:rPr>
                <w:rFonts w:hint="eastAsia" w:eastAsia="宋体"/>
                <w:bCs/>
                <w:color w:val="auto"/>
                <w:szCs w:val="24"/>
                <w:shd w:val="clear" w:color="auto" w:fill="auto"/>
              </w:rPr>
              <w:t>下一级环境保护行政主管部门审查意见：</w:t>
            </w: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r>
              <w:rPr>
                <w:rFonts w:hint="eastAsia" w:eastAsia="宋体"/>
                <w:color w:val="auto"/>
                <w:shd w:val="clear" w:color="auto" w:fill="auto"/>
              </w:rPr>
              <w:t>　　　　　　　　　　　　　　　　　　　　　　　　　　　　　　　公　章</w:t>
            </w:r>
          </w:p>
          <w:p>
            <w:pPr>
              <w:pStyle w:val="59"/>
              <w:spacing w:before="200" w:line="240" w:lineRule="auto"/>
              <w:ind w:firstLine="0"/>
              <w:rPr>
                <w:rFonts w:eastAsia="宋体"/>
                <w:color w:val="auto"/>
                <w:shd w:val="clear" w:color="auto" w:fill="auto"/>
              </w:rPr>
            </w:pPr>
            <w:r>
              <w:rPr>
                <w:rFonts w:hint="eastAsia" w:eastAsia="宋体"/>
                <w:color w:val="auto"/>
                <w:shd w:val="clear" w:color="auto" w:fill="auto"/>
              </w:rPr>
              <w:t>经办人：　　　　　　　　　　　　　　　　　　　　　　　　　　年　　月　　日</w:t>
            </w: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tc>
      </w:tr>
    </w:tbl>
    <w:tbl>
      <w:tblPr>
        <w:tblStyle w:val="40"/>
        <w:tblpPr w:leftFromText="180" w:rightFromText="180" w:vertAnchor="page" w:horzAnchor="page" w:tblpX="1320" w:tblpY="1518"/>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5" w:hRule="atLeast"/>
        </w:trPr>
        <w:tc>
          <w:tcPr>
            <w:tcW w:w="9288" w:type="dxa"/>
            <w:tcBorders>
              <w:bottom w:val="single" w:color="auto" w:sz="4" w:space="0"/>
            </w:tcBorders>
          </w:tcPr>
          <w:p>
            <w:pPr>
              <w:pStyle w:val="59"/>
              <w:spacing w:before="200" w:line="240" w:lineRule="auto"/>
              <w:ind w:firstLine="0"/>
              <w:rPr>
                <w:rFonts w:eastAsia="宋体"/>
                <w:bCs/>
                <w:color w:val="auto"/>
                <w:szCs w:val="24"/>
                <w:shd w:val="clear" w:color="auto" w:fill="auto"/>
              </w:rPr>
            </w:pPr>
            <w:r>
              <w:rPr>
                <w:rFonts w:hint="eastAsia" w:eastAsia="宋体"/>
                <w:bCs/>
                <w:color w:val="auto"/>
                <w:szCs w:val="24"/>
                <w:shd w:val="clear" w:color="auto" w:fill="auto"/>
              </w:rPr>
              <w:t>审批意见：</w:t>
            </w: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p>
          <w:p>
            <w:pPr>
              <w:pStyle w:val="59"/>
              <w:spacing w:before="200" w:line="240" w:lineRule="auto"/>
              <w:ind w:firstLine="0"/>
              <w:rPr>
                <w:rFonts w:eastAsia="宋体"/>
                <w:color w:val="auto"/>
                <w:shd w:val="clear" w:color="auto" w:fill="auto"/>
              </w:rPr>
            </w:pPr>
            <w:r>
              <w:rPr>
                <w:rFonts w:hint="eastAsia" w:eastAsia="宋体"/>
                <w:color w:val="auto"/>
                <w:shd w:val="clear" w:color="auto" w:fill="auto"/>
              </w:rPr>
              <w:t>　　　　　　　　　　　　　　　　　　　　　　　　　　　　　　　公　章</w:t>
            </w:r>
          </w:p>
          <w:p>
            <w:pPr>
              <w:pStyle w:val="59"/>
              <w:spacing w:before="200" w:line="240" w:lineRule="auto"/>
              <w:ind w:firstLine="0"/>
              <w:rPr>
                <w:rFonts w:eastAsia="宋体"/>
                <w:color w:val="auto"/>
                <w:shd w:val="clear" w:color="auto" w:fill="auto"/>
              </w:rPr>
            </w:pPr>
            <w:r>
              <w:rPr>
                <w:rFonts w:hint="eastAsia" w:eastAsia="宋体"/>
                <w:color w:val="auto"/>
                <w:shd w:val="clear" w:color="auto" w:fill="auto"/>
              </w:rPr>
              <w:t>经办人：　　　　　　　　　　　　　　　　　　　　　　　　　　　年　　月　　日</w:t>
            </w:r>
          </w:p>
        </w:tc>
      </w:tr>
    </w:tbl>
    <w:p>
      <w:pPr>
        <w:rPr>
          <w:color w:val="auto"/>
          <w:shd w:val="clear" w:color="auto" w:fill="auto"/>
        </w:rPr>
      </w:pPr>
    </w:p>
    <w:p>
      <w:pPr>
        <w:spacing w:before="60" w:after="60"/>
        <w:ind w:left="210" w:leftChars="100"/>
        <w:outlineLvl w:val="0"/>
        <w:rPr>
          <w:rFonts w:eastAsia="黑体"/>
          <w:b/>
          <w:bCs/>
          <w:color w:val="auto"/>
          <w:sz w:val="36"/>
          <w:szCs w:val="36"/>
          <w:shd w:val="clear" w:color="auto" w:fill="auto"/>
        </w:rPr>
        <w:sectPr>
          <w:headerReference r:id="rId16" w:type="default"/>
          <w:footerReference r:id="rId17" w:type="default"/>
          <w:footerReference r:id="rId18" w:type="even"/>
          <w:pgSz w:w="11907" w:h="16840"/>
          <w:pgMar w:top="1418" w:right="1304" w:bottom="1418" w:left="1304" w:header="851" w:footer="851" w:gutter="0"/>
          <w:pgBorders>
            <w:top w:val="none" w:sz="0" w:space="0"/>
            <w:left w:val="none" w:sz="0" w:space="0"/>
            <w:bottom w:val="none" w:sz="0" w:space="0"/>
            <w:right w:val="none" w:sz="0" w:space="0"/>
          </w:pgBorders>
          <w:cols w:space="425" w:num="1"/>
          <w:docGrid w:type="lines" w:linePitch="312" w:charSpace="0"/>
        </w:sectPr>
      </w:pPr>
    </w:p>
    <w:p>
      <w:pPr>
        <w:jc w:val="center"/>
        <w:rPr>
          <w:rFonts w:hint="eastAsia" w:eastAsia="宋体"/>
          <w:color w:val="auto"/>
          <w:lang w:eastAsia="zh-CN"/>
        </w:rPr>
      </w:pPr>
      <w:r>
        <w:rPr>
          <w:color w:val="auto"/>
        </w:rPr>
        <w:drawing>
          <wp:inline distT="0" distB="0" distL="114300" distR="114300">
            <wp:extent cx="8061960" cy="5370195"/>
            <wp:effectExtent l="9525" t="9525" r="24765" b="11430"/>
            <wp:docPr id="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7"/>
                    <pic:cNvPicPr>
                      <a:picLocks noChangeAspect="1"/>
                    </pic:cNvPicPr>
                  </pic:nvPicPr>
                  <pic:blipFill>
                    <a:blip r:embed="rId87"/>
                    <a:srcRect/>
                    <a:stretch>
                      <a:fillRect/>
                    </a:stretch>
                  </pic:blipFill>
                  <pic:spPr>
                    <a:xfrm>
                      <a:off x="0" y="0"/>
                      <a:ext cx="8061960" cy="5370195"/>
                    </a:xfrm>
                    <a:prstGeom prst="rect">
                      <a:avLst/>
                    </a:prstGeom>
                    <a:noFill/>
                    <a:ln>
                      <a:solidFill>
                        <a:schemeClr val="tx1"/>
                      </a:solidFill>
                    </a:ln>
                  </pic:spPr>
                </pic:pic>
              </a:graphicData>
            </a:graphic>
          </wp:inline>
        </w:drawing>
      </w:r>
      <w:r>
        <w:rPr>
          <w:color w:val="auto"/>
          <w:sz w:val="21"/>
        </w:rPr>
        <w:pict>
          <v:group id="_x0000_s2167" o:spid="_x0000_s2167" o:spt="203" style="position:absolute;left:0pt;margin-left:40.7pt;margin-top:166.1pt;height:262.4pt;width:393.2pt;z-index:251671552;mso-width-relative:page;mso-height-relative:page;" coordorigin="5392,1090915" coordsize="7864,5248">
            <o:lock v:ext="edit" aspectratio="f"/>
            <v:shape id="_x0000_s2168" o:spid="_x0000_s2168" o:spt="136" type="#_x0000_t136" style="position:absolute;left:5571;top:1095737;height:150;width:430;" fillcolor="#000000" filled="t" stroked="t" coordsize="21600,21600" adj="10800">
              <v:path/>
              <v:fill on="t" color2="#FFFFFF" focussize="0,0"/>
              <v:stroke color="#000000"/>
              <v:imagedata o:title=""/>
              <o:lock v:ext="edit" aspectratio="f"/>
              <v:textpath on="t" fitshape="t" fitpath="t" trim="t" xscale="f" string="100米" style="font-family:宋体;font-size:16pt;v-text-align:center;"/>
            </v:shape>
            <v:shape id="_x0000_s2080" o:spid="_x0000_s2080" o:spt="61" type="#_x0000_t61" style="position:absolute;left:11500;top:1090915;height:497;width:1757;" fillcolor="#FFFFFF" filled="t" stroked="t" coordsize="21600,21600" adj="-7240,45895">
              <v:path/>
              <v:fill on="t" color2="#FFFFFF" focussize="0,0"/>
              <v:stroke color="#FF0000" joinstyle="miter"/>
              <v:imagedata o:title=""/>
              <o:lock v:ext="edit" aspectratio="f"/>
              <v:textbox>
                <w:txbxContent>
                  <w:p>
                    <w:pPr>
                      <w:rPr>
                        <w:sz w:val="24"/>
                      </w:rPr>
                    </w:pPr>
                    <w:r>
                      <w:rPr>
                        <w:rFonts w:hint="eastAsia"/>
                        <w:sz w:val="24"/>
                      </w:rPr>
                      <w:t>本项目位置</w:t>
                    </w:r>
                  </w:p>
                </w:txbxContent>
              </v:textbox>
            </v:shape>
            <v:group id="组合 58" o:spid="_x0000_s2169" o:spt="203" style="position:absolute;left:5392;top:1095879;height:284;width:1707;" coordorigin="3009,1171871" coordsize="2142,284" o:gfxdata="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KefHPnb&#10;AAAACwEAAA8AAAAAAAAAAQAgAAAAIgAAAGRycy9kb3ducmV2LnhtbFBLAQIUABQAAAAIAIdO4kAq&#10;uy+yOgMAANAMAAAOAAAAAAAAAAEAIAAAACoBAABkcnMvZTJvRG9jLnhtbFBLBQYAAAAABgAGAFkB&#10;AADWBgAAAAA=&#10;">
              <o:lock v:ext="edit" aspectratio="f"/>
              <v:group id="组合 72" o:spid="_x0000_s2170" o:spt="203" style="position:absolute;left:3009;top:1171871;height:284;width:2142;" coordorigin="3009,1171871" coordsize="2142,284" o:gfxdata="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V6BSL0AAADbAAAADwAAAAAAAAABACAAAAAiAAAAZHJzL2Rvd25yZXYueG1s&#10;UEsBAhQAFAAAAAgAh07iQDMvBZ47AAAAOQAAABUAAAAAAAAAAQAgAAAADAEAAGRycy9ncm91cHNo&#10;YXBleG1sLnhtbFBLBQYAAAAABgAGAGABAADJAwAAAAA=&#10;">
                <o:lock v:ext="edit" aspectratio="f"/>
                <v:shape id="_x0000_s2171" o:spid="_x0000_s2171" style="position:absolute;left:3009;top:1172021;height:135;width:2143;" fillcolor="#FFFFFF" filled="t" stroked="t" coordsize="1260,1" path="m0,0l1245,0,1260,0e">
                  <v:fill on="t" color2="#FFFFFF" focussize="0,0"/>
                  <v:stroke weight="1.5pt" color="#000000" joinstyle="round"/>
                  <v:imagedata o:title=""/>
                  <o:lock v:ext="edit" aspectratio="f"/>
                </v:shape>
                <v:shape id="任意多边形 71" o:spid="_x0000_s2172" style="position:absolute;left:3009;top:1171871;height:150;width:1;" fillcolor="#FFFFFF" filled="t" stroked="t" coordsize="1,150" path="m0,0l0,150e">
                  <v:fill on="t" color2="#FFFFFF" focussize="0,0"/>
                  <v:stroke weight="1.5pt" color="#000000" joinstyle="round"/>
                  <v:imagedata o:title=""/>
                  <o:lock v:ext="edit" aspectratio="f"/>
                </v:shape>
              </v:group>
              <v:shape id="任意多边形 73" o:spid="_x0000_s2173" style="position:absolute;left:5139;top:1171871;height:150;width:1;" fillcolor="#FFFFFF" filled="t" stroked="t" coordsize="1,150" path="m0,0l0,150e">
                <v:fill on="t" color2="#FFFFFF" focussize="0,0"/>
                <v:stroke weight="1.5pt" color="#000000" joinstyle="round"/>
                <v:imagedata o:title=""/>
                <o:lock v:ext="edit" aspectratio="f"/>
              </v:shape>
            </v:group>
            <v:shape id="_x0000_s2081" o:spid="_x0000_s2081" o:spt="12" type="#_x0000_t12" style="position:absolute;left:10750;top:1091972;height:170;width:170;" fillcolor="#FF0000" filled="t" stroked="t" coordsize="21600,21600">
              <v:path/>
              <v:fill on="t" color2="#FFFFFF" focussize="0,0"/>
              <v:stroke color="#FF0000" joinstyle="miter"/>
              <v:imagedata o:title=""/>
              <o:lock v:ext="edit" aspectratio="f"/>
            </v:shape>
          </v:group>
        </w:pict>
      </w:r>
      <w:r>
        <w:rPr>
          <w:color w:val="auto"/>
        </w:rPr>
        <w:drawing>
          <wp:anchor distT="0" distB="0" distL="114935" distR="114935" simplePos="0" relativeHeight="2837423104" behindDoc="0" locked="0" layoutInCell="1" allowOverlap="1">
            <wp:simplePos x="0" y="0"/>
            <wp:positionH relativeFrom="column">
              <wp:posOffset>7818120</wp:posOffset>
            </wp:positionH>
            <wp:positionV relativeFrom="paragraph">
              <wp:posOffset>92075</wp:posOffset>
            </wp:positionV>
            <wp:extent cx="647700" cy="695325"/>
            <wp:effectExtent l="9525" t="9525" r="9525" b="19050"/>
            <wp:wrapNone/>
            <wp:docPr id="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pic:cNvPicPr>
                      <a:picLocks noChangeAspect="1"/>
                    </pic:cNvPicPr>
                  </pic:nvPicPr>
                  <pic:blipFill>
                    <a:blip r:embed="rId88"/>
                    <a:stretch>
                      <a:fillRect/>
                    </a:stretch>
                  </pic:blipFill>
                  <pic:spPr>
                    <a:xfrm>
                      <a:off x="0" y="0"/>
                      <a:ext cx="647700" cy="695325"/>
                    </a:xfrm>
                    <a:prstGeom prst="rect">
                      <a:avLst/>
                    </a:prstGeom>
                    <a:noFill/>
                    <a:ln>
                      <a:solidFill>
                        <a:schemeClr val="tx1"/>
                      </a:solidFill>
                    </a:ln>
                  </pic:spPr>
                </pic:pic>
              </a:graphicData>
            </a:graphic>
          </wp:anchor>
        </w:drawing>
      </w:r>
    </w:p>
    <w:p>
      <w:pPr>
        <w:widowControl/>
        <w:spacing w:before="93" w:after="93"/>
        <w:jc w:val="center"/>
        <w:outlineLvl w:val="0"/>
        <w:rPr>
          <w:rFonts w:hint="default" w:ascii="Times New Roman" w:hAnsi="Times New Roman" w:cs="Times New Roman"/>
          <w:b/>
          <w:bCs/>
          <w:color w:val="auto"/>
          <w:sz w:val="24"/>
          <w:szCs w:val="24"/>
          <w:shd w:val="clear" w:color="auto" w:fill="auto"/>
        </w:rPr>
      </w:pPr>
      <w:bookmarkStart w:id="38" w:name="_GoBack"/>
      <w:bookmarkEnd w:id="38"/>
      <w:r>
        <w:rPr>
          <w:rFonts w:hint="default" w:ascii="Times New Roman" w:hAnsi="Times New Roman" w:cs="Times New Roman"/>
          <w:color w:val="auto"/>
          <w:sz w:val="24"/>
          <w:szCs w:val="24"/>
          <w:shd w:val="clear" w:color="auto" w:fill="auto"/>
        </w:rPr>
        <w:drawing>
          <wp:anchor distT="0" distB="0" distL="114300" distR="114300" simplePos="0" relativeHeight="3428798464" behindDoc="0" locked="0" layoutInCell="1" allowOverlap="1">
            <wp:simplePos x="0" y="0"/>
            <wp:positionH relativeFrom="column">
              <wp:posOffset>4397375</wp:posOffset>
            </wp:positionH>
            <wp:positionV relativeFrom="paragraph">
              <wp:posOffset>-8357235</wp:posOffset>
            </wp:positionV>
            <wp:extent cx="1356360" cy="1356360"/>
            <wp:effectExtent l="0" t="0" r="0" b="0"/>
            <wp:wrapNone/>
            <wp:docPr id="2" name="图片 2" descr="X8O6MSH8TT`N(0HAUW~_M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X8O6MSH8TT`N(0HAUW~_MBU"/>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1356360" cy="1356360"/>
                    </a:xfrm>
                    <a:prstGeom prst="rect">
                      <a:avLst/>
                    </a:prstGeom>
                    <a:noFill/>
                  </pic:spPr>
                </pic:pic>
              </a:graphicData>
            </a:graphic>
          </wp:anchor>
        </w:drawing>
      </w:r>
      <w:r>
        <w:rPr>
          <w:rFonts w:hint="default" w:ascii="Times New Roman" w:hAnsi="Times New Roman" w:cs="Times New Roman"/>
          <w:b/>
          <w:bCs/>
          <w:color w:val="auto"/>
          <w:sz w:val="24"/>
          <w:szCs w:val="24"/>
          <w:shd w:val="clear" w:color="auto" w:fill="auto"/>
        </w:rPr>
        <w:t>附图1 项目地理位置图</w:t>
      </w:r>
    </w:p>
    <w:p>
      <w:pPr>
        <w:rPr>
          <w:color w:val="auto"/>
          <w:shd w:val="clear" w:color="auto" w:fill="auto"/>
        </w:rPr>
        <w:sectPr>
          <w:footerReference r:id="rId19" w:type="default"/>
          <w:pgSz w:w="16840" w:h="11907" w:orient="landscape"/>
          <w:pgMar w:top="1304" w:right="1418" w:bottom="1304" w:left="1418" w:header="851" w:footer="851" w:gutter="0"/>
          <w:pgBorders>
            <w:top w:val="none" w:sz="0" w:space="0"/>
            <w:left w:val="none" w:sz="0" w:space="0"/>
            <w:bottom w:val="none" w:sz="0" w:space="0"/>
            <w:right w:val="none" w:sz="0" w:space="0"/>
          </w:pgBorders>
          <w:cols w:space="425" w:num="1"/>
          <w:docGrid w:type="lines" w:linePitch="312" w:charSpace="0"/>
        </w:sectPr>
      </w:pPr>
    </w:p>
    <w:p>
      <w:pPr>
        <w:jc w:val="center"/>
        <w:rPr>
          <w:rFonts w:hint="eastAsia" w:eastAsia="宋体"/>
          <w:color w:val="auto"/>
          <w:lang w:eastAsia="zh-CN"/>
        </w:rPr>
      </w:pPr>
      <w:r>
        <w:rPr>
          <w:rFonts w:hint="eastAsia" w:eastAsia="宋体"/>
          <w:color w:val="auto"/>
          <w:lang w:eastAsia="zh-CN"/>
        </w:rPr>
        <w:drawing>
          <wp:inline distT="0" distB="0" distL="114300" distR="114300">
            <wp:extent cx="7470775" cy="5347335"/>
            <wp:effectExtent l="0" t="0" r="15875" b="5715"/>
            <wp:docPr id="10" name="图片 10" descr="1585808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85808121(1)"/>
                    <pic:cNvPicPr>
                      <a:picLocks noChangeAspect="1"/>
                    </pic:cNvPicPr>
                  </pic:nvPicPr>
                  <pic:blipFill>
                    <a:blip r:embed="rId90"/>
                    <a:srcRect/>
                    <a:stretch>
                      <a:fillRect/>
                    </a:stretch>
                  </pic:blipFill>
                  <pic:spPr>
                    <a:xfrm>
                      <a:off x="0" y="0"/>
                      <a:ext cx="7470775" cy="5347335"/>
                    </a:xfrm>
                    <a:prstGeom prst="rect">
                      <a:avLst/>
                    </a:prstGeom>
                  </pic:spPr>
                </pic:pic>
              </a:graphicData>
            </a:graphic>
          </wp:inline>
        </w:drawing>
      </w:r>
      <w:r>
        <w:rPr>
          <w:color w:val="auto"/>
        </w:rPr>
        <w:pict>
          <v:group id="_x0000_s2174" o:spid="_x0000_s2174" o:spt="203" style="position:absolute;left:0pt;margin-left:50.15pt;margin-top:4.6pt;height:421.85pt;width:603.7pt;z-index:251670528;mso-width-relative:page;mso-height-relative:page;" coordsize="7666989,5357494" editas="canvas">
            <o:lock v:ext="edit"/>
            <v:shape id="_x0000_s5684" o:spid="_x0000_s5684" o:spt="75" type="#_x0000_t75" style="position:absolute;left:0;top:0;height:5357494;width:7666989;" filled="f" stroked="f" coordsize="21600,21600">
              <v:path/>
              <v:fill on="f" focussize="0,0"/>
              <v:stroke on="f"/>
              <v:imagedata o:title=""/>
              <o:lock v:ext="edit" aspectratio="f"/>
            </v:shape>
            <v:shape id="_x0000_s5695" o:spid="_x0000_s5695" o:spt="136" type="#_x0000_t136" style="position:absolute;left:1163955;top:595630;height:161925;width:1343025;" fillcolor="#FFFF00" filled="t" stroked="t" coordsize="21600,21600" adj="10800">
              <v:path/>
              <v:fill on="t" color2="#FFFFFF" focussize="0,0"/>
              <v:stroke color="#FFFF00"/>
              <v:imagedata o:title=""/>
              <o:lock v:ext="edit" aspectratio="f"/>
              <v:textpath on="t" fitshape="t" fitpath="t" trim="t" xscale="f" string="蓝岛卫浴有限公司" style="font-family:宋体;font-size:16pt;v-text-align:center;"/>
            </v:shape>
            <v:shape id="_x0000_s5696" o:spid="_x0000_s5696" o:spt="136" type="#_x0000_t136" style="position:absolute;left:3954780;top:2881630;height:190500;width:393700;rotation:211315f;" fillcolor="#FFFF00" filled="t" stroked="t" coordsize="21600,21600" adj="10800">
              <v:path/>
              <v:fill on="t" color2="#FFFFFF" focussize="0,0"/>
              <v:stroke color="#FF0000"/>
              <v:imagedata o:title=""/>
              <o:lock v:ext="edit" aspectratio="f"/>
              <v:textpath on="t" fitshape="t" fitpath="t" trim="t" xscale="f" string="本项目" style="font-family:宋体;font-size:16pt;v-text-align:center;"/>
            </v:shape>
            <v:shape id="_x0000_s5697" o:spid="_x0000_s5697" o:spt="136" type="#_x0000_t136" style="position:absolute;left:3751580;top:4808854;height:190500;width:419100;" fillcolor="#FFFF00" filled="t" stroked="t" coordsize="21600,21600" adj="10800">
              <v:path/>
              <v:fill on="t" color2="#FFFFFF" focussize="0,0"/>
              <v:stroke color="#FFFF00"/>
              <v:imagedata o:title=""/>
              <o:lock v:ext="edit" aspectratio="f"/>
              <v:textpath on="t" fitshape="t" fitpath="t" trim="t" xscale="f" string="池塘" style="font-family:宋体;font-size:16pt;v-text-align:center;"/>
            </v:shape>
            <v:shape id="_x0000_s5700" o:spid="_x0000_s5700" o:spt="136" type="#_x0000_t136" style="position:absolute;left:6704329;top:2532380;height:190500;width:533400;" fillcolor="#FFFF00" filled="t" stroked="t" coordsize="21600,21600" adj="10800">
              <v:path/>
              <v:fill on="t" color2="#FFFFFF" focussize="0,0"/>
              <v:stroke color="#FFFF00"/>
              <v:imagedata o:title=""/>
              <o:lock v:ext="edit" aspectratio="f"/>
              <v:textpath on="t" fitshape="t" fitpath="t" trim="t" xscale="f" string="工业厂房" style="font-family:宋体;font-size:16pt;v-text-align:center;"/>
            </v:shape>
            <v:shape id="艺术字 6057" o:spid="_x0000_s5721" o:spt="136" type="#_x0000_t136" style="position:absolute;left:5088254;top:2046605;height:114300;width:266700;" fillcolor="#FFFF00" filled="t" stroked="t" coordsize="21600,21600" adj="10800">
              <v:path/>
              <v:fill on="t" color2="#FFFFFF" focussize="0,0"/>
              <v:stroke weight="0.25pt" color="#FFFF00"/>
              <v:imagedata o:title=""/>
              <o:lock v:ext="edit" aspectratio="f"/>
              <v:textpath on="t" fitshape="t" fitpath="t" trim="t" xscale="f" string="38m" style="font-family:宋体;font-size:10pt;font-weight:bold;v-text-align:center;"/>
            </v:shape>
            <v:line id="_x0000_s5722" o:spid="_x0000_s5722" o:spt="20" style="position:absolute;left:3618230;top:884555;flip:x y;height:809625;width:414020;" filled="f" stroked="t" coordsize="21600,21600">
              <v:path arrowok="t"/>
              <v:fill on="f" focussize="0,0"/>
              <v:stroke weight="1.5pt" color="#FFFF00" startarrow="block" endarrow="block"/>
              <v:imagedata o:title=""/>
              <o:lock v:ext="edit" aspectratio="f"/>
            </v:line>
            <v:shape id="艺术字 6057" o:spid="_x0000_s5723" o:spt="136" type="#_x0000_t136" style="position:absolute;left:3888105;top:1179830;height:114300;width:266700;" fillcolor="#FFFF00" filled="t" stroked="t" coordsize="21600,21600" adj="10800">
              <v:path/>
              <v:fill on="t" color2="#FFFFFF" focussize="0,0"/>
              <v:stroke weight="0.25pt" color="#FFFF00"/>
              <v:imagedata o:title=""/>
              <o:lock v:ext="edit" aspectratio="f"/>
              <v:textpath on="t" fitshape="t" fitpath="t" trim="t" xscale="f" string="35m" style="font-family:宋体;font-size:10pt;font-weight:bold;v-text-align:center;"/>
            </v:shape>
            <v:line id="_x0000_s5724" o:spid="_x0000_s5724" o:spt="20" style="position:absolute;left:3418205;top:2180590;flip:x y;height:46990;width:250190;" filled="f" stroked="t" coordsize="21600,21600">
              <v:path arrowok="t"/>
              <v:fill on="f" focussize="0,0"/>
              <v:stroke weight="1.5pt" color="#FFFF00" startarrow="block" endarrow="block"/>
              <v:imagedata o:title=""/>
              <o:lock v:ext="edit" aspectratio="f"/>
            </v:line>
            <v:shape id="艺术字 6057" o:spid="_x0000_s5725" o:spt="136" type="#_x0000_t136" style="position:absolute;left:3697605;top:2218055;height:114300;width:266700;" fillcolor="#FFFF00" filled="t" stroked="t" coordsize="21600,21600" adj="10800">
              <v:path/>
              <v:fill on="t" color2="#FFFFFF" focussize="0,0"/>
              <v:stroke weight="0.25pt" color="#FFFF00"/>
              <v:imagedata o:title=""/>
              <o:lock v:ext="edit" aspectratio="f"/>
              <v:textpath on="t" fitshape="t" fitpath="t" trim="t" xscale="f" string="13m" style="font-family:宋体;font-size:10pt;font-weight:bold;v-text-align:center;"/>
            </v:shape>
            <v:line id="_x0000_s5726" o:spid="_x0000_s5726" o:spt="20" style="position:absolute;left:4874894;top:2046605;flip:x;height:485140;width:822960;" filled="f" stroked="t" coordsize="21600,21600">
              <v:path arrowok="t"/>
              <v:fill on="f" focussize="0,0"/>
              <v:stroke weight="1.5pt" color="#FFFF00" startarrow="block" endarrow="block"/>
              <v:imagedata o:title=""/>
              <o:lock v:ext="edit" aspectratio="f"/>
            </v:line>
            <v:shape id="_x0000_s5727" o:spid="_x0000_s5727" o:spt="136" type="#_x0000_t136" style="position:absolute;left:1941830;top:3141979;height:190500;width:533400;" fillcolor="#FFFF00" filled="t" stroked="t" coordsize="21600,21600" adj="10800">
              <v:path/>
              <v:fill on="t" color2="#FFFFFF" focussize="0,0"/>
              <v:stroke color="#FFFF00"/>
              <v:imagedata o:title=""/>
              <o:lock v:ext="edit" aspectratio="f"/>
              <v:textpath on="t" fitshape="t" fitpath="t" trim="t" xscale="f" string="平冈村" style="font-family:宋体;font-size:16pt;v-text-align:center;"/>
            </v:shape>
            <v:shape id="_x0000_s5728" o:spid="_x0000_s5728" o:spt="136" type="#_x0000_t136" style="position:absolute;left:4625339;top:1631315;height:173355;width:519430;rotation:3211264f;" fillcolor="#FFFF00" filled="t" stroked="t" coordsize="21600,21600" adj="10800">
              <v:path/>
              <v:fill on="t" color2="#FFFFFF" focussize="0,0"/>
              <v:stroke color="#FFFF00"/>
              <v:imagedata o:title=""/>
              <o:lock v:ext="edit" aspectratio="f"/>
              <v:textpath on="t" fitshape="t" fitpath="t" trim="t" xscale="f" string="S364省道" style="font-family:宋体;font-size:16pt;v-text-align:center;"/>
            </v:shape>
            <v:shape id="_x0000_s5729" o:spid="_x0000_s5729" o:spt="136" type="#_x0000_t136" style="position:absolute;left:6076314;top:1646555;height:161925;width:722630;" fillcolor="#FFFF00" filled="t" stroked="t" coordsize="21600,21600" adj="10800">
              <v:path/>
              <v:fill on="t" color2="#FFFFFF" focussize="0,0"/>
              <v:stroke color="#FFFF00"/>
              <v:imagedata o:title=""/>
              <o:lock v:ext="edit" aspectratio="f"/>
              <v:textpath on="t" fitshape="t" fitpath="t" trim="t" xscale="f" string="富活钢材厂" style="font-family:宋体;font-size:16pt;v-text-align:center;"/>
            </v:shape>
            <v:shape id="_x0000_s5933" o:spid="_x0000_s5933" style="position:absolute;left:2942590;top:1729740;height:2867025;width:2495550;" filled="f" stroked="t" coordsize="3930,4515" path="m1395,60hal480,3150hal330,3120hal0,4230hal810,4515hal2370,4230hal3930,2475hal2070,0hal1395,60haxe">
              <v:fill on="f" focussize="0,0"/>
              <v:stroke weight="2pt" color="#FF0000" startarrow="block" endarrow="block"/>
              <v:imagedata o:title=""/>
              <o:lock v:ext="edit" aspectratio="f"/>
            </v:shape>
            <v:shape id="_x0000_s5934" o:spid="_x0000_s5934" style="position:absolute;left:66040;top:1461770;height:3895724;width:3524250;" filled="f" stroked="t" coordsize="5550,6135" path="m0,1440hal1710,435hal5490,0hal5550,180hal4065,5250hal3555,6120hal15,6135hal0,1440haxe">
              <v:fill on="f" focussize="0,0"/>
              <v:stroke weight="2pt" color="#FFFF00" startarrow="block" endarrow="block"/>
              <v:imagedata o:title=""/>
              <o:lock v:ext="edit" aspectratio="f"/>
            </v:shape>
            <v:shape id="_x0000_s5935" o:spid="_x0000_s5935" style="position:absolute;left:56515;top:41275;height:1181100;width:3581400;" filled="f" stroked="t" coordsize="5640,1860" path="m15,690hal840,1860hal5310,1440hal5640,1290hal5640,1065hal4800,30hal0,0hal15,690haxe">
              <v:fill on="f" focussize="0,0"/>
              <v:stroke weight="2pt" color="#FFFF00" startarrow="block" endarrow="block"/>
              <v:imagedata o:title=""/>
              <o:lock v:ext="edit" aspectratio="f"/>
            </v:shape>
            <v:shape id="_x0000_s5937" o:spid="_x0000_s5937" style="position:absolute;left:4466590;top:3346449;height:1552575;width:1266825;" filled="f" stroked="t" coordsize="1995,2445" path="m1605,0hal0,1770hal165,1995hal720,2445hal1995,570hal1605,0haxe">
              <v:fill on="f" focussize="0,0"/>
              <v:stroke weight="2pt" color="#FFFF00" startarrow="block" endarrow="block"/>
              <v:imagedata o:title=""/>
              <o:lock v:ext="edit" aspectratio="f"/>
            </v:shape>
            <v:shape id="_x0000_s5938" o:spid="_x0000_s5938" style="position:absolute;left:5457189;top:1270000;height:942975;width:2057400;" filled="f" stroked="t" coordsize="3240,1485" path="m0,390hal540,1485hal3240,1005hal3150,0hal0,390haxe">
              <v:fill on="f" focussize="0,0"/>
              <v:stroke weight="2pt" color="#FFFF00" startarrow="block" endarrow="block"/>
              <v:imagedata o:title=""/>
              <o:lock v:ext="edit" aspectratio="f"/>
            </v:shape>
            <v:shape id="_x0000_s5939" o:spid="_x0000_s5939" style="position:absolute;left:5847714;top:2022475;height:2028825;width:1676400;" filled="f" stroked="t" coordsize="2640,3195" path="m0,375hal1200,1905hal2145,2835hal2625,3195hal2640,60hal1920,0hal0,375haxe">
              <v:fill on="f" focussize="0,0"/>
              <v:stroke weight="2pt" color="#FFFF00" startarrow="block" endarrow="block"/>
              <v:imagedata o:title=""/>
              <o:lock v:ext="edit" aspectratio="f"/>
            </v:shape>
            <v:shape id="_x0000_s5941" o:spid="_x0000_s5941" o:spt="136" type="#_x0000_t136" style="position:absolute;left:4834889;top:3968749;height:167005;width:681355;rotation:-3014656f;" fillcolor="#FFFF00" filled="t" stroked="t" coordsize="21600,21600" adj="10800">
              <v:path/>
              <v:fill on="t" color2="#FFFFFF" focussize="0,0"/>
              <v:stroke color="#FFFF00"/>
              <v:imagedata o:title=""/>
              <o:lock v:ext="edit" aspectratio="f"/>
              <v:textpath on="t" fitshape="t" fitpath="t" trim="t" xscale="f" string="林兴压铸厂" style="font-family:宋体;font-size:16pt;v-text-align:center;"/>
            </v:shape>
            <v:shape id="_x0000_s5942" o:spid="_x0000_s5942" style="position:absolute;left:1142365;top:1573530;height:971550;width:2351405;" filled="f" stroked="t" coordsize="3570,1530" path="m0,375hal0,540hal165,930hal3240,1530hal3570,300hal3315,0hal0,375haxe">
              <v:fill on="f" focussize="0,0"/>
              <v:stroke weight="2pt" color="#FFFF00" startarrow="block" endarrow="block"/>
              <v:imagedata o:title=""/>
              <o:lock v:ext="edit" aspectratio="f"/>
            </v:shape>
            <v:shape id="_x0000_s5943" o:spid="_x0000_s5943" o:spt="136" type="#_x0000_t136" style="position:absolute;left:1771015;top:1865630;height:171450;width:685165;" fillcolor="#FFFF00" filled="t" stroked="t" coordsize="21600,21600" adj="10800">
              <v:path/>
              <v:fill on="t" color2="#FFFFFF" focussize="0,0"/>
              <v:stroke color="#FFFF00"/>
              <v:imagedata o:title=""/>
              <o:lock v:ext="edit" aspectratio="f"/>
              <v:textpath on="t" fitshape="t" fitpath="t" trim="t" xscale="f" string="平冈卫生站" style="font-family:宋体;font-size:16pt;v-text-align:center;"/>
            </v:shape>
            <v:shape id="_x0000_s5944" o:spid="_x0000_s5944" style="position:absolute;left:3380740;top:47625;height:5010149;width:4143375;" filled="f" stroked="t" coordsize="6525,7890" path="m0,0hal3735,5058hal6150,7635hal6525,7890hae">
              <v:path arrowok="t"/>
              <v:fill on="f" focussize="0,0"/>
              <v:stroke weight="2pt" color="#000000" dashstyle="dash"/>
              <v:imagedata o:title=""/>
              <o:lock v:ext="edit" aspectratio="f"/>
            </v:shape>
            <v:shape id="_x0000_s5945" o:spid="_x0000_s5945" style="position:absolute;left:3971289;top:26670;height:4608194;width:3552825;" filled="f" stroked="t" coordsize="5595,7257" path="m0,0hal3480,5016hal5595,7257hae">
              <v:path arrowok="t"/>
              <v:fill on="f" focussize="0,0"/>
              <v:stroke weight="2pt" color="#000000" dashstyle="dash"/>
              <v:imagedata o:title=""/>
              <o:lock v:ext="edit" aspectratio="f"/>
            </v:shape>
            <v:group id="_x0000_s5946" o:spid="_x0000_s5946" o:spt="203" style="position:absolute;left:6551929;top:5173979;height:139700;width:727710;" coordorigin="3009,1171871" coordsize="2142,284" o:gfxdata="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GSj9bNoAAAAKAQAADwAAAAAAAAABACAAAAAiAAAA&#10;ZHJzL2Rvd25yZXYueG1sUEsBAhQAFAAAAAgAh07iQA7FSmIiAwAAPwwAAA4AAAAAAAAAAQAgAAAA&#10;KQEAAGRycy9lMm9Eb2MueG1sUEsFBgAAAAAGAAYAWQEAAL0GAAAAAA==&#10;">
              <o:lock v:ext="edit" aspectratio="f"/>
              <v:group id="组合 72" o:spid="_x0000_s5947" o:spt="203" style="position:absolute;left:3009;top:1171871;height:284;width:2142;" coordorigin="3009,1171871" coordsize="2142,284"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_x0000_s5948" o:spid="_x0000_s5948" o:spt="100" style="position:absolute;left:3009;top:1172021;height:135;width:2143;" filled="f" stroked="t" coordsize="1260,1" o:gfxdata="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wX5b4A&#10;AADbAAAADwAAAAAAAAABACAAAAAiAAAAZHJzL2Rvd25yZXYueG1sUEsBAhQAFAAAAAgAh07iQDMv&#10;BZ47AAAAOQAAABAAAAAAAAAAAQAgAAAADQEAAGRycy9zaGFwZXhtbC54bWxQSwUGAAAAAAYABgBb&#10;AQAAtwMAAAAA&#10;" path="m0,0l1245,0,1260,0e">
                  <v:fill on="f" focussize="0,0"/>
                  <v:stroke weight="1.5pt" color="#000000" joinstyle="round"/>
                  <v:imagedata o:title=""/>
                  <o:lock v:ext="edit" aspectratio="f"/>
                </v:shape>
                <v:shape id="任意多边形 71" o:spid="_x0000_s5949" o:spt="100" style="position:absolute;left:3009;top:1171871;height:150;width:1;" filled="f" stroked="t" coordsize="1,150" o:gfxdata="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krMjtwAAANsAAAAP&#10;AAAAAAAAAAEAIAAAACIAAABkcnMvZG93bnJldi54bWxQSwECFAAUAAAACACHTuJAMy8FnjsAAAA5&#10;AAAAEAAAAAAAAAABACAAAAAGAQAAZHJzL3NoYXBleG1sLnhtbFBLBQYAAAAABgAGAFsBAACwAwAA&#10;AAA=&#10;" path="m0,0l0,150e">
                  <v:fill on="f" focussize="0,0"/>
                  <v:stroke weight="1.5pt" color="#000000" joinstyle="round"/>
                  <v:imagedata o:title=""/>
                  <o:lock v:ext="edit" aspectratio="f"/>
                </v:shape>
              </v:group>
              <v:shape id="任意多边形 73" o:spid="_x0000_s5950" o:spt="100" style="position:absolute;left:5139;top:1171871;height:150;width:1;" filled="f" stroked="t" coordsize="1,150" o:gfxdata="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94WuLsAAADb&#10;AAAADwAAAAAAAAABACAAAAAiAAAAZHJzL2Rvd25yZXYueG1sUEsBAhQAFAAAAAgAh07iQDMvBZ47&#10;AAAAOQAAABAAAAAAAAAAAQAgAAAACgEAAGRycy9zaGFwZXhtbC54bWxQSwUGAAAAAAYABgBbAQAA&#10;tAMAAAAA&#10;" path="m0,0l0,150e">
                <v:fill on="f" focussize="0,0"/>
                <v:stroke weight="1.5pt" color="#000000" joinstyle="round"/>
                <v:imagedata o:title=""/>
                <o:lock v:ext="edit" aspectratio="f"/>
              </v:shape>
            </v:group>
            <v:shape id="_x0000_s5951" o:spid="_x0000_s5951" o:spt="136" type="#_x0000_t136" style="position:absolute;left:6640829;top:5046979;height:114300;width:266700;" fillcolor="#000000" filled="t" stroked="t" coordsize="21600,21600" adj="10800">
              <v:path/>
              <v:fill on="t" color2="#FFFFFF" focussize="0,0"/>
              <v:stroke color="#000000"/>
              <v:imagedata o:title=""/>
              <o:lock v:ext="edit" aspectratio="f"/>
              <v:textpath on="t" fitshape="t" fitpath="t" trim="t" xscale="f" string="20米" style="font-family:宋体;font-size:16pt;v-text-align:center;"/>
            </v:shape>
            <v:shape id="_x0000_s5952" o:spid="_x0000_s5952" o:spt="83" type="#_x0000_t83" style="position:absolute;left:5459729;top:3189604;height:177800;width:76200;" fillcolor="#FF0000" filled="t" stroked="t" coordsize="21600,21600" adj="5400,8100,2700,9450">
              <v:path/>
              <v:fill on="t" color2="#FFFFFF" focussize="0,0"/>
              <v:stroke color="#000000" joinstyle="miter"/>
              <v:imagedata o:title=""/>
              <o:lock v:ext="edit" aspectratio="f"/>
            </v:shape>
            <v:shape id="_x0000_s5953" o:spid="_x0000_s5953" o:spt="83" type="#_x0000_t83" style="position:absolute;left:3221355;top:2961005;height:177800;width:76200;rotation:917504f;" fillcolor="#FF0000" filled="t" stroked="t" coordsize="21600,21600" adj="5400,8100,2700,9450">
              <v:path/>
              <v:fill on="t" color2="#FFFFFF" focussize="0,0"/>
              <v:stroke color="#000000" joinstyle="miter"/>
              <v:imagedata o:title=""/>
              <o:lock v:ext="edit" aspectratio="f"/>
            </v:shape>
            <v:shape id="_x0000_s5954" o:spid="_x0000_s5954" o:spt="83" type="#_x0000_t83" style="position:absolute;left:3818255;top:4513579;height:177800;width:76200;rotation:-327680f;" fillcolor="#FF0000" filled="t" stroked="t" coordsize="21600,21600" adj="5400,8100,2700,9450">
              <v:path/>
              <v:fill on="t" color2="#FFFFFF" focussize="0,0"/>
              <v:stroke color="#000000" joinstyle="miter"/>
              <v:imagedata o:title=""/>
              <o:lock v:ext="edit" aspectratio="f"/>
            </v:shape>
            <v:shape id="_x0000_s5955" o:spid="_x0000_s5955" o:spt="83" type="#_x0000_t83" style="position:absolute;left:4018280;top:1583055;height:177800;width:76200;" fillcolor="#FF0000" filled="t" stroked="t" coordsize="21600,21600" adj="5400,8100,2700,9450">
              <v:path/>
              <v:fill on="t" color2="#FFFFFF" focussize="0,0"/>
              <v:stroke color="#000000" joinstyle="miter"/>
              <v:imagedata o:title=""/>
              <o:lock v:ext="edit" aspectratio="f"/>
            </v:shape>
            <v:shape id="艺术字 6057" o:spid="_x0000_s5956" o:spt="136" type="#_x0000_t136" style="position:absolute;left:5567679;top:3253104;height:101600;width:139700;" fillcolor="#FF0000" filled="t" stroked="t" coordsize="21600,21600" adj="10800">
              <v:path/>
              <v:fill on="t" color2="#FFFFFF" focussize="0,0"/>
              <v:stroke weight="0.25pt" color="#FF0000"/>
              <v:imagedata o:title=""/>
              <o:lock v:ext="edit" aspectratio="f"/>
              <v:textpath on="t" fitshape="t" fitpath="t" trim="t" xscale="f" string="N1" style="font-family:宋体;font-size:10pt;font-weight:bold;v-text-align:center;"/>
            </v:shape>
            <v:shape id="艺术字 6057" o:spid="_x0000_s5957" o:spt="136" type="#_x0000_t136" style="position:absolute;left:3935730;top:4561204;height:101600;width:139700;" fillcolor="#FF0000" filled="t" stroked="t" coordsize="21600,21600" adj="10800">
              <v:path/>
              <v:fill on="t" color2="#FFFFFF" focussize="0,0"/>
              <v:stroke weight="0.25pt" color="#FF0000"/>
              <v:imagedata o:title=""/>
              <o:lock v:ext="edit" aspectratio="f"/>
              <v:textpath on="t" fitshape="t" fitpath="t" trim="t" xscale="f" string="N2" style="font-family:宋体;font-size:10pt;font-weight:bold;v-text-align:center;"/>
            </v:shape>
            <v:shape id="艺术字 6057" o:spid="_x0000_s5958" o:spt="136" type="#_x0000_t136" style="position:absolute;left:3065780;top:2970530;height:101600;width:139700;rotation:1048576f;" fillcolor="#FF0000" filled="t" stroked="t" coordsize="21600,21600" adj="10800">
              <v:path/>
              <v:fill on="t" color2="#FFFFFF" focussize="0,0"/>
              <v:stroke weight="0.25pt" color="#FF0000"/>
              <v:imagedata o:title=""/>
              <o:lock v:ext="edit" aspectratio="f"/>
              <v:textpath on="t" fitshape="t" fitpath="t" trim="t" xscale="f" string="N3" style="font-family:宋体;font-size:10pt;font-weight:bold;v-text-align:center;"/>
            </v:shape>
            <v:shape id="艺术字 6057" o:spid="_x0000_s5959" o:spt="136" type="#_x0000_t136" style="position:absolute;left:4142105;top:1570355;height:101600;width:139700;rotation:-720896f;" fillcolor="#FF0000" filled="t" stroked="t" coordsize="21600,21600" adj="10800">
              <v:path/>
              <v:fill on="t" color2="#FFFFFF" focussize="0,0"/>
              <v:stroke weight="0.25pt" color="#FF0000"/>
              <v:imagedata o:title=""/>
              <o:lock v:ext="edit" aspectratio="f"/>
              <v:textpath on="t" fitshape="t" fitpath="t" trim="t" xscale="f" string="N4" style="font-family:宋体;font-size:10pt;font-weight:bold;v-text-align:center;"/>
            </v:shape>
            <v:shape id="文本框 34" o:spid="_x0000_s5960" o:spt="202" type="#_x0000_t202" style="position:absolute;left:5704204;top:46355;height:533400;width:1816100;" fillcolor="#FFFFFF" filled="t" stroked="t" coordsize="21600,21600">
              <v:path/>
              <v:fill on="t" color2="#FFFFFF" focussize="0,0"/>
              <v:stroke color="#000000" joinstyle="miter"/>
              <v:imagedata o:title=""/>
              <o:lock v:ext="edit" aspectratio="f"/>
              <v:textbox>
                <w:txbxContent>
                  <w:p>
                    <w:pPr>
                      <w:jc w:val="center"/>
                      <w:rPr>
                        <w:color w:val="FF00FF"/>
                        <w:sz w:val="24"/>
                        <w:szCs w:val="24"/>
                      </w:rPr>
                    </w:pPr>
                    <w:r>
                      <w:rPr>
                        <w:rFonts w:hint="eastAsia"/>
                        <w:b/>
                        <w:bCs/>
                        <w:sz w:val="24"/>
                        <w:szCs w:val="24"/>
                      </w:rPr>
                      <w:t>图  例</w:t>
                    </w:r>
                  </w:p>
                  <w:p>
                    <w:pPr>
                      <w:ind w:firstLine="360" w:firstLineChars="150"/>
                      <w:rPr>
                        <w:rFonts w:hint="eastAsia"/>
                      </w:rPr>
                    </w:pPr>
                    <w:r>
                      <w:rPr>
                        <w:rFonts w:hint="eastAsia"/>
                        <w:sz w:val="24"/>
                        <w:szCs w:val="24"/>
                      </w:rPr>
                      <w:t>声环境现状监测点</w:t>
                    </w:r>
                  </w:p>
                </w:txbxContent>
              </v:textbox>
            </v:shape>
            <v:shape id="图片 16" o:spid="_x0000_s5932" o:spt="75" type="#_x0000_t75" style="position:absolute;left:65405;top:47625;height:685800;width:647700;" filled="f" o:preferrelative="t" stroked="t" coordsize="21600,21600">
              <v:path/>
              <v:fill on="f" focussize="0,0"/>
              <v:stroke color="#000000" joinstyle="round"/>
              <v:imagedata r:id="rId88" o:title=""/>
              <o:lock v:ext="edit" aspectratio="t"/>
            </v:shape>
            <v:shape id="_x0000_s5961" o:spid="_x0000_s5961" o:spt="83" type="#_x0000_t83" style="position:absolute;left:5913754;top:294005;height:177800;width:76200;rotation:196608f;" fillcolor="#FF0000" filled="t" stroked="t" coordsize="21600,21600" adj="5400,8100,2700,9450">
              <v:path/>
              <v:fill on="t" color2="#FFFFFF" focussize="0,0"/>
              <v:stroke color="#000000" joinstyle="miter"/>
              <v:imagedata o:title=""/>
              <o:lock v:ext="edit" aspectratio="f"/>
            </v:shape>
          </v:group>
        </w:pict>
      </w:r>
    </w:p>
    <w:p>
      <w:pPr>
        <w:pStyle w:val="38"/>
        <w:spacing w:before="0"/>
        <w:rPr>
          <w:rFonts w:hint="eastAsia"/>
          <w:color w:val="auto"/>
          <w:lang w:eastAsia="zh-CN"/>
        </w:rPr>
      </w:pPr>
      <w:r>
        <w:rPr>
          <w:rFonts w:hint="default" w:ascii="Times New Roman" w:hAnsi="Times New Roman" w:cs="Times New Roman"/>
          <w:color w:val="auto"/>
          <w:sz w:val="24"/>
          <w:szCs w:val="24"/>
          <w:shd w:val="clear" w:color="auto" w:fill="auto"/>
        </w:rPr>
        <w:t>附图2 项目</w:t>
      </w:r>
      <w:r>
        <w:rPr>
          <w:rFonts w:hint="default" w:ascii="Times New Roman" w:hAnsi="Times New Roman" w:cs="Times New Roman"/>
          <w:color w:val="auto"/>
          <w:sz w:val="24"/>
          <w:szCs w:val="24"/>
          <w:shd w:val="clear" w:color="auto" w:fill="auto"/>
          <w:lang w:eastAsia="zh-CN"/>
        </w:rPr>
        <w:t>四至</w:t>
      </w:r>
      <w:r>
        <w:rPr>
          <w:rFonts w:hint="default" w:ascii="Times New Roman" w:hAnsi="Times New Roman" w:cs="Times New Roman"/>
          <w:color w:val="auto"/>
          <w:sz w:val="24"/>
          <w:szCs w:val="24"/>
          <w:shd w:val="clear" w:color="auto" w:fill="auto"/>
        </w:rPr>
        <w:t>图（噪声监测点位图）</w:t>
      </w:r>
    </w:p>
    <w:p>
      <w:pPr>
        <w:jc w:val="left"/>
        <w:rPr>
          <w:rFonts w:hint="eastAsia"/>
          <w:color w:val="auto"/>
          <w:lang w:eastAsia="zh-CN"/>
        </w:rPr>
        <w:sectPr>
          <w:pgSz w:w="16840" w:h="11907" w:orient="landscape"/>
          <w:pgMar w:top="1304" w:right="1418" w:bottom="1304" w:left="1418" w:header="851" w:footer="851" w:gutter="0"/>
          <w:pgBorders>
            <w:top w:val="none" w:sz="0" w:space="0"/>
            <w:left w:val="none" w:sz="0" w:space="0"/>
            <w:bottom w:val="none" w:sz="0" w:space="0"/>
            <w:right w:val="none" w:sz="0" w:space="0"/>
          </w:pgBorders>
          <w:cols w:space="425" w:num="1"/>
          <w:docGrid w:type="lines" w:linePitch="312" w:charSpace="0"/>
        </w:sectPr>
      </w:pPr>
    </w:p>
    <w:p>
      <w:pPr>
        <w:pStyle w:val="47"/>
        <w:rPr>
          <w:color w:val="auto"/>
        </w:rPr>
      </w:pPr>
      <w:r>
        <w:rPr>
          <w:color w:val="auto"/>
          <w:sz w:val="21"/>
        </w:rPr>
        <w:pict>
          <v:shape id="_x0000_s5831" o:spid="_x0000_s5831" style="position:absolute;left:0pt;margin-left:128.5pt;margin-top:191.6pt;height:244.45pt;width:135pt;z-index:-866163712;mso-width-relative:page;mso-height-relative:page;" filled="f" stroked="t" coordsize="1965,3240" path="m885,0hal0,2895hal1230,3240hal1965,300hal885,0haxe">
            <v:fill on="f" focussize="0,0"/>
            <v:stroke weight="2pt" color="#000000" startarrow="block" endarrow="block"/>
            <v:imagedata o:title=""/>
            <o:lock v:ext="edit" aspectratio="f"/>
          </v:shape>
        </w:pict>
      </w:r>
      <w:r>
        <w:rPr>
          <w:color w:val="auto"/>
          <w:sz w:val="21"/>
        </w:rPr>
        <w:pict>
          <v:shape id="_x0000_s5830" o:spid="_x0000_s5830" style="position:absolute;left:0pt;margin-left:91.75pt;margin-top:404.6pt;height:100.5pt;width:135.8pt;z-index:-866162688;mso-width-relative:page;mso-height-relative:page;" filled="f" stroked="t" coordsize="1905,1365" path="m300,0hal0,1125hal750,1365hal1725,1275hal1905,495hal300,0haxe">
            <v:fill on="f" focussize="0,0"/>
            <v:stroke weight="2pt" color="#000000" startarrow="block" endarrow="block"/>
            <v:imagedata o:title=""/>
            <o:lock v:ext="edit" aspectratio="f"/>
          </v:shape>
        </w:pict>
      </w:r>
      <w:r>
        <w:rPr>
          <w:color w:val="auto"/>
          <w:sz w:val="21"/>
        </w:rPr>
        <w:pict>
          <v:shape id="_x0000_s5828" o:spid="_x0000_s5828" style="position:absolute;left:0pt;margin-left:279.25pt;margin-top:315.35pt;height:112.45pt;width:76.5pt;z-index:-866160640;mso-width-relative:page;mso-height-relative:page;" filled="f" stroked="t" coordsize="990,1410" path="m600,0hal75,330hal0,1215hal195,1410hal990,540hal600,0haxe">
            <v:fill on="f" focussize="0,0"/>
            <v:stroke weight="2pt" color="#000000" startarrow="block" endarrow="block"/>
            <v:imagedata o:title=""/>
            <o:lock v:ext="edit" aspectratio="f"/>
          </v:shape>
        </w:pict>
      </w:r>
      <w:r>
        <w:rPr>
          <w:color w:val="auto"/>
          <w:sz w:val="21"/>
        </w:rPr>
        <w:pict>
          <v:shape id="_x0000_s5829" o:spid="_x0000_s5829" style="position:absolute;left:0pt;margin-left:249.25pt;margin-top:273.35pt;height:210.7pt;width:146.15pt;z-index:-866161664;mso-width-relative:page;mso-height-relative:page;" filled="f" stroked="t" coordsize="2055,2970" path="m1260,0hal210,765hal0,2310hal465,2970hal2055,1035hal1260,0haxe">
            <v:fill on="f" focussize="0,0"/>
            <v:stroke weight="2pt" color="#000000" startarrow="block" endarrow="block"/>
            <v:imagedata o:title=""/>
            <o:lock v:ext="edit" aspectratio="f"/>
          </v:shape>
        </w:pict>
      </w:r>
      <w:r>
        <w:rPr>
          <w:color w:val="auto"/>
        </w:rPr>
        <w:pict>
          <v:group id="_x0000_s5832" o:spid="_x0000_s5832" o:spt="203" style="position:absolute;left:0pt;margin-left:-4.95pt;margin-top:5.3pt;height:635.55pt;width:468.75pt;z-index:-866164736;mso-width-relative:page;mso-height-relative:page;" coordsize="5953124,8071483" editas="canvas">
            <o:lock v:ext="edit"/>
            <v:shape id="_x0000_s5833" o:spid="_x0000_s5833" o:spt="75" type="#_x0000_t75" style="position:absolute;left:0;top:0;height:8071483;width:5953124;" filled="f" stroked="t" coordsize="21600,21600">
              <v:fill on="f" focussize="0,0"/>
              <v:stroke color="#000000" joinstyle="miter"/>
              <v:imagedata o:title=""/>
              <o:lock v:ext="edit" aspectratio="f"/>
            </v:shape>
            <v:shape id="_x0000_s5834" o:spid="_x0000_s5834" style="position:absolute;left:1104265;top:1724660;height:4762499;width:4078604;" filled="f" stroked="t" coordsize="6423,7500" path="m3305,0hal2230,193hal865,5188hal565,5113hal0,7062hal1361,7500hal4030,7246hal6423,4108hal3305,0haxe">
              <v:fill on="f" focussize="0,0"/>
              <v:stroke weight="2pt" color="#000000" startarrow="block" endarrow="block"/>
              <v:imagedata o:title=""/>
              <o:lock v:ext="edit" aspectratio="f"/>
            </v:shape>
            <v:shape id="_x0000_s5855" o:spid="_x0000_s5855" style="position:absolute;left:3408044;top:4100829;height:178435;width:270510;" filled="f" stroked="t" coordsize="350,220" path="m0,0hal330,220hal350,210hae">
              <v:path arrowok="t"/>
              <v:fill on="f" focussize="0,0"/>
              <v:stroke weight="2pt" color="#000000"/>
              <v:imagedata o:title=""/>
              <o:lock v:ext="edit" aspectratio="f"/>
            </v:shape>
            <v:shape id="_x0000_s5856" o:spid="_x0000_s5856" style="position:absolute;left:4366894;top:3878579;height:285750;width:349250;" filled="f" stroked="t" coordsize="430,300" path="m0,300hal430,0hae">
              <v:path arrowok="t"/>
              <v:fill on="f" focussize="0,0"/>
              <v:stroke weight="2pt" color="#000000"/>
              <v:imagedata o:title=""/>
              <o:lock v:ext="edit" aspectratio="f"/>
            </v:shape>
            <v:shape id="_x0000_s5857" o:spid="_x0000_s5857" style="position:absolute;left:3427094;top:5361304;height:428625;width:371475;" filled="f" stroked="t" coordsize="480,480" path="m480,0hal0,480hae">
              <v:path arrowok="t"/>
              <v:fill on="f" focussize="0,0"/>
              <v:stroke weight="2pt" color="#000000"/>
              <v:imagedata o:title=""/>
              <o:lock v:ext="edit" aspectratio="f"/>
            </v:shape>
            <v:shape id="_x0000_s5858" o:spid="_x0000_s5858" style="position:absolute;left:4547869;top:4489449;height:202565;width:259080;rotation:589824f;" filled="f" stroked="t" coordsize="250,190" path="m0,0hal250,190hae">
              <v:path arrowok="t"/>
              <v:fill on="f" focussize="0,0"/>
              <v:stroke weight="2pt" color="#000000"/>
              <v:imagedata o:title=""/>
              <o:lock v:ext="edit" aspectratio="f"/>
            </v:shape>
            <v:shape id="_x0000_s5859" o:spid="_x0000_s5859" style="position:absolute;left:5059679;top:4142105;height:0;width:88900;rotation:-2490368f;" filled="f" stroked="t" coordsize="150,1" path="m0,0hal150,0hae">
              <v:path arrowok="t"/>
              <v:fill on="f" focussize="0,0"/>
              <v:stroke weight="2pt" color="#000000"/>
              <v:imagedata o:title=""/>
              <o:lock v:ext="edit" aspectratio="f"/>
            </v:shape>
            <v:shape id="_x0000_s5860" o:spid="_x0000_s5860" style="position:absolute;left:4913629;top:3935730;height:0;width:88900;rotation:-2162688f;" filled="f" stroked="t" coordsize="150,1" path="m0,0hal150,0hae">
              <v:path arrowok="t"/>
              <v:fill on="f" focussize="0,0"/>
              <v:stroke weight="2pt" color="#000000"/>
              <v:imagedata o:title=""/>
              <o:lock v:ext="edit" aspectratio="f"/>
            </v:shape>
            <v:shape id="_x0000_s5861" o:spid="_x0000_s5861" o:spt="136" type="#_x0000_t136" style="position:absolute;left:5034279;top:3789680;height:139700;width:393700;rotation:-7929856f;" fillcolor="#000000" filled="t" stroked="t" coordsize="21600,21600" adj="10800">
              <v:path/>
              <v:fill on="t" color2="#FFFFFF" focussize="0,0"/>
              <v:stroke color="#000000"/>
              <v:imagedata o:title=""/>
              <o:lock v:ext="edit" aspectratio="f"/>
              <v:textpath on="t" fitshape="t" fitpath="t" trim="t" xscale="f" string="厂区入口" style="font-family:宋体;font-size:16pt;v-text-align:center;"/>
            </v:shape>
            <v:shape id="_x0000_s5862" o:spid="_x0000_s5862" o:spt="136" type="#_x0000_t136" style="position:absolute;left:2246630;top:3875404;height:203200;width:736600;" fillcolor="#000000" filled="t" stroked="t" coordsize="21600,21600" adj="10800">
              <v:path/>
              <v:fill on="t" color2="#FFFFFF" focussize="0,0"/>
              <v:stroke color="#000000"/>
              <v:imagedata o:title=""/>
              <o:lock v:ext="edit" aspectratio="f"/>
              <v:textpath on="t" fitshape="t" fitpath="t" trim="t" xscale="f" string="机加工车间" style="font-family:宋体;font-size:16pt;v-text-align:center;"/>
            </v:shape>
            <v:shape id="_x0000_s5863" o:spid="_x0000_s5863" style="position:absolute;left:2196465;top:3399154;height:200025;width:1009650;rotation:196608f;" filled="f" stroked="t" coordsize="1590,315" path="m0,0hal1590,315hae">
              <v:path arrowok="t"/>
              <v:fill on="f" focussize="0,0"/>
              <v:stroke weight="2pt" color="#000000"/>
              <v:imagedata o:title=""/>
              <o:lock v:ext="edit" aspectratio="f"/>
            </v:shape>
            <v:shape id="_x0000_s5864" o:spid="_x0000_s5864" o:spt="136" type="#_x0000_t136" style="position:absolute;left:3747769;top:5111114;height:180340;width:802640;rotation:-3276800f;" fillcolor="#000000" filled="t" stroked="t" coordsize="21600,21600" adj="10800">
              <v:path/>
              <v:fill on="t" color2="#FFFFFF" focussize="0,0"/>
              <v:stroke color="#000000"/>
              <v:imagedata o:title=""/>
              <o:lock v:ext="edit" aspectratio="f"/>
              <v:textpath on="t" fitshape="t" fitpath="t" trim="t" xscale="f" string="组装、测试车间" style="font-family:宋体;font-size:16pt;v-text-align:center;"/>
            </v:shape>
            <v:shape id="_x0000_s5865" o:spid="_x0000_s5865" o:spt="136" type="#_x0000_t136" style="position:absolute;left:3980179;top:3703955;height:215900;width:393700;" fillcolor="#000000" filled="t" stroked="t" coordsize="21600,21600" adj="10800">
              <v:path/>
              <v:fill on="t" color2="#FFFFFF" focussize="0,0"/>
              <v:stroke color="#000000"/>
              <v:imagedata o:title=""/>
              <o:lock v:ext="edit" aspectratio="f"/>
              <v:textpath on="t" fitshape="t" fitpath="t" trim="t" xscale="f" string="办公室" style="font-family:宋体;font-size:16pt;v-text-align:center;"/>
            </v:shape>
            <v:shape id="_x0000_s5866" o:spid="_x0000_s5866" o:spt="136" type="#_x0000_t136" style="position:absolute;left:2580005;top:2894330;height:190500;width:390525;" fillcolor="#000000" filled="t" stroked="t" coordsize="21600,21600" adj="10800">
              <v:path/>
              <v:fill on="t" color2="#FFFFFF" focussize="0,0"/>
              <v:stroke color="#000000"/>
              <v:imagedata o:title=""/>
              <o:lock v:ext="edit" aspectratio="f"/>
              <v:textpath on="t" fitshape="t" fitpath="t" trim="t" xscale="f" string="仓库" style="font-family:宋体;font-size:16pt;v-text-align:center;"/>
            </v:shape>
            <v:shape id="_x0000_s5867" o:spid="_x0000_s5867" o:spt="136" type="#_x0000_t136" style="position:absolute;left:1688465;top:5913754;height:192405;width:487680;rotation:786432f;" fillcolor="#000000" filled="t" stroked="t" coordsize="21600,21600" adj="10800">
              <v:path/>
              <v:fill on="t" color2="#FFFFFF" focussize="0,0"/>
              <v:stroke color="#000000"/>
              <v:imagedata o:title=""/>
              <o:lock v:ext="edit" aspectratio="f"/>
              <v:textpath on="t" fitshape="t" fitpath="t" trim="t" xscale="f" string="抛光车间" style="font-family:宋体;font-size:16pt;v-text-align:center;"/>
            </v:shape>
            <v:shape id="_x0000_s5868" o:spid="_x0000_s5868" style="position:absolute;left:1367790;top:5603239;height:381000;width:1485900;" filled="f" stroked="t" coordsize="2340,600" path="m0,0hal2340,600hae">
              <v:path arrowok="t"/>
              <v:fill on="f" focussize="0,0"/>
              <v:stroke weight="2pt" color="#000000"/>
              <v:imagedata o:title=""/>
              <o:lock v:ext="edit" aspectratio="f"/>
            </v:shape>
            <v:shape id="_x0000_s5869" o:spid="_x0000_s5869" o:spt="136" type="#_x0000_t136" style="position:absolute;left:1941830;top:5456554;height:190500;width:495300;rotation:720896f;" fillcolor="#000000" filled="t" stroked="t" coordsize="21600,21600" adj="10800">
              <v:path/>
              <v:fill on="t" color2="#FFFFFF" focussize="0,0"/>
              <v:stroke color="#000000"/>
              <v:imagedata o:title=""/>
              <o:lock v:ext="edit" aspectratio="f"/>
              <v:textpath on="t" fitshape="t" fitpath="t" trim="t" xscale="f" string="铸造车间" style="font-family:宋体;font-size:16pt;v-text-align:center;"/>
            </v:shape>
            <v:shape id="_x0000_s5870" o:spid="_x0000_s5870" o:spt="136" type="#_x0000_t136" style="position:absolute;left:3265805;top:4789804;height:190500;width:381000;rotation:-5242880f;" fillcolor="#000000" filled="t" stroked="t" coordsize="21600,21600" adj="10800">
              <v:path/>
              <v:fill on="t" color2="#FFFFFF" focussize="0,0"/>
              <v:stroke color="#000000"/>
              <v:imagedata o:title=""/>
              <o:lock v:ext="edit" aspectratio="f"/>
              <v:textpath on="t" fitshape="t" fitpath="t" trim="t" xscale="f" string="仓库" style="font-family:宋体;font-size:16pt;v-text-align:center;"/>
            </v:shape>
            <v:rect id="_x0000_s5871" o:spid="_x0000_s5871" o:spt="1" style="position:absolute;left:2002155;top:4187824;height:451485;width:230505;rotation:1114112f;" filled="f" stroked="t" coordsize="21600,21600">
              <v:path/>
              <v:fill on="f" focussize="0,0"/>
              <v:stroke weight="2pt" color="#000000" joinstyle="miter" startarrow="block" endarrow="block"/>
              <v:imagedata o:title=""/>
              <o:lock v:ext="edit" aspectratio="f"/>
            </v:rect>
            <v:shape id="_x0000_s5872" o:spid="_x0000_s5872" o:spt="136" type="#_x0000_t136" style="position:absolute;left:2044065;top:4224654;height:379730;width:110490;rotation:917504f;" fillcolor="#000000" filled="t" stroked="t" coordsize="21600,21600" adj="10800">
              <v:path/>
              <v:fill on="t" color2="#FFFFFF" focussize="0,0"/>
              <v:stroke color="#000000"/>
              <v:imagedata o:title=""/>
              <o:lock v:ext="edit" aspectratio="f"/>
              <v:textpath on="t" fitshape="t" fitpath="t" trim="t" xscale="f" string="滚&#10;砂&#10;区" style="font-family:宋体;font-size:16pt;v-text-align:center;"/>
            </v:shape>
            <v:shape id="_x0000_s5893" o:spid="_x0000_s5893" o:spt="136" type="#_x0000_t136" style="position:absolute;left:4910454;top:7694928;height:104775;width:234950;" fillcolor="#000000" filled="t" stroked="t" coordsize="21600,21600" adj="10800">
              <v:path/>
              <v:fill on="t" color2="#FFFFFF" focussize="0,0"/>
              <v:stroke color="#000000"/>
              <v:imagedata o:title=""/>
              <o:lock v:ext="edit" aspectratio="f"/>
              <v:textpath on="t" fitshape="t" fitpath="t" trim="t" xscale="f" string="20米" style="font-family:宋体;font-size:16pt;v-text-align:center;"/>
            </v:shape>
            <v:shape id="_x0000_s5894" o:spid="_x0000_s5894" o:spt="100" style="position:absolute;left:4843779;top:7854313;height:76200;width:952500;" filled="f" stroked="t" coordsize="1461,137" path="m0,0l0,137,1461,137,1461,13e">
              <v:path textboxrect="0,0,1461,137" o:connectlocs="0,0;0,86995;927735,86995;927735,8255" o:connectangles="0,0,0,0"/>
              <v:fill on="f" focussize="0,0"/>
              <v:stroke weight="1.5pt" color="#000000" joinstyle="round"/>
              <v:imagedata o:title=""/>
              <o:lock v:ext="edit" aspectratio="f"/>
              <v:textbox>
                <w:txbxContent>
                  <w:p>
                    <w:pPr>
                      <w:jc w:val="center"/>
                    </w:pPr>
                  </w:p>
                </w:txbxContent>
              </v:textbox>
            </v:shape>
            <v:shape id="图片 16" o:spid="_x0000_s5895" o:spt="75" type="#_x0000_t75" style="position:absolute;left:9525;top:9525;height:695325;width:647700;" filled="f" o:preferrelative="t" stroked="t" coordsize="21600,21600">
              <v:path/>
              <v:fill on="f" focussize="0,0"/>
              <v:stroke color="#000000" joinstyle="round"/>
              <v:imagedata r:id="rId88" o:title=""/>
              <o:lock v:ext="edit" aspectratio="t"/>
            </v:shape>
            <v:shape id="_x0000_s5896" o:spid="_x0000_s5896" style="position:absolute;left:4123054;top:2916555;height:0;width:88900;rotation:-2490368f;" filled="f" stroked="t" coordsize="150,1" path="m0,0hal150,0hae">
              <v:path arrowok="t"/>
              <v:fill on="f" focussize="0,0"/>
              <v:stroke weight="2pt" color="#000000"/>
              <v:imagedata o:title=""/>
              <o:lock v:ext="edit" aspectratio="f"/>
            </v:shape>
            <v:shape id="_x0000_s5897" o:spid="_x0000_s5897" style="position:absolute;left:3970654;top:2700655;height:0;width:88900;rotation:-2162688f;" filled="f" stroked="t" coordsize="150,1" path="m0,0hal150,0hae">
              <v:path arrowok="t"/>
              <v:fill on="f" focussize="0,0"/>
              <v:stroke weight="2pt" color="#000000"/>
              <v:imagedata o:title=""/>
              <o:lock v:ext="edit" aspectratio="f"/>
            </v:shape>
            <v:shape id="_x0000_s5898" o:spid="_x0000_s5898" o:spt="136" type="#_x0000_t136" style="position:absolute;left:4097654;top:2560955;height:139700;width:393700;rotation:-7929856f;" fillcolor="#000000" filled="t" stroked="t" coordsize="21600,21600" adj="10800">
              <v:path/>
              <v:fill on="t" color2="#FFFFFF" focussize="0,0"/>
              <v:stroke color="#000000"/>
              <v:imagedata o:title=""/>
              <o:lock v:ext="edit" aspectratio="f"/>
              <v:textpath on="t" fitshape="t" fitpath="t" trim="t" xscale="f" string="厂区入口" style="font-family:宋体;font-size:16pt;v-text-align:center;"/>
            </v:shape>
            <v:shape id="自选图形 3220" o:spid="_x0000_s5899" o:spt="61" type="#_x0000_t61" style="position:absolute;left:89535;top:4313554;height:533400;width:1295400;" filled="f" stroked="t" coordsize="21600,21600" adj="22542,49449">
              <v:path/>
              <v:fill on="f" focussize="0,0"/>
              <v:stroke weight="1.75pt" color="#000000" joinstyle="miter" dashstyle="1 1"/>
              <v:imagedata o:title=""/>
              <o:lock v:ext="edit" aspectratio="f"/>
              <v:textbox>
                <w:txbxContent>
                  <w:p>
                    <w:r>
                      <w:rPr>
                        <w:rFonts w:hint="eastAsia"/>
                      </w:rPr>
                      <w:t>G1</w:t>
                    </w:r>
                    <w:r>
                      <w:rPr>
                        <w:rFonts w:hint="eastAsia"/>
                        <w:lang w:eastAsia="zh-CN"/>
                      </w:rPr>
                      <w:t>熔化、铸造、制芯</w:t>
                    </w:r>
                    <w:r>
                      <w:rPr>
                        <w:rFonts w:hint="eastAsia"/>
                      </w:rPr>
                      <w:t>废气排放口</w:t>
                    </w:r>
                  </w:p>
                </w:txbxContent>
              </v:textbox>
            </v:shape>
            <v:shape id="椭圆 3221" o:spid="_x0000_s5900" o:spt="3" type="#_x0000_t3" style="position:absolute;left:1426210;top:5523229;flip:x;height:50800;width:50800;" fillcolor="#FFFFFF" filled="t" stroked="t" coordsize="21600,21600">
              <v:path/>
              <v:fill on="t" color2="#FFFFFF" focussize="0,0"/>
              <v:stroke weight="2.25pt" color="#000000"/>
              <v:imagedata o:title=""/>
              <o:lock v:ext="edit" aspectratio="f"/>
            </v:shape>
            <v:shape id="_x0000_s5901" o:spid="_x0000_s5901" o:spt="5" type="#_x0000_t5" style="position:absolute;left:4309109;top:3529329;height:63500;width:63500;" fillcolor="#FFFFFF" filled="t" stroked="t" coordsize="21600,21600" adj="10800">
              <v:path/>
              <v:fill on="t" color2="#FFFFFF" focussize="0,0"/>
              <v:stroke weight="0.5pt" color="#000000" joinstyle="miter" startarrow="block" endarrow="block"/>
              <v:imagedata o:title=""/>
              <o:lock v:ext="edit" aspectratio="f"/>
            </v:shape>
            <v:shape id="_x0000_s5902" o:spid="_x0000_s5902" o:spt="61" type="#_x0000_t61" style="position:absolute;left:4641849;top:2773679;height:419100;width:1168400;" filled="f" stroked="t" coordsize="21600,21600" adj="-4436,37800">
              <v:path/>
              <v:fill on="f" focussize="0,0"/>
              <v:stroke weight="1.75pt" color="#000000" joinstyle="miter" dashstyle="1 1"/>
              <v:imagedata o:title=""/>
              <o:lock v:ext="edit" aspectratio="f"/>
              <v:textbox>
                <w:txbxContent>
                  <w:p>
                    <w:r>
                      <w:rPr>
                        <w:rFonts w:hint="eastAsia"/>
                      </w:rPr>
                      <w:t>生活污水排放口</w:t>
                    </w:r>
                  </w:p>
                </w:txbxContent>
              </v:textbox>
            </v:shape>
            <v:shape id="自选图形 3220" o:spid="_x0000_s5903" o:spt="61" type="#_x0000_t61" style="position:absolute;left:141605;top:6342378;height:533400;width:840105;" filled="f" stroked="t" coordsize="21600,21600" adj="30629,-21470">
              <v:path/>
              <v:fill on="f" focussize="0,0"/>
              <v:stroke weight="1.75pt" color="#000000" joinstyle="miter" dashstyle="1 1"/>
              <v:imagedata o:title=""/>
              <o:lock v:ext="edit" aspectratio="f"/>
              <v:textbox>
                <w:txbxContent>
                  <w:p>
                    <w:r>
                      <w:rPr>
                        <w:rFonts w:hint="eastAsia"/>
                      </w:rPr>
                      <w:t>G</w:t>
                    </w:r>
                    <w:r>
                      <w:rPr>
                        <w:rFonts w:hint="eastAsia"/>
                        <w:lang w:val="en-US" w:eastAsia="zh-CN"/>
                      </w:rPr>
                      <w:t>2</w:t>
                    </w:r>
                    <w:r>
                      <w:rPr>
                        <w:rFonts w:hint="eastAsia"/>
                        <w:lang w:eastAsia="zh-CN"/>
                      </w:rPr>
                      <w:t>抛光</w:t>
                    </w:r>
                    <w:r>
                      <w:rPr>
                        <w:rFonts w:hint="eastAsia"/>
                      </w:rPr>
                      <w:t>废气排放口</w:t>
                    </w:r>
                  </w:p>
                </w:txbxContent>
              </v:textbox>
            </v:shape>
            <v:shape id="椭圆 3221" o:spid="_x0000_s5904" o:spt="3" type="#_x0000_t3" style="position:absolute;left:1370330;top:5701029;flip:x;height:50800;width:50800;" fillcolor="#FFFFFF" filled="t" stroked="t" coordsize="21600,21600">
              <v:path/>
              <v:fill on="t" color2="#FFFFFF" focussize="0,0"/>
              <v:stroke weight="2.25pt" color="#000000"/>
              <v:imagedata o:title=""/>
              <o:lock v:ext="edit" aspectratio="f"/>
            </v:shape>
            <v:rect id="_x0000_s5962" o:spid="_x0000_s5962" o:spt="1" style="position:absolute;left:3070859;top:3488689;height:114935;width:126365;rotation:917504f;" filled="f" stroked="t" coordsize="21600,21600">
              <v:path/>
              <v:fill on="f" focussize="0,0"/>
              <v:stroke weight="2pt" color="#000000" joinstyle="miter" startarrow="block" endarrow="block"/>
              <v:imagedata o:title=""/>
              <o:lock v:ext="edit" aspectratio="f"/>
            </v:rect>
            <v:shape id="_x0000_s5963" o:spid="_x0000_s5963" o:spt="136" type="#_x0000_t136" style="position:absolute;left:2663825;top:3368674;height:114935;width:370205;rotation:917504f;" fillcolor="#000000" filled="t" stroked="t" coordsize="21600,21600" adj="10800">
              <v:path/>
              <v:fill on="t" color2="#FFFFFF" focussize="0,0"/>
              <v:stroke color="#000000"/>
              <v:imagedata o:title=""/>
              <o:lock v:ext="edit" aspectratio="f"/>
              <v:textpath on="t" fitshape="t" fitpath="t" trim="t" xscale="f" string="危废暂存区" style="font-family:宋体;font-size:16pt;v-text-align:center;"/>
            </v:shape>
          </v:group>
        </w:pic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pStyle w:val="47"/>
        <w:rPr>
          <w:color w:val="auto"/>
        </w:rPr>
      </w:pPr>
    </w:p>
    <w:p>
      <w:pPr>
        <w:pStyle w:val="49"/>
        <w:rPr>
          <w:color w:val="auto"/>
        </w:rPr>
      </w:pPr>
    </w:p>
    <w:p>
      <w:pPr>
        <w:pStyle w:val="51"/>
        <w:rPr>
          <w:color w:val="auto"/>
        </w:rPr>
      </w:pPr>
    </w:p>
    <w:p>
      <w:pPr>
        <w:pStyle w:val="34"/>
        <w:rPr>
          <w:color w:val="auto"/>
        </w:rPr>
      </w:pPr>
    </w:p>
    <w:p>
      <w:pPr>
        <w:pStyle w:val="14"/>
        <w:rPr>
          <w:color w:val="auto"/>
        </w:rPr>
      </w:pPr>
    </w:p>
    <w:p>
      <w:pPr>
        <w:pStyle w:val="38"/>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附图3 项目车间平面布置图</w:t>
      </w:r>
    </w:p>
    <w:p>
      <w:pPr>
        <w:tabs>
          <w:tab w:val="left" w:pos="3795"/>
        </w:tabs>
        <w:jc w:val="left"/>
        <w:rPr>
          <w:rFonts w:hint="eastAsia" w:eastAsia="宋体"/>
          <w:color w:val="auto"/>
          <w:lang w:eastAsia="zh-CN"/>
        </w:rPr>
        <w:sectPr>
          <w:pgSz w:w="11907" w:h="16840"/>
          <w:pgMar w:top="1418" w:right="1304" w:bottom="1418" w:left="1304" w:header="851" w:footer="851" w:gutter="0"/>
          <w:pgBorders>
            <w:top w:val="none" w:sz="0" w:space="0"/>
            <w:left w:val="none" w:sz="0" w:space="0"/>
            <w:bottom w:val="none" w:sz="0" w:space="0"/>
            <w:right w:val="none" w:sz="0" w:space="0"/>
          </w:pgBorders>
          <w:cols w:space="425" w:num="1"/>
          <w:docGrid w:type="lines" w:linePitch="312" w:charSpace="0"/>
        </w:sectPr>
      </w:pPr>
    </w:p>
    <w:p>
      <w:pPr>
        <w:bidi w:val="0"/>
        <w:rPr>
          <w:rFonts w:hint="default" w:ascii="Times New Roman" w:hAnsi="Times New Roman" w:cs="Times New Roman"/>
          <w:b/>
          <w:color w:val="auto"/>
          <w:sz w:val="24"/>
          <w:highlight w:val="none"/>
        </w:rPr>
      </w:pPr>
      <w:r>
        <w:rPr>
          <w:rFonts w:hint="eastAsia" w:ascii="Times New Roman" w:hAnsi="Times New Roman" w:eastAsia="宋体" w:cs="Times New Roman"/>
          <w:b/>
          <w:color w:val="auto"/>
          <w:sz w:val="24"/>
          <w:highlight w:val="none"/>
          <w:lang w:eastAsia="zh-CN"/>
        </w:rPr>
        <w:drawing>
          <wp:anchor distT="0" distB="0" distL="114935" distR="114935" simplePos="0" relativeHeight="3428780032" behindDoc="0" locked="0" layoutInCell="1" allowOverlap="1">
            <wp:simplePos x="0" y="0"/>
            <wp:positionH relativeFrom="column">
              <wp:posOffset>704850</wp:posOffset>
            </wp:positionH>
            <wp:positionV relativeFrom="paragraph">
              <wp:posOffset>116205</wp:posOffset>
            </wp:positionV>
            <wp:extent cx="2875915" cy="2158365"/>
            <wp:effectExtent l="9525" t="9525" r="10160" b="22860"/>
            <wp:wrapNone/>
            <wp:docPr id="13" name="图片 13" descr="东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东面"/>
                    <pic:cNvPicPr>
                      <a:picLocks noChangeAspect="1"/>
                    </pic:cNvPicPr>
                  </pic:nvPicPr>
                  <pic:blipFill>
                    <a:blip r:embed="rId91"/>
                    <a:stretch>
                      <a:fillRect/>
                    </a:stretch>
                  </pic:blipFill>
                  <pic:spPr>
                    <a:xfrm>
                      <a:off x="0" y="0"/>
                      <a:ext cx="2875915" cy="2158365"/>
                    </a:xfrm>
                    <a:prstGeom prst="rect">
                      <a:avLst/>
                    </a:prstGeom>
                    <a:ln>
                      <a:solidFill>
                        <a:schemeClr val="tx1"/>
                      </a:solidFill>
                    </a:ln>
                  </pic:spPr>
                </pic:pic>
              </a:graphicData>
            </a:graphic>
          </wp:anchor>
        </w:drawing>
      </w:r>
      <w:r>
        <w:rPr>
          <w:rFonts w:hint="eastAsia" w:ascii="Times New Roman" w:hAnsi="Times New Roman" w:eastAsia="宋体" w:cs="Times New Roman"/>
          <w:b/>
          <w:color w:val="auto"/>
          <w:sz w:val="24"/>
          <w:highlight w:val="none"/>
          <w:lang w:eastAsia="zh-CN"/>
        </w:rPr>
        <w:drawing>
          <wp:anchor distT="0" distB="0" distL="114935" distR="114935" simplePos="0" relativeHeight="3428781056" behindDoc="1" locked="0" layoutInCell="1" allowOverlap="1">
            <wp:simplePos x="0" y="0"/>
            <wp:positionH relativeFrom="column">
              <wp:posOffset>4695190</wp:posOffset>
            </wp:positionH>
            <wp:positionV relativeFrom="paragraph">
              <wp:posOffset>66675</wp:posOffset>
            </wp:positionV>
            <wp:extent cx="2788285" cy="2169795"/>
            <wp:effectExtent l="9525" t="9525" r="21590" b="11430"/>
            <wp:wrapNone/>
            <wp:docPr id="18" name="图片 18" descr="南面压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面压铸"/>
                    <pic:cNvPicPr>
                      <a:picLocks noChangeAspect="1"/>
                    </pic:cNvPicPr>
                  </pic:nvPicPr>
                  <pic:blipFill>
                    <a:blip r:embed="rId92"/>
                    <a:srcRect/>
                    <a:stretch>
                      <a:fillRect/>
                    </a:stretch>
                  </pic:blipFill>
                  <pic:spPr>
                    <a:xfrm>
                      <a:off x="0" y="0"/>
                      <a:ext cx="2788285" cy="2169795"/>
                    </a:xfrm>
                    <a:prstGeom prst="rect">
                      <a:avLst/>
                    </a:prstGeom>
                    <a:ln>
                      <a:solidFill>
                        <a:schemeClr val="tx1"/>
                      </a:solidFill>
                    </a:ln>
                  </pic:spPr>
                </pic:pic>
              </a:graphicData>
            </a:graphic>
          </wp:anchor>
        </w:drawing>
      </w:r>
    </w:p>
    <w:p>
      <w:pPr>
        <w:ind w:firstLine="1446" w:firstLineChars="600"/>
        <w:rPr>
          <w:rFonts w:hint="eastAsia" w:ascii="Times New Roman" w:hAnsi="Times New Roman" w:eastAsia="宋体" w:cs="Times New Roman"/>
          <w:b/>
          <w:color w:val="auto"/>
          <w:sz w:val="24"/>
          <w:highlight w:val="none"/>
          <w:lang w:eastAsia="zh-CN"/>
        </w:rPr>
      </w:pPr>
    </w:p>
    <w:p>
      <w:pPr>
        <w:ind w:firstLine="1446" w:firstLineChars="600"/>
        <w:rPr>
          <w:rFonts w:hint="eastAsia" w:ascii="Times New Roman" w:hAnsi="Times New Roman" w:eastAsia="宋体" w:cs="Times New Roman"/>
          <w:b/>
          <w:color w:val="auto"/>
          <w:sz w:val="24"/>
          <w:highlight w:val="none"/>
          <w:lang w:eastAsia="zh-CN"/>
        </w:rPr>
      </w:pPr>
    </w:p>
    <w:p>
      <w:pPr>
        <w:ind w:firstLine="1446" w:firstLineChars="600"/>
        <w:rPr>
          <w:rFonts w:hint="eastAsia" w:ascii="Times New Roman" w:hAnsi="Times New Roman" w:eastAsia="宋体" w:cs="Times New Roman"/>
          <w:b/>
          <w:color w:val="auto"/>
          <w:sz w:val="24"/>
          <w:highlight w:val="none"/>
          <w:lang w:eastAsia="zh-CN"/>
        </w:rPr>
      </w:pPr>
    </w:p>
    <w:p>
      <w:pPr>
        <w:ind w:firstLine="1446" w:firstLineChars="600"/>
        <w:rPr>
          <w:rFonts w:hint="default" w:ascii="Times New Roman" w:hAnsi="Times New Roman" w:cs="Times New Roman"/>
          <w:b/>
          <w:color w:val="auto"/>
          <w:sz w:val="24"/>
          <w:highlight w:val="none"/>
        </w:rPr>
      </w:pPr>
    </w:p>
    <w:p>
      <w:pPr>
        <w:ind w:firstLine="1446" w:firstLineChars="600"/>
        <w:rPr>
          <w:rFonts w:hint="eastAsia" w:ascii="Times New Roman" w:hAnsi="Times New Roman" w:eastAsia="宋体" w:cs="Times New Roman"/>
          <w:b/>
          <w:color w:val="auto"/>
          <w:sz w:val="24"/>
          <w:highlight w:val="none"/>
          <w:lang w:eastAsia="zh-CN"/>
        </w:rPr>
      </w:pPr>
    </w:p>
    <w:p>
      <w:pPr>
        <w:ind w:firstLine="1446" w:firstLineChars="600"/>
        <w:rPr>
          <w:rFonts w:hint="default" w:ascii="Times New Roman" w:hAnsi="Times New Roman" w:cs="Times New Roman"/>
          <w:b/>
          <w:color w:val="auto"/>
          <w:sz w:val="24"/>
          <w:highlight w:val="none"/>
        </w:rPr>
      </w:pPr>
    </w:p>
    <w:p>
      <w:pPr>
        <w:ind w:firstLine="1446" w:firstLineChars="600"/>
        <w:rPr>
          <w:rFonts w:hint="default" w:ascii="Times New Roman" w:hAnsi="Times New Roman" w:cs="Times New Roman"/>
          <w:b/>
          <w:color w:val="auto"/>
          <w:sz w:val="24"/>
          <w:highlight w:val="none"/>
        </w:rPr>
      </w:pPr>
    </w:p>
    <w:p>
      <w:pPr>
        <w:ind w:firstLine="1446" w:firstLineChars="600"/>
        <w:rPr>
          <w:rFonts w:hint="eastAsia" w:ascii="Times New Roman" w:hAnsi="Times New Roman" w:eastAsia="宋体" w:cs="Times New Roman"/>
          <w:b/>
          <w:color w:val="auto"/>
          <w:sz w:val="24"/>
          <w:highlight w:val="none"/>
          <w:lang w:eastAsia="zh-CN"/>
        </w:rPr>
      </w:pPr>
    </w:p>
    <w:p>
      <w:pPr>
        <w:ind w:firstLine="1446" w:firstLineChars="600"/>
        <w:rPr>
          <w:rFonts w:hint="eastAsia" w:ascii="Times New Roman" w:hAnsi="Times New Roman" w:eastAsia="宋体" w:cs="Times New Roman"/>
          <w:b/>
          <w:color w:val="auto"/>
          <w:sz w:val="24"/>
          <w:highlight w:val="none"/>
          <w:lang w:eastAsia="zh-CN"/>
        </w:rPr>
      </w:pPr>
    </w:p>
    <w:p>
      <w:pPr>
        <w:ind w:firstLine="1446" w:firstLineChars="600"/>
        <w:rPr>
          <w:rFonts w:hint="default" w:ascii="Times New Roman" w:hAnsi="Times New Roman" w:cs="Times New Roman"/>
          <w:b/>
          <w:color w:val="auto"/>
          <w:sz w:val="24"/>
          <w:highlight w:val="none"/>
        </w:rPr>
      </w:pPr>
    </w:p>
    <w:p>
      <w:pPr>
        <w:ind w:firstLine="1446" w:firstLineChars="600"/>
        <w:rPr>
          <w:rFonts w:hint="default" w:ascii="Times New Roman" w:hAnsi="Times New Roman" w:cs="Times New Roman"/>
          <w:b/>
          <w:color w:val="auto"/>
          <w:sz w:val="24"/>
          <w:highlight w:val="none"/>
        </w:rPr>
      </w:pPr>
    </w:p>
    <w:p>
      <w:pPr>
        <w:ind w:firstLine="1446" w:firstLineChars="600"/>
        <w:rPr>
          <w:rFonts w:hint="eastAsia"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rPr>
        <w:t xml:space="preserve">     </w:t>
      </w:r>
      <w:r>
        <w:rPr>
          <w:rFonts w:hint="eastAsia" w:ascii="Times New Roman" w:hAnsi="Times New Roman" w:cs="Times New Roman"/>
          <w:b/>
          <w:color w:val="auto"/>
          <w:sz w:val="24"/>
          <w:highlight w:val="none"/>
          <w:lang w:val="en-US" w:eastAsia="zh-CN"/>
        </w:rPr>
        <w:t xml:space="preserve">  </w:t>
      </w:r>
      <w:r>
        <w:rPr>
          <w:rFonts w:hint="default" w:ascii="Times New Roman" w:hAnsi="Times New Roman" w:cs="Times New Roman"/>
          <w:b/>
          <w:color w:val="auto"/>
          <w:sz w:val="24"/>
          <w:highlight w:val="none"/>
        </w:rPr>
        <w:t>项目</w:t>
      </w:r>
      <w:r>
        <w:rPr>
          <w:rFonts w:hint="eastAsia" w:ascii="Times New Roman" w:hAnsi="Times New Roman" w:cs="Times New Roman"/>
          <w:b/>
          <w:color w:val="auto"/>
          <w:sz w:val="24"/>
          <w:highlight w:val="none"/>
          <w:lang w:val="en-US" w:eastAsia="zh-CN"/>
        </w:rPr>
        <w:t>东</w:t>
      </w:r>
      <w:r>
        <w:rPr>
          <w:rFonts w:hint="eastAsia" w:cs="Times New Roman"/>
          <w:b/>
          <w:color w:val="auto"/>
          <w:sz w:val="24"/>
          <w:highlight w:val="none"/>
          <w:lang w:val="en-US" w:eastAsia="zh-CN"/>
        </w:rPr>
        <w:t>面</w:t>
      </w:r>
      <w:r>
        <w:rPr>
          <w:rFonts w:hint="eastAsia" w:cs="Times New Roman"/>
          <w:b/>
          <w:color w:val="auto"/>
          <w:sz w:val="24"/>
          <w:highlight w:val="none"/>
          <w:lang w:eastAsia="zh-CN"/>
        </w:rPr>
        <w:t>富活钢材厂</w:t>
      </w:r>
      <w:r>
        <w:rPr>
          <w:rFonts w:hint="default" w:ascii="Times New Roman" w:hAnsi="Times New Roman" w:cs="Times New Roman"/>
          <w:b/>
          <w:color w:val="auto"/>
          <w:sz w:val="24"/>
          <w:highlight w:val="none"/>
        </w:rPr>
        <w:t xml:space="preserve">     </w:t>
      </w:r>
      <w:r>
        <w:rPr>
          <w:rFonts w:hint="eastAsia" w:ascii="Times New Roman" w:hAnsi="Times New Roman" w:cs="Times New Roman"/>
          <w:b/>
          <w:color w:val="auto"/>
          <w:sz w:val="24"/>
          <w:highlight w:val="none"/>
          <w:lang w:val="en-US" w:eastAsia="zh-CN"/>
        </w:rPr>
        <w:t xml:space="preserve">       </w:t>
      </w:r>
      <w:r>
        <w:rPr>
          <w:rFonts w:hint="default" w:ascii="Times New Roman" w:hAnsi="Times New Roman" w:cs="Times New Roman"/>
          <w:b/>
          <w:color w:val="auto"/>
          <w:sz w:val="24"/>
          <w:highlight w:val="none"/>
        </w:rPr>
        <w:t xml:space="preserve">  </w:t>
      </w:r>
      <w:r>
        <w:rPr>
          <w:rFonts w:hint="eastAsia" w:ascii="Times New Roman" w:hAnsi="Times New Roman" w:cs="Times New Roman"/>
          <w:b/>
          <w:color w:val="auto"/>
          <w:sz w:val="24"/>
          <w:highlight w:val="none"/>
          <w:lang w:val="en-US" w:eastAsia="zh-CN"/>
        </w:rPr>
        <w:t xml:space="preserve">             </w:t>
      </w:r>
      <w:r>
        <w:rPr>
          <w:rFonts w:hint="default" w:ascii="Times New Roman" w:hAnsi="Times New Roman" w:cs="Times New Roman"/>
          <w:b/>
          <w:color w:val="auto"/>
          <w:sz w:val="24"/>
          <w:highlight w:val="none"/>
        </w:rPr>
        <w:t xml:space="preserve"> </w:t>
      </w:r>
      <w:r>
        <w:rPr>
          <w:rFonts w:hint="eastAsia" w:cs="Times New Roman"/>
          <w:b/>
          <w:color w:val="auto"/>
          <w:sz w:val="24"/>
          <w:highlight w:val="none"/>
          <w:lang w:val="en-US" w:eastAsia="zh-CN"/>
        </w:rPr>
        <w:t xml:space="preserve">    </w:t>
      </w:r>
      <w:r>
        <w:rPr>
          <w:rFonts w:hint="default" w:ascii="Times New Roman" w:hAnsi="Times New Roman" w:cs="Times New Roman"/>
          <w:b/>
          <w:color w:val="auto"/>
          <w:sz w:val="24"/>
          <w:highlight w:val="none"/>
        </w:rPr>
        <w:t xml:space="preserve">  项目</w:t>
      </w:r>
      <w:r>
        <w:rPr>
          <w:rFonts w:hint="eastAsia" w:ascii="Times New Roman" w:hAnsi="Times New Roman" w:cs="Times New Roman"/>
          <w:b/>
          <w:color w:val="auto"/>
          <w:sz w:val="24"/>
          <w:highlight w:val="none"/>
          <w:lang w:val="en-US" w:eastAsia="zh-CN"/>
        </w:rPr>
        <w:t>南面</w:t>
      </w:r>
      <w:r>
        <w:rPr>
          <w:rFonts w:hint="eastAsia" w:cs="Times New Roman"/>
          <w:b/>
          <w:color w:val="auto"/>
          <w:sz w:val="24"/>
          <w:highlight w:val="none"/>
          <w:lang w:eastAsia="zh-CN"/>
        </w:rPr>
        <w:t>林兴压铸厂</w:t>
      </w:r>
    </w:p>
    <w:p>
      <w:pPr>
        <w:ind w:firstLine="708" w:firstLineChars="294"/>
        <w:rPr>
          <w:rFonts w:hint="eastAsia" w:ascii="Times New Roman" w:hAnsi="Times New Roman" w:eastAsia="宋体" w:cs="Times New Roman"/>
          <w:b/>
          <w:color w:val="auto"/>
          <w:sz w:val="24"/>
          <w:highlight w:val="none"/>
          <w:lang w:eastAsia="zh-CN"/>
        </w:rPr>
      </w:pPr>
      <w:r>
        <w:rPr>
          <w:rFonts w:hint="eastAsia" w:ascii="Times New Roman" w:hAnsi="Times New Roman" w:eastAsia="宋体" w:cs="Times New Roman"/>
          <w:b/>
          <w:color w:val="auto"/>
          <w:sz w:val="24"/>
          <w:highlight w:val="none"/>
          <w:lang w:eastAsia="zh-CN"/>
        </w:rPr>
        <w:drawing>
          <wp:anchor distT="0" distB="0" distL="114935" distR="114935" simplePos="0" relativeHeight="3428783104" behindDoc="0" locked="0" layoutInCell="1" allowOverlap="1">
            <wp:simplePos x="0" y="0"/>
            <wp:positionH relativeFrom="column">
              <wp:posOffset>4705985</wp:posOffset>
            </wp:positionH>
            <wp:positionV relativeFrom="paragraph">
              <wp:posOffset>72390</wp:posOffset>
            </wp:positionV>
            <wp:extent cx="2792095" cy="2195830"/>
            <wp:effectExtent l="9525" t="9525" r="17780" b="23495"/>
            <wp:wrapNone/>
            <wp:docPr id="21" name="图片 21" descr="西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西北"/>
                    <pic:cNvPicPr>
                      <a:picLocks noChangeAspect="1"/>
                    </pic:cNvPicPr>
                  </pic:nvPicPr>
                  <pic:blipFill>
                    <a:blip r:embed="rId93"/>
                    <a:stretch>
                      <a:fillRect/>
                    </a:stretch>
                  </pic:blipFill>
                  <pic:spPr>
                    <a:xfrm>
                      <a:off x="0" y="0"/>
                      <a:ext cx="2792095" cy="2195830"/>
                    </a:xfrm>
                    <a:prstGeom prst="rect">
                      <a:avLst/>
                    </a:prstGeom>
                    <a:ln>
                      <a:solidFill>
                        <a:schemeClr val="tx1"/>
                      </a:solidFill>
                    </a:ln>
                  </pic:spPr>
                </pic:pic>
              </a:graphicData>
            </a:graphic>
          </wp:anchor>
        </w:drawing>
      </w:r>
      <w:r>
        <w:rPr>
          <w:rFonts w:hint="eastAsia" w:ascii="Times New Roman" w:hAnsi="Times New Roman" w:eastAsia="宋体" w:cs="Times New Roman"/>
          <w:b/>
          <w:color w:val="auto"/>
          <w:sz w:val="24"/>
          <w:highlight w:val="none"/>
          <w:lang w:eastAsia="zh-CN"/>
        </w:rPr>
        <w:drawing>
          <wp:anchor distT="0" distB="0" distL="114935" distR="114935" simplePos="0" relativeHeight="3428781056" behindDoc="0" locked="0" layoutInCell="1" allowOverlap="1">
            <wp:simplePos x="0" y="0"/>
            <wp:positionH relativeFrom="column">
              <wp:posOffset>704850</wp:posOffset>
            </wp:positionH>
            <wp:positionV relativeFrom="paragraph">
              <wp:posOffset>36195</wp:posOffset>
            </wp:positionV>
            <wp:extent cx="2907030" cy="2205990"/>
            <wp:effectExtent l="9525" t="9525" r="17145" b="13335"/>
            <wp:wrapNone/>
            <wp:docPr id="20" name="图片 20" descr="西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西面"/>
                    <pic:cNvPicPr>
                      <a:picLocks noChangeAspect="1"/>
                    </pic:cNvPicPr>
                  </pic:nvPicPr>
                  <pic:blipFill>
                    <a:blip r:embed="rId94"/>
                    <a:srcRect/>
                    <a:stretch>
                      <a:fillRect/>
                    </a:stretch>
                  </pic:blipFill>
                  <pic:spPr>
                    <a:xfrm>
                      <a:off x="0" y="0"/>
                      <a:ext cx="2907030" cy="2205990"/>
                    </a:xfrm>
                    <a:prstGeom prst="rect">
                      <a:avLst/>
                    </a:prstGeom>
                    <a:ln>
                      <a:solidFill>
                        <a:schemeClr val="tx1"/>
                      </a:solidFill>
                    </a:ln>
                  </pic:spPr>
                </pic:pic>
              </a:graphicData>
            </a:graphic>
          </wp:anchor>
        </w:drawing>
      </w:r>
    </w:p>
    <w:p>
      <w:pPr>
        <w:ind w:firstLine="708" w:firstLineChars="294"/>
        <w:rPr>
          <w:rFonts w:hint="default" w:ascii="Times New Roman" w:hAnsi="Times New Roman" w:cs="Times New Roman"/>
          <w:b/>
          <w:color w:val="auto"/>
          <w:sz w:val="24"/>
          <w:highlight w:val="none"/>
        </w:rPr>
      </w:pPr>
    </w:p>
    <w:p>
      <w:pPr>
        <w:ind w:firstLine="708" w:firstLineChars="294"/>
        <w:rPr>
          <w:rFonts w:hint="eastAsia" w:ascii="Times New Roman" w:hAnsi="Times New Roman" w:eastAsia="宋体" w:cs="Times New Roman"/>
          <w:b/>
          <w:color w:val="auto"/>
          <w:sz w:val="24"/>
          <w:highlight w:val="none"/>
          <w:lang w:eastAsia="zh-CN"/>
        </w:rPr>
      </w:pPr>
    </w:p>
    <w:p>
      <w:pPr>
        <w:ind w:firstLine="708" w:firstLineChars="294"/>
        <w:rPr>
          <w:rFonts w:hint="eastAsia" w:ascii="Times New Roman" w:hAnsi="Times New Roman" w:eastAsia="宋体" w:cs="Times New Roman"/>
          <w:b/>
          <w:color w:val="auto"/>
          <w:sz w:val="24"/>
          <w:highlight w:val="none"/>
          <w:lang w:eastAsia="zh-CN"/>
        </w:rPr>
      </w:pPr>
    </w:p>
    <w:p>
      <w:pPr>
        <w:ind w:firstLine="708" w:firstLineChars="294"/>
        <w:rPr>
          <w:rFonts w:hint="eastAsia" w:ascii="Times New Roman" w:hAnsi="Times New Roman" w:eastAsia="宋体" w:cs="Times New Roman"/>
          <w:b/>
          <w:color w:val="auto"/>
          <w:sz w:val="24"/>
          <w:highlight w:val="none"/>
          <w:lang w:eastAsia="zh-CN"/>
        </w:rPr>
      </w:pPr>
    </w:p>
    <w:p>
      <w:pPr>
        <w:ind w:firstLine="708" w:firstLineChars="294"/>
        <w:rPr>
          <w:rFonts w:hint="default" w:ascii="Times New Roman" w:hAnsi="Times New Roman" w:cs="Times New Roman"/>
          <w:b/>
          <w:color w:val="auto"/>
          <w:sz w:val="24"/>
          <w:highlight w:val="none"/>
        </w:rPr>
      </w:pPr>
    </w:p>
    <w:p>
      <w:pPr>
        <w:ind w:firstLine="708" w:firstLineChars="294"/>
        <w:rPr>
          <w:rFonts w:hint="default" w:ascii="Times New Roman" w:hAnsi="Times New Roman" w:cs="Times New Roman"/>
          <w:b/>
          <w:color w:val="auto"/>
          <w:sz w:val="24"/>
          <w:highlight w:val="none"/>
        </w:rPr>
      </w:pPr>
    </w:p>
    <w:p>
      <w:pPr>
        <w:ind w:firstLine="708" w:firstLineChars="294"/>
        <w:rPr>
          <w:rFonts w:hint="default" w:ascii="Times New Roman" w:hAnsi="Times New Roman" w:cs="Times New Roman"/>
          <w:b/>
          <w:color w:val="auto"/>
          <w:sz w:val="24"/>
          <w:highlight w:val="none"/>
        </w:rPr>
      </w:pPr>
    </w:p>
    <w:p>
      <w:pPr>
        <w:ind w:firstLine="708" w:firstLineChars="294"/>
        <w:rPr>
          <w:rFonts w:hint="default" w:ascii="Times New Roman" w:hAnsi="Times New Roman" w:cs="Times New Roman"/>
          <w:b/>
          <w:color w:val="auto"/>
          <w:sz w:val="24"/>
          <w:highlight w:val="none"/>
        </w:rPr>
      </w:pPr>
    </w:p>
    <w:p>
      <w:pPr>
        <w:ind w:firstLine="708" w:firstLineChars="294"/>
        <w:rPr>
          <w:rFonts w:hint="default" w:ascii="Times New Roman" w:hAnsi="Times New Roman" w:cs="Times New Roman"/>
          <w:b/>
          <w:color w:val="auto"/>
          <w:sz w:val="24"/>
          <w:highlight w:val="none"/>
        </w:rPr>
      </w:pPr>
    </w:p>
    <w:p>
      <w:pPr>
        <w:ind w:firstLine="708" w:firstLineChars="294"/>
        <w:rPr>
          <w:rFonts w:hint="default" w:ascii="Times New Roman" w:hAnsi="Times New Roman" w:cs="Times New Roman"/>
          <w:b/>
          <w:color w:val="auto"/>
          <w:sz w:val="24"/>
          <w:highlight w:val="none"/>
        </w:rPr>
      </w:pPr>
    </w:p>
    <w:p>
      <w:pPr>
        <w:ind w:firstLine="708" w:firstLineChars="294"/>
        <w:rPr>
          <w:rFonts w:hint="default" w:ascii="Times New Roman" w:hAnsi="Times New Roman" w:cs="Times New Roman"/>
          <w:b/>
          <w:color w:val="auto"/>
          <w:sz w:val="24"/>
          <w:highlight w:val="none"/>
        </w:rPr>
      </w:pPr>
    </w:p>
    <w:p>
      <w:pPr>
        <w:ind w:firstLine="964" w:firstLineChars="400"/>
        <w:rPr>
          <w:rFonts w:hint="default" w:ascii="Times New Roman" w:hAnsi="Times New Roman" w:cs="Times New Roman"/>
          <w:b/>
          <w:bCs/>
          <w:color w:val="auto"/>
          <w:sz w:val="24"/>
          <w:highlight w:val="none"/>
        </w:rPr>
      </w:pPr>
      <w:r>
        <w:rPr>
          <w:rFonts w:hint="eastAsia" w:ascii="Times New Roman" w:hAnsi="Times New Roman" w:cs="Times New Roman"/>
          <w:b/>
          <w:color w:val="auto"/>
          <w:sz w:val="24"/>
          <w:highlight w:val="none"/>
          <w:lang w:val="en-US" w:eastAsia="zh-CN"/>
        </w:rPr>
        <w:t xml:space="preserve"> </w:t>
      </w:r>
      <w:r>
        <w:rPr>
          <w:rFonts w:hint="default" w:ascii="Times New Roman" w:hAnsi="Times New Roman" w:cs="Times New Roman"/>
          <w:b/>
          <w:color w:val="auto"/>
          <w:sz w:val="24"/>
          <w:highlight w:val="none"/>
        </w:rPr>
        <w:t xml:space="preserve">         </w:t>
      </w:r>
      <w:r>
        <w:rPr>
          <w:rFonts w:hint="eastAsia" w:cs="Times New Roman"/>
          <w:b/>
          <w:color w:val="auto"/>
          <w:sz w:val="24"/>
          <w:highlight w:val="none"/>
          <w:lang w:val="en-US" w:eastAsia="zh-CN"/>
        </w:rPr>
        <w:t xml:space="preserve">  </w:t>
      </w:r>
      <w:r>
        <w:rPr>
          <w:rFonts w:hint="default" w:ascii="Times New Roman" w:hAnsi="Times New Roman" w:cs="Times New Roman"/>
          <w:b/>
          <w:color w:val="auto"/>
          <w:sz w:val="24"/>
          <w:highlight w:val="none"/>
          <w:lang w:val="en-US" w:eastAsia="zh-CN"/>
        </w:rPr>
        <w:t>项目西面</w:t>
      </w:r>
      <w:r>
        <w:rPr>
          <w:rFonts w:hint="eastAsia" w:cs="Times New Roman"/>
          <w:b/>
          <w:color w:val="auto"/>
          <w:sz w:val="24"/>
          <w:highlight w:val="none"/>
          <w:lang w:val="en-US" w:eastAsia="zh-CN"/>
        </w:rPr>
        <w:t>平冈村</w:t>
      </w:r>
      <w:r>
        <w:rPr>
          <w:rFonts w:hint="default" w:ascii="Times New Roman" w:hAnsi="Times New Roman" w:cs="Times New Roman"/>
          <w:b/>
          <w:color w:val="auto"/>
          <w:sz w:val="24"/>
          <w:highlight w:val="none"/>
        </w:rPr>
        <w:t xml:space="preserve">      </w:t>
      </w:r>
      <w:r>
        <w:rPr>
          <w:rFonts w:hint="default" w:ascii="Times New Roman" w:hAnsi="Times New Roman" w:cs="Times New Roman"/>
          <w:b/>
          <w:color w:val="auto"/>
          <w:sz w:val="24"/>
          <w:highlight w:val="none"/>
          <w:lang w:val="en-US" w:eastAsia="zh-CN"/>
        </w:rPr>
        <w:t xml:space="preserve">   </w:t>
      </w:r>
      <w:r>
        <w:rPr>
          <w:rFonts w:hint="eastAsia" w:ascii="Times New Roman" w:hAnsi="Times New Roman" w:cs="Times New Roman"/>
          <w:b/>
          <w:color w:val="auto"/>
          <w:sz w:val="24"/>
          <w:highlight w:val="none"/>
          <w:lang w:val="en-US" w:eastAsia="zh-CN"/>
        </w:rPr>
        <w:t xml:space="preserve">                </w:t>
      </w:r>
      <w:r>
        <w:rPr>
          <w:rFonts w:hint="eastAsia" w:cs="Times New Roman"/>
          <w:b/>
          <w:color w:val="auto"/>
          <w:sz w:val="24"/>
          <w:highlight w:val="none"/>
          <w:lang w:val="en-US" w:eastAsia="zh-CN"/>
        </w:rPr>
        <w:t xml:space="preserve">    </w:t>
      </w:r>
      <w:r>
        <w:rPr>
          <w:rFonts w:hint="eastAsia" w:ascii="Times New Roman" w:hAnsi="Times New Roman" w:cs="Times New Roman"/>
          <w:b/>
          <w:color w:val="auto"/>
          <w:sz w:val="24"/>
          <w:highlight w:val="none"/>
          <w:lang w:val="en-US" w:eastAsia="zh-CN"/>
        </w:rPr>
        <w:t xml:space="preserve"> </w:t>
      </w:r>
      <w:r>
        <w:rPr>
          <w:rFonts w:hint="eastAsia" w:cs="Times New Roman"/>
          <w:b/>
          <w:color w:val="auto"/>
          <w:sz w:val="24"/>
          <w:highlight w:val="none"/>
          <w:lang w:val="en-US" w:eastAsia="zh-CN"/>
        </w:rPr>
        <w:t xml:space="preserve">   </w:t>
      </w:r>
      <w:r>
        <w:rPr>
          <w:rFonts w:hint="default" w:ascii="Times New Roman" w:hAnsi="Times New Roman" w:cs="Times New Roman"/>
          <w:b/>
          <w:color w:val="auto"/>
          <w:sz w:val="24"/>
          <w:highlight w:val="none"/>
        </w:rPr>
        <w:t>项目</w:t>
      </w:r>
      <w:r>
        <w:rPr>
          <w:rFonts w:hint="eastAsia" w:cs="Times New Roman"/>
          <w:b/>
          <w:color w:val="auto"/>
          <w:sz w:val="24"/>
          <w:highlight w:val="none"/>
          <w:lang w:eastAsia="zh-CN"/>
        </w:rPr>
        <w:t>西</w:t>
      </w:r>
      <w:r>
        <w:rPr>
          <w:rFonts w:hint="default" w:ascii="Times New Roman" w:hAnsi="Times New Roman" w:cs="Times New Roman"/>
          <w:b/>
          <w:color w:val="auto"/>
          <w:sz w:val="24"/>
          <w:highlight w:val="none"/>
        </w:rPr>
        <w:t>北面</w:t>
      </w:r>
      <w:r>
        <w:rPr>
          <w:rFonts w:hint="eastAsia" w:ascii="Times New Roman" w:hAnsi="Times New Roman" w:cs="Times New Roman"/>
          <w:b/>
          <w:color w:val="auto"/>
          <w:sz w:val="24"/>
          <w:highlight w:val="none"/>
          <w:lang w:val="en-US" w:eastAsia="zh-CN"/>
        </w:rPr>
        <w:t>蓝岛卫浴有限公司</w:t>
      </w:r>
    </w:p>
    <w:p>
      <w:pPr>
        <w:bidi w:val="0"/>
        <w:rPr>
          <w:rFonts w:hint="default"/>
          <w:color w:val="auto"/>
        </w:rPr>
      </w:pPr>
    </w:p>
    <w:p>
      <w:pPr>
        <w:pStyle w:val="38"/>
        <w:spacing w:before="0"/>
        <w:rPr>
          <w:rFonts w:hint="eastAsia"/>
          <w:color w:val="auto"/>
          <w:lang w:eastAsia="zh-CN"/>
        </w:rPr>
        <w:sectPr>
          <w:pgSz w:w="16840" w:h="11907" w:orient="landscape"/>
          <w:pgMar w:top="1304" w:right="1418" w:bottom="1304" w:left="1418" w:header="851" w:footer="851"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sz w:val="24"/>
          <w:szCs w:val="24"/>
          <w:highlight w:val="none"/>
        </w:rPr>
        <w:t>附图</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项目四至情况布置图</w:t>
      </w:r>
    </w:p>
    <w:p>
      <w:pPr>
        <w:jc w:val="center"/>
        <w:rPr>
          <w:rFonts w:hint="eastAsia"/>
          <w:color w:val="auto"/>
          <w:lang w:eastAsia="zh-CN"/>
        </w:rPr>
      </w:pPr>
      <w:r>
        <w:rPr>
          <w:color w:val="auto"/>
          <w:sz w:val="21"/>
        </w:rPr>
        <w:pict>
          <v:shape id="_x0000_s6086" o:spid="_x0000_s6086" style="position:absolute;left:0pt;margin-left:135.35pt;margin-top:358.4pt;height:75.7pt;width:308.2pt;z-index:-866155520;mso-width-relative:page;mso-height-relative:page;" fillcolor="#00B0F0" filled="t" stroked="f" coordsize="6164,1514" path="m0,1474hal518,750hal791,436hal1446,124hal1950,0hal2959,69hal3805,205hal4487,545hal5141,874hal6096,1460hal6164,1514hal4746,1486hal4173,1064hal3873,886hal3246,614hal2687,533hal2278,586hal1950,600hal1391,669hal1064,791hal778,1105hal546,1445hal532,1474hal0,1474haxe">
            <v:path/>
            <v:fill on="t" color2="#FFFFFF" opacity="32112f" focussize="0,0"/>
            <v:stroke on="f" weight="2pt" startarrow="block" endarrow="block"/>
            <v:imagedata o:title=""/>
            <o:lock v:ext="edit" aspectratio="f"/>
          </v:shape>
        </w:pict>
      </w:r>
      <w:r>
        <w:rPr>
          <w:color w:val="auto"/>
          <w:sz w:val="21"/>
        </w:rPr>
        <w:pict>
          <v:shape id="_x0000_s6081" o:spid="_x0000_s6081" style="position:absolute;left:0pt;margin-left:490.6pt;margin-top:17.1pt;height:32.05pt;width:30.65pt;z-index:-866156544;mso-width-relative:page;mso-height-relative:page;" fillcolor="#FDEADA" filled="t" stroked="t" coordsize="613,641" path="m13,0hal27,191hal0,450hal150,600hal395,641hal613,300hal600,41hal559,26hal13,0haxe">
            <v:fill on="t" color2="#FFFFFF" opacity="34078f" focussize="0,0"/>
            <v:stroke weight="1pt" color="#FFFF00" startarrow="block" endarrow="block"/>
            <v:imagedata o:title=""/>
            <o:lock v:ext="edit" aspectratio="f"/>
          </v:shape>
        </w:pict>
      </w:r>
      <w:r>
        <w:rPr>
          <w:color w:val="auto"/>
        </w:rPr>
        <w:drawing>
          <wp:anchor distT="0" distB="0" distL="114300" distR="114300" simplePos="0" relativeHeight="2217331712" behindDoc="0" locked="0" layoutInCell="1" allowOverlap="1">
            <wp:simplePos x="0" y="0"/>
            <wp:positionH relativeFrom="column">
              <wp:posOffset>7653020</wp:posOffset>
            </wp:positionH>
            <wp:positionV relativeFrom="paragraph">
              <wp:posOffset>24765</wp:posOffset>
            </wp:positionV>
            <wp:extent cx="647700" cy="685800"/>
            <wp:effectExtent l="9525" t="9525" r="9525" b="9525"/>
            <wp:wrapNone/>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88"/>
                    <a:stretch>
                      <a:fillRect/>
                    </a:stretch>
                  </pic:blipFill>
                  <pic:spPr>
                    <a:xfrm>
                      <a:off x="0" y="0"/>
                      <a:ext cx="647700" cy="685800"/>
                    </a:xfrm>
                    <a:prstGeom prst="rect">
                      <a:avLst/>
                    </a:prstGeom>
                    <a:noFill/>
                    <a:ln w="9525" cap="flat" cmpd="sng">
                      <a:solidFill>
                        <a:srgbClr val="000000"/>
                      </a:solidFill>
                      <a:prstDash val="solid"/>
                      <a:round/>
                      <a:headEnd type="none" w="med" len="med"/>
                      <a:tailEnd type="none" w="med" len="med"/>
                    </a:ln>
                  </pic:spPr>
                </pic:pic>
              </a:graphicData>
            </a:graphic>
          </wp:anchor>
        </w:drawing>
      </w:r>
      <w:r>
        <w:rPr>
          <w:color w:val="auto"/>
          <w:sz w:val="24"/>
          <w:highlight w:val="none"/>
        </w:rPr>
        <w:pict>
          <v:group id="_x0000_s6029" o:spid="_x0000_s6029" o:spt="203" style="position:absolute;left:0pt;margin-left:-0.45pt;margin-top:29.75pt;height:448.05pt;width:694.45pt;z-index:1234494464;mso-width-relative:page;mso-height-relative:page;" coordsize="8819513,5690235" editas="canvas">
            <o:lock v:ext="edit"/>
            <v:shape id="_x0000_s6030" o:spid="_x0000_s6030" o:spt="75" type="#_x0000_t75" style="position:absolute;left:0;top:0;height:5690235;width:8819513;" filled="f" stroked="f" coordsize="21600,21600">
              <v:path/>
              <v:fill on="f" focussize="0,0"/>
              <v:stroke on="f"/>
              <v:imagedata o:title=""/>
              <o:lock v:ext="edit" aspectratio="f"/>
            </v:shape>
            <v:shape id="_x0000_s6075" o:spid="_x0000_s6075" style="position:absolute;left:4185919;top:2353310;height:466725;width:371475;" fillcolor="#FDEADA" filled="t" stroked="t" coordsize="585,735" path="m585,0hal367,30hal105,352hal0,592hal15,735hal82,720hal300,592hal450,427hal517,247hal585,0haxe">
              <v:fill on="t" color2="#FFFFFF" opacity="29491f" focussize="0,0"/>
              <v:stroke weight="1pt" color="#FFFF00" startarrow="block" endarrow="block"/>
              <v:imagedata o:title=""/>
              <o:lock v:ext="edit" aspectratio="f"/>
            </v:shape>
            <v:shape id="_x0000_s6072" o:spid="_x0000_s6072" style="position:absolute;left:3010534;top:4568190;height:560070;width:1243965;" fillcolor="#FDEADA" filled="t" stroked="t" coordsize="1959,882" path="m1323,882hal1456,705hal1650,705hal1765,600hal1959,432hal1906,353hal1438,167hal953,8hal768,0hal485,0hal300,97hal220,370hal300,529hal494,573hal556,661hal494,811hal88,732hal9,811hal0,864hal1323,882haxe">
              <v:fill on="t" color2="#FFFFFF" opacity="39321f" focussize="0,0"/>
              <v:stroke weight="1pt" color="#FFFF00" startarrow="block" endarrow="block"/>
              <v:imagedata o:title=""/>
              <o:lock v:ext="edit" aspectratio="f"/>
            </v:shape>
            <v:shape id="_x0000_s6071" o:spid="_x0000_s6071" style="position:absolute;left:3355974;top:3046730;height:746760;width:1132840;" fillcolor="#FCD5B5" filled="t" stroked="t" coordsize="1784,1176" path="m750,0hal252,205hal308,442hal268,757hal0,1168hal339,1176hal481,1152hal742,986hal908,892hal1216,931hal1705,1081hal1784,868hal1318,757hal1271,165hal979,23hal750,0haxe">
              <v:fill on="t" color2="#FFFFFF" opacity="22937f" focussize="0,0"/>
              <v:stroke weight="1pt" color="#FFFF00" startarrow="block" endarrow="block"/>
              <v:imagedata o:title=""/>
              <o:lock v:ext="edit" aspectratio="f"/>
            </v:shape>
            <v:shape id="_x0000_s6032" o:spid="_x0000_s6032" style="position:absolute;left:5109209;top:2111375;height:561975;width:619125;" fillcolor="#FDEADA" filled="t" stroked="t" coordsize="975,885" path="m495,60hal360,90hal60,195hal0,225hal0,285hal15,375hal270,315hal390,315hal480,315hal525,405hal525,510hal480,675hal480,795hal645,885hal960,705hal975,570hal885,315hal810,270hal735,60hal660,0hal495,60haxe">
              <v:fill on="t" color2="#FFFFFF" opacity="31457f" focussize="0,0"/>
              <v:stroke weight="1pt" color="#FFFF00" startarrow="block" endarrow="block"/>
              <v:imagedata o:title=""/>
              <o:lock v:ext="edit" aspectratio="f"/>
            </v:shape>
            <v:shape id="_x0000_s6033" o:spid="_x0000_s6033" style="position:absolute;left:5118734;top:4006850;height:600075;width:1152525;" fillcolor="#FDEADA" filled="t" stroked="t" coordsize="1815,945" path="m135,435hal0,660hal465,945hal750,810hal1065,840hal1320,720hal1500,660hal1710,660hal1815,525hal1815,390hal1680,375hal1485,405hal1290,285hal1335,120hal1320,0hal1140,0hal990,30hal960,105hal990,195hal885,405hal675,600hal750,735hal420,795hal345,615hal270,450hal195,435hal135,435haxe">
              <v:fill on="t" color2="#FFFFFF" opacity="28835f" focussize="0,0"/>
              <v:stroke weight="1pt" color="#FFFF00" startarrow="block" endarrow="block"/>
              <v:imagedata o:title=""/>
              <o:lock v:ext="edit" aspectratio="f"/>
            </v:shape>
            <v:shape id="_x0000_s6034" o:spid="_x0000_s6034" style="position:absolute;left:1499235;top:1835150;height:1362075;width:1352550;" fillcolor="#FDEADA" filled="t" stroked="t" coordsize="2130,2145" path="m1305,0hal0,1215hal300,1500hal690,1485hal795,1575hal795,1845hal840,1995hal1110,2115hal1170,2145hal1200,1980hal1470,1845hal1620,1710hal2025,1605hal2025,1395hal2010,1065hal2130,480hal1575,570hal1365,0hal1305,0haxe">
              <v:fill on="t" color2="#FFFFFF" opacity="32112f" focussize="0,0"/>
              <v:stroke weight="1pt" color="#FFFF00" startarrow="block" endarrow="block"/>
              <v:imagedata o:title=""/>
              <o:lock v:ext="edit" aspectratio="f"/>
            </v:shape>
            <v:shape id="_x0000_s6035" o:spid="_x0000_s6035" style="position:absolute;left:1451610;top:120650;height:447675;width:1133475;" fillcolor="#FDEADA" filled="t" stroked="t" coordsize="1785,705" path="m675,0hal465,300hal285,345hal180,405hal45,465hal0,510hal30,705hal285,645hal450,705hal630,615hal645,435hal645,375hal855,345hal1140,420hal1455,525hal1605,450hal1785,330hal1755,60hal675,0haxe">
              <v:fill on="t" color2="#FFFFFF" opacity="28835f" focussize="0,0"/>
              <v:stroke weight="1pt" color="#FFFF00" startarrow="block" endarrow="block"/>
              <v:imagedata o:title=""/>
              <o:lock v:ext="edit" aspectratio="f"/>
            </v:shape>
            <v:shape id="_x0000_s6036" o:spid="_x0000_s6036" style="position:absolute;left:3270250;top:3648710;height:984250;width:1817370;" fillcolor="#FDEADA" filled="t" stroked="t" coordsize="2862,1550" path="m1000,0hal837,112hal612,275hal462,300hal262,287hal137,287hal0,487hal75,675hal425,812hal862,875hal1212,900hal1600,1062hal1975,1250hal2400,1475hal2525,1550hal2725,1500hal2862,1175hal2787,950hal2625,775hal2225,675hal2037,550hal1887,512hal1762,425hal1762,275hal1762,175hal1537,100hal1300,25hal1000,0haxe">
              <v:fill on="t" color2="#FFFFFF" opacity="27525f" focussize="0,0"/>
              <v:stroke weight="1pt" color="#FFFF00" startarrow="block" endarrow="block"/>
              <v:imagedata o:title=""/>
              <o:lock v:ext="edit" aspectratio="f"/>
            </v:shape>
            <v:group id="组合 117" o:spid="_x0000_s6037" o:spt="203" style="position:absolute;left:7186928;top:4783455;height:177800;width:1079500;" coordorigin="3009,1171871" coordsize="2142,284" o:gfxdata="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0JjP3NkAAAAJAQAADwAAAAAA&#10;AAABACAAAAAiAAAAZHJzL2Rvd25yZXYueG1sUEsBAhQAFAAAAAgAh07iQAz/OG0vAwAAsAwAAA4A&#10;AAAAAAAAAQAgAAAAKAEAAGRycy9lMm9Eb2MueG1sUEsFBgAAAAAGAAYAWQEAAMkGAAAAAA==&#10;">
              <o:lock v:ext="edit" aspectratio="f"/>
              <v:group id="组合 72" o:spid="_x0000_s6038" o:spt="203" style="position:absolute;left:3009;top:1171871;height:284;width:2142;" coordorigin="3009,1171871" coordsize="2142,284" o:gfxdata="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2NQcKvwAAANwAAAAPAAAAAAAAAAEAIAAAACIAAABkcnMvZG93bnJldi54&#10;bWxQSwECFAAUAAAACACHTuJAMy8FnjsAAAA5AAAAFQAAAAAAAAABACAAAAAOAQAAZHJzL2dyb3Vw&#10;c2hhcGV4bWwueG1sUEsFBgAAAAAGAAYAYAEAAMsDAAAAAA==&#10;">
                <o:lock v:ext="edit" aspectratio="f"/>
                <v:shape id="_x0000_s6039" o:spid="_x0000_s6039" style="position:absolute;left:3009;top:1172021;height:135;width:2143;" filled="f" stroked="t" coordsize="1260,1" o:gfxdata="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12RUa8AAAA&#10;3AAAAA8AAAAAAAAAAQAgAAAAIgAAAGRycy9kb3ducmV2LnhtbFBLAQIUABQAAAAIAIdO4kAzLwWe&#10;OwAAADkAAAAQAAAAAAAAAAEAIAAAAAsBAABkcnMvc2hhcGV4bWwueG1sUEsFBgAAAAAGAAYAWwEA&#10;ALUDAAAAAA==&#10;" path="m0,0l1245,0,1260,0e">
                  <v:fill on="f" focussize="0,0"/>
                  <v:stroke weight="1.5pt" color="#FFFF00" joinstyle="round"/>
                  <v:imagedata o:title=""/>
                  <o:lock v:ext="edit" aspectratio="f"/>
                </v:shape>
                <v:shape id="任意多边形 71" o:spid="_x0000_s6040" style="position:absolute;left:3009;top:1171871;height:150;width:1;" filled="f" stroked="t" coordsize="1,150" o:gfxdata="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yh0L4A&#10;AADcAAAADwAAAAAAAAABACAAAAAiAAAAZHJzL2Rvd25yZXYueG1sUEsBAhQAFAAAAAgAh07iQDMv&#10;BZ47AAAAOQAAABAAAAAAAAAAAQAgAAAADQEAAGRycy9zaGFwZXhtbC54bWxQSwUGAAAAAAYABgBb&#10;AQAAtwMAAAAA&#10;" path="m0,0l0,150e">
                  <v:fill on="f" focussize="0,0"/>
                  <v:stroke weight="1.5pt" color="#FFFF00" joinstyle="round"/>
                  <v:imagedata o:title=""/>
                  <o:lock v:ext="edit" aspectratio="f"/>
                </v:shape>
              </v:group>
              <v:shape id="任意多边形 73" o:spid="_x0000_s6041" style="position:absolute;left:5139;top:1171871;height:150;width:1;" filled="f" stroked="t" coordsize="1,150" o:gfxdata="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TAES7sAAADc&#10;AAAADwAAAAAAAAABACAAAAAiAAAAZHJzL2Rvd25yZXYueG1sUEsBAhQAFAAAAAgAh07iQDMvBZ47&#10;AAAAOQAAABAAAAAAAAAAAQAgAAAACgEAAGRycy9zaGFwZXhtbC54bWxQSwUGAAAAAAYABgBbAQAA&#10;tAMAAAAA&#10;" path="m0,0l0,150e">
                <v:fill on="f" focussize="0,0"/>
                <v:stroke weight="1.5pt" color="#FFFF00" joinstyle="round"/>
                <v:imagedata o:title=""/>
                <o:lock v:ext="edit" aspectratio="f"/>
              </v:shape>
            </v:group>
            <v:shape id="_x0000_s6042" o:spid="_x0000_s6042" o:spt="136" type="#_x0000_t136" style="position:absolute;left:7323453;top:4685030;height:114300;width:241300;" fillcolor="#FFFF00" filled="t" stroked="t" coordsize="21600,21600" adj="10800">
              <v:path/>
              <v:fill on="t" color2="#FFFFFF" focussize="0,0"/>
              <v:stroke color="#FFFF00"/>
              <v:imagedata o:title=""/>
              <o:lock v:ext="edit" aspectratio="f"/>
              <v:textpath on="t" fitshape="t" fitpath="t" trim="t" xscale="f" string="1公里" style="font-family:宋体;font-size:16pt;v-text-align:center;"/>
            </v:shape>
            <v:shape id="_x0000_s6044" o:spid="_x0000_s6044" o:spt="136" type="#_x0000_t136" style="position:absolute;left:3535679;top:4738370;height:147955;width:312420;rotation:211315f;" fillcolor="#0000FF" filled="t" stroked="t" coordsize="21600,21600" adj="10800">
              <v:path/>
              <v:fill on="t" color2="#FFFFFF" focussize="0,0"/>
              <v:stroke color="#0000FF"/>
              <v:imagedata o:title=""/>
              <o:lock v:ext="edit" aspectratio="f"/>
              <v:textpath on="t" fitshape="t" fitpath="t" trim="t" xscale="f" string="公益" style="font-family:宋体;font-size:16pt;v-text-align:center;"/>
            </v:shape>
            <v:shape id="_x0000_s6045" o:spid="_x0000_s6045" o:spt="136" type="#_x0000_t136" style="position:absolute;left:3888105;top:3982085;height:130175;width:467360;rotation:211315f;" fillcolor="#0000FF" filled="t" stroked="t" coordsize="21600,21600" adj="10800">
              <v:path/>
              <v:fill on="t" color2="#FFFFFF" focussize="0,0"/>
              <v:stroke color="#0000FF"/>
              <v:imagedata o:title=""/>
              <o:lock v:ext="edit" aspectratio="f"/>
              <v:textpath on="t" fitshape="t" fitpath="t" trim="t" xscale="f" string="新市社区" style="font-family:宋体;font-size:16pt;v-text-align:center;"/>
            </v:shape>
            <v:shape id="_x0000_s6046" o:spid="_x0000_s6046" style="position:absolute;left:2309495;top:2860040;height:1079500;width:1214755;" fillcolor="#FDEADA" filled="t" stroked="t" coordsize="1913,1700" path="m1363,1700hal1563,1425hal1738,1187hal1888,975hal1913,700hal1763,462hal1663,150hal1488,37hal875,0hal638,50hal388,125hal200,312hal0,412hal13,562hal275,687hal550,825hal800,987hal1113,1387hal1363,1700haxe">
              <v:fill on="t" color2="#FFFFFF" opacity="32768f" focussize="0,0"/>
              <v:stroke weight="1pt" color="#FFFF00" startarrow="block" endarrow="block"/>
              <v:imagedata o:title=""/>
              <o:lock v:ext="edit" aspectratio="f"/>
            </v:shape>
            <v:shape id="_x0000_s6048" o:spid="_x0000_s6048" o:spt="136" type="#_x0000_t136" style="position:absolute;left:3607434;top:3373120;height:127000;width:457200;rotation:211315f;" fillcolor="#0000FF" filled="t" stroked="t" coordsize="21600,21600" adj="10800">
              <v:path/>
              <v:fill on="t" color2="#FFFFFF" focussize="0,0"/>
              <v:stroke color="#0000FF"/>
              <v:imagedata o:title=""/>
              <o:lock v:ext="edit" aspectratio="f"/>
              <v:textpath on="t" fitshape="t" fitpath="t" trim="t" xscale="f" string="东方红社区" style="font-family:宋体;font-size:16pt;v-text-align:center;"/>
            </v:shape>
            <v:shape id="_x0000_s6049" o:spid="_x0000_s6049" o:spt="136" type="#_x0000_t136" style="position:absolute;left:2767330;top:3219450;height:127000;width:457200;rotation:211315f;" fillcolor="#0000FF" filled="t" stroked="t" coordsize="21600,21600" adj="10800">
              <v:path/>
              <v:fill on="t" color2="#FFFFFF" focussize="0,0"/>
              <v:stroke color="#0000FF"/>
              <v:imagedata o:title=""/>
              <o:lock v:ext="edit" aspectratio="f"/>
              <v:textpath on="t" fitshape="t" fitpath="t" trim="t" xscale="f" string="人民社区" style="font-family:宋体;font-size:16pt;v-text-align:center;"/>
            </v:shape>
            <v:shape id="_x0000_s6050" o:spid="_x0000_s6050" o:spt="136" type="#_x0000_t136" style="position:absolute;left:1972310;top:2489835;height:166370;width:457200;rotation:211315f;" fillcolor="#0000FF" filled="t" stroked="t" coordsize="21600,21600" adj="10800">
              <v:path/>
              <v:fill on="t" color2="#FFFFFF" focussize="0,0"/>
              <v:stroke color="#0000FF"/>
              <v:imagedata o:title=""/>
              <o:lock v:ext="edit" aspectratio="f"/>
              <v:textpath on="t" fitshape="t" fitpath="t" trim="t" xscale="f" string="红花村" style="font-family:宋体;font-size:16pt;v-text-align:center;"/>
            </v:shape>
            <v:shape id="_x0000_s6051" o:spid="_x0000_s6051" style="position:absolute;left:5799455;top:3256915;height:495300;width:1038225;" fillcolor="#FDEADA" filled="t" stroked="t" coordsize="1635,780" path="m1320,45hal1125,105hal990,90hal840,0hal720,30hal450,165hal300,225hal135,255hal150,420hal105,555hal0,660hal45,780hal150,675hal435,720hal540,660hal840,645hal1050,765hal1260,660hal1425,525hal1635,240hal1575,120hal1440,30hal1320,45haxe">
              <v:fill on="t" color2="#FFFFFF" opacity="30801f" focussize="0,0"/>
              <v:stroke weight="1pt" color="#FFFF00" startarrow="block" endarrow="block"/>
              <v:imagedata o:title=""/>
              <o:lock v:ext="edit" aspectratio="f"/>
            </v:shape>
            <v:shape id="_x0000_s6052" o:spid="_x0000_s6052" style="position:absolute;left:6018530;top:3695065;height:361950;width:428625;" fillcolor="#FDEADA" filled="t" stroked="t" coordsize="675,570" path="m180,60hal150,180hal0,300hal45,465hal225,570hal375,570hal540,435hal660,285hal675,150hal540,45hal345,0hal180,60haxe">
              <v:fill on="t" color2="#FFFFFF" opacity="26869f" focussize="0,0"/>
              <v:stroke weight="1pt" color="#FFFF00" startarrow="block" endarrow="block"/>
              <v:imagedata o:title=""/>
              <o:lock v:ext="edit" aspectratio="f"/>
            </v:shape>
            <v:shape id="_x0000_s6053" o:spid="_x0000_s6053" style="position:absolute;left:5500370;top:763905;height:989330;width:564515;" fillcolor="#FDEADA" filled="t" stroked="t" coordsize="889,1558" path="m773,0hal646,69hal600,161hal566,242hal531,392hal496,496hal450,588hal439,704hal439,773hal358,923hal381,1131hal231,1108hal69,969hal12,1027hal0,1085hal23,1223hal104,1269hal185,1304hal346,1304hal427,1269hal473,1315hal416,1419hal416,1558hal589,1546hal693,1408hal739,1269hal750,1131hal750,1073hal693,1015hal716,946hal773,796hal877,588hal877,450hal889,335hal889,138hal854,69hal773,0haxe">
              <v:fill on="t" color2="#FFFFFF" opacity="28835f" focussize="0,0"/>
              <v:stroke weight="1pt" color="#FFFF00" startarrow="block" endarrow="block"/>
              <v:imagedata o:title=""/>
              <o:lock v:ext="edit" aspectratio="f"/>
            </v:shape>
            <v:shape id="_x0000_s6054" o:spid="_x0000_s6054" o:spt="136" type="#_x0000_t136" style="position:absolute;left:5701029;top:4260850;height:141605;width:319405;rotation:211315f;" fillcolor="#0000FF" filled="t" stroked="t" coordsize="21600,21600" adj="10800">
              <v:path/>
              <v:fill on="t" color2="#FFFFFF" focussize="0,0"/>
              <v:stroke color="#0000FF"/>
              <v:imagedata o:title=""/>
              <o:lock v:ext="edit" aspectratio="f"/>
              <v:textpath on="t" fitshape="t" fitpath="t" trim="t" xscale="f" string="泮南村" style="font-family:宋体;font-size:16pt;v-text-align:center;"/>
            </v:shape>
            <v:shape id="_x0000_s6055" o:spid="_x0000_s6055" o:spt="136" type="#_x0000_t136" style="position:absolute;left:6247130;top:3427730;height:136525;width:282575;rotation:211315f;" fillcolor="#0000FF" filled="t" stroked="t" coordsize="21600,21600" adj="10800">
              <v:path/>
              <v:fill on="t" color2="#FFFFFF" focussize="0,0"/>
              <v:stroke color="#0000FF"/>
              <v:imagedata o:title=""/>
              <o:lock v:ext="edit" aspectratio="f"/>
              <v:textpath on="t" fitshape="t" fitpath="t" trim="t" xscale="f" string="泮村" style="font-family:宋体;font-size:16pt;v-text-align:center;"/>
            </v:shape>
            <v:shape id="_x0000_s6056" o:spid="_x0000_s6056" o:spt="136" type="#_x0000_t136" style="position:absolute;left:6055995;top:3817620;height:133985;width:333375;rotation:211315f;" fillcolor="#0000FF" filled="t" stroked="t" coordsize="21600,21600" adj="10800">
              <v:path/>
              <v:fill on="t" color2="#FFFFFF" focussize="0,0"/>
              <v:stroke color="#0000FF"/>
              <v:imagedata o:title=""/>
              <o:lock v:ext="edit" aspectratio="f"/>
              <v:textpath on="t" fitshape="t" fitpath="t" trim="t" xscale="f" string="永安村" style="font-family:宋体;font-size:16pt;v-text-align:center;"/>
            </v:shape>
            <v:shape id="_x0000_s6057" o:spid="_x0000_s6057" o:spt="136" type="#_x0000_t136" style="position:absolute;left:5417820;top:2403475;height:132715;width:292100;rotation:211315f;" fillcolor="#0000FF" filled="t" stroked="t" coordsize="21600,21600" adj="10800">
              <v:path/>
              <v:fill on="t" color2="#FFFFFF" focussize="0,0"/>
              <v:stroke color="#0000FF"/>
              <v:imagedata o:title=""/>
              <o:lock v:ext="edit" aspectratio="f"/>
              <v:textpath on="t" fitshape="t" fitpath="t" trim="t" xscale="f" string="东园" style="font-family:宋体;font-size:16pt;v-text-align:center;"/>
            </v:shape>
            <v:shape id="_x0000_s6058" o:spid="_x0000_s6058" o:spt="136" type="#_x0000_t136" style="position:absolute;left:5716269;top:1201420;height:160020;width:303530;rotation:211315f;" fillcolor="#0000FF" filled="t" stroked="t" coordsize="21600,21600" adj="10800">
              <v:path/>
              <v:fill on="t" color2="#FFFFFF" focussize="0,0"/>
              <v:stroke color="#0000FF"/>
              <v:imagedata o:title=""/>
              <o:lock v:ext="edit" aspectratio="f"/>
              <v:textpath on="t" fitshape="t" fitpath="t" trim="t" xscale="f" string="良兴" style="font-family:宋体;font-size:16pt;v-text-align:center;"/>
            </v:shape>
            <v:shape id="_x0000_s6059" o:spid="_x0000_s6059" o:spt="136" type="#_x0000_t136" style="position:absolute;left:1942465;top:188595;height:138430;width:394335;rotation:211315f;" fillcolor="#0000FF" filled="t" stroked="t" coordsize="21600,21600" adj="10800">
              <v:path/>
              <v:fill on="t" color2="#FFFFFF" focussize="0,0"/>
              <v:stroke color="#0000FF"/>
              <v:imagedata o:title=""/>
              <o:lock v:ext="edit" aspectratio="f"/>
              <v:textpath on="t" fitshape="t" fitpath="t" trim="t" xscale="f" string="昆阳村" style="font-family:宋体;font-size:16pt;v-text-align:center;"/>
            </v:shape>
            <v:shape id="_x0000_s6060" o:spid="_x0000_s6060" style="position:absolute;left:2996565;top:279400;height:555625;width:610870;" fillcolor="#FDEADA" filled="t" stroked="t" coordsize="962,875" path="m187,12hal187,250hal50,362hal0,450hal112,500hal375,550hal525,537hal587,700hal625,850hal787,875hal862,737hal962,600hal962,475hal837,337hal612,325hal475,287hal362,175hal300,0hal187,12haxe">
              <v:fill on="t" color2="#FFFFFF" opacity="34078f" focussize="0,0"/>
              <v:stroke weight="1pt" color="#FFFF00" startarrow="block" endarrow="block"/>
              <v:imagedata o:title=""/>
              <o:lock v:ext="edit" aspectratio="f"/>
            </v:shape>
            <v:shape id="_x0000_s6061" o:spid="_x0000_s6061" o:spt="136" type="#_x0000_t136" style="position:absolute;left:3179445;top:511175;height:131445;width:378460;rotation:211315f;" fillcolor="#0000FF" filled="t" stroked="t" coordsize="21600,21600" adj="10800">
              <v:path/>
              <v:fill on="t" color2="#FFFFFF" focussize="0,0"/>
              <v:stroke color="#0000FF"/>
              <v:imagedata o:title=""/>
              <o:lock v:ext="edit" aspectratio="f"/>
              <v:textpath on="t" fitshape="t" fitpath="t" trim="t" xscale="f" string="东溪村" style="font-family:宋体;font-size:16pt;v-text-align:center;"/>
            </v:shape>
            <v:shape id="_x0000_s6062" o:spid="_x0000_s6062" style="position:absolute;left:4439285;top:1140460;height:942975;width:390525;" fillcolor="#FDEADA" filled="t" stroked="t" coordsize="615,1485" path="m300,45hal300,255hal345,435hal360,630hal180,1065hal105,1170hal0,1275hal105,1485hal330,1440hal435,1305hal555,1005hal615,660hal555,285hal450,0hal300,45haxe">
              <v:fill on="t" color2="#FFFFFF" opacity="28180f" focussize="0,0"/>
              <v:stroke weight="1pt" color="#FFFF00" startarrow="block" endarrow="block"/>
              <v:imagedata o:title=""/>
              <o:lock v:ext="edit" aspectratio="f"/>
            </v:shape>
            <v:shape id="_x0000_s6063" o:spid="_x0000_s6063" o:spt="136" type="#_x0000_t136" style="position:absolute;left:4522470;top:1671955;height:142875;width:334645;rotation:211315f;" fillcolor="#0000FF" filled="t" stroked="t" coordsize="21600,21600" adj="10800">
              <v:path/>
              <v:fill on="t" color2="#FFFFFF" focussize="0,0"/>
              <v:stroke color="#0000FF"/>
              <v:imagedata o:title=""/>
              <o:lock v:ext="edit" aspectratio="f"/>
              <v:textpath on="t" fitshape="t" fitpath="t" trim="t" xscale="f" string="庆宁" style="font-family:宋体;font-size:16pt;v-text-align:center;"/>
            </v:shape>
            <v:shape id="_x0000_s6064" o:spid="_x0000_s6064" style="position:absolute;left:2743835;top:1430020;height:638175;width:485775;" fillcolor="#FDEADA" filled="t" stroked="t" coordsize="765,1005" path="m540,0hal285,90hal210,330hal45,555hal0,705hal75,870hal300,1005hal465,885hal660,615hal585,510hal645,360hal750,240hal765,105hal615,15hal540,0haxe">
              <v:fill on="t" color2="#FFFFFF" opacity="34078f" focussize="0,0"/>
              <v:stroke weight="1pt" color="#FFFF00" startarrow="block" endarrow="block"/>
              <v:imagedata o:title=""/>
              <o:lock v:ext="edit" aspectratio="f"/>
            </v:shape>
            <v:shape id="_x0000_s6065" o:spid="_x0000_s6065" o:spt="136" type="#_x0000_t136" style="position:absolute;left:2799080;top:1665605;height:127000;width:393700;rotation:211315f;" fillcolor="#0000FF" filled="t" stroked="t" coordsize="21600,21600" adj="10800">
              <v:path/>
              <v:fill on="t" color2="#FFFFFF" focussize="0,0"/>
              <v:stroke color="#0000FF"/>
              <v:imagedata o:title=""/>
              <o:lock v:ext="edit" aspectratio="f"/>
              <v:textpath on="t" fitshape="t" fitpath="t" trim="t" xscale="f" string="贝龙里" style="font-family:宋体;font-size:16pt;v-text-align:center;"/>
            </v:shape>
            <v:shape id="_x0000_s6066" o:spid="_x0000_s6066" o:spt="136" type="#_x0000_t136" style="position:absolute;left:4419599;top:2395855;height:140970;width:366395;" fillcolor="#FFFF00" filled="t" stroked="t" coordsize="21600,21600" adj="10800">
              <v:path/>
              <v:fill on="t" color2="#FFFFFF" focussize="0,0"/>
              <v:stroke color="#FF0000"/>
              <v:imagedata o:title=""/>
              <o:lock v:ext="edit" aspectratio="f"/>
              <v:textpath on="t" fitshape="t" fitpath="t" trim="t" xscale="f" string="项目位置" style="font-family:宋体;font-size:16pt;v-text-align:center;"/>
            </v:shape>
            <v:shape id="_x0000_s6067" o:spid="_x0000_s6067" style="position:absolute;left:1880235;top:1035050;height:247650;width:285750;" fillcolor="#FDEADA" filled="t" stroked="t" coordsize="450,390" path="m360,0hal180,45hal45,210hal0,300hal0,360hal120,390hal345,195hal450,105hal360,0haxe">
              <v:fill on="t" color2="#FFFFFF" opacity="32112f" focussize="0,0"/>
              <v:stroke weight="1pt" color="#FFFF00" startarrow="block" endarrow="block"/>
              <v:imagedata o:title=""/>
              <o:lock v:ext="edit" aspectratio="f"/>
            </v:shape>
            <v:shape id="_x0000_s6068" o:spid="_x0000_s6068" o:spt="136" type="#_x0000_t136" style="position:absolute;left:1818005;top:1094105;height:127000;width:393700;rotation:211315f;" fillcolor="#0000FF" filled="t" stroked="t" coordsize="21600,21600" adj="10800">
              <v:path/>
              <v:fill on="t" color2="#FFFFFF" focussize="0,0"/>
              <v:stroke color="#0000FF"/>
              <v:imagedata o:title=""/>
              <o:lock v:ext="edit" aspectratio="f"/>
              <v:textpath on="t" fitshape="t" fitpath="t" trim="t" xscale="f" string="龙腾里" style="font-family:宋体;font-size:16pt;v-text-align:center;"/>
            </v:shape>
            <v:shape id="_x0000_s6069" o:spid="_x0000_s6069" style="position:absolute;left:5966459;top:2711450;height:209550;width:381000;" fillcolor="#FDEADA" filled="t" stroked="t" coordsize="600,330" path="m375,0hal45,60hal0,195hal90,300hal255,300hal540,330hal600,210hal600,75hal465,30hal375,0haxe">
              <v:fill on="t" color2="#FFFFFF" opacity="26214f" focussize="0,0"/>
              <v:stroke weight="1pt" color="#FFFF00" startarrow="block" endarrow="block"/>
              <v:imagedata o:title=""/>
              <o:lock v:ext="edit" aspectratio="f"/>
            </v:shape>
            <v:shape id="_x0000_s6070" o:spid="_x0000_s6070" o:spt="136" type="#_x0000_t136" style="position:absolute;left:5951854;top:2760980;height:127000;width:393700;rotation:211315f;" fillcolor="#0000FF" filled="t" stroked="t" coordsize="21600,21600" adj="10800">
              <v:path/>
              <v:fill on="t" color2="#FFFFFF" focussize="0,0"/>
              <v:stroke color="#0000FF"/>
              <v:imagedata o:title=""/>
              <o:lock v:ext="edit" aspectratio="f"/>
              <v:textpath on="t" fitshape="t" fitpath="t" trim="t" xscale="f" string="金龙里" style="font-family:宋体;font-size:16pt;v-text-align:center;"/>
            </v:shape>
            <v:shape id="_x0000_s6076" o:spid="_x0000_s6076" o:spt="136" type="#_x0000_t136" style="position:absolute;left:4150359;top:2580005;height:96520;width:587375;rotation:211315f;" fillcolor="#0000FF" filled="t" stroked="t" coordsize="21600,21600" adj="10800">
              <v:path/>
              <v:fill on="t" color2="#FFFFFF" focussize="0,0"/>
              <v:stroke color="#0000FF"/>
              <v:imagedata o:title=""/>
              <o:lock v:ext="edit" aspectratio="f"/>
              <v:textpath on="t" fitshape="t" fitpath="t" trim="t" xscale="f" string="平冈村（平冈卫生站）" style="font-family:宋体;font-size:16pt;v-text-align:center;"/>
            </v:shape>
            <v:shape id="_x0000_s6077" o:spid="_x0000_s6077" style="position:absolute;left:4142739;top:2011045;height:381000;width:338455;" fillcolor="#FDEADA" filled="t" stroked="t" coordsize="533,600" path="m308,0hal135,218hal45,278hal0,435hal68,540hal218,600hal338,548hal533,323hal308,0haxe">
              <v:fill on="t" color2="#FFFFFF" opacity="30801f" focussize="0,0"/>
              <v:stroke weight="1pt" color="#FFFF00" startarrow="block" endarrow="block"/>
              <v:imagedata o:title=""/>
              <o:lock v:ext="edit" aspectratio="f"/>
            </v:shape>
            <v:shape id="_x0000_s6078" o:spid="_x0000_s6078" o:spt="136" type="#_x0000_t136" style="position:absolute;left:4142104;top:2137410;height:114300;width:330200;rotation:211315f;" fillcolor="#0000FF" filled="t" stroked="t" coordsize="21600,21600" adj="10800">
              <v:path/>
              <v:fill on="t" color2="#FFFFFF" focussize="0,0"/>
              <v:stroke color="#0000FF"/>
              <v:imagedata o:title=""/>
              <o:lock v:ext="edit" aspectratio="f"/>
              <v:textpath on="t" fitshape="t" fitpath="t" trim="t" xscale="f" string="罗岗村" style="font-family:宋体;font-size:16pt;v-text-align:center;"/>
            </v:shape>
            <v:shape id="_x0000_s6079" o:spid="_x0000_s6079" style="position:absolute;left:6357619;top:1423670;height:225425;width:415290;" fillcolor="#FDEADA" filled="t" stroked="t" coordsize="654,355" path="m27,0hal0,218hal177,286hal477,355hal613,341hal654,232hal572,109hal27,0haxe">
              <v:fill on="t" color2="#FFFFFF" opacity="28835f" focussize="0,0"/>
              <v:stroke weight="1pt" color="#FFFF00" startarrow="block" endarrow="block"/>
              <v:imagedata o:title=""/>
              <o:lock v:ext="edit" aspectratio="f"/>
            </v:shape>
            <v:shape id="_x0000_s6080" o:spid="_x0000_s6080" o:spt="136" type="#_x0000_t136" style="position:absolute;left:6414134;top:1504315;height:152400;width:292100;rotation:211315f;" fillcolor="#0000FF" filled="t" stroked="t" coordsize="21600,21600" adj="10800">
              <v:path/>
              <v:fill on="t" color2="#FFFFFF" focussize="0,0"/>
              <v:stroke color="#0000FF"/>
              <v:imagedata o:title=""/>
              <o:lock v:ext="edit" aspectratio="f"/>
              <v:textpath on="t" fitshape="t" fitpath="t" trim="t" xscale="f" string="雁田" style="font-family:宋体;font-size:16pt;v-text-align:center;"/>
            </v:shape>
            <v:shape id="_x0000_s6082" o:spid="_x0000_s6082" o:spt="136" type="#_x0000_t136" style="position:absolute;left:6258559;top:8255;height:152400;width:292100;rotation:211315f;" fillcolor="#0000FF" filled="t" stroked="t" coordsize="21600,21600" adj="10800">
              <v:path/>
              <v:fill on="t" color2="#FFFFFF" focussize="0,0"/>
              <v:stroke color="#0000FF"/>
              <v:imagedata o:title=""/>
              <o:lock v:ext="edit" aspectratio="f"/>
              <v:textpath on="t" fitshape="t" fitpath="t" trim="t" xscale="f" string="凌村" style="font-family:宋体;font-size:16pt;v-text-align:center;"/>
            </v:shape>
            <v:shape id="_x0000_s6083" o:spid="_x0000_s6083" style="position:absolute;left:4599939;top:3810;height:294005;width:267970;" fillcolor="#FDEADA" filled="t" stroked="t" coordsize="422,463" path="m204,0hal0,82hal81,259hal150,463hal422,259hal354,82hal204,0haxe">
              <v:fill on="t" color2="#FFFFFF" opacity="32768f" focussize="0,0"/>
              <v:stroke weight="1pt" color="#FFFF00" startarrow="block" endarrow="block"/>
              <v:imagedata o:title=""/>
              <o:lock v:ext="edit" aspectratio="f"/>
            </v:shape>
            <v:shape id="_x0000_s6084" o:spid="_x0000_s6084" o:spt="136" type="#_x0000_t136" style="position:absolute;left:4621529;top:118110;height:153670;width:292100;rotation:211315f;" fillcolor="#0000FF" filled="t" stroked="t" coordsize="21600,21600" adj="10800">
              <v:path/>
              <v:fill on="t" color2="#FFFFFF" focussize="0,0"/>
              <v:stroke color="#0000FF"/>
              <v:imagedata o:title=""/>
              <o:lock v:ext="edit" aspectratio="f"/>
              <v:textpath on="t" fitshape="t" fitpath="t" trim="t" xscale="f" string="木房" style="font-family:宋体;font-size:16pt;v-text-align:center;"/>
            </v:shape>
            <v:shape id="_x0000_s6087" o:spid="_x0000_s6087" o:spt="136" type="#_x0000_t136" style="position:absolute;left:3660774;top:4344670;height:139700;width:304800;rotation:211315f;" fillcolor="#0000FF" filled="t" stroked="t" coordsize="21600,21600" adj="10800">
              <v:path/>
              <v:fill on="t" color2="#FFFFFF" focussize="0,0"/>
              <v:stroke color="#0000FF"/>
              <v:imagedata o:title=""/>
              <o:lock v:ext="edit" aspectratio="f"/>
              <v:textpath on="t" fitshape="t" fitpath="t" trim="t" xscale="f" string="潭江" style="font-family:宋体;font-size:16pt;v-text-align:center;"/>
            </v:shape>
          </v:group>
        </w:pict>
      </w:r>
      <w:r>
        <w:rPr>
          <w:color w:val="auto"/>
        </w:rPr>
        <w:drawing>
          <wp:inline distT="0" distB="0" distL="114300" distR="114300">
            <wp:extent cx="7733665" cy="5500370"/>
            <wp:effectExtent l="0" t="0" r="635" b="5080"/>
            <wp:docPr id="1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4"/>
                    <pic:cNvPicPr>
                      <a:picLocks noChangeAspect="1"/>
                    </pic:cNvPicPr>
                  </pic:nvPicPr>
                  <pic:blipFill>
                    <a:blip r:embed="rId95"/>
                    <a:srcRect t="2421" b="4359"/>
                    <a:stretch>
                      <a:fillRect/>
                    </a:stretch>
                  </pic:blipFill>
                  <pic:spPr>
                    <a:xfrm>
                      <a:off x="0" y="0"/>
                      <a:ext cx="7733665" cy="5500370"/>
                    </a:xfrm>
                    <a:prstGeom prst="rect">
                      <a:avLst/>
                    </a:prstGeom>
                    <a:noFill/>
                    <a:ln>
                      <a:noFill/>
                    </a:ln>
                  </pic:spPr>
                </pic:pic>
              </a:graphicData>
            </a:graphic>
          </wp:inline>
        </w:drawing>
      </w:r>
    </w:p>
    <w:p>
      <w:pPr>
        <w:pStyle w:val="38"/>
        <w:spacing w:before="0"/>
        <w:rPr>
          <w:rFonts w:hint="eastAsia" w:ascii="Times New Roman" w:hAnsi="Times New Roman" w:cs="Times New Roman"/>
          <w:color w:val="auto"/>
          <w:sz w:val="24"/>
          <w:szCs w:val="24"/>
          <w:highlight w:val="none"/>
          <w:shd w:val="clear" w:color="auto" w:fill="auto"/>
          <w:lang w:val="en-US" w:eastAsia="zh-CN"/>
        </w:rPr>
        <w:sectPr>
          <w:headerReference r:id="rId20" w:type="default"/>
          <w:footerReference r:id="rId21" w:type="default"/>
          <w:pgSz w:w="16840" w:h="11907" w:orient="landscape"/>
          <w:pgMar w:top="1304" w:right="1418" w:bottom="1304" w:left="1418" w:header="851" w:footer="851"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sz w:val="24"/>
          <w:szCs w:val="24"/>
          <w:shd w:val="clear" w:color="auto" w:fill="auto"/>
        </w:rPr>
        <w:t>附图</w:t>
      </w:r>
      <w:r>
        <w:rPr>
          <w:rFonts w:hint="eastAsia" w:ascii="Times New Roman" w:hAnsi="Times New Roman" w:cs="Times New Roman"/>
          <w:color w:val="auto"/>
          <w:sz w:val="24"/>
          <w:szCs w:val="24"/>
          <w:shd w:val="clear" w:color="auto" w:fill="auto"/>
          <w:lang w:val="en-US" w:eastAsia="zh-CN"/>
        </w:rPr>
        <w:t>5</w:t>
      </w:r>
      <w:r>
        <w:rPr>
          <w:rFonts w:hint="default" w:ascii="Times New Roman" w:hAnsi="Times New Roman" w:cs="Times New Roman"/>
          <w:color w:val="auto"/>
          <w:sz w:val="24"/>
          <w:szCs w:val="24"/>
          <w:shd w:val="clear" w:color="auto" w:fill="auto"/>
        </w:rPr>
        <w:t xml:space="preserve"> </w:t>
      </w:r>
      <w:r>
        <w:rPr>
          <w:rFonts w:hint="default" w:ascii="Times New Roman" w:hAnsi="Times New Roman" w:cs="Times New Roman"/>
          <w:color w:val="auto"/>
          <w:sz w:val="24"/>
          <w:szCs w:val="24"/>
          <w:highlight w:val="none"/>
          <w:shd w:val="clear" w:color="auto" w:fill="auto"/>
        </w:rPr>
        <w:t>项目周围敏感点图</w:t>
      </w:r>
      <w:r>
        <w:rPr>
          <w:rFonts w:hint="eastAsia" w:ascii="Times New Roman" w:hAnsi="Times New Roman" w:cs="Times New Roman"/>
          <w:color w:val="auto"/>
          <w:sz w:val="24"/>
          <w:szCs w:val="24"/>
          <w:highlight w:val="none"/>
          <w:shd w:val="clear" w:color="auto" w:fill="auto"/>
          <w:lang w:eastAsia="zh-CN"/>
        </w:rPr>
        <w:t>（</w:t>
      </w:r>
      <w:r>
        <w:rPr>
          <w:rFonts w:hint="eastAsia" w:ascii="Times New Roman" w:hAnsi="Times New Roman" w:cs="Times New Roman"/>
          <w:color w:val="auto"/>
          <w:sz w:val="24"/>
          <w:szCs w:val="24"/>
          <w:highlight w:val="none"/>
          <w:shd w:val="clear" w:color="auto" w:fill="auto"/>
          <w:lang w:val="en-US" w:eastAsia="zh-CN"/>
        </w:rPr>
        <w:t>5km）</w:t>
      </w:r>
    </w:p>
    <w:p>
      <w:pPr>
        <w:pStyle w:val="47"/>
        <w:jc w:val="center"/>
        <w:rPr>
          <w:color w:val="auto"/>
          <w:highlight w:val="none"/>
        </w:rPr>
      </w:pPr>
      <w:r>
        <w:rPr>
          <w:color w:val="auto"/>
        </w:rPr>
        <w:drawing>
          <wp:inline distT="0" distB="0" distL="114300" distR="114300">
            <wp:extent cx="5267325" cy="4810125"/>
            <wp:effectExtent l="9525" t="9525" r="19050" b="19050"/>
            <wp:docPr id="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7"/>
                    <pic:cNvPicPr>
                      <a:picLocks noChangeAspect="1"/>
                    </pic:cNvPicPr>
                  </pic:nvPicPr>
                  <pic:blipFill>
                    <a:blip r:embed="rId96"/>
                    <a:srcRect/>
                    <a:stretch>
                      <a:fillRect/>
                    </a:stretch>
                  </pic:blipFill>
                  <pic:spPr>
                    <a:xfrm>
                      <a:off x="0" y="0"/>
                      <a:ext cx="5267325" cy="4810125"/>
                    </a:xfrm>
                    <a:prstGeom prst="rect">
                      <a:avLst/>
                    </a:prstGeom>
                    <a:noFill/>
                    <a:ln>
                      <a:solidFill>
                        <a:schemeClr val="tx1"/>
                      </a:solidFill>
                    </a:ln>
                  </pic:spPr>
                </pic:pic>
              </a:graphicData>
            </a:graphic>
          </wp:inline>
        </w:drawing>
      </w:r>
    </w:p>
    <w:p>
      <w:pPr>
        <w:pStyle w:val="38"/>
        <w:spacing w:before="0"/>
        <w:rPr>
          <w:rFonts w:hint="default"/>
          <w:color w:val="auto"/>
        </w:rPr>
        <w:sectPr>
          <w:pgSz w:w="11907" w:h="16840"/>
          <w:pgMar w:top="1418" w:right="1304" w:bottom="1418" w:left="1304" w:header="851" w:footer="851"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b/>
          <w:bCs/>
          <w:color w:val="auto"/>
          <w:kern w:val="2"/>
          <w:sz w:val="24"/>
          <w:szCs w:val="24"/>
          <w:highlight w:val="none"/>
          <w:shd w:val="clear" w:color="auto" w:fill="auto"/>
          <w:lang w:val="en-US" w:eastAsia="zh-CN" w:bidi="ar-SA"/>
        </w:rPr>
        <w:t>附图</w:t>
      </w:r>
      <w:r>
        <w:rPr>
          <w:rFonts w:hint="eastAsia" w:ascii="Times New Roman" w:hAnsi="Times New Roman" w:cs="Times New Roman"/>
          <w:b/>
          <w:bCs/>
          <w:color w:val="auto"/>
          <w:kern w:val="2"/>
          <w:sz w:val="24"/>
          <w:szCs w:val="24"/>
          <w:highlight w:val="none"/>
          <w:shd w:val="clear" w:color="auto" w:fill="auto"/>
          <w:lang w:val="en-US" w:eastAsia="zh-CN" w:bidi="ar-SA"/>
        </w:rPr>
        <w:t>6</w:t>
      </w:r>
      <w:r>
        <w:rPr>
          <w:rFonts w:hint="default" w:ascii="Times New Roman" w:hAnsi="Times New Roman" w:cs="Times New Roman"/>
          <w:b/>
          <w:bCs/>
          <w:color w:val="auto"/>
          <w:kern w:val="2"/>
          <w:sz w:val="24"/>
          <w:szCs w:val="24"/>
          <w:highlight w:val="none"/>
          <w:shd w:val="clear" w:color="auto" w:fill="auto"/>
          <w:lang w:val="en-US" w:eastAsia="zh-CN" w:bidi="ar-SA"/>
        </w:rPr>
        <w:t xml:space="preserve">  </w:t>
      </w:r>
      <w:r>
        <w:rPr>
          <w:rFonts w:hint="eastAsia" w:ascii="Times New Roman" w:hAnsi="Times New Roman" w:cs="Times New Roman"/>
          <w:b/>
          <w:bCs/>
          <w:color w:val="auto"/>
          <w:kern w:val="2"/>
          <w:sz w:val="24"/>
          <w:szCs w:val="24"/>
          <w:highlight w:val="none"/>
          <w:shd w:val="clear" w:color="auto" w:fill="auto"/>
          <w:lang w:val="en-US" w:eastAsia="zh-CN" w:bidi="ar-SA"/>
        </w:rPr>
        <w:t>土壤监测点位图</w:t>
      </w:r>
    </w:p>
    <w:p>
      <w:pPr>
        <w:bidi w:val="0"/>
        <w:jc w:val="center"/>
        <w:rPr>
          <w:rFonts w:hint="eastAsia"/>
          <w:color w:val="auto"/>
        </w:rPr>
      </w:pPr>
      <w:r>
        <w:rPr>
          <w:color w:val="auto"/>
        </w:rPr>
        <w:drawing>
          <wp:inline distT="0" distB="0" distL="114300" distR="114300">
            <wp:extent cx="8886190" cy="5434965"/>
            <wp:effectExtent l="0" t="0" r="10160" b="13335"/>
            <wp:docPr id="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
                    <pic:cNvPicPr>
                      <a:picLocks noChangeAspect="1"/>
                    </pic:cNvPicPr>
                  </pic:nvPicPr>
                  <pic:blipFill>
                    <a:blip r:embed="rId97"/>
                    <a:srcRect/>
                    <a:stretch>
                      <a:fillRect/>
                    </a:stretch>
                  </pic:blipFill>
                  <pic:spPr>
                    <a:xfrm>
                      <a:off x="0" y="0"/>
                      <a:ext cx="8886190" cy="5434965"/>
                    </a:xfrm>
                    <a:prstGeom prst="rect">
                      <a:avLst/>
                    </a:prstGeom>
                    <a:noFill/>
                    <a:ln>
                      <a:noFill/>
                    </a:ln>
                  </pic:spPr>
                </pic:pic>
              </a:graphicData>
            </a:graphic>
          </wp:inline>
        </w:drawing>
      </w:r>
      <w:r>
        <w:rPr>
          <w:color w:val="auto"/>
          <w:sz w:val="21"/>
        </w:rPr>
        <w:pict>
          <v:group id="_x0000_s6024" o:spid="_x0000_s6024" o:spt="203" style="position:absolute;left:0pt;margin-left:63.5pt;margin-top:73.5pt;height:351.65pt;width:625.55pt;z-index:251668480;mso-width-relative:page;mso-height-relative:page;" coordorigin="5848,1172069" coordsize="12511,7033">
            <o:lock v:ext="edit" aspectratio="f"/>
            <v:shape id="_x0000_s5987" o:spid="_x0000_s5987" o:spt="136" type="#_x0000_t136" style="position:absolute;left:12008;top:1174653;height:280;width:620;rotation:-1164941f;" fillcolor="#FFFF00" filled="t" stroked="t" coordsize="21600,21600" adj="10800">
              <v:path/>
              <v:fill on="t" color2="#FFFFFF" focussize="0,0"/>
              <v:stroke color="#FFFF00"/>
              <v:imagedata o:title=""/>
              <o:lock v:ext="edit" aspectratio="f"/>
              <v:textpath on="t" fitshape="t" fitpath="t" trim="t" xscale="f" string="潭江" style="font-family:宋体;font-size:16pt;v-text-align:center;"/>
            </v:shape>
            <v:shape id="_x0000_s5986" o:spid="_x0000_s5986" o:spt="61" type="#_x0000_t61" style="position:absolute;left:13922;top:1174013;height:915;width:1500;" fillcolor="#FFFFFF" filled="t" stroked="t" coordsize="21600,21600" adj="44835,32997">
              <v:path/>
              <v:fill on="t" color2="#FFFFFF" focussize="0,0"/>
              <v:stroke weight="1pt" color="#000000" joinstyle="miter" startarrow="block" endarrow="block"/>
              <v:imagedata o:title=""/>
              <o:lock v:ext="edit" aspectratio="f"/>
              <v:textbox>
                <w:txbxContent>
                  <w:p>
                    <w:pPr>
                      <w:rPr>
                        <w:rFonts w:hint="eastAsia"/>
                        <w:lang w:eastAsia="zh-CN"/>
                      </w:rPr>
                    </w:pPr>
                    <w:r>
                      <w:rPr>
                        <w:rFonts w:hint="eastAsia"/>
                        <w:lang w:eastAsia="zh-CN"/>
                      </w:rPr>
                      <w:t>地表水监测</w:t>
                    </w:r>
                  </w:p>
                  <w:p>
                    <w:pPr>
                      <w:rPr>
                        <w:rFonts w:hint="eastAsia" w:eastAsia="宋体"/>
                        <w:lang w:eastAsia="zh-CN"/>
                      </w:rPr>
                    </w:pPr>
                    <w:r>
                      <w:rPr>
                        <w:rFonts w:hint="eastAsia"/>
                        <w:lang w:eastAsia="zh-CN"/>
                      </w:rPr>
                      <w:t>断面：牛湾</w:t>
                    </w:r>
                  </w:p>
                </w:txbxContent>
              </v:textbox>
            </v:shape>
            <v:shape id="_x0000_s6001" o:spid="_x0000_s6001" o:spt="136" type="#_x0000_t136" style="position:absolute;left:16707;top:1178682;height:180;width:420;" fillcolor="#FFFF00" filled="t" stroked="t" coordsize="21600,21600" adj="10800">
              <v:path/>
              <v:fill on="t" color2="#FFFFFF" focussize="0,0"/>
              <v:stroke color="#FFFF00"/>
              <v:imagedata o:title=""/>
              <o:lock v:ext="edit" aspectratio="f"/>
              <v:textpath on="t" fitshape="t" fitpath="t" trim="t" xscale="f" string="1公里" style="font-family:宋体;font-size:16pt;v-text-align:center;"/>
            </v:shape>
            <v:group id="_x0000_s5996" o:spid="_x0000_s5996" o:spt="203" style="position:absolute;left:16627;top:1178882;height:220;width:1732;" coordorigin="3009,1171871" coordsize="2142,284" o:gfxdata="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GSj9bNoAAAAKAQAADwAAAAAAAAABACAAAAAiAAAA&#10;ZHJzL2Rvd25yZXYueG1sUEsBAhQAFAAAAAgAh07iQA7FSmIiAwAAPwwAAA4AAAAAAAAAAQAgAAAA&#10;KQEAAGRycy9lMm9Eb2MueG1sUEsFBgAAAAAGAAYAWQEAAL0GAAAAAA==&#10;">
              <o:lock v:ext="edit" aspectratio="f"/>
              <v:group id="组合 72" o:spid="_x0000_s5997" o:spt="203" style="position:absolute;left:3009;top:1171871;height:284;width:2142;" coordorigin="3009,1171871" coordsize="2142,284"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_x0000_s5998" o:spid="_x0000_s5998" o:spt="100" style="position:absolute;left:3009;top:1172021;height:135;width:2143;" fillcolor="#FFFF00" filled="t" stroked="t" coordsize="1260,1" path="m0,0l1245,0,1260,0e">
                  <v:fill on="t" color2="#FFFFFF" focussize="0,0"/>
                  <v:stroke weight="1.5pt" color="#FFFF00" joinstyle="round"/>
                  <v:imagedata o:title=""/>
                  <o:lock v:ext="edit" aspectratio="f"/>
                </v:shape>
                <v:shape id="任意多边形 71" o:spid="_x0000_s5999" o:spt="100" style="position:absolute;left:3009;top:1171871;height:150;width:1;" fillcolor="#FFFF00" filled="t" stroked="t" coordsize="1,150" path="m0,0l0,150e">
                  <v:fill on="t" color2="#FFFFFF" focussize="0,0"/>
                  <v:stroke weight="1.5pt" color="#FFFF00" joinstyle="round"/>
                  <v:imagedata o:title=""/>
                  <o:lock v:ext="edit" aspectratio="f"/>
                </v:shape>
              </v:group>
              <v:shape id="任意多边形 73" o:spid="_x0000_s6000" o:spt="100" style="position:absolute;left:5139;top:1171871;height:150;width:1;" fillcolor="#FFFF00" filled="t" stroked="t" coordsize="1,150" path="m0,0l0,150e">
                <v:fill on="t" color2="#FFFFFF" focussize="0,0"/>
                <v:stroke weight="1.5pt" color="#FFFF00" joinstyle="round"/>
                <v:imagedata o:title=""/>
                <o:lock v:ext="edit" aspectratio="f"/>
              </v:shape>
            </v:group>
            <v:shape id="_x0000_s5981" o:spid="_x0000_s5981" o:spt="61" type="#_x0000_t61" style="position:absolute;left:6631;top:1172828;height:525;width:1440;" fillcolor="#FFFFFF" filled="t" stroked="t" coordsize="21600,21600" adj="-9404,-25672">
              <v:path/>
              <v:fill on="t" color2="#FFFFFF" focussize="0,0"/>
              <v:stroke weight="1pt" color="#000000" joinstyle="miter" startarrow="block" endarrow="block"/>
              <v:imagedata o:title=""/>
              <o:lock v:ext="edit" aspectratio="f"/>
              <v:textbox>
                <w:txbxContent>
                  <w:p>
                    <w:pPr>
                      <w:rPr>
                        <w:rFonts w:hint="eastAsia" w:eastAsia="宋体"/>
                        <w:lang w:eastAsia="zh-CN"/>
                      </w:rPr>
                    </w:pPr>
                    <w:r>
                      <w:rPr>
                        <w:rFonts w:hint="eastAsia"/>
                        <w:lang w:eastAsia="zh-CN"/>
                      </w:rPr>
                      <w:t>本项目位置</w:t>
                    </w:r>
                  </w:p>
                </w:txbxContent>
              </v:textbox>
            </v:shape>
            <v:shape id="_x0000_s5985" o:spid="_x0000_s5985" o:spt="32" type="#_x0000_t32" style="position:absolute;left:16966;top:1175048;height:795;width:255;" filled="f" stroked="t" coordsize="21600,21600">
              <v:path arrowok="t"/>
              <v:fill on="f" focussize="0,0"/>
              <v:stroke weight="1pt" color="#FF0000" startarrow="block" endarrow="block"/>
              <v:imagedata o:title=""/>
              <o:lock v:ext="edit" aspectratio="f"/>
            </v:shape>
            <v:shape id="_x0000_s5982" o:spid="_x0000_s5982" style="position:absolute;left:5848;top:1172069;height:160;width:149;" fillcolor="#FF0000" filled="t" stroked="t" coordsize="94615,101600" o:gfxdata="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8c7adsAAAALAQAADwAAAAAAAAABACAAAAAiAAAAZHJzL2Rvd25yZXYueG1sUEsBAhQAFAAAAAgA&#10;h07iQEkWMEoiAgAAMwQAAA4AAAAAAAAAAQAgAAAAKgEAAGRycy9lMm9Eb2MueG1sUEsFBgAAAAAG&#10;AAYAWQEAAL4FAAAAAA==&#1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v:shape id="_x0000_s5983" o:spid="_x0000_s5983" style="position:absolute;left:8983;top:1177244;height:160;width:149;" fillcolor="#FF0000" filled="t" stroked="t" coordsize="94615,101600" o:gfxdata="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8c7adsAAAALAQAADwAAAAAAAAABACAAAAAiAAAAZHJzL2Rvd25yZXYueG1sUEsBAhQAFAAAAAgA&#10;h07iQEkWMEoiAgAAMwQAAA4AAAAAAAAAAQAgAAAAKgEAAGRycy9lMm9Eb2MueG1sUEsFBgAAAAAG&#10;AAYAWQEAAL4FAAAAAA==&#1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v:shape id="_x0000_s5984" o:spid="_x0000_s5984" o:spt="61" type="#_x0000_t61" style="position:absolute;left:9406;top:1175903;height:525;width:2550;" fillcolor="#FFFFFF" filled="t" stroked="t" coordsize="21600,21600" adj="-2532,57065">
              <v:path/>
              <v:fill on="t" color2="#FFFFFF" focussize="0,0"/>
              <v:stroke weight="1pt" color="#000000" joinstyle="miter" startarrow="block" endarrow="block"/>
              <v:imagedata o:title=""/>
              <o:lock v:ext="edit" aspectratio="f"/>
              <v:textbox>
                <w:txbxContent>
                  <w:p>
                    <w:pPr>
                      <w:rPr>
                        <w:rFonts w:hint="eastAsia" w:eastAsia="宋体"/>
                        <w:lang w:eastAsia="zh-CN"/>
                      </w:rPr>
                    </w:pPr>
                    <w:r>
                      <w:rPr>
                        <w:rFonts w:hint="eastAsia"/>
                        <w:lang w:eastAsia="zh-CN"/>
                      </w:rPr>
                      <w:t>开平市水口污水处理厂</w:t>
                    </w:r>
                  </w:p>
                </w:txbxContent>
              </v:textbox>
            </v:shape>
          </v:group>
        </w:pict>
      </w:r>
      <w:r>
        <w:rPr>
          <w:color w:val="auto"/>
        </w:rPr>
        <w:drawing>
          <wp:anchor distT="0" distB="0" distL="114300" distR="114300" simplePos="0" relativeHeight="3428809728" behindDoc="0" locked="0" layoutInCell="1" allowOverlap="1">
            <wp:simplePos x="0" y="0"/>
            <wp:positionH relativeFrom="column">
              <wp:posOffset>8224520</wp:posOffset>
            </wp:positionH>
            <wp:positionV relativeFrom="paragraph">
              <wp:posOffset>57785</wp:posOffset>
            </wp:positionV>
            <wp:extent cx="647700" cy="695325"/>
            <wp:effectExtent l="9525" t="9525" r="9525" b="19050"/>
            <wp:wrapNone/>
            <wp:docPr id="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
                    <pic:cNvPicPr>
                      <a:picLocks noChangeAspect="1"/>
                    </pic:cNvPicPr>
                  </pic:nvPicPr>
                  <pic:blipFill>
                    <a:blip r:embed="rId88"/>
                    <a:stretch>
                      <a:fillRect/>
                    </a:stretch>
                  </pic:blipFill>
                  <pic:spPr>
                    <a:xfrm>
                      <a:off x="9525" y="9525"/>
                      <a:ext cx="647700" cy="695325"/>
                    </a:xfrm>
                    <a:prstGeom prst="rect">
                      <a:avLst/>
                    </a:prstGeom>
                    <a:noFill/>
                    <a:ln>
                      <a:solidFill>
                        <a:srgbClr val="000000"/>
                      </a:solidFill>
                    </a:ln>
                    <a:effectLst/>
                  </pic:spPr>
                </pic:pic>
              </a:graphicData>
            </a:graphic>
          </wp:anchor>
        </w:drawing>
      </w:r>
    </w:p>
    <w:p>
      <w:pPr>
        <w:pStyle w:val="38"/>
        <w:rPr>
          <w:rFonts w:ascii="Times New Roman" w:hAnsi="Times New Roman"/>
          <w:color w:val="auto"/>
          <w:sz w:val="24"/>
          <w:szCs w:val="24"/>
        </w:rPr>
      </w:pPr>
      <w:r>
        <w:rPr>
          <w:rFonts w:hint="eastAsia" w:ascii="Times New Roman" w:hAnsi="Times New Roman"/>
          <w:color w:val="auto"/>
          <w:sz w:val="24"/>
          <w:szCs w:val="24"/>
        </w:rPr>
        <w:t>附图</w:t>
      </w:r>
      <w:r>
        <w:rPr>
          <w:rFonts w:hint="eastAsia" w:ascii="Times New Roman" w:hAnsi="Times New Roman"/>
          <w:color w:val="auto"/>
          <w:sz w:val="24"/>
          <w:szCs w:val="24"/>
          <w:lang w:val="en-US" w:eastAsia="zh-CN"/>
        </w:rPr>
        <w:t>7</w:t>
      </w:r>
      <w:r>
        <w:rPr>
          <w:rFonts w:ascii="Times New Roman" w:hAnsi="Times New Roman"/>
          <w:color w:val="auto"/>
          <w:sz w:val="24"/>
          <w:szCs w:val="24"/>
        </w:rPr>
        <w:t xml:space="preserve"> </w:t>
      </w:r>
      <w:r>
        <w:rPr>
          <w:rFonts w:hint="eastAsia" w:ascii="Times New Roman" w:hAnsi="Times New Roman"/>
          <w:color w:val="auto"/>
          <w:sz w:val="24"/>
          <w:szCs w:val="24"/>
        </w:rPr>
        <w:t>地表水环境监测断面与项目位置关系图</w:t>
      </w:r>
    </w:p>
    <w:p>
      <w:pPr>
        <w:rPr>
          <w:rFonts w:hint="default"/>
          <w:color w:val="auto"/>
        </w:rPr>
        <w:sectPr>
          <w:pgSz w:w="16840" w:h="11907" w:orient="landscape"/>
          <w:pgMar w:top="1304" w:right="1418" w:bottom="1304" w:left="1418" w:header="851" w:footer="851" w:gutter="0"/>
          <w:pgBorders>
            <w:top w:val="none" w:sz="0" w:space="0"/>
            <w:left w:val="none" w:sz="0" w:space="0"/>
            <w:bottom w:val="none" w:sz="0" w:space="0"/>
            <w:right w:val="none" w:sz="0" w:space="0"/>
          </w:pgBorders>
          <w:cols w:space="425" w:num="1"/>
          <w:docGrid w:type="lines" w:linePitch="312" w:charSpace="0"/>
        </w:sectPr>
      </w:pPr>
    </w:p>
    <w:p>
      <w:pPr>
        <w:bidi w:val="0"/>
        <w:spacing w:line="240" w:lineRule="auto"/>
        <w:jc w:val="center"/>
        <w:rPr>
          <w:rFonts w:hint="eastAsia" w:eastAsia="宋体"/>
          <w:color w:val="auto"/>
          <w:lang w:eastAsia="zh-CN"/>
        </w:rPr>
      </w:pPr>
      <w:r>
        <w:rPr>
          <w:color w:val="auto"/>
          <w:sz w:val="21"/>
        </w:rPr>
        <w:pict>
          <v:group id="_x0000_s6009" o:spid="_x0000_s6009" o:spt="203" style="position:absolute;left:0pt;margin-left:25.35pt;margin-top:0.85pt;height:437.55pt;width:642.7pt;z-index:251669504;mso-width-relative:page;mso-height-relative:page;" coordsize="8162288,5556884" editas="canvas">
            <o:lock v:ext="edit"/>
            <v:shape id="_x0000_s6008" o:spid="_x0000_s6008" o:spt="75" type="#_x0000_t75" style="position:absolute;left:0;top:0;height:5556884;width:8162288;" filled="f" stroked="f" coordsize="21600,21600">
              <v:path/>
              <v:fill on="f" focussize="0,0"/>
              <v:stroke on="f"/>
              <v:imagedata o:title=""/>
              <o:lock v:ext="edit" aspectratio="f"/>
            </v:shape>
            <v:shape id="_x0000_s6010" o:spid="_x0000_s6010" o:spt="136" type="#_x0000_t136" style="position:absolute;left:7002779;top:5132705;height:114300;width:266700;" fillcolor="#FFFF00" filled="t" stroked="t" coordsize="21600,21600" adj="10800">
              <v:path/>
              <v:fill on="t" color2="#FFFFFF" focussize="0,0"/>
              <v:stroke color="#FFFF00"/>
              <v:imagedata o:title=""/>
              <o:lock v:ext="edit" aspectratio="f"/>
              <v:textpath on="t" fitshape="t" fitpath="t" trim="t" xscale="f" string="1公里" style="font-family:宋体;font-size:16pt;v-text-align:center;"/>
            </v:shape>
            <v:group id="_x0000_s6011" o:spid="_x0000_s6011" o:spt="203" style="position:absolute;left:6923404;top:5269230;height:139700;width:1092200;" coordorigin="3009,1171871" coordsize="2142,284">
              <o:lock v:ext="edit" aspectratio="f"/>
              <v:group id="组合 72" o:spid="_x0000_s6012" o:spt="203" style="position:absolute;left:3009;top:1171871;height:284;width:2142;" coordorigin="3009,1171871" coordsize="2142,284"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_x0000_s6013" o:spid="_x0000_s6013" o:spt="100" style="position:absolute;left:3009;top:1172021;height:135;width:2143;" fillcolor="#FFFF00" filled="t" stroked="t" coordsize="1260,1" path="m0,0l1245,0,1260,0e">
                  <v:fill on="t" color2="#FFFFFF" focussize="0,0"/>
                  <v:stroke weight="1.5pt" color="#FFFF00" joinstyle="round"/>
                  <v:imagedata o:title=""/>
                  <o:lock v:ext="edit" aspectratio="f"/>
                </v:shape>
                <v:shape id="任意多边形 71" o:spid="_x0000_s6014" o:spt="100" style="position:absolute;left:3009;top:1171871;height:150;width:1;" fillcolor="#FFFF00" filled="t" stroked="t" coordsize="1,150" path="m0,0l0,150e">
                  <v:fill on="t" color2="#FFFFFF" focussize="0,0"/>
                  <v:stroke weight="1.5pt" color="#FFFF00" joinstyle="round"/>
                  <v:imagedata o:title=""/>
                  <o:lock v:ext="edit" aspectratio="f"/>
                </v:shape>
              </v:group>
              <v:shape id="任意多边形 73" o:spid="_x0000_s6015" o:spt="100" style="position:absolute;left:5139;top:1171871;height:150;width:1;" fillcolor="#FFFF00" filled="t" stroked="t" coordsize="1,150" path="m0,0l0,150e">
                <v:fill on="t" color2="#FFFFFF" focussize="0,0"/>
                <v:stroke weight="1.5pt" color="#FFFF00" joinstyle="round"/>
                <v:imagedata o:title=""/>
                <o:lock v:ext="edit" aspectratio="f"/>
              </v:shape>
            </v:group>
            <v:shape id="图片 16" o:spid="_x0000_s6016" o:spt="75" type="#_x0000_t75" style="position:absolute;left:103505;top:66675;height:695325;width:647700;" filled="f" o:preferrelative="t" stroked="t" coordsize="21600,21600">
              <v:path/>
              <v:fill on="f" focussize="0,0"/>
              <v:stroke color="#000000" joinstyle="round"/>
              <v:imagedata r:id="rId88" o:title=""/>
              <o:lock v:ext="edit" aspectratio="t"/>
            </v:shape>
            <v:shape id="_x0000_s6017" o:spid="_x0000_s6017" o:spt="61" type="#_x0000_t61" style="position:absolute;left:4523104;top:1929130;height:330200;width:914400;" fillcolor="#FFFFFF" filled="t" stroked="t" coordsize="21600,21600" adj="-7799,59109">
              <v:path/>
              <v:fill on="t" color2="#FFFFFF" focussize="0,0"/>
              <v:stroke weight="1pt" color="#000000" joinstyle="miter" startarrow="block" endarrow="block"/>
              <v:imagedata o:title=""/>
              <o:lock v:ext="edit" aspectratio="f"/>
              <v:textbox>
                <w:txbxContent>
                  <w:p>
                    <w:pPr>
                      <w:rPr>
                        <w:rFonts w:hint="eastAsia" w:eastAsia="宋体"/>
                        <w:lang w:eastAsia="zh-CN"/>
                      </w:rPr>
                    </w:pPr>
                    <w:r>
                      <w:rPr>
                        <w:rFonts w:hint="eastAsia"/>
                        <w:lang w:eastAsia="zh-CN"/>
                      </w:rPr>
                      <w:t>本项目位置</w:t>
                    </w:r>
                  </w:p>
                </w:txbxContent>
              </v:textbox>
            </v:shape>
            <v:shape id="_x0000_s6018" o:spid="_x0000_s6018" style="position:absolute;left:4123054;top:2818130;height:101600;width:88900;" fillcolor="#FF0000" filled="t" stroked="t" coordsize="94615,10160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v:shape id="_x0000_s6019" o:spid="_x0000_s6019" o:spt="61" type="#_x0000_t61" style="position:absolute;left:5440679;top:2599055;height:701675;width:1162050;" fillcolor="#FFFFFF" filled="t" stroked="t" coordsize="21600,21600" adj="-5665,26272">
              <v:path/>
              <v:fill on="t" color2="#FFFFFF" focussize="0,0"/>
              <v:stroke weight="1pt" color="#000000" joinstyle="miter" startarrow="block" endarrow="block"/>
              <v:imagedata o:title=""/>
              <o:lock v:ext="edit" aspectratio="f"/>
              <v:textbox>
                <w:txbxContent>
                  <w:p>
                    <w:pPr>
                      <w:rPr>
                        <w:rFonts w:hint="eastAsia"/>
                        <w:lang w:eastAsia="zh-CN"/>
                      </w:rPr>
                    </w:pPr>
                    <w:r>
                      <w:rPr>
                        <w:rFonts w:hint="default" w:ascii="Times New Roman" w:hAnsi="Times New Roman" w:eastAsia="宋体" w:cs="Times New Roman"/>
                        <w:color w:val="auto"/>
                        <w:sz w:val="21"/>
                        <w:szCs w:val="21"/>
                        <w:highlight w:val="none"/>
                        <w:lang w:val="en-US" w:eastAsia="zh-CN" w:bidi="ar-SA"/>
                      </w:rPr>
                      <w:t>开平市水口镇明明五金加工店所在地</w:t>
                    </w:r>
                    <w:r>
                      <w:rPr>
                        <w:rFonts w:hint="eastAsia" w:cs="Times New Roman"/>
                        <w:color w:val="auto"/>
                        <w:sz w:val="21"/>
                        <w:szCs w:val="21"/>
                        <w:highlight w:val="none"/>
                        <w:lang w:val="en-US" w:eastAsia="zh-CN" w:bidi="ar-SA"/>
                      </w:rPr>
                      <w:t>监测点</w:t>
                    </w:r>
                  </w:p>
                </w:txbxContent>
              </v:textbox>
            </v:shape>
            <v:shape id="_x0000_s6020" o:spid="_x0000_s6020" style="position:absolute;left:5046979;top:3449955;height:101600;width:88900;" fillcolor="#FF0000" filled="t" stroked="t" coordsize="94615,10160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v:shape id="_x0000_s6021" o:spid="_x0000_s6021" o:spt="61" type="#_x0000_t61" style="position:absolute;left:1783080;top:1999615;height:701040;width:1162050;" fillcolor="#FFFFFF" filled="t" stroked="t" coordsize="21600,21600" adj="27797,33764">
              <v:path/>
              <v:fill on="t" color2="#FFFFFF" focussize="0,0"/>
              <v:stroke weight="1pt" color="#000000" joinstyle="miter" startarrow="block" endarrow="block"/>
              <v:imagedata o:title=""/>
              <o:lock v:ext="edit" aspectratio="f"/>
              <v:textbox>
                <w:txbxContent>
                  <w:p>
                    <w:pPr>
                      <w:rPr>
                        <w:rFonts w:hint="eastAsia"/>
                        <w:lang w:eastAsia="zh-CN"/>
                      </w:rPr>
                    </w:pPr>
                    <w:r>
                      <w:rPr>
                        <w:rFonts w:hint="eastAsia" w:cs="Times New Roman"/>
                        <w:color w:val="auto"/>
                        <w:sz w:val="21"/>
                        <w:szCs w:val="21"/>
                        <w:lang w:eastAsia="zh-CN"/>
                      </w:rPr>
                      <w:t>开平市水口镇怡泰五金厂</w:t>
                    </w:r>
                    <w:r>
                      <w:rPr>
                        <w:rFonts w:hint="eastAsia" w:ascii="Times New Roman" w:cs="Times New Roman"/>
                        <w:color w:val="auto"/>
                        <w:sz w:val="21"/>
                        <w:szCs w:val="21"/>
                        <w:lang w:eastAsia="zh-CN"/>
                      </w:rPr>
                      <w:t>所在地</w:t>
                    </w:r>
                    <w:r>
                      <w:rPr>
                        <w:rFonts w:hint="eastAsia" w:cs="Times New Roman"/>
                        <w:color w:val="auto"/>
                        <w:sz w:val="21"/>
                        <w:szCs w:val="21"/>
                        <w:lang w:eastAsia="zh-CN"/>
                      </w:rPr>
                      <w:t>监测点</w:t>
                    </w:r>
                  </w:p>
                </w:txbxContent>
              </v:textbox>
            </v:shape>
            <v:shape id="_x0000_s6022" o:spid="_x0000_s6022" style="position:absolute;left:3294379;top:3088005;height:101600;width:88900;" fillcolor="#FF0000" filled="t" stroked="t" coordsize="94615,10160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v:shape id="_x0000_s6023" o:spid="_x0000_s6023" o:spt="61" type="#_x0000_t61" style="position:absolute;left:6856729;top:627380;height:539115;width:914400;" fillcolor="#FFFFFF" filled="t" stroked="t" coordsize="21600,21600" adj="-6884,45363">
              <v:path/>
              <v:fill on="t" color2="#FFFFFF" focussize="0,0"/>
              <v:stroke weight="1pt" color="#000000" joinstyle="miter" startarrow="block" endarrow="block"/>
              <v:imagedata o:title=""/>
              <o:lock v:ext="edit" aspectratio="f"/>
              <v:textbox>
                <w:txbxContent>
                  <w:p>
                    <w:pPr>
                      <w:rPr>
                        <w:rFonts w:hint="default" w:eastAsia="宋体"/>
                        <w:lang w:val="en-US" w:eastAsia="zh-CN"/>
                      </w:rPr>
                    </w:pPr>
                    <w:r>
                      <w:rPr>
                        <w:rFonts w:hint="eastAsia"/>
                        <w:lang w:eastAsia="zh-CN"/>
                      </w:rPr>
                      <w:t>项目大气评价范围</w:t>
                    </w:r>
                    <w:r>
                      <w:rPr>
                        <w:rFonts w:hint="eastAsia"/>
                        <w:lang w:val="en-US" w:eastAsia="zh-CN"/>
                      </w:rPr>
                      <w:t>5km</w:t>
                    </w:r>
                  </w:p>
                </w:txbxContent>
              </v:textbox>
            </v:shape>
          </v:group>
        </w:pict>
      </w:r>
      <w:r>
        <w:rPr>
          <w:color w:val="auto"/>
        </w:rPr>
        <w:drawing>
          <wp:inline distT="0" distB="0" distL="114300" distR="114300">
            <wp:extent cx="8051800" cy="5426710"/>
            <wp:effectExtent l="0" t="0" r="6350" b="254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98"/>
                    <a:srcRect l="9429" t="2807" b="3137"/>
                    <a:stretch>
                      <a:fillRect/>
                    </a:stretch>
                  </pic:blipFill>
                  <pic:spPr>
                    <a:xfrm>
                      <a:off x="0" y="0"/>
                      <a:ext cx="8051800" cy="5426710"/>
                    </a:xfrm>
                    <a:prstGeom prst="rect">
                      <a:avLst/>
                    </a:prstGeom>
                    <a:noFill/>
                    <a:ln>
                      <a:noFill/>
                    </a:ln>
                  </pic:spPr>
                </pic:pic>
              </a:graphicData>
            </a:graphic>
          </wp:inline>
        </w:drawing>
      </w:r>
    </w:p>
    <w:p>
      <w:pPr>
        <w:pStyle w:val="38"/>
        <w:spacing w:line="240" w:lineRule="auto"/>
        <w:rPr>
          <w:rFonts w:ascii="Times New Roman" w:hAnsi="Times New Roman"/>
          <w:color w:val="auto"/>
          <w:sz w:val="24"/>
          <w:szCs w:val="24"/>
          <w:shd w:val="clear" w:color="auto" w:fill="auto"/>
        </w:rPr>
      </w:pPr>
      <w:r>
        <w:rPr>
          <w:rFonts w:hint="eastAsia" w:ascii="Times New Roman" w:hAnsi="Times New Roman"/>
          <w:color w:val="auto"/>
          <w:sz w:val="24"/>
          <w:szCs w:val="24"/>
          <w:shd w:val="clear" w:color="auto" w:fill="auto"/>
        </w:rPr>
        <w:t>附图</w:t>
      </w:r>
      <w:r>
        <w:rPr>
          <w:rFonts w:hint="eastAsia" w:ascii="Times New Roman" w:hAnsi="Times New Roman"/>
          <w:color w:val="auto"/>
          <w:sz w:val="24"/>
          <w:szCs w:val="24"/>
          <w:shd w:val="clear" w:color="auto" w:fill="auto"/>
          <w:lang w:val="en-US" w:eastAsia="zh-CN"/>
        </w:rPr>
        <w:t>8</w:t>
      </w:r>
      <w:r>
        <w:rPr>
          <w:rFonts w:ascii="Times New Roman" w:hAnsi="Times New Roman"/>
          <w:color w:val="auto"/>
          <w:sz w:val="24"/>
          <w:szCs w:val="24"/>
          <w:shd w:val="clear" w:color="auto" w:fill="auto"/>
        </w:rPr>
        <w:t xml:space="preserve"> </w:t>
      </w:r>
      <w:r>
        <w:rPr>
          <w:rFonts w:hint="eastAsia" w:ascii="Times New Roman" w:hAnsi="Times New Roman"/>
          <w:color w:val="auto"/>
          <w:sz w:val="24"/>
          <w:szCs w:val="24"/>
          <w:shd w:val="clear" w:color="auto" w:fill="auto"/>
          <w:lang w:eastAsia="zh-CN"/>
        </w:rPr>
        <w:t>项目大气环境引用监测点位置</w:t>
      </w:r>
      <w:r>
        <w:rPr>
          <w:rFonts w:hint="eastAsia" w:ascii="Times New Roman" w:hAnsi="Times New Roman"/>
          <w:color w:val="auto"/>
          <w:sz w:val="24"/>
          <w:szCs w:val="24"/>
          <w:shd w:val="clear" w:color="auto" w:fill="auto"/>
        </w:rPr>
        <w:t>与项目位置关系图</w:t>
      </w:r>
    </w:p>
    <w:p>
      <w:pPr>
        <w:pStyle w:val="47"/>
        <w:rPr>
          <w:rFonts w:hint="default"/>
          <w:color w:val="auto"/>
        </w:rPr>
        <w:sectPr>
          <w:pgSz w:w="16840" w:h="11907" w:orient="landscape"/>
          <w:pgMar w:top="1304" w:right="1418" w:bottom="1304" w:left="1418" w:header="851" w:footer="851" w:gutter="0"/>
          <w:pgBorders>
            <w:top w:val="none" w:sz="0" w:space="0"/>
            <w:left w:val="none" w:sz="0" w:space="0"/>
            <w:bottom w:val="none" w:sz="0" w:space="0"/>
            <w:right w:val="none" w:sz="0" w:space="0"/>
          </w:pgBorders>
          <w:cols w:space="425" w:num="1"/>
          <w:docGrid w:type="lines" w:linePitch="312" w:charSpace="0"/>
        </w:sectPr>
      </w:pPr>
    </w:p>
    <w:p>
      <w:pPr>
        <w:pStyle w:val="47"/>
        <w:rPr>
          <w:rFonts w:ascii="Times New Roman" w:cs="Times New Roman"/>
          <w:color w:val="auto"/>
        </w:rPr>
      </w:pPr>
      <w:r>
        <w:rPr>
          <w:rFonts w:ascii="Times New Roman" w:cs="Times New Roman"/>
          <w:color w:val="auto"/>
        </w:rPr>
        <w:drawing>
          <wp:inline distT="0" distB="0" distL="114300" distR="114300">
            <wp:extent cx="5540375" cy="5752465"/>
            <wp:effectExtent l="12700" t="12700" r="28575" b="26035"/>
            <wp:docPr id="86" name="图片 3" descr="江门市环境空气质量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descr="江门市环境空气质量功能区划图"/>
                    <pic:cNvPicPr>
                      <a:picLocks noChangeAspect="1"/>
                    </pic:cNvPicPr>
                  </pic:nvPicPr>
                  <pic:blipFill>
                    <a:blip r:embed="rId99"/>
                    <a:stretch>
                      <a:fillRect/>
                    </a:stretch>
                  </pic:blipFill>
                  <pic:spPr>
                    <a:xfrm>
                      <a:off x="0" y="0"/>
                      <a:ext cx="5540375" cy="5752465"/>
                    </a:xfrm>
                    <a:prstGeom prst="rect">
                      <a:avLst/>
                    </a:prstGeom>
                    <a:noFill/>
                    <a:ln w="12700" cap="flat" cmpd="sng">
                      <a:solidFill>
                        <a:srgbClr val="000000"/>
                      </a:solidFill>
                      <a:prstDash val="solid"/>
                      <a:round/>
                      <a:headEnd type="none" w="med" len="med"/>
                      <a:tailEnd type="none" w="med" len="med"/>
                    </a:ln>
                  </pic:spPr>
                </pic:pic>
              </a:graphicData>
            </a:graphic>
          </wp:inline>
        </w:drawing>
      </w:r>
      <w:r>
        <w:rPr>
          <w:color w:val="auto"/>
          <w:sz w:val="24"/>
        </w:rPr>
        <w:pict>
          <v:group id="_x0000_s6027" o:spid="_x0000_s6027" o:spt="203" style="position:absolute;left:0pt;margin-left:262.3pt;margin-top:74pt;height:66.75pt;width:106.5pt;z-index:251659264;mso-width-relative:page;mso-height-relative:page;" coordorigin="12291,1196516" coordsize="2130,1335">
            <o:lock v:ext="edit" aspectratio="f"/>
            <v:shape id="圆角矩形标注 85" o:spid="_x0000_s5964" o:spt="62" type="#_x0000_t62" style="position:absolute;left:12621;top:1196516;height:494;width:1800;" fillcolor="#FFFFFF" filled="t" stroked="t" coordsize="21600,21600" o:gfxdata="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VhkQ11wAAAAsBAAAPAAAAAAAAAAEAIAAAACIAAABk&#10;cnMvZG93bnJldi54bWxQSwECFAAUAAAACACHTuJAwqvDZnkCAADQBAAADgAAAAAAAAABACAAAAAm&#10;AQAAZHJzL2Uyb0RvYy54bWxQSwUGAAAAAAYABgBZAQAAEQYAAAAA&#10;" adj="-2434,52819">
              <v:path/>
              <v:fill on="t" color2="#FFFFFF" focussize="0,0"/>
              <v:stroke color="#000000" miterlimit="8" joinstyle="miter"/>
              <v:imagedata o:title=""/>
              <o:lock v:ext="edit" aspectratio="f"/>
              <v:textbox>
                <w:txbxContent>
                  <w:p>
                    <w:r>
                      <w:rPr>
                        <w:rFonts w:hint="eastAsia"/>
                      </w:rPr>
                      <w:t>建设项目：二类</w:t>
                    </w:r>
                  </w:p>
                </w:txbxContent>
              </v:textbox>
            </v:shape>
            <v:shape id="五角星 87" o:spid="_x0000_s5965" style="position:absolute;left:12291;top:1197691;height:160;width:149;" fillcolor="#FF0000" filled="t" stroked="t" coordsize="94615,101600" o:gfxdata="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xe&#10;HZnaAAAACwEAAA8AAAAAAAAAAQAgAAAAIgAAAGRycy9kb3ducmV2LnhtbFBLAQIUABQAAAAIAIdO&#10;4kBv7bLVIQIAADMEAAAOAAAAAAAAAAEAIAAAACkBAABkcnMvZTJvRG9jLnhtbFBLBQYAAAAABgAG&#10;AFkBAAC8BQAAAAA=&#1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v:group>
        </w:pict>
      </w:r>
    </w:p>
    <w:p>
      <w:pPr>
        <w:pStyle w:val="38"/>
        <w:spacing w:before="0"/>
        <w:rPr>
          <w:rFonts w:hint="eastAsia" w:ascii="Times New Roman" w:hAnsi="Times New Roman" w:eastAsia="宋体"/>
          <w:color w:val="auto"/>
          <w:sz w:val="24"/>
          <w:szCs w:val="24"/>
          <w:lang w:eastAsia="zh-CN"/>
        </w:rPr>
        <w:sectPr>
          <w:pgSz w:w="11906" w:h="16838"/>
          <w:pgMar w:top="1361" w:right="1418" w:bottom="1361" w:left="1418" w:header="851" w:footer="992" w:gutter="0"/>
          <w:pgBorders>
            <w:top w:val="none" w:sz="0" w:space="0"/>
            <w:left w:val="none" w:sz="0" w:space="0"/>
            <w:bottom w:val="none" w:sz="0" w:space="0"/>
            <w:right w:val="none" w:sz="0" w:space="0"/>
          </w:pgBorders>
          <w:cols w:space="720" w:num="1"/>
          <w:docGrid w:type="linesAndChars" w:linePitch="312"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9</w:t>
      </w:r>
      <w:r>
        <w:rPr>
          <w:rFonts w:ascii="Times New Roman" w:hAnsi="Times New Roman"/>
          <w:color w:val="auto"/>
          <w:sz w:val="24"/>
          <w:szCs w:val="24"/>
        </w:rPr>
        <w:t xml:space="preserve"> 项目大气环境</w:t>
      </w:r>
      <w:r>
        <w:rPr>
          <w:rFonts w:hint="eastAsia" w:ascii="Times New Roman" w:hAnsi="Times New Roman"/>
          <w:color w:val="auto"/>
          <w:sz w:val="24"/>
          <w:szCs w:val="24"/>
          <w:lang w:eastAsia="zh-CN"/>
        </w:rPr>
        <w:t>功能</w:t>
      </w:r>
      <w:r>
        <w:rPr>
          <w:rFonts w:ascii="Times New Roman" w:hAnsi="Times New Roman"/>
          <w:color w:val="auto"/>
          <w:sz w:val="24"/>
          <w:szCs w:val="24"/>
        </w:rPr>
        <w:t>区划图</w:t>
      </w:r>
    </w:p>
    <w:p>
      <w:pPr>
        <w:pStyle w:val="47"/>
        <w:jc w:val="both"/>
        <w:rPr>
          <w:rFonts w:hint="eastAsia" w:ascii="Times New Roman" w:eastAsia="宋体" w:cs="Times New Roman"/>
          <w:b/>
          <w:bCs/>
          <w:color w:val="auto"/>
          <w:sz w:val="21"/>
          <w:szCs w:val="21"/>
          <w:lang w:eastAsia="zh-CN"/>
        </w:rPr>
      </w:pPr>
      <w:r>
        <w:rPr>
          <w:rFonts w:hint="eastAsia" w:ascii="Times New Roman" w:eastAsia="宋体" w:cs="Times New Roman"/>
          <w:b/>
          <w:bCs/>
          <w:color w:val="auto"/>
          <w:sz w:val="21"/>
          <w:szCs w:val="21"/>
          <w:lang w:eastAsia="zh-CN"/>
        </w:rPr>
        <w:drawing>
          <wp:inline distT="0" distB="0" distL="114300" distR="114300">
            <wp:extent cx="7589520" cy="5368925"/>
            <wp:effectExtent l="0" t="0" r="11430" b="3175"/>
            <wp:docPr id="31" name="图片 31" descr="10江门市水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0江门市水环境功能区划图"/>
                    <pic:cNvPicPr>
                      <a:picLocks noChangeAspect="1"/>
                    </pic:cNvPicPr>
                  </pic:nvPicPr>
                  <pic:blipFill>
                    <a:blip r:embed="rId100"/>
                    <a:stretch>
                      <a:fillRect/>
                    </a:stretch>
                  </pic:blipFill>
                  <pic:spPr>
                    <a:xfrm>
                      <a:off x="0" y="0"/>
                      <a:ext cx="7589520" cy="5368925"/>
                    </a:xfrm>
                    <a:prstGeom prst="rect">
                      <a:avLst/>
                    </a:prstGeom>
                  </pic:spPr>
                </pic:pic>
              </a:graphicData>
            </a:graphic>
          </wp:inline>
        </w:drawing>
      </w:r>
      <w:r>
        <w:rPr>
          <w:rFonts w:ascii="Times New Roman" w:cs="Times New Roman"/>
          <w:color w:val="auto"/>
        </w:rPr>
        <w:pict>
          <v:shape id="圆角矩形标注 89" o:spid="_x0000_s5966" o:spt="62" type="#_x0000_t62" style="position:absolute;left:0pt;margin-left:265.35pt;margin-top:79.9pt;height:24.7pt;width:92.85pt;z-index:251660288;mso-width-relative:page;mso-height-relative:page;" fillcolor="#FFFFFF" filled="t" stroked="t" coordsize="21600,21600" o:gfxdata="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1jtfx2QAAAAoBAAAPAAAAAAAAAAEAIAAAACIAAABkcnMvZG93&#10;bnJldi54bWxQSwECFAAUAAAACACHTuJAKnSNw3ECAADQBAAADgAAAAAAAAABACAAAAAoAQAAZHJz&#10;L2Uyb0RvYy54bWxQSwUGAAAAAAYABgBZAQAACwYAAAAA&#10;" adj="-2108,53475">
            <v:path/>
            <v:fill on="t" color2="#FFFFFF" focussize="0,0"/>
            <v:stroke color="#000000" miterlimit="8" joinstyle="miter"/>
            <v:imagedata o:title=""/>
            <o:lock v:ext="edit" aspectratio="f"/>
            <v:textbox>
              <w:txbxContent>
                <w:p>
                  <w:pPr>
                    <w:rPr>
                      <w:szCs w:val="21"/>
                    </w:rPr>
                  </w:pPr>
                  <w:r>
                    <w:rPr>
                      <w:rFonts w:hint="eastAsia"/>
                      <w:szCs w:val="21"/>
                    </w:rPr>
                    <w:t>项目位置：</w:t>
                  </w:r>
                  <w:r>
                    <w:t>Ⅱ类</w:t>
                  </w:r>
                </w:p>
              </w:txbxContent>
            </v:textbox>
          </v:shape>
        </w:pict>
      </w:r>
      <w:r>
        <w:rPr>
          <w:rFonts w:ascii="Times New Roman" w:cs="Times New Roman"/>
          <w:color w:val="auto"/>
        </w:rPr>
        <w:pict>
          <v:shape id="五角星 94" o:spid="_x0000_s5967" style="position:absolute;left:0pt;margin-left:250.4pt;margin-top:138.6pt;height:8pt;width:7.45pt;z-index:251661312;mso-width-relative:page;mso-height-relative:page;" fillcolor="#FF0000" filled="t" stroked="t" coordsize="94615,101600" o:gfxdata="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d&#10;vxDU2wAAAAsBAAAPAAAAAAAAAAEAIAAAACIAAABkcnMvZG93bnJldi54bWxQSwECFAAUAAAACACH&#10;TuJAWw4KBCECAAAzBAAADgAAAAAAAAABACAAAAAqAQAAZHJzL2Uyb0RvYy54bWxQSwUGAAAAAAYA&#10;BgBZAQAAvQUAAAAA&#10;" path="m0,38807l36139,38807,47307,0,58475,38807,94614,38807,65377,62791,76545,101599,47307,77614,18069,101599,29237,62791xe">
            <v:path o:connectlocs="47307,0;0,38807;18069,101599;76545,101599;94614,38807" o:connectangles="247,164,82,82,0"/>
            <v:fill on="t" color2="#FFFFFF" focussize="0,0"/>
            <v:stroke color="#FF0000" miterlimit="8" joinstyle="miter"/>
            <v:imagedata o:title=""/>
            <o:lock v:ext="edit" aspectratio="f"/>
          </v:shape>
        </w:pict>
      </w:r>
      <w:r>
        <w:rPr>
          <w:rFonts w:hint="eastAsia" w:ascii="Times New Roman" w:hAnsi="Times New Roman" w:eastAsia="宋体"/>
          <w:color w:val="auto"/>
          <w:sz w:val="24"/>
          <w:szCs w:val="24"/>
          <w:lang w:eastAsia="zh-CN"/>
        </w:rPr>
        <w:drawing>
          <wp:anchor distT="0" distB="0" distL="114935" distR="114935" simplePos="0" relativeHeight="3428785152" behindDoc="0" locked="0" layoutInCell="1" allowOverlap="1">
            <wp:simplePos x="0" y="0"/>
            <wp:positionH relativeFrom="column">
              <wp:posOffset>3411855</wp:posOffset>
            </wp:positionH>
            <wp:positionV relativeFrom="paragraph">
              <wp:posOffset>3617595</wp:posOffset>
            </wp:positionV>
            <wp:extent cx="1614805" cy="1572260"/>
            <wp:effectExtent l="0" t="0" r="4445" b="8890"/>
            <wp:wrapNone/>
            <wp:docPr id="30" name="图片 30" descr="1572921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572921510(1)"/>
                    <pic:cNvPicPr>
                      <a:picLocks noChangeAspect="1"/>
                    </pic:cNvPicPr>
                  </pic:nvPicPr>
                  <pic:blipFill>
                    <a:blip r:embed="rId101"/>
                    <a:stretch>
                      <a:fillRect/>
                    </a:stretch>
                  </pic:blipFill>
                  <pic:spPr>
                    <a:xfrm>
                      <a:off x="0" y="0"/>
                      <a:ext cx="1614805" cy="1572260"/>
                    </a:xfrm>
                    <a:prstGeom prst="rect">
                      <a:avLst/>
                    </a:prstGeom>
                  </pic:spPr>
                </pic:pic>
              </a:graphicData>
            </a:graphic>
          </wp:anchor>
        </w:drawing>
      </w:r>
    </w:p>
    <w:p>
      <w:pPr>
        <w:pStyle w:val="38"/>
        <w:spacing w:before="0"/>
        <w:rPr>
          <w:rFonts w:ascii="Times New Roman" w:hAnsi="Times New Roman"/>
          <w:color w:val="auto"/>
          <w:sz w:val="24"/>
          <w:szCs w:val="24"/>
        </w:rPr>
        <w:sectPr>
          <w:footerReference r:id="rId23" w:type="first"/>
          <w:footerReference r:id="rId22" w:type="default"/>
          <w:pgSz w:w="16783" w:h="11850" w:orient="landscape"/>
          <w:pgMar w:top="1418" w:right="1417" w:bottom="1418" w:left="1417" w:header="851" w:footer="992" w:gutter="0"/>
          <w:pgBorders>
            <w:top w:val="none" w:sz="0" w:space="0"/>
            <w:left w:val="none" w:sz="0" w:space="0"/>
            <w:bottom w:val="none" w:sz="0" w:space="0"/>
            <w:right w:val="none" w:sz="0" w:space="0"/>
          </w:pgBorders>
          <w:pgNumType w:fmt="numberInDash"/>
          <w:cols w:space="720" w:num="1"/>
          <w:titlePg/>
          <w:docGrid w:type="lines" w:linePitch="318"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10</w:t>
      </w:r>
      <w:r>
        <w:rPr>
          <w:rFonts w:ascii="Times New Roman" w:hAnsi="Times New Roman"/>
          <w:color w:val="auto"/>
          <w:sz w:val="24"/>
          <w:szCs w:val="24"/>
        </w:rPr>
        <w:t xml:space="preserve"> 项目水环境功能区划图</w:t>
      </w:r>
    </w:p>
    <w:p>
      <w:pPr>
        <w:pStyle w:val="47"/>
        <w:jc w:val="both"/>
        <w:rPr>
          <w:rFonts w:ascii="Times New Roman" w:cs="Times New Roman"/>
          <w:color w:val="auto"/>
        </w:rPr>
      </w:pPr>
      <w:r>
        <w:rPr>
          <w:rFonts w:ascii="Times New Roman" w:cs="Times New Roman"/>
          <w:color w:val="auto"/>
        </w:rPr>
        <w:drawing>
          <wp:inline distT="0" distB="0" distL="114300" distR="114300">
            <wp:extent cx="7479665" cy="5485765"/>
            <wp:effectExtent l="0" t="0" r="6985" b="635"/>
            <wp:docPr id="92" name="图片 5" descr="页面提取自－广州及深圳等地下水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descr="页面提取自－广州及深圳等地下水功能区划"/>
                    <pic:cNvPicPr>
                      <a:picLocks noChangeAspect="1"/>
                    </pic:cNvPicPr>
                  </pic:nvPicPr>
                  <pic:blipFill>
                    <a:blip r:embed="rId102"/>
                    <a:stretch>
                      <a:fillRect/>
                    </a:stretch>
                  </pic:blipFill>
                  <pic:spPr>
                    <a:xfrm>
                      <a:off x="0" y="0"/>
                      <a:ext cx="7479665" cy="5485765"/>
                    </a:xfrm>
                    <a:prstGeom prst="rect">
                      <a:avLst/>
                    </a:prstGeom>
                    <a:noFill/>
                    <a:ln w="12700">
                      <a:noFill/>
                    </a:ln>
                  </pic:spPr>
                </pic:pic>
              </a:graphicData>
            </a:graphic>
          </wp:inline>
        </w:drawing>
      </w:r>
      <w:r>
        <w:rPr>
          <w:rFonts w:ascii="Times New Roman" w:cs="Times New Roman"/>
          <w:color w:val="auto"/>
        </w:rPr>
        <w:pict>
          <v:shape id="五角星 91" o:spid="_x0000_s5969" style="position:absolute;left:0pt;margin-left:305.85pt;margin-top:164.3pt;height:8pt;width:7.45pt;z-index:251663360;mso-width-relative:page;mso-height-relative:page;" fillcolor="#FF0000" filled="t" stroked="t" coordsize="94615,101600" o:gfxdata="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8c7adsAAAALAQAADwAAAAAAAAABACAAAAAiAAAAZHJzL2Rvd25yZXYueG1sUEsBAhQAFAAAAAgA&#10;h07iQEkWMEoiAgAAMwQAAA4AAAAAAAAAAQAgAAAAKgEAAGRycy9lMm9Eb2MueG1sUEsFBgAAAAAG&#10;AAYAWQEAAL4FA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rFonts w:hint="eastAsia" w:ascii="Times New Roman" w:hAnsi="Times New Roman" w:eastAsia="宋体"/>
          <w:color w:val="auto"/>
          <w:sz w:val="24"/>
          <w:szCs w:val="24"/>
          <w:lang w:eastAsia="zh-CN"/>
        </w:rPr>
        <w:drawing>
          <wp:anchor distT="0" distB="0" distL="114935" distR="114935" simplePos="0" relativeHeight="3428786176" behindDoc="0" locked="0" layoutInCell="1" allowOverlap="1">
            <wp:simplePos x="0" y="0"/>
            <wp:positionH relativeFrom="column">
              <wp:posOffset>4933315</wp:posOffset>
            </wp:positionH>
            <wp:positionV relativeFrom="paragraph">
              <wp:posOffset>3131820</wp:posOffset>
            </wp:positionV>
            <wp:extent cx="1610360" cy="2087245"/>
            <wp:effectExtent l="9525" t="9525" r="18415" b="17780"/>
            <wp:wrapNone/>
            <wp:docPr id="43" name="图片 43" descr="1572921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572921700(1)"/>
                    <pic:cNvPicPr>
                      <a:picLocks noChangeAspect="1"/>
                    </pic:cNvPicPr>
                  </pic:nvPicPr>
                  <pic:blipFill>
                    <a:blip r:embed="rId103"/>
                    <a:stretch>
                      <a:fillRect/>
                    </a:stretch>
                  </pic:blipFill>
                  <pic:spPr>
                    <a:xfrm>
                      <a:off x="0" y="0"/>
                      <a:ext cx="1610360" cy="2087245"/>
                    </a:xfrm>
                    <a:prstGeom prst="rect">
                      <a:avLst/>
                    </a:prstGeom>
                    <a:ln>
                      <a:solidFill>
                        <a:schemeClr val="tx1"/>
                      </a:solidFill>
                    </a:ln>
                  </pic:spPr>
                </pic:pic>
              </a:graphicData>
            </a:graphic>
          </wp:anchor>
        </w:drawing>
      </w:r>
      <w:r>
        <w:rPr>
          <w:rFonts w:ascii="Times New Roman" w:cs="Times New Roman"/>
          <w:color w:val="auto"/>
        </w:rPr>
        <w:pict>
          <v:shape id="圆角矩形标注 90" o:spid="_x0000_s5968" o:spt="62" type="#_x0000_t62" style="position:absolute;left:0pt;margin-left:326pt;margin-top:86.65pt;height:41.15pt;width:92.2pt;z-index:251662336;mso-width-relative:page;mso-height-relative:page;" fillcolor="#FFFFFF" filled="t" stroked="t" coordsize="21600,21600" o:gfxdata="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zMC0dgAAAALAQAADwAAAAAAAAABACAAAAAiAAAAZHJzL2Rvd25y&#10;ZXYueG1sUEsBAhQAFAAAAAgAh07iQLDLYQhwAgAA0AQAAA4AAAAAAAAAAQAgAAAAJwEAAGRycy9l&#10;Mm9Eb2MueG1sUEsFBgAAAAAGAAYAWQEAAAkGAAAAAA==&#10;" adj="-3297,41835">
            <v:path/>
            <v:fill on="t" color2="#FFFFFF" focussize="0,0"/>
            <v:stroke color="#000000" miterlimit="8" joinstyle="miter"/>
            <v:imagedata o:title=""/>
            <o:lock v:ext="edit" aspectratio="f"/>
            <v:textbox>
              <w:txbxContent>
                <w:p>
                  <w:pPr>
                    <w:rPr>
                      <w:rFonts w:hint="eastAsia" w:eastAsia="宋体"/>
                      <w:szCs w:val="21"/>
                      <w:lang w:eastAsia="zh-CN"/>
                    </w:rPr>
                  </w:pPr>
                  <w:r>
                    <w:rPr>
                      <w:rFonts w:hint="eastAsia"/>
                      <w:szCs w:val="21"/>
                    </w:rPr>
                    <w:t>建设项目：</w:t>
                  </w:r>
                  <w:r>
                    <w:rPr>
                      <w:rFonts w:hint="eastAsia"/>
                      <w:szCs w:val="21"/>
                      <w:lang w:eastAsia="zh-CN"/>
                    </w:rPr>
                    <w:t>分散式开发利用区</w:t>
                  </w:r>
                </w:p>
              </w:txbxContent>
            </v:textbox>
          </v:shape>
        </w:pict>
      </w:r>
    </w:p>
    <w:p>
      <w:pPr>
        <w:pStyle w:val="38"/>
        <w:spacing w:before="0"/>
        <w:rPr>
          <w:rFonts w:hint="eastAsia" w:ascii="Times New Roman" w:hAnsi="Times New Roman" w:eastAsia="宋体"/>
          <w:color w:val="auto"/>
          <w:sz w:val="24"/>
          <w:szCs w:val="24"/>
          <w:lang w:eastAsia="zh-CN"/>
        </w:rPr>
        <w:sectPr>
          <w:footerReference r:id="rId24" w:type="default"/>
          <w:pgSz w:w="16838" w:h="11906" w:orient="landscape"/>
          <w:pgMar w:top="1418" w:right="1361" w:bottom="1418" w:left="1361" w:header="851" w:footer="992" w:gutter="0"/>
          <w:pgBorders>
            <w:top w:val="none" w:sz="0" w:space="0"/>
            <w:left w:val="none" w:sz="0" w:space="0"/>
            <w:bottom w:val="none" w:sz="0" w:space="0"/>
            <w:right w:val="none" w:sz="0" w:space="0"/>
          </w:pgBorders>
          <w:cols w:space="720" w:num="1"/>
          <w:docGrid w:type="linesAndChars" w:linePitch="312"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11</w:t>
      </w:r>
      <w:r>
        <w:rPr>
          <w:rFonts w:ascii="Times New Roman" w:hAnsi="Times New Roman"/>
          <w:color w:val="auto"/>
          <w:sz w:val="24"/>
          <w:szCs w:val="24"/>
        </w:rPr>
        <w:t xml:space="preserve"> 项目地下水功能区划图</w:t>
      </w:r>
    </w:p>
    <w:p>
      <w:pPr>
        <w:rPr>
          <w:rFonts w:hint="eastAsia" w:eastAsia="宋体"/>
          <w:color w:val="auto"/>
          <w:lang w:eastAsia="zh-CN"/>
        </w:rPr>
      </w:pPr>
      <w:r>
        <w:rPr>
          <w:rFonts w:hint="eastAsia" w:eastAsia="宋体"/>
          <w:color w:val="auto"/>
          <w:lang w:eastAsia="zh-CN"/>
        </w:rPr>
        <w:drawing>
          <wp:inline distT="0" distB="0" distL="114300" distR="114300">
            <wp:extent cx="5861685" cy="8288020"/>
            <wp:effectExtent l="0" t="0" r="5715" b="17780"/>
            <wp:docPr id="44" name="图片 44" descr="01主体功能区划分总图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1主体功能区划分总图0127"/>
                    <pic:cNvPicPr>
                      <a:picLocks noChangeAspect="1"/>
                    </pic:cNvPicPr>
                  </pic:nvPicPr>
                  <pic:blipFill>
                    <a:blip r:embed="rId104"/>
                    <a:stretch>
                      <a:fillRect/>
                    </a:stretch>
                  </pic:blipFill>
                  <pic:spPr>
                    <a:xfrm>
                      <a:off x="0" y="0"/>
                      <a:ext cx="5861685" cy="8288020"/>
                    </a:xfrm>
                    <a:prstGeom prst="rect">
                      <a:avLst/>
                    </a:prstGeom>
                  </pic:spPr>
                </pic:pic>
              </a:graphicData>
            </a:graphic>
          </wp:inline>
        </w:drawing>
      </w:r>
      <w:r>
        <w:rPr>
          <w:color w:val="auto"/>
        </w:rPr>
        <w:pict>
          <v:shape id="五角星 148" o:spid="_x0000_s5971" style="position:absolute;left:0pt;margin-left:281.1pt;margin-top:214.45pt;height:8pt;width:7.45pt;z-index:251665408;mso-width-relative:page;mso-height-relative:page;" fillcolor="#FF0000" filled="t" stroked="t" coordsize="94615,101600" o:gfxdata="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N&#10;yrdC2wAAAAsBAAAPAAAAAAAAAAEAIAAAACIAAABkcnMvZG93bnJldi54bWxQSwECFAAUAAAACACH&#10;TuJAjsQFnyECAAA1BAAADgAAAAAAAAABACAAAAAqAQAAZHJzL2Uyb0RvYy54bWxQSwUGAAAAAAYA&#10;BgBZAQAAvQUAAAAA&#10;" path="m0,38807l36139,38807,47307,0,58475,38807,94614,38807,65377,62791,76545,101599,47307,77614,18069,101599,29237,62791xe">
            <v:path o:connectlocs="47307,0;0,38807;18069,101599;76545,101599;94614,38807" o:connectangles="247,164,82,82,0"/>
            <v:fill on="t" focussize="0,0"/>
            <v:stroke color="#FF0000" miterlimit="8" joinstyle="miter"/>
            <v:imagedata o:title=""/>
            <o:lock v:ext="edit" aspectratio="f"/>
          </v:shape>
        </w:pict>
      </w:r>
      <w:r>
        <w:rPr>
          <w:color w:val="auto"/>
        </w:rPr>
        <w:pict>
          <v:shape id="圆角矩形标注 28" o:spid="_x0000_s5970" o:spt="62" type="#_x0000_t62" style="position:absolute;left:0pt;margin-left:304.3pt;margin-top:134pt;height:44.95pt;width:77.2pt;z-index:251664384;mso-width-relative:page;mso-height-relative:page;" fillcolor="#FFFFFF" filled="t" stroked="t" coordsize="21600,21600" o:gfxdata="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V/0aJ2gAAAAsBAAAPAAAAAAAAAAEAIAAAACIAAABkcnMvZG93bnJl&#10;di54bWxQSwECFAAUAAAACACHTuJAgc46F20CAADPBAAADgAAAAAAAAABACAAAAApAQAAZHJzL2Uy&#10;b0RvYy54bWxQSwUGAAAAAAYABgBZAQAACAYAAAAA&#10;" adj="-4840,39788,14400">
            <v:path/>
            <v:fill on="t" focussize="0,0"/>
            <v:stroke color="#000000" miterlimit="8" joinstyle="miter"/>
            <v:imagedata o:title=""/>
            <o:lock v:ext="edit" aspectratio="f"/>
            <v:textbox>
              <w:txbxContent>
                <w:p>
                  <w:pPr>
                    <w:rPr>
                      <w:szCs w:val="21"/>
                    </w:rPr>
                  </w:pPr>
                  <w:r>
                    <w:rPr>
                      <w:rFonts w:hint="eastAsia"/>
                      <w:szCs w:val="21"/>
                    </w:rPr>
                    <w:t>项目位置：</w:t>
                  </w:r>
                </w:p>
                <w:p>
                  <w:pPr>
                    <w:rPr>
                      <w:szCs w:val="21"/>
                    </w:rPr>
                  </w:pPr>
                  <w:r>
                    <w:rPr>
                      <w:rFonts w:hint="eastAsia"/>
                      <w:szCs w:val="21"/>
                      <w:lang w:eastAsia="zh-CN"/>
                    </w:rPr>
                    <w:t>重点开发</w:t>
                  </w:r>
                  <w:r>
                    <w:rPr>
                      <w:rFonts w:hint="eastAsia"/>
                      <w:szCs w:val="21"/>
                    </w:rPr>
                    <w:t>区</w:t>
                  </w:r>
                </w:p>
              </w:txbxContent>
            </v:textbox>
          </v:shape>
        </w:pict>
      </w:r>
    </w:p>
    <w:p>
      <w:pPr>
        <w:pStyle w:val="38"/>
        <w:spacing w:before="0"/>
        <w:rPr>
          <w:rFonts w:ascii="Times New Roman" w:hAnsi="Times New Roman"/>
          <w:color w:val="auto"/>
          <w:sz w:val="24"/>
          <w:szCs w:val="24"/>
        </w:rPr>
        <w:sectPr>
          <w:pgSz w:w="11907" w:h="16840"/>
          <w:pgMar w:top="1418" w:right="1304" w:bottom="1418" w:left="1304" w:header="851" w:footer="851"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color w:val="auto"/>
          <w:sz w:val="24"/>
          <w:szCs w:val="24"/>
        </w:rPr>
        <w:t>附图</w:t>
      </w:r>
      <w:r>
        <w:rPr>
          <w:rFonts w:hint="eastAsia" w:ascii="Times New Roman" w:hAnsi="Times New Roman"/>
          <w:color w:val="auto"/>
          <w:sz w:val="24"/>
          <w:szCs w:val="24"/>
          <w:lang w:val="en-US" w:eastAsia="zh-CN"/>
        </w:rPr>
        <w:t>12</w:t>
      </w:r>
      <w:r>
        <w:rPr>
          <w:rFonts w:ascii="Times New Roman" w:hAnsi="Times New Roman"/>
          <w:color w:val="auto"/>
          <w:sz w:val="24"/>
          <w:szCs w:val="24"/>
        </w:rPr>
        <w:t xml:space="preserve"> </w:t>
      </w:r>
      <w:r>
        <w:rPr>
          <w:rFonts w:hint="eastAsia" w:ascii="Times New Roman" w:hAnsi="Times New Roman"/>
          <w:color w:val="auto"/>
          <w:sz w:val="24"/>
          <w:szCs w:val="24"/>
        </w:rPr>
        <w:t>江门市主体功能</w:t>
      </w:r>
      <w:r>
        <w:rPr>
          <w:rFonts w:ascii="Times New Roman" w:hAnsi="Times New Roman"/>
          <w:color w:val="auto"/>
          <w:sz w:val="24"/>
          <w:szCs w:val="24"/>
        </w:rPr>
        <w:t>区划图</w:t>
      </w:r>
    </w:p>
    <w:p>
      <w:pPr>
        <w:bidi w:val="0"/>
        <w:rPr>
          <w:rFonts w:hint="eastAsia"/>
          <w:color w:val="auto"/>
          <w:lang w:eastAsia="zh-CN"/>
        </w:rPr>
      </w:pPr>
      <w:r>
        <w:rPr>
          <w:rFonts w:hint="eastAsia"/>
          <w:color w:val="auto"/>
          <w:lang w:eastAsia="zh-CN"/>
        </w:rPr>
        <w:drawing>
          <wp:inline distT="0" distB="0" distL="114300" distR="114300">
            <wp:extent cx="5899785" cy="8339455"/>
            <wp:effectExtent l="0" t="0" r="5715" b="4445"/>
            <wp:docPr id="33" name="图片 33" descr="开平声环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开平声环境"/>
                    <pic:cNvPicPr>
                      <a:picLocks noChangeAspect="1"/>
                    </pic:cNvPicPr>
                  </pic:nvPicPr>
                  <pic:blipFill>
                    <a:blip r:embed="rId105"/>
                    <a:stretch>
                      <a:fillRect/>
                    </a:stretch>
                  </pic:blipFill>
                  <pic:spPr>
                    <a:xfrm>
                      <a:off x="0" y="0"/>
                      <a:ext cx="5899785" cy="8339455"/>
                    </a:xfrm>
                    <a:prstGeom prst="rect">
                      <a:avLst/>
                    </a:prstGeom>
                  </pic:spPr>
                </pic:pic>
              </a:graphicData>
            </a:graphic>
          </wp:inline>
        </w:drawing>
      </w:r>
      <w:r>
        <w:rPr>
          <w:color w:val="auto"/>
        </w:rPr>
        <w:pict>
          <v:group id="_x0000_s5978" o:spid="_x0000_s5978" o:spt="203" style="position:absolute;left:0pt;flip:x;margin-left:308.15pt;margin-top:177.65pt;height:46.65pt;width:99.55pt;z-index:251666432;mso-width-relative:page;mso-height-relative:page;" coordorigin="5745,7755" coordsize="2100,1073">
            <o:lock v:ext="edit" aspectratio="f"/>
            <v:shape id="_x0000_s5979" o:spid="_x0000_s5979" o:spt="5" type="#_x0000_t5" style="position:absolute;left:5745;top:8685;height:143;width:143;" fillcolor="#FF0000" filled="t" stroked="t" coordsize="21600,21600" adj="10800">
              <v:path/>
              <v:fill on="t" color2="#FFFFFF" focussize="0,0"/>
              <v:stroke weight="1pt" color="#000000" joinstyle="miter"/>
              <v:imagedata o:title=""/>
              <o:lock v:ext="edit" aspectratio="f"/>
            </v:shape>
            <v:shape id="_x0000_s5980" o:spid="_x0000_s5980" o:spt="62" type="#_x0000_t62" style="position:absolute;left:6540;top:7755;height:600;width:1305;" fillcolor="#FFFFFF" filled="t" stroked="t" coordsize="21600,21600" adj="-10494,35532">
              <v:path/>
              <v:fill on="t" color2="#FFFFFF" focussize="0,0"/>
              <v:stroke weight="1pt" color="#000000" joinstyle="miter"/>
              <v:imagedata o:title=""/>
              <o:lock v:ext="edit" aspectratio="f"/>
              <v:textbox>
                <w:txbxContent>
                  <w:p>
                    <w:pPr>
                      <w:rPr>
                        <w:b/>
                      </w:rPr>
                    </w:pPr>
                    <w:r>
                      <w:rPr>
                        <w:rFonts w:hint="eastAsia"/>
                        <w:b/>
                      </w:rPr>
                      <w:t>项目位置</w:t>
                    </w:r>
                  </w:p>
                </w:txbxContent>
              </v:textbox>
            </v:shape>
          </v:group>
        </w:pict>
      </w:r>
    </w:p>
    <w:p>
      <w:pPr>
        <w:pStyle w:val="38"/>
        <w:spacing w:before="0"/>
        <w:rPr>
          <w:rFonts w:hint="default"/>
          <w:b/>
          <w:bCs/>
          <w:color w:val="auto"/>
          <w:sz w:val="21"/>
          <w:szCs w:val="21"/>
          <w:lang w:val="en-US" w:eastAsia="zh-CN"/>
        </w:rPr>
      </w:pPr>
      <w:r>
        <w:rPr>
          <w:rFonts w:ascii="Times New Roman" w:hAnsi="Times New Roman"/>
          <w:color w:val="auto"/>
          <w:sz w:val="24"/>
          <w:szCs w:val="24"/>
        </w:rPr>
        <w:t>附图</w:t>
      </w:r>
      <w:r>
        <w:rPr>
          <w:rFonts w:hint="eastAsia" w:ascii="Times New Roman" w:hAnsi="Times New Roman"/>
          <w:color w:val="auto"/>
          <w:sz w:val="24"/>
          <w:szCs w:val="24"/>
          <w:lang w:val="en-US" w:eastAsia="zh-CN"/>
        </w:rPr>
        <w:t>13</w:t>
      </w:r>
      <w:r>
        <w:rPr>
          <w:rFonts w:ascii="Times New Roman" w:hAnsi="Times New Roman"/>
          <w:color w:val="auto"/>
          <w:sz w:val="24"/>
          <w:szCs w:val="24"/>
        </w:rPr>
        <w:t xml:space="preserve"> 项目</w:t>
      </w:r>
      <w:r>
        <w:rPr>
          <w:rFonts w:hint="eastAsia" w:ascii="Times New Roman" w:hAnsi="Times New Roman"/>
          <w:color w:val="auto"/>
          <w:sz w:val="24"/>
          <w:szCs w:val="24"/>
          <w:lang w:eastAsia="zh-CN"/>
        </w:rPr>
        <w:t>声</w:t>
      </w:r>
      <w:r>
        <w:rPr>
          <w:rFonts w:ascii="Times New Roman" w:hAnsi="Times New Roman"/>
          <w:color w:val="auto"/>
          <w:sz w:val="24"/>
          <w:szCs w:val="24"/>
        </w:rPr>
        <w:t>环境</w:t>
      </w:r>
      <w:r>
        <w:rPr>
          <w:rFonts w:hint="eastAsia" w:ascii="Times New Roman" w:hAnsi="Times New Roman"/>
          <w:color w:val="auto"/>
          <w:sz w:val="24"/>
          <w:szCs w:val="24"/>
          <w:lang w:eastAsia="zh-CN"/>
        </w:rPr>
        <w:t>功能</w:t>
      </w:r>
      <w:r>
        <w:rPr>
          <w:rFonts w:ascii="Times New Roman" w:hAnsi="Times New Roman"/>
          <w:color w:val="auto"/>
          <w:sz w:val="24"/>
          <w:szCs w:val="24"/>
        </w:rPr>
        <w:t>区划图</w:t>
      </w:r>
    </w:p>
    <w:sectPr>
      <w:headerReference r:id="rId25" w:type="default"/>
      <w:footerReference r:id="rId26" w:type="default"/>
      <w:pgSz w:w="11907" w:h="16840"/>
      <w:pgMar w:top="1440" w:right="1134" w:bottom="1134" w:left="136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2FF" w:usb1="400004FF" w:usb2="00000000" w:usb3="00000000" w:csb0="2000019F" w:csb1="00000000"/>
  </w:font>
  <w:font w:name="仿宋体">
    <w:altName w:val="宋体"/>
    <w:panose1 w:val="00000000000000000000"/>
    <w:charset w:val="86"/>
    <w:family w:val="roma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方正仿宋_GBK">
    <w:altName w:val="宋体"/>
    <w:panose1 w:val="00000000000000000000"/>
    <w:charset w:val="86"/>
    <w:family w:val="script"/>
    <w:pitch w:val="default"/>
    <w:sig w:usb0="00000000" w:usb1="00000000" w:usb2="00000010" w:usb3="00000000" w:csb0="003C0041" w:csb1="00000000"/>
  </w:font>
  <w:font w:name="Noto Sans CJK JP Regular">
    <w:altName w:val="Segoe Print"/>
    <w:panose1 w:val="00000000000000000000"/>
    <w:charset w:val="00"/>
    <w:family w:val="swiss"/>
    <w:pitch w:val="default"/>
    <w:sig w:usb0="00000000" w:usb1="00000000" w:usb2="00000000" w:usb3="00000000" w:csb0="00000000" w:csb1="00000000"/>
  </w:font>
  <w:font w:name="TimesNewRomanPSMT">
    <w:altName w:val="Times New Roman"/>
    <w:panose1 w:val="00000000000000000000"/>
    <w:charset w:val="86"/>
    <w:family w:val="auto"/>
    <w:pitch w:val="default"/>
    <w:sig w:usb0="00000000" w:usb1="00000000" w:usb2="00000000" w:usb3="00000000" w:csb0="00040000" w:csb1="00000000"/>
  </w:font>
  <w:font w:name="等线">
    <w:altName w:val="Arial Unicode MS"/>
    <w:panose1 w:val="02010600030101010101"/>
    <w:charset w:val="86"/>
    <w:family w:val="auto"/>
    <w:pitch w:val="default"/>
    <w:sig w:usb0="00000000" w:usb1="00000000" w:usb2="00000016" w:usb3="00000000" w:csb0="0004000F" w:csb1="00000000"/>
  </w:font>
  <w:font w:name="宋体-方正超大字符集">
    <w:altName w:val="宋体"/>
    <w:panose1 w:val="03000509000000000000"/>
    <w:charset w:val="86"/>
    <w:family w:val="script"/>
    <w:pitch w:val="default"/>
    <w:sig w:usb0="00000000" w:usb1="00000000" w:usb2="00000010" w:usb3="00000000" w:csb0="00040000" w:csb1="00000000"/>
  </w:font>
  <w:font w:name="Noto Sans Mono CJK JP Regular">
    <w:altName w:val="Arial"/>
    <w:panose1 w:val="00000000000000000000"/>
    <w:charset w:val="00"/>
    <w:family w:val="swiss"/>
    <w:pitch w:val="default"/>
    <w:sig w:usb0="00000000" w:usb1="00000000" w:usb2="00000000"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
    <w:altName w:val="黑体"/>
    <w:panose1 w:val="00000000000000000000"/>
    <w:charset w:val="86"/>
    <w:family w:val="auto"/>
    <w:pitch w:val="default"/>
    <w:sig w:usb0="00000000" w:usb1="00000000" w:usb2="00000010" w:usb3="00000000" w:csb0="00040000" w:csb1="00000000"/>
  </w:font>
  <w:font w:name="TT174o00">
    <w:altName w:val="宋体"/>
    <w:panose1 w:val="00000000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swiss"/>
    <w:pitch w:val="default"/>
    <w:sig w:usb0="E0002AFF" w:usb1="C0007843" w:usb2="00000009" w:usb3="00000000" w:csb0="400001FF" w:csb1="FFFF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end"/>
    </w:r>
  </w:p>
  <w:p>
    <w:pPr>
      <w:pStyle w:val="31"/>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37</w:t>
    </w:r>
    <w:r>
      <w:rPr>
        <w:lang w:val="zh-CN"/>
      </w:rPr>
      <w:fldChar w:fldCharType="end"/>
    </w:r>
  </w:p>
  <w:p>
    <w:pPr>
      <w:pStyle w:val="31"/>
      <w:rPr>
        <w:szCs w:val="2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560" w:firstLineChars="200"/>
      <w:jc w:val="both"/>
      <w:rPr>
        <w:rFonts w:ascii="仿宋_GB2312" w:eastAsia="仿宋_GB2312"/>
        <w:sz w:val="28"/>
        <w:szCs w:val="28"/>
      </w:rPr>
    </w:pPr>
    <w:r>
      <w:rPr>
        <w:rFonts w:hint="eastAsia" w:ascii="仿宋_GB2312" w:eastAsia="仿宋_GB2312"/>
        <w:sz w:val="28"/>
        <w:szCs w:val="28"/>
      </w:rPr>
      <w:t>—</w:t>
    </w:r>
    <w:r>
      <w:rPr>
        <w:rStyle w:val="44"/>
        <w:rFonts w:hint="eastAsia" w:ascii="仿宋_GB2312" w:eastAsia="仿宋_GB2312"/>
        <w:sz w:val="28"/>
        <w:szCs w:val="28"/>
      </w:rPr>
      <w:fldChar w:fldCharType="begin"/>
    </w:r>
    <w:r>
      <w:rPr>
        <w:rStyle w:val="44"/>
        <w:rFonts w:hint="eastAsia" w:ascii="仿宋_GB2312" w:eastAsia="仿宋_GB2312"/>
        <w:sz w:val="28"/>
        <w:szCs w:val="28"/>
      </w:rPr>
      <w:instrText xml:space="preserve"> PAGE </w:instrText>
    </w:r>
    <w:r>
      <w:rPr>
        <w:rStyle w:val="44"/>
        <w:rFonts w:hint="eastAsia" w:ascii="仿宋_GB2312" w:eastAsia="仿宋_GB2312"/>
        <w:sz w:val="28"/>
        <w:szCs w:val="28"/>
      </w:rPr>
      <w:fldChar w:fldCharType="separate"/>
    </w:r>
    <w:r>
      <w:rPr>
        <w:rStyle w:val="44"/>
        <w:rFonts w:ascii="仿宋_GB2312" w:eastAsia="仿宋_GB2312"/>
        <w:sz w:val="28"/>
        <w:szCs w:val="28"/>
      </w:rPr>
      <w:t>2</w:t>
    </w:r>
    <w:r>
      <w:rPr>
        <w:rStyle w:val="44"/>
        <w:rFonts w:hint="eastAsia" w:ascii="仿宋_GB2312" w:eastAsia="仿宋_GB2312"/>
        <w:sz w:val="28"/>
        <w:szCs w:val="28"/>
      </w:rPr>
      <w:fldChar w:fldCharType="end"/>
    </w:r>
    <w:r>
      <w:rPr>
        <w:rFonts w:hint="eastAsia" w:ascii="仿宋_GB2312" w:eastAsia="仿宋_GB2312"/>
        <w:sz w:val="28"/>
        <w:szCs w:val="28"/>
      </w:rP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rPr>
        <w:szCs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6</w:t>
    </w:r>
    <w:r>
      <w:rPr>
        <w:lang w:val="zh-CN"/>
      </w:rPr>
      <w:fldChar w:fldCharType="end"/>
    </w:r>
  </w:p>
  <w:p>
    <w:pPr>
      <w:pStyle w:val="3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fldChar w:fldCharType="begin"/>
    </w:r>
    <w:r>
      <w:instrText xml:space="preserve"> PAGE   \* MERGEFORMAT </w:instrText>
    </w:r>
    <w:r>
      <w:fldChar w:fldCharType="separate"/>
    </w:r>
    <w:r>
      <w:rPr>
        <w:lang w:val="zh-CN"/>
      </w:rPr>
      <w:t>4</w:t>
    </w:r>
    <w:r>
      <w:rPr>
        <w:lang w:val="zh-CN"/>
      </w:rPr>
      <w:fldChar w:fldCharType="end"/>
    </w:r>
  </w:p>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8</w:t>
    </w:r>
    <w:r>
      <w:rPr>
        <w:rStyle w:val="44"/>
      </w:rPr>
      <w:fldChar w:fldCharType="end"/>
    </w:r>
  </w:p>
  <w:p>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14</w:t>
    </w:r>
    <w:r>
      <w:rPr>
        <w:rStyle w:val="44"/>
      </w:rPr>
      <w:fldChar w:fldCharType="end"/>
    </w:r>
  </w:p>
  <w:p>
    <w:r>
      <w:rPr>
        <w:rStyle w:val="4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17</w:t>
    </w:r>
    <w:r>
      <w:rPr>
        <w:rStyle w:val="44"/>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18</w:t>
    </w:r>
    <w:r>
      <w:rPr>
        <w:rStyle w:val="44"/>
      </w:rPr>
      <w:fldChar w:fldCharType="end"/>
    </w:r>
  </w:p>
  <w:p>
    <w:r>
      <w:rPr>
        <w:rStyle w:val="4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framePr w:wrap="around" w:vAnchor="text" w:hAnchor="margin" w:xAlign="center" w:y="1"/>
      <w:rPr>
        <w:rStyle w:val="44"/>
      </w:rPr>
    </w:pPr>
    <w:r>
      <w:rPr>
        <w:rStyle w:val="44"/>
      </w:rPr>
      <w:fldChar w:fldCharType="begin"/>
    </w:r>
    <w:r>
      <w:rPr>
        <w:rStyle w:val="44"/>
      </w:rPr>
      <w:instrText xml:space="preserve">PAGE  </w:instrText>
    </w:r>
    <w:r>
      <w:rPr>
        <w:rStyle w:val="44"/>
      </w:rPr>
      <w:fldChar w:fldCharType="separate"/>
    </w:r>
    <w:r>
      <w:rPr>
        <w:rStyle w:val="44"/>
      </w:rPr>
      <w:t>35</w:t>
    </w:r>
    <w:r>
      <w:rPr>
        <w:rStyle w:val="44"/>
      </w:rPr>
      <w:fldChar w:fldCharType="end"/>
    </w: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r>
      <w:rPr>
        <w:rFonts w:hint="eastAsi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EBE4352"/>
    <w:multiLevelType w:val="singleLevel"/>
    <w:tmpl w:val="AEBE4352"/>
    <w:lvl w:ilvl="0" w:tentative="0">
      <w:start w:val="6"/>
      <w:numFmt w:val="decimal"/>
      <w:suff w:val="nothing"/>
      <w:lvlText w:val="%1、"/>
      <w:lvlJc w:val="left"/>
    </w:lvl>
  </w:abstractNum>
  <w:abstractNum w:abstractNumId="1">
    <w:nsid w:val="FFF6BD2C"/>
    <w:multiLevelType w:val="singleLevel"/>
    <w:tmpl w:val="FFF6BD2C"/>
    <w:lvl w:ilvl="0" w:tentative="0">
      <w:start w:val="6"/>
      <w:numFmt w:val="chineseCounting"/>
      <w:suff w:val="nothing"/>
      <w:lvlText w:val="%1、"/>
      <w:lvlJc w:val="left"/>
      <w:rPr>
        <w:rFonts w:hint="eastAsia"/>
      </w:rPr>
    </w:lvl>
  </w:abstractNum>
  <w:abstractNum w:abstractNumId="2">
    <w:nsid w:val="03DAD650"/>
    <w:multiLevelType w:val="singleLevel"/>
    <w:tmpl w:val="03DAD650"/>
    <w:lvl w:ilvl="0" w:tentative="0">
      <w:start w:val="1"/>
      <w:numFmt w:val="decimal"/>
      <w:lvlText w:val="%1."/>
      <w:lvlJc w:val="left"/>
      <w:pPr>
        <w:tabs>
          <w:tab w:val="left" w:pos="312"/>
        </w:tabs>
      </w:pPr>
    </w:lvl>
  </w:abstractNum>
  <w:abstractNum w:abstractNumId="3">
    <w:nsid w:val="1AFC7BAF"/>
    <w:multiLevelType w:val="multilevel"/>
    <w:tmpl w:val="1AFC7BAF"/>
    <w:lvl w:ilvl="0" w:tentative="0">
      <w:start w:val="1"/>
      <w:numFmt w:val="decimal"/>
      <w:lvlText w:val="表 %1 "/>
      <w:lvlJc w:val="left"/>
      <w:pPr>
        <w:ind w:left="420" w:hanging="420"/>
      </w:pPr>
      <w:rPr>
        <w:rFonts w:hint="eastAsia"/>
        <w:b/>
        <w:lang w:val="en-U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4">
    <w:nsid w:val="47AB34A2"/>
    <w:multiLevelType w:val="multilevel"/>
    <w:tmpl w:val="47AB34A2"/>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486806FE"/>
    <w:multiLevelType w:val="multilevel"/>
    <w:tmpl w:val="486806FE"/>
    <w:lvl w:ilvl="0" w:tentative="0">
      <w:start w:val="1"/>
      <w:numFmt w:val="decimal"/>
      <w:lvlText w:val="%1."/>
      <w:lvlJc w:val="left"/>
      <w:pPr>
        <w:tabs>
          <w:tab w:val="left" w:pos="420"/>
        </w:tabs>
        <w:ind w:left="420" w:hanging="420"/>
      </w:pPr>
      <w:rPr>
        <w:color w:val="auto"/>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6100038B"/>
    <w:multiLevelType w:val="multilevel"/>
    <w:tmpl w:val="6100038B"/>
    <w:lvl w:ilvl="0" w:tentative="0">
      <w:start w:val="1"/>
      <w:numFmt w:val="decimal"/>
      <w:pStyle w:val="118"/>
      <w:lvlText w:val="表 %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69F76C17"/>
    <w:multiLevelType w:val="multilevel"/>
    <w:tmpl w:val="69F76C17"/>
    <w:lvl w:ilvl="0" w:tentative="0">
      <w:start w:val="1"/>
      <w:numFmt w:val="chineseCountingThousand"/>
      <w:suff w:val="space"/>
      <w:lvlText w:val="第%1章"/>
      <w:lvlJc w:val="left"/>
      <w:pPr>
        <w:ind w:left="0" w:firstLine="0"/>
      </w:pPr>
      <w:rPr>
        <w:rFonts w:hint="eastAsia" w:ascii="隶书" w:eastAsia="隶书"/>
        <w:b/>
        <w:i w:val="0"/>
        <w:outline w:val="0"/>
        <w:shadow/>
        <w:emboss w:val="0"/>
        <w:imprint w:val="0"/>
        <w:sz w:val="36"/>
      </w:rPr>
    </w:lvl>
    <w:lvl w:ilvl="1" w:tentative="0">
      <w:start w:val="1"/>
      <w:numFmt w:val="chineseCountingThousand"/>
      <w:suff w:val="nothing"/>
      <w:lvlText w:val="%2."/>
      <w:lvlJc w:val="left"/>
      <w:pPr>
        <w:ind w:left="425" w:hanging="425"/>
      </w:pPr>
      <w:rPr>
        <w:rFonts w:hint="eastAsia"/>
      </w:rPr>
    </w:lvl>
    <w:lvl w:ilvl="2" w:tentative="0">
      <w:start w:val="1"/>
      <w:numFmt w:val="chineseCountingThousand"/>
      <w:suff w:val="nothing"/>
      <w:lvlText w:val="(%3)."/>
      <w:lvlJc w:val="left"/>
      <w:pPr>
        <w:ind w:left="0" w:firstLine="0"/>
      </w:pPr>
      <w:rPr>
        <w:rFonts w:hint="eastAsia" w:ascii="楷体_GB2312" w:eastAsia="楷体_GB2312"/>
      </w:rPr>
    </w:lvl>
    <w:lvl w:ilvl="3" w:tentative="0">
      <w:start w:val="1"/>
      <w:numFmt w:val="decimal"/>
      <w:pStyle w:val="5"/>
      <w:suff w:val="nothing"/>
      <w:lvlText w:val="%4."/>
      <w:lvlJc w:val="left"/>
      <w:pPr>
        <w:ind w:left="0" w:firstLine="0"/>
      </w:pPr>
      <w:rPr>
        <w:rFonts w:hint="eastAsia" w:ascii="宋体" w:eastAsia="宋体"/>
      </w:rPr>
    </w:lvl>
    <w:lvl w:ilvl="4" w:tentative="0">
      <w:start w:val="1"/>
      <w:numFmt w:val="decimal"/>
      <w:pStyle w:val="6"/>
      <w:suff w:val="nothing"/>
      <w:lvlText w:val="(%5)."/>
      <w:lvlJc w:val="left"/>
      <w:pPr>
        <w:ind w:left="0" w:firstLine="0"/>
      </w:pPr>
      <w:rPr>
        <w:rFonts w:hint="eastAsia" w:ascii="宋体" w:eastAsia="宋体"/>
      </w:rPr>
    </w:lvl>
    <w:lvl w:ilvl="5" w:tentative="0">
      <w:start w:val="1"/>
      <w:numFmt w:val="upperLetter"/>
      <w:pStyle w:val="8"/>
      <w:lvlText w:val="%6."/>
      <w:lvlJc w:val="left"/>
      <w:pPr>
        <w:tabs>
          <w:tab w:val="left" w:pos="0"/>
        </w:tabs>
        <w:ind w:left="0" w:firstLine="0"/>
      </w:pPr>
      <w:rPr>
        <w:rFonts w:hint="eastAsia" w:ascii="宋体" w:eastAsia="宋体"/>
      </w:rPr>
    </w:lvl>
    <w:lvl w:ilvl="6" w:tentative="0">
      <w:start w:val="1"/>
      <w:numFmt w:val="decimal"/>
      <w:pStyle w:val="9"/>
      <w:lvlText w:val="%7"/>
      <w:lvlJc w:val="left"/>
      <w:pPr>
        <w:tabs>
          <w:tab w:val="left" w:pos="0"/>
        </w:tabs>
        <w:ind w:left="0" w:firstLine="0"/>
      </w:pPr>
      <w:rPr>
        <w:rFonts w:hint="default" w:ascii="Times New Roman" w:hAnsi="Times New Roman"/>
      </w:rPr>
    </w:lvl>
    <w:lvl w:ilvl="7" w:tentative="0">
      <w:start w:val="1"/>
      <w:numFmt w:val="decimal"/>
      <w:pStyle w:val="10"/>
      <w:lvlText w:val="%8"/>
      <w:lvlJc w:val="left"/>
      <w:pPr>
        <w:tabs>
          <w:tab w:val="left" w:pos="0"/>
        </w:tabs>
        <w:ind w:left="0" w:firstLine="0"/>
      </w:pPr>
      <w:rPr>
        <w:rFonts w:hint="default" w:ascii="Times New Roman" w:hAnsi="Times New Roman"/>
      </w:rPr>
    </w:lvl>
    <w:lvl w:ilvl="8" w:tentative="0">
      <w:start w:val="1"/>
      <w:numFmt w:val="decimal"/>
      <w:pStyle w:val="11"/>
      <w:lvlText w:val="%9"/>
      <w:lvlJc w:val="left"/>
      <w:pPr>
        <w:tabs>
          <w:tab w:val="left" w:pos="0"/>
        </w:tabs>
        <w:ind w:left="0" w:firstLine="0"/>
      </w:pPr>
      <w:rPr>
        <w:rFonts w:hint="default" w:ascii="Times New Roman" w:hAnsi="Times New Roman"/>
      </w:rPr>
    </w:lvl>
  </w:abstractNum>
  <w:abstractNum w:abstractNumId="8">
    <w:nsid w:val="72F9ECC9"/>
    <w:multiLevelType w:val="singleLevel"/>
    <w:tmpl w:val="72F9ECC9"/>
    <w:lvl w:ilvl="0" w:tentative="0">
      <w:start w:val="1"/>
      <w:numFmt w:val="chineseCounting"/>
      <w:suff w:val="nothing"/>
      <w:lvlText w:val="%1、"/>
      <w:lvlJc w:val="left"/>
      <w:rPr>
        <w:rFonts w:hint="eastAsia"/>
      </w:rPr>
    </w:lvl>
  </w:abstractNum>
  <w:abstractNum w:abstractNumId="9">
    <w:nsid w:val="742505C2"/>
    <w:multiLevelType w:val="multilevel"/>
    <w:tmpl w:val="742505C2"/>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778B219C"/>
    <w:multiLevelType w:val="singleLevel"/>
    <w:tmpl w:val="778B219C"/>
    <w:lvl w:ilvl="0" w:tentative="0">
      <w:start w:val="1"/>
      <w:numFmt w:val="bullet"/>
      <w:pStyle w:val="18"/>
      <w:lvlText w:val=""/>
      <w:lvlJc w:val="left"/>
      <w:pPr>
        <w:tabs>
          <w:tab w:val="left" w:pos="780"/>
        </w:tabs>
        <w:ind w:left="780" w:hanging="360"/>
      </w:pPr>
      <w:rPr>
        <w:rFonts w:hint="default" w:ascii="Wingdings" w:hAnsi="Wingdings"/>
      </w:rPr>
    </w:lvl>
  </w:abstractNum>
  <w:num w:numId="1">
    <w:abstractNumId w:val="7"/>
  </w:num>
  <w:num w:numId="2">
    <w:abstractNumId w:val="10"/>
  </w:num>
  <w:num w:numId="3">
    <w:abstractNumId w:val="6"/>
  </w:num>
  <w:num w:numId="4">
    <w:abstractNumId w:val="9"/>
  </w:num>
  <w:num w:numId="5">
    <w:abstractNumId w:val="3"/>
  </w:num>
  <w:num w:numId="6">
    <w:abstractNumId w:val="8"/>
  </w:num>
  <w:num w:numId="7">
    <w:abstractNumId w:val="2"/>
  </w:num>
  <w:num w:numId="8">
    <w:abstractNumId w:val="5"/>
  </w:num>
  <w:num w:numId="9">
    <w:abstractNumId w:val="4"/>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72A27"/>
    <w:rsid w:val="0000195F"/>
    <w:rsid w:val="000042AF"/>
    <w:rsid w:val="0000492E"/>
    <w:rsid w:val="000058C5"/>
    <w:rsid w:val="0000650E"/>
    <w:rsid w:val="00006513"/>
    <w:rsid w:val="00007E25"/>
    <w:rsid w:val="00010684"/>
    <w:rsid w:val="000108D7"/>
    <w:rsid w:val="000111F7"/>
    <w:rsid w:val="00011E59"/>
    <w:rsid w:val="00012105"/>
    <w:rsid w:val="00012968"/>
    <w:rsid w:val="0001361A"/>
    <w:rsid w:val="000136F3"/>
    <w:rsid w:val="00013FA1"/>
    <w:rsid w:val="000164D2"/>
    <w:rsid w:val="000173DA"/>
    <w:rsid w:val="000223F8"/>
    <w:rsid w:val="00025E6A"/>
    <w:rsid w:val="00026D6F"/>
    <w:rsid w:val="00030336"/>
    <w:rsid w:val="000304F6"/>
    <w:rsid w:val="000309F2"/>
    <w:rsid w:val="00031AD2"/>
    <w:rsid w:val="000340B6"/>
    <w:rsid w:val="00035BC0"/>
    <w:rsid w:val="00040106"/>
    <w:rsid w:val="00040582"/>
    <w:rsid w:val="00041E72"/>
    <w:rsid w:val="000427F3"/>
    <w:rsid w:val="00044113"/>
    <w:rsid w:val="00047128"/>
    <w:rsid w:val="00047EA3"/>
    <w:rsid w:val="00047EB1"/>
    <w:rsid w:val="0005037F"/>
    <w:rsid w:val="00051131"/>
    <w:rsid w:val="000547D6"/>
    <w:rsid w:val="0006002D"/>
    <w:rsid w:val="00060C98"/>
    <w:rsid w:val="00061774"/>
    <w:rsid w:val="00061BF3"/>
    <w:rsid w:val="00063A4C"/>
    <w:rsid w:val="00063E8A"/>
    <w:rsid w:val="00064DC0"/>
    <w:rsid w:val="00065735"/>
    <w:rsid w:val="000664A3"/>
    <w:rsid w:val="00066D98"/>
    <w:rsid w:val="00066ED0"/>
    <w:rsid w:val="000701C8"/>
    <w:rsid w:val="00070525"/>
    <w:rsid w:val="00071834"/>
    <w:rsid w:val="00072C66"/>
    <w:rsid w:val="000746B1"/>
    <w:rsid w:val="000753BF"/>
    <w:rsid w:val="0007605E"/>
    <w:rsid w:val="00076591"/>
    <w:rsid w:val="00080739"/>
    <w:rsid w:val="00081180"/>
    <w:rsid w:val="000830C9"/>
    <w:rsid w:val="00083543"/>
    <w:rsid w:val="000837D7"/>
    <w:rsid w:val="000846E0"/>
    <w:rsid w:val="00084D05"/>
    <w:rsid w:val="00086C38"/>
    <w:rsid w:val="00090D87"/>
    <w:rsid w:val="00092027"/>
    <w:rsid w:val="00092CC9"/>
    <w:rsid w:val="000947F0"/>
    <w:rsid w:val="00095643"/>
    <w:rsid w:val="00095DDF"/>
    <w:rsid w:val="00097D95"/>
    <w:rsid w:val="00097DDB"/>
    <w:rsid w:val="000A0015"/>
    <w:rsid w:val="000A0372"/>
    <w:rsid w:val="000A07CF"/>
    <w:rsid w:val="000A0FDA"/>
    <w:rsid w:val="000A1F04"/>
    <w:rsid w:val="000A2741"/>
    <w:rsid w:val="000A2B1D"/>
    <w:rsid w:val="000A2BC4"/>
    <w:rsid w:val="000A30EB"/>
    <w:rsid w:val="000A4481"/>
    <w:rsid w:val="000A44FD"/>
    <w:rsid w:val="000A56F2"/>
    <w:rsid w:val="000A5786"/>
    <w:rsid w:val="000A5CC1"/>
    <w:rsid w:val="000A6483"/>
    <w:rsid w:val="000A721D"/>
    <w:rsid w:val="000B2544"/>
    <w:rsid w:val="000B395F"/>
    <w:rsid w:val="000B475A"/>
    <w:rsid w:val="000B4F95"/>
    <w:rsid w:val="000B4FB5"/>
    <w:rsid w:val="000B5751"/>
    <w:rsid w:val="000B5BA7"/>
    <w:rsid w:val="000B5D3D"/>
    <w:rsid w:val="000C0519"/>
    <w:rsid w:val="000C06F4"/>
    <w:rsid w:val="000C1F36"/>
    <w:rsid w:val="000C251E"/>
    <w:rsid w:val="000C2892"/>
    <w:rsid w:val="000C2D25"/>
    <w:rsid w:val="000C2F48"/>
    <w:rsid w:val="000C2F9B"/>
    <w:rsid w:val="000C396D"/>
    <w:rsid w:val="000C7E73"/>
    <w:rsid w:val="000C7FF7"/>
    <w:rsid w:val="000D215E"/>
    <w:rsid w:val="000D23BE"/>
    <w:rsid w:val="000D3E52"/>
    <w:rsid w:val="000D538F"/>
    <w:rsid w:val="000D53DC"/>
    <w:rsid w:val="000D5984"/>
    <w:rsid w:val="000D6C43"/>
    <w:rsid w:val="000D7136"/>
    <w:rsid w:val="000E05DF"/>
    <w:rsid w:val="000E1E3B"/>
    <w:rsid w:val="000E22FA"/>
    <w:rsid w:val="000E3370"/>
    <w:rsid w:val="000E5900"/>
    <w:rsid w:val="000E5C81"/>
    <w:rsid w:val="000E67FD"/>
    <w:rsid w:val="000F0A25"/>
    <w:rsid w:val="000F1BDC"/>
    <w:rsid w:val="000F1DFE"/>
    <w:rsid w:val="000F1FD5"/>
    <w:rsid w:val="000F249A"/>
    <w:rsid w:val="000F2A07"/>
    <w:rsid w:val="000F3FD3"/>
    <w:rsid w:val="000F493B"/>
    <w:rsid w:val="000F5CB8"/>
    <w:rsid w:val="000F6750"/>
    <w:rsid w:val="00100254"/>
    <w:rsid w:val="001011CB"/>
    <w:rsid w:val="0010178A"/>
    <w:rsid w:val="00101D81"/>
    <w:rsid w:val="001033CE"/>
    <w:rsid w:val="001036A9"/>
    <w:rsid w:val="00105A2C"/>
    <w:rsid w:val="00106949"/>
    <w:rsid w:val="00107214"/>
    <w:rsid w:val="001076E6"/>
    <w:rsid w:val="00107705"/>
    <w:rsid w:val="0010790B"/>
    <w:rsid w:val="0011018F"/>
    <w:rsid w:val="0011147C"/>
    <w:rsid w:val="00111E0F"/>
    <w:rsid w:val="00112514"/>
    <w:rsid w:val="00113455"/>
    <w:rsid w:val="001152F8"/>
    <w:rsid w:val="0011662C"/>
    <w:rsid w:val="00116C99"/>
    <w:rsid w:val="00120264"/>
    <w:rsid w:val="00122646"/>
    <w:rsid w:val="001239A7"/>
    <w:rsid w:val="00123D91"/>
    <w:rsid w:val="001254D4"/>
    <w:rsid w:val="00125BAD"/>
    <w:rsid w:val="00125FC5"/>
    <w:rsid w:val="0012603A"/>
    <w:rsid w:val="00126B52"/>
    <w:rsid w:val="00127235"/>
    <w:rsid w:val="0013210F"/>
    <w:rsid w:val="001328C2"/>
    <w:rsid w:val="001335AD"/>
    <w:rsid w:val="00133734"/>
    <w:rsid w:val="00134552"/>
    <w:rsid w:val="00134888"/>
    <w:rsid w:val="00134CBC"/>
    <w:rsid w:val="00135173"/>
    <w:rsid w:val="00135598"/>
    <w:rsid w:val="00135C5C"/>
    <w:rsid w:val="00136BB3"/>
    <w:rsid w:val="00136CC8"/>
    <w:rsid w:val="00140234"/>
    <w:rsid w:val="00141C0B"/>
    <w:rsid w:val="00142CF0"/>
    <w:rsid w:val="00142FD7"/>
    <w:rsid w:val="0014360B"/>
    <w:rsid w:val="00145021"/>
    <w:rsid w:val="001453FA"/>
    <w:rsid w:val="00145ED0"/>
    <w:rsid w:val="00146AD5"/>
    <w:rsid w:val="00146DB2"/>
    <w:rsid w:val="0014718A"/>
    <w:rsid w:val="0014781E"/>
    <w:rsid w:val="001478CF"/>
    <w:rsid w:val="00147FC0"/>
    <w:rsid w:val="00151BD0"/>
    <w:rsid w:val="00152AD8"/>
    <w:rsid w:val="00155BDA"/>
    <w:rsid w:val="00156B91"/>
    <w:rsid w:val="001572C8"/>
    <w:rsid w:val="00160025"/>
    <w:rsid w:val="00160D3D"/>
    <w:rsid w:val="00161EBA"/>
    <w:rsid w:val="00162985"/>
    <w:rsid w:val="001631CB"/>
    <w:rsid w:val="001633FF"/>
    <w:rsid w:val="00163565"/>
    <w:rsid w:val="00164423"/>
    <w:rsid w:val="001645E3"/>
    <w:rsid w:val="00165735"/>
    <w:rsid w:val="00165A36"/>
    <w:rsid w:val="00166DD4"/>
    <w:rsid w:val="00170789"/>
    <w:rsid w:val="00170C11"/>
    <w:rsid w:val="00171EB2"/>
    <w:rsid w:val="00171F57"/>
    <w:rsid w:val="00172635"/>
    <w:rsid w:val="00173DB3"/>
    <w:rsid w:val="00182C86"/>
    <w:rsid w:val="00183007"/>
    <w:rsid w:val="0018426D"/>
    <w:rsid w:val="00184619"/>
    <w:rsid w:val="0019016A"/>
    <w:rsid w:val="00191852"/>
    <w:rsid w:val="00191FFB"/>
    <w:rsid w:val="00192A24"/>
    <w:rsid w:val="00193504"/>
    <w:rsid w:val="00194D1E"/>
    <w:rsid w:val="00195429"/>
    <w:rsid w:val="00195B1D"/>
    <w:rsid w:val="0019614F"/>
    <w:rsid w:val="00196662"/>
    <w:rsid w:val="00197126"/>
    <w:rsid w:val="00197920"/>
    <w:rsid w:val="00197DA0"/>
    <w:rsid w:val="00197E6A"/>
    <w:rsid w:val="001A13C3"/>
    <w:rsid w:val="001A2436"/>
    <w:rsid w:val="001A2CB9"/>
    <w:rsid w:val="001A3AC6"/>
    <w:rsid w:val="001A3EE5"/>
    <w:rsid w:val="001A6B92"/>
    <w:rsid w:val="001A782C"/>
    <w:rsid w:val="001B026D"/>
    <w:rsid w:val="001B0D8A"/>
    <w:rsid w:val="001B4136"/>
    <w:rsid w:val="001B417C"/>
    <w:rsid w:val="001B452E"/>
    <w:rsid w:val="001B613C"/>
    <w:rsid w:val="001B62FB"/>
    <w:rsid w:val="001B74F8"/>
    <w:rsid w:val="001C0764"/>
    <w:rsid w:val="001C0971"/>
    <w:rsid w:val="001C13C6"/>
    <w:rsid w:val="001C1B18"/>
    <w:rsid w:val="001C3A6C"/>
    <w:rsid w:val="001C5821"/>
    <w:rsid w:val="001C5C4A"/>
    <w:rsid w:val="001C62AF"/>
    <w:rsid w:val="001C6C2B"/>
    <w:rsid w:val="001D0370"/>
    <w:rsid w:val="001D13DB"/>
    <w:rsid w:val="001D1501"/>
    <w:rsid w:val="001D45FB"/>
    <w:rsid w:val="001D4BB6"/>
    <w:rsid w:val="001D5AF3"/>
    <w:rsid w:val="001D654C"/>
    <w:rsid w:val="001D69FA"/>
    <w:rsid w:val="001D7427"/>
    <w:rsid w:val="001E2121"/>
    <w:rsid w:val="001E4849"/>
    <w:rsid w:val="001F0DF6"/>
    <w:rsid w:val="001F1877"/>
    <w:rsid w:val="001F4702"/>
    <w:rsid w:val="001F4781"/>
    <w:rsid w:val="001F4A2F"/>
    <w:rsid w:val="001F6104"/>
    <w:rsid w:val="001F6769"/>
    <w:rsid w:val="001F7959"/>
    <w:rsid w:val="001F7C1E"/>
    <w:rsid w:val="0020053E"/>
    <w:rsid w:val="00202223"/>
    <w:rsid w:val="00202596"/>
    <w:rsid w:val="00204481"/>
    <w:rsid w:val="0020471F"/>
    <w:rsid w:val="00204837"/>
    <w:rsid w:val="00205433"/>
    <w:rsid w:val="00207D49"/>
    <w:rsid w:val="00207F22"/>
    <w:rsid w:val="00211430"/>
    <w:rsid w:val="00211B27"/>
    <w:rsid w:val="0021231B"/>
    <w:rsid w:val="0021292D"/>
    <w:rsid w:val="00214073"/>
    <w:rsid w:val="002164F3"/>
    <w:rsid w:val="002173A4"/>
    <w:rsid w:val="0021742E"/>
    <w:rsid w:val="002175FC"/>
    <w:rsid w:val="00217E4F"/>
    <w:rsid w:val="00220BA3"/>
    <w:rsid w:val="00221EA5"/>
    <w:rsid w:val="0022361B"/>
    <w:rsid w:val="002236A6"/>
    <w:rsid w:val="002238BB"/>
    <w:rsid w:val="0022459A"/>
    <w:rsid w:val="0022508D"/>
    <w:rsid w:val="002257C6"/>
    <w:rsid w:val="00225BD1"/>
    <w:rsid w:val="00225DD7"/>
    <w:rsid w:val="00226483"/>
    <w:rsid w:val="002264B5"/>
    <w:rsid w:val="002311D5"/>
    <w:rsid w:val="002316AF"/>
    <w:rsid w:val="00232B68"/>
    <w:rsid w:val="00233F1C"/>
    <w:rsid w:val="00237165"/>
    <w:rsid w:val="00237EE6"/>
    <w:rsid w:val="00237F86"/>
    <w:rsid w:val="00240111"/>
    <w:rsid w:val="00240165"/>
    <w:rsid w:val="00240692"/>
    <w:rsid w:val="00241DE0"/>
    <w:rsid w:val="00241DF4"/>
    <w:rsid w:val="00242F8A"/>
    <w:rsid w:val="00243367"/>
    <w:rsid w:val="00244457"/>
    <w:rsid w:val="00244CCA"/>
    <w:rsid w:val="00245579"/>
    <w:rsid w:val="0024649F"/>
    <w:rsid w:val="002479EC"/>
    <w:rsid w:val="00251090"/>
    <w:rsid w:val="002546E8"/>
    <w:rsid w:val="002560D0"/>
    <w:rsid w:val="0025714E"/>
    <w:rsid w:val="00260A50"/>
    <w:rsid w:val="00263A4C"/>
    <w:rsid w:val="00264847"/>
    <w:rsid w:val="00266195"/>
    <w:rsid w:val="0026657A"/>
    <w:rsid w:val="00266F9A"/>
    <w:rsid w:val="00267497"/>
    <w:rsid w:val="00267A52"/>
    <w:rsid w:val="00270A72"/>
    <w:rsid w:val="00271248"/>
    <w:rsid w:val="00271255"/>
    <w:rsid w:val="00271F2F"/>
    <w:rsid w:val="002737ED"/>
    <w:rsid w:val="00274723"/>
    <w:rsid w:val="00274D69"/>
    <w:rsid w:val="0027581D"/>
    <w:rsid w:val="002774D7"/>
    <w:rsid w:val="00277552"/>
    <w:rsid w:val="00282590"/>
    <w:rsid w:val="0028259F"/>
    <w:rsid w:val="0028460E"/>
    <w:rsid w:val="00284B15"/>
    <w:rsid w:val="00285188"/>
    <w:rsid w:val="00285BEC"/>
    <w:rsid w:val="00286A22"/>
    <w:rsid w:val="0029004A"/>
    <w:rsid w:val="00290258"/>
    <w:rsid w:val="002905BB"/>
    <w:rsid w:val="002905BF"/>
    <w:rsid w:val="00291308"/>
    <w:rsid w:val="00291E21"/>
    <w:rsid w:val="00292E3C"/>
    <w:rsid w:val="002963E7"/>
    <w:rsid w:val="002A02B8"/>
    <w:rsid w:val="002A330A"/>
    <w:rsid w:val="002A44A2"/>
    <w:rsid w:val="002A49F7"/>
    <w:rsid w:val="002A7513"/>
    <w:rsid w:val="002A78C0"/>
    <w:rsid w:val="002A7E34"/>
    <w:rsid w:val="002B0B7A"/>
    <w:rsid w:val="002B1222"/>
    <w:rsid w:val="002B20FA"/>
    <w:rsid w:val="002B2C46"/>
    <w:rsid w:val="002B3FA1"/>
    <w:rsid w:val="002B6009"/>
    <w:rsid w:val="002B62AC"/>
    <w:rsid w:val="002B7883"/>
    <w:rsid w:val="002C11B3"/>
    <w:rsid w:val="002C398D"/>
    <w:rsid w:val="002C4267"/>
    <w:rsid w:val="002C7F74"/>
    <w:rsid w:val="002D0DF0"/>
    <w:rsid w:val="002D0E25"/>
    <w:rsid w:val="002D1BE6"/>
    <w:rsid w:val="002D1E8A"/>
    <w:rsid w:val="002D2F9A"/>
    <w:rsid w:val="002D34E3"/>
    <w:rsid w:val="002D4528"/>
    <w:rsid w:val="002D51C0"/>
    <w:rsid w:val="002D5C99"/>
    <w:rsid w:val="002D63F9"/>
    <w:rsid w:val="002D666B"/>
    <w:rsid w:val="002D7082"/>
    <w:rsid w:val="002E0225"/>
    <w:rsid w:val="002E04E3"/>
    <w:rsid w:val="002E0855"/>
    <w:rsid w:val="002E174D"/>
    <w:rsid w:val="002E2336"/>
    <w:rsid w:val="002E2880"/>
    <w:rsid w:val="002E43D0"/>
    <w:rsid w:val="002E4634"/>
    <w:rsid w:val="002E4FA5"/>
    <w:rsid w:val="002E51A6"/>
    <w:rsid w:val="002E6684"/>
    <w:rsid w:val="002E73E8"/>
    <w:rsid w:val="002E78D4"/>
    <w:rsid w:val="002F0CD2"/>
    <w:rsid w:val="002F0EEB"/>
    <w:rsid w:val="002F28BC"/>
    <w:rsid w:val="002F3220"/>
    <w:rsid w:val="002F4771"/>
    <w:rsid w:val="002F51C1"/>
    <w:rsid w:val="002F54C1"/>
    <w:rsid w:val="002F74C0"/>
    <w:rsid w:val="00300DF3"/>
    <w:rsid w:val="0030307B"/>
    <w:rsid w:val="003035E9"/>
    <w:rsid w:val="00305075"/>
    <w:rsid w:val="00305B32"/>
    <w:rsid w:val="00307A1A"/>
    <w:rsid w:val="003102DD"/>
    <w:rsid w:val="00312CFF"/>
    <w:rsid w:val="0031333F"/>
    <w:rsid w:val="003133C8"/>
    <w:rsid w:val="00315229"/>
    <w:rsid w:val="00315558"/>
    <w:rsid w:val="00315C8E"/>
    <w:rsid w:val="0031629E"/>
    <w:rsid w:val="00323278"/>
    <w:rsid w:val="00323A30"/>
    <w:rsid w:val="003242CC"/>
    <w:rsid w:val="00324B43"/>
    <w:rsid w:val="003271F6"/>
    <w:rsid w:val="00327E99"/>
    <w:rsid w:val="003315B1"/>
    <w:rsid w:val="00332098"/>
    <w:rsid w:val="00332148"/>
    <w:rsid w:val="00337B4B"/>
    <w:rsid w:val="003405BC"/>
    <w:rsid w:val="003417D2"/>
    <w:rsid w:val="00342006"/>
    <w:rsid w:val="003422EA"/>
    <w:rsid w:val="00344E5D"/>
    <w:rsid w:val="003476B2"/>
    <w:rsid w:val="00350AD3"/>
    <w:rsid w:val="00351EB8"/>
    <w:rsid w:val="003529F3"/>
    <w:rsid w:val="00353589"/>
    <w:rsid w:val="003537F2"/>
    <w:rsid w:val="0035446D"/>
    <w:rsid w:val="00355021"/>
    <w:rsid w:val="00355D51"/>
    <w:rsid w:val="003560C6"/>
    <w:rsid w:val="003656FF"/>
    <w:rsid w:val="00365A5A"/>
    <w:rsid w:val="00366153"/>
    <w:rsid w:val="003661A8"/>
    <w:rsid w:val="00367189"/>
    <w:rsid w:val="00367B5E"/>
    <w:rsid w:val="00372F10"/>
    <w:rsid w:val="003736BB"/>
    <w:rsid w:val="003742E5"/>
    <w:rsid w:val="003743E6"/>
    <w:rsid w:val="00374B0C"/>
    <w:rsid w:val="0037563E"/>
    <w:rsid w:val="003768F2"/>
    <w:rsid w:val="003778E5"/>
    <w:rsid w:val="003809AC"/>
    <w:rsid w:val="00380C47"/>
    <w:rsid w:val="00381792"/>
    <w:rsid w:val="00384292"/>
    <w:rsid w:val="003854F7"/>
    <w:rsid w:val="00386926"/>
    <w:rsid w:val="0038740C"/>
    <w:rsid w:val="0038780F"/>
    <w:rsid w:val="003908A0"/>
    <w:rsid w:val="00391C17"/>
    <w:rsid w:val="003927D9"/>
    <w:rsid w:val="0039294A"/>
    <w:rsid w:val="00396082"/>
    <w:rsid w:val="00396CB4"/>
    <w:rsid w:val="00397FB3"/>
    <w:rsid w:val="003A0E77"/>
    <w:rsid w:val="003A2508"/>
    <w:rsid w:val="003A2C48"/>
    <w:rsid w:val="003A3075"/>
    <w:rsid w:val="003A32EB"/>
    <w:rsid w:val="003A3CE5"/>
    <w:rsid w:val="003A49CD"/>
    <w:rsid w:val="003A4F79"/>
    <w:rsid w:val="003A509C"/>
    <w:rsid w:val="003A60FB"/>
    <w:rsid w:val="003B1C5F"/>
    <w:rsid w:val="003B2555"/>
    <w:rsid w:val="003B2CFB"/>
    <w:rsid w:val="003B49F8"/>
    <w:rsid w:val="003B4C61"/>
    <w:rsid w:val="003B4FE7"/>
    <w:rsid w:val="003B52A4"/>
    <w:rsid w:val="003B563C"/>
    <w:rsid w:val="003B77F0"/>
    <w:rsid w:val="003C2347"/>
    <w:rsid w:val="003C32AA"/>
    <w:rsid w:val="003C41DF"/>
    <w:rsid w:val="003C4325"/>
    <w:rsid w:val="003C4861"/>
    <w:rsid w:val="003C4D32"/>
    <w:rsid w:val="003C52C1"/>
    <w:rsid w:val="003C54B1"/>
    <w:rsid w:val="003C79AD"/>
    <w:rsid w:val="003C7D94"/>
    <w:rsid w:val="003D038F"/>
    <w:rsid w:val="003D14F7"/>
    <w:rsid w:val="003D2132"/>
    <w:rsid w:val="003D37A5"/>
    <w:rsid w:val="003D4557"/>
    <w:rsid w:val="003D4C1D"/>
    <w:rsid w:val="003D57CA"/>
    <w:rsid w:val="003D63B0"/>
    <w:rsid w:val="003D6ECE"/>
    <w:rsid w:val="003D6FB2"/>
    <w:rsid w:val="003D7AB2"/>
    <w:rsid w:val="003E01DF"/>
    <w:rsid w:val="003E05F2"/>
    <w:rsid w:val="003E0BC1"/>
    <w:rsid w:val="003E1A1D"/>
    <w:rsid w:val="003E2DA1"/>
    <w:rsid w:val="003E38C1"/>
    <w:rsid w:val="003E426A"/>
    <w:rsid w:val="003E43DC"/>
    <w:rsid w:val="003E49E8"/>
    <w:rsid w:val="003E5BE1"/>
    <w:rsid w:val="003E6D79"/>
    <w:rsid w:val="003E750B"/>
    <w:rsid w:val="003F1DBC"/>
    <w:rsid w:val="003F2659"/>
    <w:rsid w:val="003F2673"/>
    <w:rsid w:val="003F3CF3"/>
    <w:rsid w:val="003F6400"/>
    <w:rsid w:val="003F6D52"/>
    <w:rsid w:val="0040122F"/>
    <w:rsid w:val="0040170C"/>
    <w:rsid w:val="00401F73"/>
    <w:rsid w:val="00403DAE"/>
    <w:rsid w:val="004046D0"/>
    <w:rsid w:val="00405B8B"/>
    <w:rsid w:val="004060B7"/>
    <w:rsid w:val="00406600"/>
    <w:rsid w:val="004073C7"/>
    <w:rsid w:val="00407E48"/>
    <w:rsid w:val="0041025A"/>
    <w:rsid w:val="004132F1"/>
    <w:rsid w:val="00413437"/>
    <w:rsid w:val="004141A4"/>
    <w:rsid w:val="00415667"/>
    <w:rsid w:val="0041581B"/>
    <w:rsid w:val="0041584E"/>
    <w:rsid w:val="00415C14"/>
    <w:rsid w:val="004161C1"/>
    <w:rsid w:val="004165A9"/>
    <w:rsid w:val="00416822"/>
    <w:rsid w:val="00416E32"/>
    <w:rsid w:val="00417A7B"/>
    <w:rsid w:val="00420744"/>
    <w:rsid w:val="00420919"/>
    <w:rsid w:val="004210F7"/>
    <w:rsid w:val="00421E04"/>
    <w:rsid w:val="0042272A"/>
    <w:rsid w:val="00423042"/>
    <w:rsid w:val="00423059"/>
    <w:rsid w:val="00423181"/>
    <w:rsid w:val="0042530F"/>
    <w:rsid w:val="00426308"/>
    <w:rsid w:val="004265F6"/>
    <w:rsid w:val="00430A4D"/>
    <w:rsid w:val="00430E14"/>
    <w:rsid w:val="004310B0"/>
    <w:rsid w:val="00431287"/>
    <w:rsid w:val="0043273E"/>
    <w:rsid w:val="00433089"/>
    <w:rsid w:val="0043374F"/>
    <w:rsid w:val="00433CF7"/>
    <w:rsid w:val="00434BBE"/>
    <w:rsid w:val="00435E1F"/>
    <w:rsid w:val="004373D7"/>
    <w:rsid w:val="00440A73"/>
    <w:rsid w:val="00440CDB"/>
    <w:rsid w:val="0044161E"/>
    <w:rsid w:val="00443239"/>
    <w:rsid w:val="004434EC"/>
    <w:rsid w:val="0044440F"/>
    <w:rsid w:val="0044581E"/>
    <w:rsid w:val="00446A0A"/>
    <w:rsid w:val="00446C28"/>
    <w:rsid w:val="00450773"/>
    <w:rsid w:val="0045187D"/>
    <w:rsid w:val="0045384D"/>
    <w:rsid w:val="00454890"/>
    <w:rsid w:val="0045521D"/>
    <w:rsid w:val="0045610A"/>
    <w:rsid w:val="00457118"/>
    <w:rsid w:val="00457BBF"/>
    <w:rsid w:val="00460D80"/>
    <w:rsid w:val="00462549"/>
    <w:rsid w:val="00465696"/>
    <w:rsid w:val="00466143"/>
    <w:rsid w:val="0046631A"/>
    <w:rsid w:val="00467C1F"/>
    <w:rsid w:val="00470C29"/>
    <w:rsid w:val="004712CA"/>
    <w:rsid w:val="00471C7C"/>
    <w:rsid w:val="0047219E"/>
    <w:rsid w:val="004729E0"/>
    <w:rsid w:val="00472EA8"/>
    <w:rsid w:val="0047326E"/>
    <w:rsid w:val="00476CF6"/>
    <w:rsid w:val="00480635"/>
    <w:rsid w:val="00480CC2"/>
    <w:rsid w:val="00480DED"/>
    <w:rsid w:val="00481863"/>
    <w:rsid w:val="00482413"/>
    <w:rsid w:val="00482EB4"/>
    <w:rsid w:val="004832B6"/>
    <w:rsid w:val="00483751"/>
    <w:rsid w:val="0048375B"/>
    <w:rsid w:val="00483AC3"/>
    <w:rsid w:val="0048416C"/>
    <w:rsid w:val="00484555"/>
    <w:rsid w:val="00484D66"/>
    <w:rsid w:val="00486276"/>
    <w:rsid w:val="00487A0D"/>
    <w:rsid w:val="00487C48"/>
    <w:rsid w:val="00487F69"/>
    <w:rsid w:val="004913CC"/>
    <w:rsid w:val="00491987"/>
    <w:rsid w:val="00491A4F"/>
    <w:rsid w:val="00491B7D"/>
    <w:rsid w:val="00492455"/>
    <w:rsid w:val="004938AB"/>
    <w:rsid w:val="00494357"/>
    <w:rsid w:val="004946AC"/>
    <w:rsid w:val="00496580"/>
    <w:rsid w:val="004970B8"/>
    <w:rsid w:val="00497A18"/>
    <w:rsid w:val="004A38BA"/>
    <w:rsid w:val="004A4821"/>
    <w:rsid w:val="004A4F40"/>
    <w:rsid w:val="004B093E"/>
    <w:rsid w:val="004B204F"/>
    <w:rsid w:val="004B2B5C"/>
    <w:rsid w:val="004B2DFF"/>
    <w:rsid w:val="004B3E40"/>
    <w:rsid w:val="004B3F13"/>
    <w:rsid w:val="004B4267"/>
    <w:rsid w:val="004B43B7"/>
    <w:rsid w:val="004B43BC"/>
    <w:rsid w:val="004B4AB4"/>
    <w:rsid w:val="004B4F1D"/>
    <w:rsid w:val="004B650B"/>
    <w:rsid w:val="004B724D"/>
    <w:rsid w:val="004B7AE3"/>
    <w:rsid w:val="004C072D"/>
    <w:rsid w:val="004C0B7D"/>
    <w:rsid w:val="004C0C15"/>
    <w:rsid w:val="004C0C64"/>
    <w:rsid w:val="004C2B2D"/>
    <w:rsid w:val="004C3A89"/>
    <w:rsid w:val="004C596E"/>
    <w:rsid w:val="004C6B1C"/>
    <w:rsid w:val="004C6B2C"/>
    <w:rsid w:val="004C6FE6"/>
    <w:rsid w:val="004C7FE7"/>
    <w:rsid w:val="004D03D9"/>
    <w:rsid w:val="004D12EC"/>
    <w:rsid w:val="004D18E7"/>
    <w:rsid w:val="004D1A7D"/>
    <w:rsid w:val="004D2DF2"/>
    <w:rsid w:val="004D49C5"/>
    <w:rsid w:val="004D4BC8"/>
    <w:rsid w:val="004D4C67"/>
    <w:rsid w:val="004D62EB"/>
    <w:rsid w:val="004D7201"/>
    <w:rsid w:val="004E1551"/>
    <w:rsid w:val="004E1E31"/>
    <w:rsid w:val="004E28C2"/>
    <w:rsid w:val="004E3212"/>
    <w:rsid w:val="004E4274"/>
    <w:rsid w:val="004E5F8B"/>
    <w:rsid w:val="004E60A3"/>
    <w:rsid w:val="004E793C"/>
    <w:rsid w:val="004F0521"/>
    <w:rsid w:val="004F05A9"/>
    <w:rsid w:val="004F076E"/>
    <w:rsid w:val="004F3308"/>
    <w:rsid w:val="004F50B5"/>
    <w:rsid w:val="004F5C68"/>
    <w:rsid w:val="004F6929"/>
    <w:rsid w:val="004F7FE5"/>
    <w:rsid w:val="005003F5"/>
    <w:rsid w:val="00500E85"/>
    <w:rsid w:val="005016D0"/>
    <w:rsid w:val="00501A5F"/>
    <w:rsid w:val="00502B73"/>
    <w:rsid w:val="00507947"/>
    <w:rsid w:val="00511A50"/>
    <w:rsid w:val="00511E2F"/>
    <w:rsid w:val="00512246"/>
    <w:rsid w:val="00512D20"/>
    <w:rsid w:val="00513DE7"/>
    <w:rsid w:val="00516DE2"/>
    <w:rsid w:val="005171DD"/>
    <w:rsid w:val="0052008C"/>
    <w:rsid w:val="00520C65"/>
    <w:rsid w:val="00522699"/>
    <w:rsid w:val="00522C53"/>
    <w:rsid w:val="00524BDE"/>
    <w:rsid w:val="00524C26"/>
    <w:rsid w:val="0052687A"/>
    <w:rsid w:val="00527050"/>
    <w:rsid w:val="00530518"/>
    <w:rsid w:val="00531724"/>
    <w:rsid w:val="00533770"/>
    <w:rsid w:val="00534336"/>
    <w:rsid w:val="0053466D"/>
    <w:rsid w:val="005352B4"/>
    <w:rsid w:val="005367F8"/>
    <w:rsid w:val="0054096C"/>
    <w:rsid w:val="00540D25"/>
    <w:rsid w:val="0054150D"/>
    <w:rsid w:val="0054195B"/>
    <w:rsid w:val="00541B6F"/>
    <w:rsid w:val="005429DF"/>
    <w:rsid w:val="00542BA1"/>
    <w:rsid w:val="005444A6"/>
    <w:rsid w:val="005453CD"/>
    <w:rsid w:val="005463DF"/>
    <w:rsid w:val="00546BB3"/>
    <w:rsid w:val="00546D3D"/>
    <w:rsid w:val="005471F8"/>
    <w:rsid w:val="00547676"/>
    <w:rsid w:val="00550ABC"/>
    <w:rsid w:val="005520F8"/>
    <w:rsid w:val="00553EFE"/>
    <w:rsid w:val="005549C1"/>
    <w:rsid w:val="0055535C"/>
    <w:rsid w:val="005554BF"/>
    <w:rsid w:val="00555DE3"/>
    <w:rsid w:val="005566AD"/>
    <w:rsid w:val="005600C0"/>
    <w:rsid w:val="0056264D"/>
    <w:rsid w:val="00563160"/>
    <w:rsid w:val="00564D52"/>
    <w:rsid w:val="0056597A"/>
    <w:rsid w:val="00570367"/>
    <w:rsid w:val="00573455"/>
    <w:rsid w:val="00573FA7"/>
    <w:rsid w:val="00574AEF"/>
    <w:rsid w:val="005753A7"/>
    <w:rsid w:val="00575AA4"/>
    <w:rsid w:val="0057625D"/>
    <w:rsid w:val="00576A40"/>
    <w:rsid w:val="00580BC2"/>
    <w:rsid w:val="00580E58"/>
    <w:rsid w:val="0058110C"/>
    <w:rsid w:val="005817E5"/>
    <w:rsid w:val="00582EDC"/>
    <w:rsid w:val="00583F66"/>
    <w:rsid w:val="00584DBC"/>
    <w:rsid w:val="0058524A"/>
    <w:rsid w:val="005867F9"/>
    <w:rsid w:val="00586973"/>
    <w:rsid w:val="00586A82"/>
    <w:rsid w:val="00587036"/>
    <w:rsid w:val="00587300"/>
    <w:rsid w:val="00587E08"/>
    <w:rsid w:val="005909D7"/>
    <w:rsid w:val="00590B9C"/>
    <w:rsid w:val="00591329"/>
    <w:rsid w:val="00591456"/>
    <w:rsid w:val="00591ADE"/>
    <w:rsid w:val="00591BD8"/>
    <w:rsid w:val="0059207B"/>
    <w:rsid w:val="00593F87"/>
    <w:rsid w:val="00594713"/>
    <w:rsid w:val="00594F15"/>
    <w:rsid w:val="0059501F"/>
    <w:rsid w:val="0059560C"/>
    <w:rsid w:val="0059590E"/>
    <w:rsid w:val="00595C65"/>
    <w:rsid w:val="00596831"/>
    <w:rsid w:val="00597626"/>
    <w:rsid w:val="005A07A6"/>
    <w:rsid w:val="005A13FA"/>
    <w:rsid w:val="005A187A"/>
    <w:rsid w:val="005A2B03"/>
    <w:rsid w:val="005A34F7"/>
    <w:rsid w:val="005A557E"/>
    <w:rsid w:val="005A68FC"/>
    <w:rsid w:val="005A7184"/>
    <w:rsid w:val="005A7CF6"/>
    <w:rsid w:val="005A7E78"/>
    <w:rsid w:val="005B1F92"/>
    <w:rsid w:val="005B41E4"/>
    <w:rsid w:val="005B4FCF"/>
    <w:rsid w:val="005B525F"/>
    <w:rsid w:val="005B6886"/>
    <w:rsid w:val="005C0A81"/>
    <w:rsid w:val="005C0B11"/>
    <w:rsid w:val="005C0DC7"/>
    <w:rsid w:val="005C12E7"/>
    <w:rsid w:val="005C224A"/>
    <w:rsid w:val="005C27AA"/>
    <w:rsid w:val="005C563C"/>
    <w:rsid w:val="005C58E8"/>
    <w:rsid w:val="005C5E4B"/>
    <w:rsid w:val="005C733B"/>
    <w:rsid w:val="005D14EC"/>
    <w:rsid w:val="005D1A62"/>
    <w:rsid w:val="005D1E8E"/>
    <w:rsid w:val="005D2D3A"/>
    <w:rsid w:val="005D3EF4"/>
    <w:rsid w:val="005D41EB"/>
    <w:rsid w:val="005D519F"/>
    <w:rsid w:val="005D64C4"/>
    <w:rsid w:val="005D6D73"/>
    <w:rsid w:val="005D7308"/>
    <w:rsid w:val="005E05E7"/>
    <w:rsid w:val="005E0F8D"/>
    <w:rsid w:val="005E254B"/>
    <w:rsid w:val="005E61AD"/>
    <w:rsid w:val="005E6B6B"/>
    <w:rsid w:val="005E7174"/>
    <w:rsid w:val="005E72C3"/>
    <w:rsid w:val="005E7D06"/>
    <w:rsid w:val="005F0A59"/>
    <w:rsid w:val="005F0ACB"/>
    <w:rsid w:val="005F0F47"/>
    <w:rsid w:val="005F10E3"/>
    <w:rsid w:val="005F1737"/>
    <w:rsid w:val="005F1767"/>
    <w:rsid w:val="005F2CD8"/>
    <w:rsid w:val="005F3B56"/>
    <w:rsid w:val="005F3DD0"/>
    <w:rsid w:val="005F4258"/>
    <w:rsid w:val="005F50F3"/>
    <w:rsid w:val="005F64E7"/>
    <w:rsid w:val="005F70C5"/>
    <w:rsid w:val="005F760F"/>
    <w:rsid w:val="005F7A8D"/>
    <w:rsid w:val="005F7CB7"/>
    <w:rsid w:val="00600699"/>
    <w:rsid w:val="006017BA"/>
    <w:rsid w:val="006032F6"/>
    <w:rsid w:val="00604FEE"/>
    <w:rsid w:val="006054CB"/>
    <w:rsid w:val="00605B0D"/>
    <w:rsid w:val="00605EA8"/>
    <w:rsid w:val="00606388"/>
    <w:rsid w:val="00606FA0"/>
    <w:rsid w:val="00606FFB"/>
    <w:rsid w:val="00607F87"/>
    <w:rsid w:val="00610A99"/>
    <w:rsid w:val="0061131D"/>
    <w:rsid w:val="0061153F"/>
    <w:rsid w:val="00615318"/>
    <w:rsid w:val="00615CE0"/>
    <w:rsid w:val="0061627E"/>
    <w:rsid w:val="00620F19"/>
    <w:rsid w:val="0062239D"/>
    <w:rsid w:val="006226C3"/>
    <w:rsid w:val="00622979"/>
    <w:rsid w:val="0062434B"/>
    <w:rsid w:val="006249FA"/>
    <w:rsid w:val="00625747"/>
    <w:rsid w:val="00625B3C"/>
    <w:rsid w:val="006261AF"/>
    <w:rsid w:val="00626434"/>
    <w:rsid w:val="00626D4F"/>
    <w:rsid w:val="00627AA1"/>
    <w:rsid w:val="00630CD4"/>
    <w:rsid w:val="0063416F"/>
    <w:rsid w:val="00634401"/>
    <w:rsid w:val="00635F72"/>
    <w:rsid w:val="00641432"/>
    <w:rsid w:val="00642959"/>
    <w:rsid w:val="006431C6"/>
    <w:rsid w:val="006434B8"/>
    <w:rsid w:val="00645040"/>
    <w:rsid w:val="0064698A"/>
    <w:rsid w:val="00646D0C"/>
    <w:rsid w:val="00647011"/>
    <w:rsid w:val="006509DD"/>
    <w:rsid w:val="00650B6D"/>
    <w:rsid w:val="00650F02"/>
    <w:rsid w:val="006517B6"/>
    <w:rsid w:val="006538CE"/>
    <w:rsid w:val="00654150"/>
    <w:rsid w:val="00654811"/>
    <w:rsid w:val="00654DC0"/>
    <w:rsid w:val="006558A7"/>
    <w:rsid w:val="00656159"/>
    <w:rsid w:val="006609C7"/>
    <w:rsid w:val="006610CE"/>
    <w:rsid w:val="006611C7"/>
    <w:rsid w:val="0066183B"/>
    <w:rsid w:val="006619F3"/>
    <w:rsid w:val="006638E8"/>
    <w:rsid w:val="00665671"/>
    <w:rsid w:val="00665784"/>
    <w:rsid w:val="006664A2"/>
    <w:rsid w:val="0066736A"/>
    <w:rsid w:val="00674EED"/>
    <w:rsid w:val="0067530A"/>
    <w:rsid w:val="00675856"/>
    <w:rsid w:val="006766DD"/>
    <w:rsid w:val="00677483"/>
    <w:rsid w:val="00677D89"/>
    <w:rsid w:val="00682458"/>
    <w:rsid w:val="00684360"/>
    <w:rsid w:val="006847A3"/>
    <w:rsid w:val="006906D1"/>
    <w:rsid w:val="00692387"/>
    <w:rsid w:val="006925A6"/>
    <w:rsid w:val="0069359C"/>
    <w:rsid w:val="00695454"/>
    <w:rsid w:val="0069623B"/>
    <w:rsid w:val="0069757A"/>
    <w:rsid w:val="006A0A41"/>
    <w:rsid w:val="006A1906"/>
    <w:rsid w:val="006A1B87"/>
    <w:rsid w:val="006A1D17"/>
    <w:rsid w:val="006A2016"/>
    <w:rsid w:val="006A228B"/>
    <w:rsid w:val="006A38A6"/>
    <w:rsid w:val="006A3918"/>
    <w:rsid w:val="006A46D0"/>
    <w:rsid w:val="006A4D51"/>
    <w:rsid w:val="006A5854"/>
    <w:rsid w:val="006A5EBB"/>
    <w:rsid w:val="006A6399"/>
    <w:rsid w:val="006A6834"/>
    <w:rsid w:val="006A6BB0"/>
    <w:rsid w:val="006B2870"/>
    <w:rsid w:val="006B3432"/>
    <w:rsid w:val="006B383A"/>
    <w:rsid w:val="006B4101"/>
    <w:rsid w:val="006B5A1C"/>
    <w:rsid w:val="006B62EA"/>
    <w:rsid w:val="006B6BAA"/>
    <w:rsid w:val="006C1435"/>
    <w:rsid w:val="006C1631"/>
    <w:rsid w:val="006C1E1C"/>
    <w:rsid w:val="006C3198"/>
    <w:rsid w:val="006C3656"/>
    <w:rsid w:val="006C424D"/>
    <w:rsid w:val="006C4951"/>
    <w:rsid w:val="006C4B66"/>
    <w:rsid w:val="006C58C5"/>
    <w:rsid w:val="006C5C1B"/>
    <w:rsid w:val="006C69BA"/>
    <w:rsid w:val="006C7202"/>
    <w:rsid w:val="006C7B89"/>
    <w:rsid w:val="006D0921"/>
    <w:rsid w:val="006D0AB8"/>
    <w:rsid w:val="006D2796"/>
    <w:rsid w:val="006D36CF"/>
    <w:rsid w:val="006D3BE9"/>
    <w:rsid w:val="006D4C37"/>
    <w:rsid w:val="006D70E4"/>
    <w:rsid w:val="006E1EAB"/>
    <w:rsid w:val="006E3300"/>
    <w:rsid w:val="006E4E92"/>
    <w:rsid w:val="006E517B"/>
    <w:rsid w:val="006E6322"/>
    <w:rsid w:val="006E6C5B"/>
    <w:rsid w:val="006E74F2"/>
    <w:rsid w:val="006F053E"/>
    <w:rsid w:val="006F061E"/>
    <w:rsid w:val="006F13F0"/>
    <w:rsid w:val="006F1B97"/>
    <w:rsid w:val="006F1CAA"/>
    <w:rsid w:val="006F2EAE"/>
    <w:rsid w:val="006F499E"/>
    <w:rsid w:val="006F5612"/>
    <w:rsid w:val="007004B0"/>
    <w:rsid w:val="00701EBE"/>
    <w:rsid w:val="007036E4"/>
    <w:rsid w:val="00704571"/>
    <w:rsid w:val="00706EC5"/>
    <w:rsid w:val="00710AF9"/>
    <w:rsid w:val="00712801"/>
    <w:rsid w:val="00712E7F"/>
    <w:rsid w:val="0071463C"/>
    <w:rsid w:val="00716989"/>
    <w:rsid w:val="00717568"/>
    <w:rsid w:val="00717783"/>
    <w:rsid w:val="0071789A"/>
    <w:rsid w:val="00717ED9"/>
    <w:rsid w:val="00721F86"/>
    <w:rsid w:val="007226DF"/>
    <w:rsid w:val="00722A49"/>
    <w:rsid w:val="00725EB1"/>
    <w:rsid w:val="007279FA"/>
    <w:rsid w:val="00732078"/>
    <w:rsid w:val="0073215C"/>
    <w:rsid w:val="00732DD6"/>
    <w:rsid w:val="00733036"/>
    <w:rsid w:val="00734528"/>
    <w:rsid w:val="007350E6"/>
    <w:rsid w:val="0073545E"/>
    <w:rsid w:val="007356AC"/>
    <w:rsid w:val="00735710"/>
    <w:rsid w:val="0073647C"/>
    <w:rsid w:val="00737895"/>
    <w:rsid w:val="00740764"/>
    <w:rsid w:val="00740EC8"/>
    <w:rsid w:val="007414BD"/>
    <w:rsid w:val="0074182B"/>
    <w:rsid w:val="00742987"/>
    <w:rsid w:val="00742B29"/>
    <w:rsid w:val="007442AA"/>
    <w:rsid w:val="00745E7C"/>
    <w:rsid w:val="00747D04"/>
    <w:rsid w:val="007510F1"/>
    <w:rsid w:val="007522AA"/>
    <w:rsid w:val="00752DFB"/>
    <w:rsid w:val="00755420"/>
    <w:rsid w:val="007558D4"/>
    <w:rsid w:val="00755981"/>
    <w:rsid w:val="00755EAA"/>
    <w:rsid w:val="00756298"/>
    <w:rsid w:val="007562B7"/>
    <w:rsid w:val="007602A5"/>
    <w:rsid w:val="00761EBE"/>
    <w:rsid w:val="00763036"/>
    <w:rsid w:val="00763433"/>
    <w:rsid w:val="00763A91"/>
    <w:rsid w:val="00770D12"/>
    <w:rsid w:val="007745B8"/>
    <w:rsid w:val="007759B1"/>
    <w:rsid w:val="007759F6"/>
    <w:rsid w:val="00775EC3"/>
    <w:rsid w:val="00776811"/>
    <w:rsid w:val="00782CB2"/>
    <w:rsid w:val="0078345A"/>
    <w:rsid w:val="0078379E"/>
    <w:rsid w:val="00784E55"/>
    <w:rsid w:val="00784E8B"/>
    <w:rsid w:val="0078636F"/>
    <w:rsid w:val="00786E33"/>
    <w:rsid w:val="00787800"/>
    <w:rsid w:val="007903FE"/>
    <w:rsid w:val="007923EA"/>
    <w:rsid w:val="0079269D"/>
    <w:rsid w:val="00792A7D"/>
    <w:rsid w:val="00793BC2"/>
    <w:rsid w:val="00793C52"/>
    <w:rsid w:val="007943D1"/>
    <w:rsid w:val="00795BAB"/>
    <w:rsid w:val="007A0BCC"/>
    <w:rsid w:val="007A2264"/>
    <w:rsid w:val="007A331E"/>
    <w:rsid w:val="007A33A4"/>
    <w:rsid w:val="007A353F"/>
    <w:rsid w:val="007A3D19"/>
    <w:rsid w:val="007A5114"/>
    <w:rsid w:val="007A552D"/>
    <w:rsid w:val="007A65B8"/>
    <w:rsid w:val="007A6DDF"/>
    <w:rsid w:val="007B2362"/>
    <w:rsid w:val="007B2E0E"/>
    <w:rsid w:val="007B4144"/>
    <w:rsid w:val="007B5125"/>
    <w:rsid w:val="007B77F0"/>
    <w:rsid w:val="007B7A0D"/>
    <w:rsid w:val="007C1BF8"/>
    <w:rsid w:val="007C1D33"/>
    <w:rsid w:val="007C1D53"/>
    <w:rsid w:val="007C33E0"/>
    <w:rsid w:val="007C350B"/>
    <w:rsid w:val="007C411D"/>
    <w:rsid w:val="007C4483"/>
    <w:rsid w:val="007C6113"/>
    <w:rsid w:val="007C63FC"/>
    <w:rsid w:val="007D0498"/>
    <w:rsid w:val="007D268F"/>
    <w:rsid w:val="007D3B36"/>
    <w:rsid w:val="007D4A60"/>
    <w:rsid w:val="007D5690"/>
    <w:rsid w:val="007D56B1"/>
    <w:rsid w:val="007D6FA6"/>
    <w:rsid w:val="007D7AB0"/>
    <w:rsid w:val="007E08C2"/>
    <w:rsid w:val="007E171B"/>
    <w:rsid w:val="007E1ED0"/>
    <w:rsid w:val="007E2B2B"/>
    <w:rsid w:val="007E456C"/>
    <w:rsid w:val="007E479D"/>
    <w:rsid w:val="007E6D25"/>
    <w:rsid w:val="007F0EC3"/>
    <w:rsid w:val="007F1B8E"/>
    <w:rsid w:val="007F21CE"/>
    <w:rsid w:val="007F2609"/>
    <w:rsid w:val="007F362F"/>
    <w:rsid w:val="007F6929"/>
    <w:rsid w:val="007F7D5E"/>
    <w:rsid w:val="00800BFE"/>
    <w:rsid w:val="00802441"/>
    <w:rsid w:val="0080288F"/>
    <w:rsid w:val="008039A4"/>
    <w:rsid w:val="008047E7"/>
    <w:rsid w:val="00804906"/>
    <w:rsid w:val="00805003"/>
    <w:rsid w:val="0080502D"/>
    <w:rsid w:val="00805372"/>
    <w:rsid w:val="008061F7"/>
    <w:rsid w:val="00806816"/>
    <w:rsid w:val="00806D08"/>
    <w:rsid w:val="00807DC8"/>
    <w:rsid w:val="0081234F"/>
    <w:rsid w:val="00815C25"/>
    <w:rsid w:val="008167EE"/>
    <w:rsid w:val="00821318"/>
    <w:rsid w:val="00822FF6"/>
    <w:rsid w:val="00823F07"/>
    <w:rsid w:val="008251AF"/>
    <w:rsid w:val="00825C63"/>
    <w:rsid w:val="008261FC"/>
    <w:rsid w:val="00826F69"/>
    <w:rsid w:val="00832597"/>
    <w:rsid w:val="0083269A"/>
    <w:rsid w:val="00832F41"/>
    <w:rsid w:val="00833ECD"/>
    <w:rsid w:val="00843315"/>
    <w:rsid w:val="0084333A"/>
    <w:rsid w:val="00843952"/>
    <w:rsid w:val="00843EF6"/>
    <w:rsid w:val="00844549"/>
    <w:rsid w:val="008455EF"/>
    <w:rsid w:val="0084703D"/>
    <w:rsid w:val="008502D3"/>
    <w:rsid w:val="00850309"/>
    <w:rsid w:val="008505C8"/>
    <w:rsid w:val="00850FDF"/>
    <w:rsid w:val="008517A8"/>
    <w:rsid w:val="008529E1"/>
    <w:rsid w:val="008533D6"/>
    <w:rsid w:val="00854B55"/>
    <w:rsid w:val="008554BA"/>
    <w:rsid w:val="0085560C"/>
    <w:rsid w:val="008563E6"/>
    <w:rsid w:val="00857D53"/>
    <w:rsid w:val="00857E2A"/>
    <w:rsid w:val="00860737"/>
    <w:rsid w:val="00864EFA"/>
    <w:rsid w:val="008662A7"/>
    <w:rsid w:val="00867818"/>
    <w:rsid w:val="008708F4"/>
    <w:rsid w:val="00870986"/>
    <w:rsid w:val="008709CC"/>
    <w:rsid w:val="00871C33"/>
    <w:rsid w:val="00871E23"/>
    <w:rsid w:val="00874FE6"/>
    <w:rsid w:val="00875997"/>
    <w:rsid w:val="0087605B"/>
    <w:rsid w:val="00877069"/>
    <w:rsid w:val="00877070"/>
    <w:rsid w:val="00880019"/>
    <w:rsid w:val="00880C7F"/>
    <w:rsid w:val="00881236"/>
    <w:rsid w:val="008814FD"/>
    <w:rsid w:val="00882632"/>
    <w:rsid w:val="00882E3A"/>
    <w:rsid w:val="0088498C"/>
    <w:rsid w:val="00885344"/>
    <w:rsid w:val="00887868"/>
    <w:rsid w:val="008920CD"/>
    <w:rsid w:val="00892626"/>
    <w:rsid w:val="00892BE6"/>
    <w:rsid w:val="00892F29"/>
    <w:rsid w:val="008931CD"/>
    <w:rsid w:val="008935A1"/>
    <w:rsid w:val="00894901"/>
    <w:rsid w:val="00895EF9"/>
    <w:rsid w:val="008968F5"/>
    <w:rsid w:val="00896BC9"/>
    <w:rsid w:val="0089739F"/>
    <w:rsid w:val="008A05EF"/>
    <w:rsid w:val="008A0DCF"/>
    <w:rsid w:val="008A11DD"/>
    <w:rsid w:val="008A2672"/>
    <w:rsid w:val="008A313B"/>
    <w:rsid w:val="008A31C4"/>
    <w:rsid w:val="008A480A"/>
    <w:rsid w:val="008A5353"/>
    <w:rsid w:val="008A6B5E"/>
    <w:rsid w:val="008A771E"/>
    <w:rsid w:val="008B0149"/>
    <w:rsid w:val="008B12F6"/>
    <w:rsid w:val="008B3438"/>
    <w:rsid w:val="008B373D"/>
    <w:rsid w:val="008B5D2F"/>
    <w:rsid w:val="008C17DF"/>
    <w:rsid w:val="008C3A8A"/>
    <w:rsid w:val="008C517D"/>
    <w:rsid w:val="008C6087"/>
    <w:rsid w:val="008D0980"/>
    <w:rsid w:val="008D0DDA"/>
    <w:rsid w:val="008D18D3"/>
    <w:rsid w:val="008D4D6C"/>
    <w:rsid w:val="008D5DF2"/>
    <w:rsid w:val="008D6356"/>
    <w:rsid w:val="008D7A56"/>
    <w:rsid w:val="008D7CBE"/>
    <w:rsid w:val="008E018D"/>
    <w:rsid w:val="008E02E1"/>
    <w:rsid w:val="008E1BDD"/>
    <w:rsid w:val="008E20B0"/>
    <w:rsid w:val="008E23FE"/>
    <w:rsid w:val="008E2B6D"/>
    <w:rsid w:val="008E34FA"/>
    <w:rsid w:val="008E3A56"/>
    <w:rsid w:val="008E504E"/>
    <w:rsid w:val="008E6307"/>
    <w:rsid w:val="008E6967"/>
    <w:rsid w:val="008E6DB8"/>
    <w:rsid w:val="008E7990"/>
    <w:rsid w:val="008F0112"/>
    <w:rsid w:val="008F03AE"/>
    <w:rsid w:val="008F09E6"/>
    <w:rsid w:val="008F162D"/>
    <w:rsid w:val="008F2AFA"/>
    <w:rsid w:val="008F2C85"/>
    <w:rsid w:val="008F3D85"/>
    <w:rsid w:val="008F4A5F"/>
    <w:rsid w:val="008F5A61"/>
    <w:rsid w:val="008F6238"/>
    <w:rsid w:val="008F69F9"/>
    <w:rsid w:val="008F7F28"/>
    <w:rsid w:val="0090256A"/>
    <w:rsid w:val="009032C9"/>
    <w:rsid w:val="009039C1"/>
    <w:rsid w:val="00904367"/>
    <w:rsid w:val="00905193"/>
    <w:rsid w:val="00906DED"/>
    <w:rsid w:val="00907AB6"/>
    <w:rsid w:val="0091068F"/>
    <w:rsid w:val="009120E7"/>
    <w:rsid w:val="00913364"/>
    <w:rsid w:val="00913370"/>
    <w:rsid w:val="0091419E"/>
    <w:rsid w:val="009141C1"/>
    <w:rsid w:val="00915B93"/>
    <w:rsid w:val="0091656C"/>
    <w:rsid w:val="009228E5"/>
    <w:rsid w:val="00922A49"/>
    <w:rsid w:val="0092388B"/>
    <w:rsid w:val="00924AC2"/>
    <w:rsid w:val="00924CF8"/>
    <w:rsid w:val="00924D15"/>
    <w:rsid w:val="00925C99"/>
    <w:rsid w:val="00926F06"/>
    <w:rsid w:val="00926FA0"/>
    <w:rsid w:val="0092767C"/>
    <w:rsid w:val="00930566"/>
    <w:rsid w:val="00930638"/>
    <w:rsid w:val="0093077F"/>
    <w:rsid w:val="0093127A"/>
    <w:rsid w:val="00932C70"/>
    <w:rsid w:val="00933095"/>
    <w:rsid w:val="00933298"/>
    <w:rsid w:val="0093341F"/>
    <w:rsid w:val="0093419A"/>
    <w:rsid w:val="00934B20"/>
    <w:rsid w:val="0093540C"/>
    <w:rsid w:val="00936456"/>
    <w:rsid w:val="00936B65"/>
    <w:rsid w:val="00936D7A"/>
    <w:rsid w:val="00936FC6"/>
    <w:rsid w:val="009412F6"/>
    <w:rsid w:val="00942150"/>
    <w:rsid w:val="0094283C"/>
    <w:rsid w:val="009433AB"/>
    <w:rsid w:val="00943B78"/>
    <w:rsid w:val="0094494E"/>
    <w:rsid w:val="00945911"/>
    <w:rsid w:val="00945C96"/>
    <w:rsid w:val="00945CEF"/>
    <w:rsid w:val="00945D98"/>
    <w:rsid w:val="0094704C"/>
    <w:rsid w:val="00947A8B"/>
    <w:rsid w:val="00947C41"/>
    <w:rsid w:val="00950F18"/>
    <w:rsid w:val="009517D4"/>
    <w:rsid w:val="00951920"/>
    <w:rsid w:val="00952E14"/>
    <w:rsid w:val="00953C4A"/>
    <w:rsid w:val="00953E84"/>
    <w:rsid w:val="00954AE0"/>
    <w:rsid w:val="009557C0"/>
    <w:rsid w:val="00955D82"/>
    <w:rsid w:val="00955FE0"/>
    <w:rsid w:val="0096059D"/>
    <w:rsid w:val="00960C86"/>
    <w:rsid w:val="00961317"/>
    <w:rsid w:val="009617D1"/>
    <w:rsid w:val="00962A4C"/>
    <w:rsid w:val="00963D4F"/>
    <w:rsid w:val="00965157"/>
    <w:rsid w:val="00965E61"/>
    <w:rsid w:val="00967806"/>
    <w:rsid w:val="0097086D"/>
    <w:rsid w:val="00971B91"/>
    <w:rsid w:val="009722C6"/>
    <w:rsid w:val="00972F1A"/>
    <w:rsid w:val="0097666E"/>
    <w:rsid w:val="00976CB5"/>
    <w:rsid w:val="00977227"/>
    <w:rsid w:val="00977AB7"/>
    <w:rsid w:val="0098193B"/>
    <w:rsid w:val="00982989"/>
    <w:rsid w:val="00982E18"/>
    <w:rsid w:val="009834F3"/>
    <w:rsid w:val="00983B2E"/>
    <w:rsid w:val="00983D9B"/>
    <w:rsid w:val="00986136"/>
    <w:rsid w:val="009864D8"/>
    <w:rsid w:val="0099092B"/>
    <w:rsid w:val="00990C5C"/>
    <w:rsid w:val="00991097"/>
    <w:rsid w:val="009910ED"/>
    <w:rsid w:val="009917B9"/>
    <w:rsid w:val="00991B5E"/>
    <w:rsid w:val="00994708"/>
    <w:rsid w:val="0099470A"/>
    <w:rsid w:val="00994B26"/>
    <w:rsid w:val="00996259"/>
    <w:rsid w:val="009974C0"/>
    <w:rsid w:val="00997507"/>
    <w:rsid w:val="009A02CB"/>
    <w:rsid w:val="009A03FE"/>
    <w:rsid w:val="009A055B"/>
    <w:rsid w:val="009A207E"/>
    <w:rsid w:val="009A274F"/>
    <w:rsid w:val="009A283F"/>
    <w:rsid w:val="009A4A3A"/>
    <w:rsid w:val="009A751E"/>
    <w:rsid w:val="009B0CAD"/>
    <w:rsid w:val="009B2778"/>
    <w:rsid w:val="009B33F5"/>
    <w:rsid w:val="009B3603"/>
    <w:rsid w:val="009B3D2F"/>
    <w:rsid w:val="009B482C"/>
    <w:rsid w:val="009C0C90"/>
    <w:rsid w:val="009C1629"/>
    <w:rsid w:val="009C1EA1"/>
    <w:rsid w:val="009C29A2"/>
    <w:rsid w:val="009C2A62"/>
    <w:rsid w:val="009C4E14"/>
    <w:rsid w:val="009C4EC1"/>
    <w:rsid w:val="009C5AB2"/>
    <w:rsid w:val="009C5E82"/>
    <w:rsid w:val="009C69AD"/>
    <w:rsid w:val="009C7929"/>
    <w:rsid w:val="009C7D07"/>
    <w:rsid w:val="009D0F9B"/>
    <w:rsid w:val="009D1C76"/>
    <w:rsid w:val="009D1ECC"/>
    <w:rsid w:val="009D2EEC"/>
    <w:rsid w:val="009D42ED"/>
    <w:rsid w:val="009D5BAA"/>
    <w:rsid w:val="009D6223"/>
    <w:rsid w:val="009D70DF"/>
    <w:rsid w:val="009D7DA0"/>
    <w:rsid w:val="009E10AE"/>
    <w:rsid w:val="009E3FE5"/>
    <w:rsid w:val="009E4A17"/>
    <w:rsid w:val="009E79F9"/>
    <w:rsid w:val="009F00D5"/>
    <w:rsid w:val="009F06B7"/>
    <w:rsid w:val="009F113B"/>
    <w:rsid w:val="009F12A9"/>
    <w:rsid w:val="009F29B3"/>
    <w:rsid w:val="009F2B9A"/>
    <w:rsid w:val="009F3079"/>
    <w:rsid w:val="009F31CC"/>
    <w:rsid w:val="009F5B9A"/>
    <w:rsid w:val="009F64F9"/>
    <w:rsid w:val="009F689D"/>
    <w:rsid w:val="009F6975"/>
    <w:rsid w:val="009F6B33"/>
    <w:rsid w:val="00A001F7"/>
    <w:rsid w:val="00A01768"/>
    <w:rsid w:val="00A01FAC"/>
    <w:rsid w:val="00A0307B"/>
    <w:rsid w:val="00A03DFD"/>
    <w:rsid w:val="00A05F95"/>
    <w:rsid w:val="00A06676"/>
    <w:rsid w:val="00A070C2"/>
    <w:rsid w:val="00A07AAC"/>
    <w:rsid w:val="00A07F1D"/>
    <w:rsid w:val="00A10070"/>
    <w:rsid w:val="00A101B9"/>
    <w:rsid w:val="00A10500"/>
    <w:rsid w:val="00A115A5"/>
    <w:rsid w:val="00A13107"/>
    <w:rsid w:val="00A17133"/>
    <w:rsid w:val="00A17690"/>
    <w:rsid w:val="00A21224"/>
    <w:rsid w:val="00A21609"/>
    <w:rsid w:val="00A2180C"/>
    <w:rsid w:val="00A21E95"/>
    <w:rsid w:val="00A232A6"/>
    <w:rsid w:val="00A2593B"/>
    <w:rsid w:val="00A30524"/>
    <w:rsid w:val="00A30DE2"/>
    <w:rsid w:val="00A3212E"/>
    <w:rsid w:val="00A33834"/>
    <w:rsid w:val="00A34392"/>
    <w:rsid w:val="00A345C2"/>
    <w:rsid w:val="00A34835"/>
    <w:rsid w:val="00A4038B"/>
    <w:rsid w:val="00A4266F"/>
    <w:rsid w:val="00A42BE7"/>
    <w:rsid w:val="00A4391B"/>
    <w:rsid w:val="00A448C7"/>
    <w:rsid w:val="00A44ABD"/>
    <w:rsid w:val="00A4606C"/>
    <w:rsid w:val="00A467F7"/>
    <w:rsid w:val="00A46CA7"/>
    <w:rsid w:val="00A4734E"/>
    <w:rsid w:val="00A517E8"/>
    <w:rsid w:val="00A51C3B"/>
    <w:rsid w:val="00A52F8F"/>
    <w:rsid w:val="00A54842"/>
    <w:rsid w:val="00A54D6D"/>
    <w:rsid w:val="00A5637A"/>
    <w:rsid w:val="00A61551"/>
    <w:rsid w:val="00A6162E"/>
    <w:rsid w:val="00A61FC0"/>
    <w:rsid w:val="00A62B00"/>
    <w:rsid w:val="00A6621D"/>
    <w:rsid w:val="00A677E9"/>
    <w:rsid w:val="00A710BD"/>
    <w:rsid w:val="00A71496"/>
    <w:rsid w:val="00A72524"/>
    <w:rsid w:val="00A73F3A"/>
    <w:rsid w:val="00A75315"/>
    <w:rsid w:val="00A7619F"/>
    <w:rsid w:val="00A76A14"/>
    <w:rsid w:val="00A775AA"/>
    <w:rsid w:val="00A81239"/>
    <w:rsid w:val="00A84667"/>
    <w:rsid w:val="00A84966"/>
    <w:rsid w:val="00A84AF2"/>
    <w:rsid w:val="00A8521F"/>
    <w:rsid w:val="00A8653B"/>
    <w:rsid w:val="00A86D39"/>
    <w:rsid w:val="00A878A2"/>
    <w:rsid w:val="00A87DDB"/>
    <w:rsid w:val="00A94192"/>
    <w:rsid w:val="00A9610B"/>
    <w:rsid w:val="00AA1095"/>
    <w:rsid w:val="00AA1BF5"/>
    <w:rsid w:val="00AA2D5A"/>
    <w:rsid w:val="00AA31A9"/>
    <w:rsid w:val="00AA3B8F"/>
    <w:rsid w:val="00AA540E"/>
    <w:rsid w:val="00AA58C2"/>
    <w:rsid w:val="00AA71E4"/>
    <w:rsid w:val="00AA7F85"/>
    <w:rsid w:val="00AB115A"/>
    <w:rsid w:val="00AB28AD"/>
    <w:rsid w:val="00AB3957"/>
    <w:rsid w:val="00AB736B"/>
    <w:rsid w:val="00AB761E"/>
    <w:rsid w:val="00AC2A37"/>
    <w:rsid w:val="00AC2E56"/>
    <w:rsid w:val="00AC3338"/>
    <w:rsid w:val="00AC5180"/>
    <w:rsid w:val="00AC5835"/>
    <w:rsid w:val="00AC60A4"/>
    <w:rsid w:val="00AC70BA"/>
    <w:rsid w:val="00AC70DA"/>
    <w:rsid w:val="00AC7AA8"/>
    <w:rsid w:val="00AD1531"/>
    <w:rsid w:val="00AD19BA"/>
    <w:rsid w:val="00AD2A71"/>
    <w:rsid w:val="00AD2B91"/>
    <w:rsid w:val="00AD2EFE"/>
    <w:rsid w:val="00AD6A10"/>
    <w:rsid w:val="00AE0151"/>
    <w:rsid w:val="00AE0682"/>
    <w:rsid w:val="00AE0861"/>
    <w:rsid w:val="00AE0C28"/>
    <w:rsid w:val="00AE1CAF"/>
    <w:rsid w:val="00AE3E41"/>
    <w:rsid w:val="00AE43E7"/>
    <w:rsid w:val="00AE4531"/>
    <w:rsid w:val="00AE7720"/>
    <w:rsid w:val="00AE79CD"/>
    <w:rsid w:val="00AE7FF7"/>
    <w:rsid w:val="00AF02D6"/>
    <w:rsid w:val="00AF09A8"/>
    <w:rsid w:val="00AF3748"/>
    <w:rsid w:val="00AF3EC8"/>
    <w:rsid w:val="00AF45BB"/>
    <w:rsid w:val="00AF63E3"/>
    <w:rsid w:val="00B00E0F"/>
    <w:rsid w:val="00B03BF9"/>
    <w:rsid w:val="00B03E02"/>
    <w:rsid w:val="00B041D1"/>
    <w:rsid w:val="00B04BE0"/>
    <w:rsid w:val="00B05D42"/>
    <w:rsid w:val="00B07299"/>
    <w:rsid w:val="00B07759"/>
    <w:rsid w:val="00B10972"/>
    <w:rsid w:val="00B10C39"/>
    <w:rsid w:val="00B10D85"/>
    <w:rsid w:val="00B118C5"/>
    <w:rsid w:val="00B11DC2"/>
    <w:rsid w:val="00B13848"/>
    <w:rsid w:val="00B16283"/>
    <w:rsid w:val="00B173A4"/>
    <w:rsid w:val="00B204FC"/>
    <w:rsid w:val="00B22CAD"/>
    <w:rsid w:val="00B238DF"/>
    <w:rsid w:val="00B24087"/>
    <w:rsid w:val="00B243FE"/>
    <w:rsid w:val="00B251BA"/>
    <w:rsid w:val="00B25388"/>
    <w:rsid w:val="00B25CDF"/>
    <w:rsid w:val="00B2624F"/>
    <w:rsid w:val="00B26521"/>
    <w:rsid w:val="00B30934"/>
    <w:rsid w:val="00B32708"/>
    <w:rsid w:val="00B351D1"/>
    <w:rsid w:val="00B355C3"/>
    <w:rsid w:val="00B35B6A"/>
    <w:rsid w:val="00B35BF9"/>
    <w:rsid w:val="00B4156F"/>
    <w:rsid w:val="00B421A4"/>
    <w:rsid w:val="00B431EA"/>
    <w:rsid w:val="00B43A86"/>
    <w:rsid w:val="00B44201"/>
    <w:rsid w:val="00B44FFA"/>
    <w:rsid w:val="00B47210"/>
    <w:rsid w:val="00B47666"/>
    <w:rsid w:val="00B5158F"/>
    <w:rsid w:val="00B52FC0"/>
    <w:rsid w:val="00B54FF7"/>
    <w:rsid w:val="00B5546D"/>
    <w:rsid w:val="00B5664B"/>
    <w:rsid w:val="00B56750"/>
    <w:rsid w:val="00B56DA3"/>
    <w:rsid w:val="00B5768F"/>
    <w:rsid w:val="00B60780"/>
    <w:rsid w:val="00B622CF"/>
    <w:rsid w:val="00B662F2"/>
    <w:rsid w:val="00B6759F"/>
    <w:rsid w:val="00B67CF8"/>
    <w:rsid w:val="00B707F4"/>
    <w:rsid w:val="00B707F9"/>
    <w:rsid w:val="00B718DF"/>
    <w:rsid w:val="00B71A51"/>
    <w:rsid w:val="00B71B84"/>
    <w:rsid w:val="00B77660"/>
    <w:rsid w:val="00B77736"/>
    <w:rsid w:val="00B77751"/>
    <w:rsid w:val="00B80B46"/>
    <w:rsid w:val="00B827AE"/>
    <w:rsid w:val="00B82AD0"/>
    <w:rsid w:val="00B82BA6"/>
    <w:rsid w:val="00B82C45"/>
    <w:rsid w:val="00B86ACA"/>
    <w:rsid w:val="00B87A02"/>
    <w:rsid w:val="00B90C4D"/>
    <w:rsid w:val="00B91399"/>
    <w:rsid w:val="00B93299"/>
    <w:rsid w:val="00B93FA9"/>
    <w:rsid w:val="00B96E18"/>
    <w:rsid w:val="00BA0DCE"/>
    <w:rsid w:val="00BA129E"/>
    <w:rsid w:val="00BA23A1"/>
    <w:rsid w:val="00BA2998"/>
    <w:rsid w:val="00BA389B"/>
    <w:rsid w:val="00BA721D"/>
    <w:rsid w:val="00BA73FD"/>
    <w:rsid w:val="00BA7790"/>
    <w:rsid w:val="00BB01AA"/>
    <w:rsid w:val="00BB1C95"/>
    <w:rsid w:val="00BB44A8"/>
    <w:rsid w:val="00BB4F6C"/>
    <w:rsid w:val="00BB5767"/>
    <w:rsid w:val="00BB6972"/>
    <w:rsid w:val="00BB6F35"/>
    <w:rsid w:val="00BB7039"/>
    <w:rsid w:val="00BB7A99"/>
    <w:rsid w:val="00BC0578"/>
    <w:rsid w:val="00BC4227"/>
    <w:rsid w:val="00BC4957"/>
    <w:rsid w:val="00BC4D68"/>
    <w:rsid w:val="00BC6A78"/>
    <w:rsid w:val="00BD031F"/>
    <w:rsid w:val="00BD0E5F"/>
    <w:rsid w:val="00BD1B09"/>
    <w:rsid w:val="00BD1E07"/>
    <w:rsid w:val="00BD247C"/>
    <w:rsid w:val="00BD3168"/>
    <w:rsid w:val="00BD36EB"/>
    <w:rsid w:val="00BD6074"/>
    <w:rsid w:val="00BD6E0A"/>
    <w:rsid w:val="00BD7E0F"/>
    <w:rsid w:val="00BE0259"/>
    <w:rsid w:val="00BE06CE"/>
    <w:rsid w:val="00BE191D"/>
    <w:rsid w:val="00BE2D16"/>
    <w:rsid w:val="00BE2E94"/>
    <w:rsid w:val="00BE30C3"/>
    <w:rsid w:val="00BE44E2"/>
    <w:rsid w:val="00BE4A32"/>
    <w:rsid w:val="00BE6327"/>
    <w:rsid w:val="00BE6462"/>
    <w:rsid w:val="00BE7555"/>
    <w:rsid w:val="00BE77B2"/>
    <w:rsid w:val="00BE7D59"/>
    <w:rsid w:val="00BF024E"/>
    <w:rsid w:val="00BF0563"/>
    <w:rsid w:val="00BF06B5"/>
    <w:rsid w:val="00BF08D1"/>
    <w:rsid w:val="00BF11E6"/>
    <w:rsid w:val="00BF2E1F"/>
    <w:rsid w:val="00BF507A"/>
    <w:rsid w:val="00BF5A0F"/>
    <w:rsid w:val="00BF7444"/>
    <w:rsid w:val="00C015CE"/>
    <w:rsid w:val="00C02C92"/>
    <w:rsid w:val="00C048A3"/>
    <w:rsid w:val="00C0584D"/>
    <w:rsid w:val="00C07BAB"/>
    <w:rsid w:val="00C1336D"/>
    <w:rsid w:val="00C151F5"/>
    <w:rsid w:val="00C17301"/>
    <w:rsid w:val="00C2078C"/>
    <w:rsid w:val="00C212F6"/>
    <w:rsid w:val="00C21501"/>
    <w:rsid w:val="00C21F96"/>
    <w:rsid w:val="00C22AA2"/>
    <w:rsid w:val="00C22EB1"/>
    <w:rsid w:val="00C22FC7"/>
    <w:rsid w:val="00C2471F"/>
    <w:rsid w:val="00C26796"/>
    <w:rsid w:val="00C2701D"/>
    <w:rsid w:val="00C3068C"/>
    <w:rsid w:val="00C307DA"/>
    <w:rsid w:val="00C31245"/>
    <w:rsid w:val="00C32AF9"/>
    <w:rsid w:val="00C334BE"/>
    <w:rsid w:val="00C33B42"/>
    <w:rsid w:val="00C3425F"/>
    <w:rsid w:val="00C343EE"/>
    <w:rsid w:val="00C35092"/>
    <w:rsid w:val="00C350A7"/>
    <w:rsid w:val="00C35EDD"/>
    <w:rsid w:val="00C362BA"/>
    <w:rsid w:val="00C3738B"/>
    <w:rsid w:val="00C40682"/>
    <w:rsid w:val="00C40E6F"/>
    <w:rsid w:val="00C42772"/>
    <w:rsid w:val="00C42AFE"/>
    <w:rsid w:val="00C43B5D"/>
    <w:rsid w:val="00C443A4"/>
    <w:rsid w:val="00C45152"/>
    <w:rsid w:val="00C456FF"/>
    <w:rsid w:val="00C47207"/>
    <w:rsid w:val="00C51424"/>
    <w:rsid w:val="00C515D8"/>
    <w:rsid w:val="00C52C1C"/>
    <w:rsid w:val="00C5601D"/>
    <w:rsid w:val="00C56902"/>
    <w:rsid w:val="00C5769D"/>
    <w:rsid w:val="00C57A9C"/>
    <w:rsid w:val="00C57FF7"/>
    <w:rsid w:val="00C629F8"/>
    <w:rsid w:val="00C62FAA"/>
    <w:rsid w:val="00C63878"/>
    <w:rsid w:val="00C63AD0"/>
    <w:rsid w:val="00C656B7"/>
    <w:rsid w:val="00C65960"/>
    <w:rsid w:val="00C6606E"/>
    <w:rsid w:val="00C66647"/>
    <w:rsid w:val="00C67792"/>
    <w:rsid w:val="00C71B20"/>
    <w:rsid w:val="00C71C7E"/>
    <w:rsid w:val="00C71ED4"/>
    <w:rsid w:val="00C74D26"/>
    <w:rsid w:val="00C75739"/>
    <w:rsid w:val="00C77FDC"/>
    <w:rsid w:val="00C81050"/>
    <w:rsid w:val="00C82918"/>
    <w:rsid w:val="00C859CC"/>
    <w:rsid w:val="00C9009D"/>
    <w:rsid w:val="00C903C5"/>
    <w:rsid w:val="00C911F6"/>
    <w:rsid w:val="00C913D9"/>
    <w:rsid w:val="00C9188E"/>
    <w:rsid w:val="00C920AA"/>
    <w:rsid w:val="00C9266C"/>
    <w:rsid w:val="00C93093"/>
    <w:rsid w:val="00C939B6"/>
    <w:rsid w:val="00C94550"/>
    <w:rsid w:val="00C9552A"/>
    <w:rsid w:val="00C9645A"/>
    <w:rsid w:val="00C9766C"/>
    <w:rsid w:val="00C9768A"/>
    <w:rsid w:val="00CA0555"/>
    <w:rsid w:val="00CA08CB"/>
    <w:rsid w:val="00CA301E"/>
    <w:rsid w:val="00CA3585"/>
    <w:rsid w:val="00CA4205"/>
    <w:rsid w:val="00CA455E"/>
    <w:rsid w:val="00CB03A7"/>
    <w:rsid w:val="00CB1291"/>
    <w:rsid w:val="00CB4BC5"/>
    <w:rsid w:val="00CB5FFE"/>
    <w:rsid w:val="00CB6549"/>
    <w:rsid w:val="00CB6579"/>
    <w:rsid w:val="00CC0419"/>
    <w:rsid w:val="00CC177E"/>
    <w:rsid w:val="00CC27AB"/>
    <w:rsid w:val="00CC3A7B"/>
    <w:rsid w:val="00CC5285"/>
    <w:rsid w:val="00CC773C"/>
    <w:rsid w:val="00CC7A1C"/>
    <w:rsid w:val="00CD1863"/>
    <w:rsid w:val="00CD34E7"/>
    <w:rsid w:val="00CD4EE8"/>
    <w:rsid w:val="00CD62F5"/>
    <w:rsid w:val="00CD6E0B"/>
    <w:rsid w:val="00CD730D"/>
    <w:rsid w:val="00CD7FBE"/>
    <w:rsid w:val="00CE11D1"/>
    <w:rsid w:val="00CE16AA"/>
    <w:rsid w:val="00CE2876"/>
    <w:rsid w:val="00CE3EB0"/>
    <w:rsid w:val="00CE55F5"/>
    <w:rsid w:val="00CE78B1"/>
    <w:rsid w:val="00CF0FBB"/>
    <w:rsid w:val="00CF283B"/>
    <w:rsid w:val="00CF32C3"/>
    <w:rsid w:val="00CF3ED9"/>
    <w:rsid w:val="00CF404F"/>
    <w:rsid w:val="00CF448B"/>
    <w:rsid w:val="00CF53C9"/>
    <w:rsid w:val="00CF5D73"/>
    <w:rsid w:val="00CF612F"/>
    <w:rsid w:val="00CF6462"/>
    <w:rsid w:val="00CF6BA4"/>
    <w:rsid w:val="00CF7329"/>
    <w:rsid w:val="00CF74D0"/>
    <w:rsid w:val="00CF7C9A"/>
    <w:rsid w:val="00CF7CEC"/>
    <w:rsid w:val="00D00ED7"/>
    <w:rsid w:val="00D0133D"/>
    <w:rsid w:val="00D027B4"/>
    <w:rsid w:val="00D028C2"/>
    <w:rsid w:val="00D0326A"/>
    <w:rsid w:val="00D03676"/>
    <w:rsid w:val="00D03AF8"/>
    <w:rsid w:val="00D0561B"/>
    <w:rsid w:val="00D05739"/>
    <w:rsid w:val="00D076C3"/>
    <w:rsid w:val="00D1066F"/>
    <w:rsid w:val="00D117EF"/>
    <w:rsid w:val="00D12E22"/>
    <w:rsid w:val="00D14161"/>
    <w:rsid w:val="00D168C1"/>
    <w:rsid w:val="00D16B82"/>
    <w:rsid w:val="00D1736E"/>
    <w:rsid w:val="00D2022C"/>
    <w:rsid w:val="00D221FC"/>
    <w:rsid w:val="00D22462"/>
    <w:rsid w:val="00D247DE"/>
    <w:rsid w:val="00D26014"/>
    <w:rsid w:val="00D304F9"/>
    <w:rsid w:val="00D30901"/>
    <w:rsid w:val="00D32374"/>
    <w:rsid w:val="00D32737"/>
    <w:rsid w:val="00D33633"/>
    <w:rsid w:val="00D41D58"/>
    <w:rsid w:val="00D42FC8"/>
    <w:rsid w:val="00D448CE"/>
    <w:rsid w:val="00D44926"/>
    <w:rsid w:val="00D4542B"/>
    <w:rsid w:val="00D46FA8"/>
    <w:rsid w:val="00D47264"/>
    <w:rsid w:val="00D51D1B"/>
    <w:rsid w:val="00D52AFE"/>
    <w:rsid w:val="00D531DC"/>
    <w:rsid w:val="00D53562"/>
    <w:rsid w:val="00D53782"/>
    <w:rsid w:val="00D54D7F"/>
    <w:rsid w:val="00D5514E"/>
    <w:rsid w:val="00D55E5D"/>
    <w:rsid w:val="00D60426"/>
    <w:rsid w:val="00D609EE"/>
    <w:rsid w:val="00D60FC5"/>
    <w:rsid w:val="00D6122D"/>
    <w:rsid w:val="00D62295"/>
    <w:rsid w:val="00D6249B"/>
    <w:rsid w:val="00D629F1"/>
    <w:rsid w:val="00D62D07"/>
    <w:rsid w:val="00D64140"/>
    <w:rsid w:val="00D6447D"/>
    <w:rsid w:val="00D64ADA"/>
    <w:rsid w:val="00D64CA3"/>
    <w:rsid w:val="00D658FD"/>
    <w:rsid w:val="00D65979"/>
    <w:rsid w:val="00D65C04"/>
    <w:rsid w:val="00D66FF3"/>
    <w:rsid w:val="00D67CEA"/>
    <w:rsid w:val="00D7140B"/>
    <w:rsid w:val="00D71698"/>
    <w:rsid w:val="00D71D4C"/>
    <w:rsid w:val="00D72019"/>
    <w:rsid w:val="00D7498A"/>
    <w:rsid w:val="00D75FE7"/>
    <w:rsid w:val="00D76AE3"/>
    <w:rsid w:val="00D77E37"/>
    <w:rsid w:val="00D80C86"/>
    <w:rsid w:val="00D816A3"/>
    <w:rsid w:val="00D82151"/>
    <w:rsid w:val="00D83501"/>
    <w:rsid w:val="00D83C6D"/>
    <w:rsid w:val="00D856A7"/>
    <w:rsid w:val="00D856D4"/>
    <w:rsid w:val="00D87226"/>
    <w:rsid w:val="00D87A94"/>
    <w:rsid w:val="00D87DE9"/>
    <w:rsid w:val="00D92AEA"/>
    <w:rsid w:val="00D941A2"/>
    <w:rsid w:val="00D95FC9"/>
    <w:rsid w:val="00D965F8"/>
    <w:rsid w:val="00D972AE"/>
    <w:rsid w:val="00D973CB"/>
    <w:rsid w:val="00D97599"/>
    <w:rsid w:val="00DA03E0"/>
    <w:rsid w:val="00DA12E8"/>
    <w:rsid w:val="00DA1B41"/>
    <w:rsid w:val="00DA22DF"/>
    <w:rsid w:val="00DA2387"/>
    <w:rsid w:val="00DA3747"/>
    <w:rsid w:val="00DA3A60"/>
    <w:rsid w:val="00DA44EC"/>
    <w:rsid w:val="00DA45BC"/>
    <w:rsid w:val="00DA512D"/>
    <w:rsid w:val="00DA601D"/>
    <w:rsid w:val="00DB08CB"/>
    <w:rsid w:val="00DB2D08"/>
    <w:rsid w:val="00DB3C42"/>
    <w:rsid w:val="00DB4282"/>
    <w:rsid w:val="00DB4B17"/>
    <w:rsid w:val="00DB680B"/>
    <w:rsid w:val="00DB6856"/>
    <w:rsid w:val="00DB7802"/>
    <w:rsid w:val="00DB7CFB"/>
    <w:rsid w:val="00DC0DA3"/>
    <w:rsid w:val="00DC0E83"/>
    <w:rsid w:val="00DC2817"/>
    <w:rsid w:val="00DC2DF6"/>
    <w:rsid w:val="00DC4000"/>
    <w:rsid w:val="00DC58F3"/>
    <w:rsid w:val="00DC7F5B"/>
    <w:rsid w:val="00DD0DF6"/>
    <w:rsid w:val="00DD403A"/>
    <w:rsid w:val="00DD64A7"/>
    <w:rsid w:val="00DD67EB"/>
    <w:rsid w:val="00DD6D7B"/>
    <w:rsid w:val="00DD7288"/>
    <w:rsid w:val="00DD72BD"/>
    <w:rsid w:val="00DE13F4"/>
    <w:rsid w:val="00DE1C0F"/>
    <w:rsid w:val="00DE2137"/>
    <w:rsid w:val="00DE3416"/>
    <w:rsid w:val="00DE3D5A"/>
    <w:rsid w:val="00DE5D06"/>
    <w:rsid w:val="00DE5FE2"/>
    <w:rsid w:val="00DE6E46"/>
    <w:rsid w:val="00DE702C"/>
    <w:rsid w:val="00DE70F9"/>
    <w:rsid w:val="00DE73F7"/>
    <w:rsid w:val="00DF158B"/>
    <w:rsid w:val="00DF1881"/>
    <w:rsid w:val="00DF384F"/>
    <w:rsid w:val="00DF6A97"/>
    <w:rsid w:val="00DF6AB9"/>
    <w:rsid w:val="00DF7D5E"/>
    <w:rsid w:val="00DF7FEB"/>
    <w:rsid w:val="00E005D8"/>
    <w:rsid w:val="00E01D97"/>
    <w:rsid w:val="00E01DB8"/>
    <w:rsid w:val="00E01E2C"/>
    <w:rsid w:val="00E020E1"/>
    <w:rsid w:val="00E0245E"/>
    <w:rsid w:val="00E02A0B"/>
    <w:rsid w:val="00E03C2D"/>
    <w:rsid w:val="00E03CCA"/>
    <w:rsid w:val="00E0682F"/>
    <w:rsid w:val="00E06AFA"/>
    <w:rsid w:val="00E077BE"/>
    <w:rsid w:val="00E10A32"/>
    <w:rsid w:val="00E111C7"/>
    <w:rsid w:val="00E11664"/>
    <w:rsid w:val="00E11B7D"/>
    <w:rsid w:val="00E121CB"/>
    <w:rsid w:val="00E14568"/>
    <w:rsid w:val="00E15918"/>
    <w:rsid w:val="00E160A8"/>
    <w:rsid w:val="00E164E6"/>
    <w:rsid w:val="00E1679A"/>
    <w:rsid w:val="00E16F61"/>
    <w:rsid w:val="00E2055E"/>
    <w:rsid w:val="00E218C3"/>
    <w:rsid w:val="00E220BA"/>
    <w:rsid w:val="00E222BB"/>
    <w:rsid w:val="00E23A14"/>
    <w:rsid w:val="00E23CB5"/>
    <w:rsid w:val="00E244A8"/>
    <w:rsid w:val="00E24E0A"/>
    <w:rsid w:val="00E2546C"/>
    <w:rsid w:val="00E25471"/>
    <w:rsid w:val="00E303F6"/>
    <w:rsid w:val="00E31BCD"/>
    <w:rsid w:val="00E338F6"/>
    <w:rsid w:val="00E3398F"/>
    <w:rsid w:val="00E33C02"/>
    <w:rsid w:val="00E34CFB"/>
    <w:rsid w:val="00E362CD"/>
    <w:rsid w:val="00E3640B"/>
    <w:rsid w:val="00E45959"/>
    <w:rsid w:val="00E46BCA"/>
    <w:rsid w:val="00E5079A"/>
    <w:rsid w:val="00E50822"/>
    <w:rsid w:val="00E5118C"/>
    <w:rsid w:val="00E517D3"/>
    <w:rsid w:val="00E518A6"/>
    <w:rsid w:val="00E519EE"/>
    <w:rsid w:val="00E557DC"/>
    <w:rsid w:val="00E561FC"/>
    <w:rsid w:val="00E56953"/>
    <w:rsid w:val="00E57C45"/>
    <w:rsid w:val="00E603F8"/>
    <w:rsid w:val="00E60622"/>
    <w:rsid w:val="00E62B75"/>
    <w:rsid w:val="00E63B28"/>
    <w:rsid w:val="00E63D63"/>
    <w:rsid w:val="00E63DB1"/>
    <w:rsid w:val="00E64F19"/>
    <w:rsid w:val="00E663D3"/>
    <w:rsid w:val="00E67828"/>
    <w:rsid w:val="00E7038C"/>
    <w:rsid w:val="00E715D5"/>
    <w:rsid w:val="00E71DA2"/>
    <w:rsid w:val="00E72480"/>
    <w:rsid w:val="00E724A2"/>
    <w:rsid w:val="00E72FC9"/>
    <w:rsid w:val="00E73466"/>
    <w:rsid w:val="00E73ED5"/>
    <w:rsid w:val="00E7511B"/>
    <w:rsid w:val="00E75EDD"/>
    <w:rsid w:val="00E7669D"/>
    <w:rsid w:val="00E767A5"/>
    <w:rsid w:val="00E772AF"/>
    <w:rsid w:val="00E778FE"/>
    <w:rsid w:val="00E8134A"/>
    <w:rsid w:val="00E824FA"/>
    <w:rsid w:val="00E84FC2"/>
    <w:rsid w:val="00E85A86"/>
    <w:rsid w:val="00E85E80"/>
    <w:rsid w:val="00E907E8"/>
    <w:rsid w:val="00E90BF2"/>
    <w:rsid w:val="00E91ECE"/>
    <w:rsid w:val="00E92361"/>
    <w:rsid w:val="00E923BC"/>
    <w:rsid w:val="00E92E53"/>
    <w:rsid w:val="00E947D4"/>
    <w:rsid w:val="00E94AF7"/>
    <w:rsid w:val="00E952EC"/>
    <w:rsid w:val="00E95B51"/>
    <w:rsid w:val="00E9679B"/>
    <w:rsid w:val="00EA2020"/>
    <w:rsid w:val="00EA2285"/>
    <w:rsid w:val="00EA2653"/>
    <w:rsid w:val="00EA3151"/>
    <w:rsid w:val="00EA3476"/>
    <w:rsid w:val="00EA3B13"/>
    <w:rsid w:val="00EA3D5C"/>
    <w:rsid w:val="00EA3EAB"/>
    <w:rsid w:val="00EA723B"/>
    <w:rsid w:val="00EB1026"/>
    <w:rsid w:val="00EB10DC"/>
    <w:rsid w:val="00EB11BD"/>
    <w:rsid w:val="00EB4B06"/>
    <w:rsid w:val="00EB5AA1"/>
    <w:rsid w:val="00EB5E4C"/>
    <w:rsid w:val="00EB66E8"/>
    <w:rsid w:val="00EB748C"/>
    <w:rsid w:val="00EC0592"/>
    <w:rsid w:val="00EC2849"/>
    <w:rsid w:val="00EC2B32"/>
    <w:rsid w:val="00EC3BB7"/>
    <w:rsid w:val="00EC45A9"/>
    <w:rsid w:val="00EC4911"/>
    <w:rsid w:val="00EC4A0F"/>
    <w:rsid w:val="00EC4A50"/>
    <w:rsid w:val="00EC4AAA"/>
    <w:rsid w:val="00EC63FD"/>
    <w:rsid w:val="00EC6E4C"/>
    <w:rsid w:val="00EC70E1"/>
    <w:rsid w:val="00EC7641"/>
    <w:rsid w:val="00ED0774"/>
    <w:rsid w:val="00ED143B"/>
    <w:rsid w:val="00ED21A1"/>
    <w:rsid w:val="00ED23AB"/>
    <w:rsid w:val="00ED2583"/>
    <w:rsid w:val="00ED2682"/>
    <w:rsid w:val="00ED2D2A"/>
    <w:rsid w:val="00ED6BCF"/>
    <w:rsid w:val="00ED732A"/>
    <w:rsid w:val="00EE1210"/>
    <w:rsid w:val="00EE1C3E"/>
    <w:rsid w:val="00EE2F20"/>
    <w:rsid w:val="00EE3660"/>
    <w:rsid w:val="00EE3880"/>
    <w:rsid w:val="00EE3A95"/>
    <w:rsid w:val="00EE3BB4"/>
    <w:rsid w:val="00EE62E9"/>
    <w:rsid w:val="00EE744C"/>
    <w:rsid w:val="00EE7925"/>
    <w:rsid w:val="00EF146B"/>
    <w:rsid w:val="00EF18A0"/>
    <w:rsid w:val="00EF1C65"/>
    <w:rsid w:val="00EF269A"/>
    <w:rsid w:val="00EF396F"/>
    <w:rsid w:val="00EF4F71"/>
    <w:rsid w:val="00EF5713"/>
    <w:rsid w:val="00EF5824"/>
    <w:rsid w:val="00F001B2"/>
    <w:rsid w:val="00F0028B"/>
    <w:rsid w:val="00F01973"/>
    <w:rsid w:val="00F02812"/>
    <w:rsid w:val="00F03464"/>
    <w:rsid w:val="00F04280"/>
    <w:rsid w:val="00F0628E"/>
    <w:rsid w:val="00F0716E"/>
    <w:rsid w:val="00F07A57"/>
    <w:rsid w:val="00F10D9E"/>
    <w:rsid w:val="00F11255"/>
    <w:rsid w:val="00F11416"/>
    <w:rsid w:val="00F11593"/>
    <w:rsid w:val="00F12658"/>
    <w:rsid w:val="00F14B38"/>
    <w:rsid w:val="00F179BF"/>
    <w:rsid w:val="00F17DEA"/>
    <w:rsid w:val="00F17E36"/>
    <w:rsid w:val="00F201DE"/>
    <w:rsid w:val="00F21855"/>
    <w:rsid w:val="00F231F6"/>
    <w:rsid w:val="00F245BF"/>
    <w:rsid w:val="00F25890"/>
    <w:rsid w:val="00F25947"/>
    <w:rsid w:val="00F25BD6"/>
    <w:rsid w:val="00F269C2"/>
    <w:rsid w:val="00F26B3F"/>
    <w:rsid w:val="00F27210"/>
    <w:rsid w:val="00F27360"/>
    <w:rsid w:val="00F27F80"/>
    <w:rsid w:val="00F345DF"/>
    <w:rsid w:val="00F355B4"/>
    <w:rsid w:val="00F37D01"/>
    <w:rsid w:val="00F418B5"/>
    <w:rsid w:val="00F4227B"/>
    <w:rsid w:val="00F42AB3"/>
    <w:rsid w:val="00F43629"/>
    <w:rsid w:val="00F4450C"/>
    <w:rsid w:val="00F4783D"/>
    <w:rsid w:val="00F50319"/>
    <w:rsid w:val="00F505DA"/>
    <w:rsid w:val="00F52423"/>
    <w:rsid w:val="00F53A6C"/>
    <w:rsid w:val="00F5408A"/>
    <w:rsid w:val="00F54742"/>
    <w:rsid w:val="00F55DA0"/>
    <w:rsid w:val="00F57AD9"/>
    <w:rsid w:val="00F60044"/>
    <w:rsid w:val="00F60B3E"/>
    <w:rsid w:val="00F629AB"/>
    <w:rsid w:val="00F629BB"/>
    <w:rsid w:val="00F631C2"/>
    <w:rsid w:val="00F642FD"/>
    <w:rsid w:val="00F64A5B"/>
    <w:rsid w:val="00F64B6E"/>
    <w:rsid w:val="00F65877"/>
    <w:rsid w:val="00F659D7"/>
    <w:rsid w:val="00F6718B"/>
    <w:rsid w:val="00F72675"/>
    <w:rsid w:val="00F729A9"/>
    <w:rsid w:val="00F75646"/>
    <w:rsid w:val="00F75962"/>
    <w:rsid w:val="00F75C87"/>
    <w:rsid w:val="00F76B18"/>
    <w:rsid w:val="00F772EA"/>
    <w:rsid w:val="00F82F1F"/>
    <w:rsid w:val="00F830DF"/>
    <w:rsid w:val="00F8320A"/>
    <w:rsid w:val="00F8344F"/>
    <w:rsid w:val="00F84117"/>
    <w:rsid w:val="00F85777"/>
    <w:rsid w:val="00F85ABA"/>
    <w:rsid w:val="00F86135"/>
    <w:rsid w:val="00F86515"/>
    <w:rsid w:val="00F872FA"/>
    <w:rsid w:val="00F90A94"/>
    <w:rsid w:val="00F91324"/>
    <w:rsid w:val="00F93804"/>
    <w:rsid w:val="00F93CD4"/>
    <w:rsid w:val="00F93F66"/>
    <w:rsid w:val="00F96068"/>
    <w:rsid w:val="00FA1869"/>
    <w:rsid w:val="00FA1DB6"/>
    <w:rsid w:val="00FA29CA"/>
    <w:rsid w:val="00FA38FA"/>
    <w:rsid w:val="00FA3BDC"/>
    <w:rsid w:val="00FA4BAF"/>
    <w:rsid w:val="00FA534A"/>
    <w:rsid w:val="00FA57AF"/>
    <w:rsid w:val="00FA58F8"/>
    <w:rsid w:val="00FA5D2A"/>
    <w:rsid w:val="00FA7D45"/>
    <w:rsid w:val="00FB0B78"/>
    <w:rsid w:val="00FB0BA9"/>
    <w:rsid w:val="00FB12EB"/>
    <w:rsid w:val="00FB15BB"/>
    <w:rsid w:val="00FB3C16"/>
    <w:rsid w:val="00FB45A1"/>
    <w:rsid w:val="00FB4A16"/>
    <w:rsid w:val="00FB565F"/>
    <w:rsid w:val="00FB787F"/>
    <w:rsid w:val="00FB7EF0"/>
    <w:rsid w:val="00FC353F"/>
    <w:rsid w:val="00FC3D87"/>
    <w:rsid w:val="00FC497B"/>
    <w:rsid w:val="00FC50E0"/>
    <w:rsid w:val="00FC590C"/>
    <w:rsid w:val="00FC5990"/>
    <w:rsid w:val="00FC5D32"/>
    <w:rsid w:val="00FC6551"/>
    <w:rsid w:val="00FC6D7D"/>
    <w:rsid w:val="00FC72C3"/>
    <w:rsid w:val="00FC7575"/>
    <w:rsid w:val="00FD0962"/>
    <w:rsid w:val="00FD1A5B"/>
    <w:rsid w:val="00FD1B70"/>
    <w:rsid w:val="00FD2C29"/>
    <w:rsid w:val="00FD2EB0"/>
    <w:rsid w:val="00FD3464"/>
    <w:rsid w:val="00FD3B96"/>
    <w:rsid w:val="00FD3ED6"/>
    <w:rsid w:val="00FD42EB"/>
    <w:rsid w:val="00FD50D6"/>
    <w:rsid w:val="00FD5314"/>
    <w:rsid w:val="00FD6BDB"/>
    <w:rsid w:val="00FE0F49"/>
    <w:rsid w:val="00FE11D0"/>
    <w:rsid w:val="00FE19B6"/>
    <w:rsid w:val="00FE19BD"/>
    <w:rsid w:val="00FE1E22"/>
    <w:rsid w:val="00FE21E5"/>
    <w:rsid w:val="00FE3F5B"/>
    <w:rsid w:val="00FE46F0"/>
    <w:rsid w:val="00FE5CB3"/>
    <w:rsid w:val="00FE6A7B"/>
    <w:rsid w:val="00FE7FD8"/>
    <w:rsid w:val="00FF13F3"/>
    <w:rsid w:val="00FF2B95"/>
    <w:rsid w:val="00FF2CEA"/>
    <w:rsid w:val="00FF31C7"/>
    <w:rsid w:val="00FF45AA"/>
    <w:rsid w:val="00FF556B"/>
    <w:rsid w:val="00FF5630"/>
    <w:rsid w:val="00FF61F4"/>
    <w:rsid w:val="00FF6E12"/>
    <w:rsid w:val="00FF7768"/>
    <w:rsid w:val="00FF7821"/>
    <w:rsid w:val="011D0535"/>
    <w:rsid w:val="012F1286"/>
    <w:rsid w:val="01647069"/>
    <w:rsid w:val="01A15C27"/>
    <w:rsid w:val="01AC68E8"/>
    <w:rsid w:val="01AE117D"/>
    <w:rsid w:val="01B3015C"/>
    <w:rsid w:val="020B6179"/>
    <w:rsid w:val="028C3026"/>
    <w:rsid w:val="02A31527"/>
    <w:rsid w:val="02C023C5"/>
    <w:rsid w:val="02EB0826"/>
    <w:rsid w:val="030D669D"/>
    <w:rsid w:val="031565D8"/>
    <w:rsid w:val="03307F24"/>
    <w:rsid w:val="034D3BCA"/>
    <w:rsid w:val="03A74D4C"/>
    <w:rsid w:val="03BB5696"/>
    <w:rsid w:val="03C1507F"/>
    <w:rsid w:val="03D658F5"/>
    <w:rsid w:val="03E819F8"/>
    <w:rsid w:val="03EA0E25"/>
    <w:rsid w:val="0408040D"/>
    <w:rsid w:val="040C2804"/>
    <w:rsid w:val="044D6D3F"/>
    <w:rsid w:val="04AB4F5C"/>
    <w:rsid w:val="04ED6C43"/>
    <w:rsid w:val="04F16D41"/>
    <w:rsid w:val="04FD3BE9"/>
    <w:rsid w:val="05400034"/>
    <w:rsid w:val="057832F5"/>
    <w:rsid w:val="057F5265"/>
    <w:rsid w:val="059C47FA"/>
    <w:rsid w:val="05B50B34"/>
    <w:rsid w:val="05B77BFB"/>
    <w:rsid w:val="05DB1FC7"/>
    <w:rsid w:val="05F90B8D"/>
    <w:rsid w:val="05FD665A"/>
    <w:rsid w:val="06224BD2"/>
    <w:rsid w:val="062517A4"/>
    <w:rsid w:val="064B1B4F"/>
    <w:rsid w:val="06944DEE"/>
    <w:rsid w:val="06991960"/>
    <w:rsid w:val="06A7032D"/>
    <w:rsid w:val="06C31046"/>
    <w:rsid w:val="06DE4800"/>
    <w:rsid w:val="070A49D6"/>
    <w:rsid w:val="070F643D"/>
    <w:rsid w:val="074E1CC7"/>
    <w:rsid w:val="074F34DB"/>
    <w:rsid w:val="07635102"/>
    <w:rsid w:val="078261CB"/>
    <w:rsid w:val="07A54447"/>
    <w:rsid w:val="07AD17E7"/>
    <w:rsid w:val="07B86A1B"/>
    <w:rsid w:val="07BA200D"/>
    <w:rsid w:val="07BB06F3"/>
    <w:rsid w:val="07CC0B81"/>
    <w:rsid w:val="07D40C0B"/>
    <w:rsid w:val="07DA4A66"/>
    <w:rsid w:val="07DB1E3C"/>
    <w:rsid w:val="07DC31E7"/>
    <w:rsid w:val="07E03C6F"/>
    <w:rsid w:val="07E671D5"/>
    <w:rsid w:val="07F11A1A"/>
    <w:rsid w:val="080248C8"/>
    <w:rsid w:val="0808099D"/>
    <w:rsid w:val="08173E8C"/>
    <w:rsid w:val="08197319"/>
    <w:rsid w:val="082A1E38"/>
    <w:rsid w:val="082C0E2F"/>
    <w:rsid w:val="089225ED"/>
    <w:rsid w:val="089B5254"/>
    <w:rsid w:val="08AB7C9F"/>
    <w:rsid w:val="08AF0CA8"/>
    <w:rsid w:val="08D63873"/>
    <w:rsid w:val="08F2205B"/>
    <w:rsid w:val="08FB67F8"/>
    <w:rsid w:val="090E3E49"/>
    <w:rsid w:val="09106C62"/>
    <w:rsid w:val="09342CD2"/>
    <w:rsid w:val="093A6596"/>
    <w:rsid w:val="0964160E"/>
    <w:rsid w:val="09657EC7"/>
    <w:rsid w:val="096C27E6"/>
    <w:rsid w:val="096D265C"/>
    <w:rsid w:val="09B03DC9"/>
    <w:rsid w:val="09D474B8"/>
    <w:rsid w:val="09DC2D7C"/>
    <w:rsid w:val="09E32BD1"/>
    <w:rsid w:val="09E7652A"/>
    <w:rsid w:val="0A0F5C80"/>
    <w:rsid w:val="0A234DE5"/>
    <w:rsid w:val="0A582913"/>
    <w:rsid w:val="0A741F6D"/>
    <w:rsid w:val="0AA032C4"/>
    <w:rsid w:val="0AAE2386"/>
    <w:rsid w:val="0AC20895"/>
    <w:rsid w:val="0ACD10F6"/>
    <w:rsid w:val="0AE24F83"/>
    <w:rsid w:val="0AEF27E8"/>
    <w:rsid w:val="0AF15356"/>
    <w:rsid w:val="0AF913AF"/>
    <w:rsid w:val="0B592511"/>
    <w:rsid w:val="0B5A0386"/>
    <w:rsid w:val="0B7739B0"/>
    <w:rsid w:val="0B7C5BAF"/>
    <w:rsid w:val="0BAC01D2"/>
    <w:rsid w:val="0BAE3949"/>
    <w:rsid w:val="0BE718F5"/>
    <w:rsid w:val="0C0F0CC8"/>
    <w:rsid w:val="0C612B51"/>
    <w:rsid w:val="0C791CB8"/>
    <w:rsid w:val="0C802030"/>
    <w:rsid w:val="0CD211A6"/>
    <w:rsid w:val="0CE02F1D"/>
    <w:rsid w:val="0CE2341E"/>
    <w:rsid w:val="0CEE6225"/>
    <w:rsid w:val="0CF42649"/>
    <w:rsid w:val="0D22797E"/>
    <w:rsid w:val="0D4502DB"/>
    <w:rsid w:val="0D637767"/>
    <w:rsid w:val="0D780077"/>
    <w:rsid w:val="0D9741A1"/>
    <w:rsid w:val="0DAD41DE"/>
    <w:rsid w:val="0DC5707F"/>
    <w:rsid w:val="0DC900C2"/>
    <w:rsid w:val="0DD24495"/>
    <w:rsid w:val="0DD713BD"/>
    <w:rsid w:val="0DD96838"/>
    <w:rsid w:val="0DEA417F"/>
    <w:rsid w:val="0DF1371C"/>
    <w:rsid w:val="0E0F729D"/>
    <w:rsid w:val="0E3F0BC3"/>
    <w:rsid w:val="0E5A4EF8"/>
    <w:rsid w:val="0E5B0F3F"/>
    <w:rsid w:val="0E6020BA"/>
    <w:rsid w:val="0EA2132F"/>
    <w:rsid w:val="0EA35105"/>
    <w:rsid w:val="0EB141AD"/>
    <w:rsid w:val="0EB8418C"/>
    <w:rsid w:val="0EC0776A"/>
    <w:rsid w:val="0EC75AD6"/>
    <w:rsid w:val="0ED818B2"/>
    <w:rsid w:val="0EEF2621"/>
    <w:rsid w:val="0F1221DE"/>
    <w:rsid w:val="0F1C1A68"/>
    <w:rsid w:val="0F3E48E1"/>
    <w:rsid w:val="0F657664"/>
    <w:rsid w:val="0FAE1683"/>
    <w:rsid w:val="0FB77C75"/>
    <w:rsid w:val="0FC80DAB"/>
    <w:rsid w:val="10295BAB"/>
    <w:rsid w:val="10462DF4"/>
    <w:rsid w:val="10B57534"/>
    <w:rsid w:val="10B802EB"/>
    <w:rsid w:val="10C51D19"/>
    <w:rsid w:val="10CD1441"/>
    <w:rsid w:val="10D166D0"/>
    <w:rsid w:val="10EA6806"/>
    <w:rsid w:val="10F31E7E"/>
    <w:rsid w:val="110D59F1"/>
    <w:rsid w:val="111E4B88"/>
    <w:rsid w:val="1145112B"/>
    <w:rsid w:val="114B248A"/>
    <w:rsid w:val="117C60CB"/>
    <w:rsid w:val="117E3814"/>
    <w:rsid w:val="11A64D9E"/>
    <w:rsid w:val="11A908D1"/>
    <w:rsid w:val="11AE3951"/>
    <w:rsid w:val="11DE1D88"/>
    <w:rsid w:val="11F76DD5"/>
    <w:rsid w:val="12397705"/>
    <w:rsid w:val="12601E1E"/>
    <w:rsid w:val="12605649"/>
    <w:rsid w:val="126F7E4A"/>
    <w:rsid w:val="12C03482"/>
    <w:rsid w:val="12CE0680"/>
    <w:rsid w:val="12DF2E74"/>
    <w:rsid w:val="12FF3E7D"/>
    <w:rsid w:val="130E2D2B"/>
    <w:rsid w:val="132A272B"/>
    <w:rsid w:val="13314594"/>
    <w:rsid w:val="134D1728"/>
    <w:rsid w:val="135A2DE7"/>
    <w:rsid w:val="13642F38"/>
    <w:rsid w:val="1378636A"/>
    <w:rsid w:val="138E6FB5"/>
    <w:rsid w:val="139226CF"/>
    <w:rsid w:val="13B81742"/>
    <w:rsid w:val="13EA180C"/>
    <w:rsid w:val="1409256E"/>
    <w:rsid w:val="141665A9"/>
    <w:rsid w:val="1444206D"/>
    <w:rsid w:val="148B74A4"/>
    <w:rsid w:val="14DA4C8C"/>
    <w:rsid w:val="14DD6969"/>
    <w:rsid w:val="151669D2"/>
    <w:rsid w:val="151C52EE"/>
    <w:rsid w:val="151F3406"/>
    <w:rsid w:val="15225649"/>
    <w:rsid w:val="15634FC0"/>
    <w:rsid w:val="156F5980"/>
    <w:rsid w:val="15985F52"/>
    <w:rsid w:val="15A76E97"/>
    <w:rsid w:val="15BE0D2A"/>
    <w:rsid w:val="15C91FCC"/>
    <w:rsid w:val="15CD6913"/>
    <w:rsid w:val="15D466F7"/>
    <w:rsid w:val="16031F5F"/>
    <w:rsid w:val="163D2144"/>
    <w:rsid w:val="16431535"/>
    <w:rsid w:val="16B203C4"/>
    <w:rsid w:val="16C676AB"/>
    <w:rsid w:val="17276B66"/>
    <w:rsid w:val="17332844"/>
    <w:rsid w:val="17401CF5"/>
    <w:rsid w:val="1757176E"/>
    <w:rsid w:val="18047D74"/>
    <w:rsid w:val="181A46CB"/>
    <w:rsid w:val="182660A6"/>
    <w:rsid w:val="182A0DB2"/>
    <w:rsid w:val="185B7379"/>
    <w:rsid w:val="186D4BB0"/>
    <w:rsid w:val="186E29B2"/>
    <w:rsid w:val="188E6E2D"/>
    <w:rsid w:val="18917B85"/>
    <w:rsid w:val="18F32F1C"/>
    <w:rsid w:val="18FA55FA"/>
    <w:rsid w:val="190760E9"/>
    <w:rsid w:val="194D7338"/>
    <w:rsid w:val="197E0465"/>
    <w:rsid w:val="198A5507"/>
    <w:rsid w:val="19AD598C"/>
    <w:rsid w:val="19C445F2"/>
    <w:rsid w:val="19D16712"/>
    <w:rsid w:val="1A230609"/>
    <w:rsid w:val="1A2535F1"/>
    <w:rsid w:val="1A2E6639"/>
    <w:rsid w:val="1A62365D"/>
    <w:rsid w:val="1A7939C1"/>
    <w:rsid w:val="1A9D488D"/>
    <w:rsid w:val="1AC5251F"/>
    <w:rsid w:val="1B110260"/>
    <w:rsid w:val="1B143C6D"/>
    <w:rsid w:val="1B1F5913"/>
    <w:rsid w:val="1B32490A"/>
    <w:rsid w:val="1B452136"/>
    <w:rsid w:val="1B674D1B"/>
    <w:rsid w:val="1B6B5544"/>
    <w:rsid w:val="1BD6566B"/>
    <w:rsid w:val="1BEE33B7"/>
    <w:rsid w:val="1C32749C"/>
    <w:rsid w:val="1C3F746D"/>
    <w:rsid w:val="1C6950CD"/>
    <w:rsid w:val="1C872B9F"/>
    <w:rsid w:val="1C9009AA"/>
    <w:rsid w:val="1C946D34"/>
    <w:rsid w:val="1CC065C1"/>
    <w:rsid w:val="1CC616A3"/>
    <w:rsid w:val="1CE46C5D"/>
    <w:rsid w:val="1CF70959"/>
    <w:rsid w:val="1CF93E6D"/>
    <w:rsid w:val="1CF9455F"/>
    <w:rsid w:val="1D4B3FF7"/>
    <w:rsid w:val="1D60751D"/>
    <w:rsid w:val="1D623D91"/>
    <w:rsid w:val="1D736585"/>
    <w:rsid w:val="1D897ABE"/>
    <w:rsid w:val="1D936311"/>
    <w:rsid w:val="1D9B006D"/>
    <w:rsid w:val="1DAF3B47"/>
    <w:rsid w:val="1DC375FA"/>
    <w:rsid w:val="1E021F45"/>
    <w:rsid w:val="1E0326D9"/>
    <w:rsid w:val="1E15315E"/>
    <w:rsid w:val="1E2364EE"/>
    <w:rsid w:val="1E27102E"/>
    <w:rsid w:val="1E301DE4"/>
    <w:rsid w:val="1E6167FD"/>
    <w:rsid w:val="1E743FA9"/>
    <w:rsid w:val="1E863400"/>
    <w:rsid w:val="1E895E09"/>
    <w:rsid w:val="1E903351"/>
    <w:rsid w:val="1E9B722C"/>
    <w:rsid w:val="1EC44B06"/>
    <w:rsid w:val="1EC87155"/>
    <w:rsid w:val="1F0843CB"/>
    <w:rsid w:val="1F672BFB"/>
    <w:rsid w:val="1F780D30"/>
    <w:rsid w:val="1FB7773C"/>
    <w:rsid w:val="200C0E57"/>
    <w:rsid w:val="201013B4"/>
    <w:rsid w:val="20131230"/>
    <w:rsid w:val="201763EB"/>
    <w:rsid w:val="20203034"/>
    <w:rsid w:val="203C22B3"/>
    <w:rsid w:val="205A1EF1"/>
    <w:rsid w:val="205A2527"/>
    <w:rsid w:val="205A49CE"/>
    <w:rsid w:val="20915899"/>
    <w:rsid w:val="209E668B"/>
    <w:rsid w:val="20A95791"/>
    <w:rsid w:val="20EE4BC2"/>
    <w:rsid w:val="21064A1C"/>
    <w:rsid w:val="21183DA7"/>
    <w:rsid w:val="211A5143"/>
    <w:rsid w:val="212C7B8F"/>
    <w:rsid w:val="21560BFC"/>
    <w:rsid w:val="22077E90"/>
    <w:rsid w:val="22141568"/>
    <w:rsid w:val="224657B6"/>
    <w:rsid w:val="22581363"/>
    <w:rsid w:val="22741F06"/>
    <w:rsid w:val="23053FC9"/>
    <w:rsid w:val="230A21C2"/>
    <w:rsid w:val="231611A5"/>
    <w:rsid w:val="23280084"/>
    <w:rsid w:val="236670D5"/>
    <w:rsid w:val="23952AB6"/>
    <w:rsid w:val="23BA0E15"/>
    <w:rsid w:val="23C01784"/>
    <w:rsid w:val="24460B60"/>
    <w:rsid w:val="2479681E"/>
    <w:rsid w:val="249D52DB"/>
    <w:rsid w:val="24BE40EE"/>
    <w:rsid w:val="24F10109"/>
    <w:rsid w:val="252C1C37"/>
    <w:rsid w:val="25A81EB7"/>
    <w:rsid w:val="25C14895"/>
    <w:rsid w:val="25C839FF"/>
    <w:rsid w:val="25D60BFA"/>
    <w:rsid w:val="25E5759F"/>
    <w:rsid w:val="263628F8"/>
    <w:rsid w:val="26773C22"/>
    <w:rsid w:val="26780AC7"/>
    <w:rsid w:val="26A57E22"/>
    <w:rsid w:val="26A93512"/>
    <w:rsid w:val="26AE14FC"/>
    <w:rsid w:val="26BC2E43"/>
    <w:rsid w:val="271D7A4B"/>
    <w:rsid w:val="272453EE"/>
    <w:rsid w:val="27471E58"/>
    <w:rsid w:val="27484A51"/>
    <w:rsid w:val="27507267"/>
    <w:rsid w:val="276F5711"/>
    <w:rsid w:val="27731CBA"/>
    <w:rsid w:val="27847A1E"/>
    <w:rsid w:val="27AE40C2"/>
    <w:rsid w:val="28030ABF"/>
    <w:rsid w:val="282564B0"/>
    <w:rsid w:val="282F0BC2"/>
    <w:rsid w:val="2847623C"/>
    <w:rsid w:val="2852796D"/>
    <w:rsid w:val="28680DB9"/>
    <w:rsid w:val="28715371"/>
    <w:rsid w:val="28816866"/>
    <w:rsid w:val="28816FD4"/>
    <w:rsid w:val="28836851"/>
    <w:rsid w:val="288B3EE2"/>
    <w:rsid w:val="2898776F"/>
    <w:rsid w:val="28AD68A6"/>
    <w:rsid w:val="28FD2343"/>
    <w:rsid w:val="294C4FC0"/>
    <w:rsid w:val="2951770B"/>
    <w:rsid w:val="2966606C"/>
    <w:rsid w:val="29AB161B"/>
    <w:rsid w:val="29EE0C85"/>
    <w:rsid w:val="2A103FC9"/>
    <w:rsid w:val="2A1518E5"/>
    <w:rsid w:val="2A1C614E"/>
    <w:rsid w:val="2A2D2577"/>
    <w:rsid w:val="2A4F20E9"/>
    <w:rsid w:val="2A6A4DC2"/>
    <w:rsid w:val="2A98225A"/>
    <w:rsid w:val="2AA86527"/>
    <w:rsid w:val="2ABD0D0E"/>
    <w:rsid w:val="2ADD6CC3"/>
    <w:rsid w:val="2AF108AF"/>
    <w:rsid w:val="2B683E59"/>
    <w:rsid w:val="2B7945EE"/>
    <w:rsid w:val="2B9E1863"/>
    <w:rsid w:val="2BAF470C"/>
    <w:rsid w:val="2BD71811"/>
    <w:rsid w:val="2C027507"/>
    <w:rsid w:val="2C061A8A"/>
    <w:rsid w:val="2C254FF4"/>
    <w:rsid w:val="2C4173AA"/>
    <w:rsid w:val="2C495748"/>
    <w:rsid w:val="2C6F2E45"/>
    <w:rsid w:val="2C9D7A88"/>
    <w:rsid w:val="2CAE70C7"/>
    <w:rsid w:val="2CBB69AB"/>
    <w:rsid w:val="2CF5409D"/>
    <w:rsid w:val="2D066558"/>
    <w:rsid w:val="2D114EFE"/>
    <w:rsid w:val="2D1532C9"/>
    <w:rsid w:val="2D2F443B"/>
    <w:rsid w:val="2D337542"/>
    <w:rsid w:val="2D403215"/>
    <w:rsid w:val="2D917A97"/>
    <w:rsid w:val="2DA31A64"/>
    <w:rsid w:val="2DA35D4F"/>
    <w:rsid w:val="2DA67DB4"/>
    <w:rsid w:val="2DB2394B"/>
    <w:rsid w:val="2DC96516"/>
    <w:rsid w:val="2DD1047F"/>
    <w:rsid w:val="2E436EC5"/>
    <w:rsid w:val="2E4C17F9"/>
    <w:rsid w:val="2E5560F3"/>
    <w:rsid w:val="2E751460"/>
    <w:rsid w:val="2E855A0B"/>
    <w:rsid w:val="2EA73233"/>
    <w:rsid w:val="2EEF1766"/>
    <w:rsid w:val="2EF572F0"/>
    <w:rsid w:val="2F1153D2"/>
    <w:rsid w:val="2F28110E"/>
    <w:rsid w:val="2F447069"/>
    <w:rsid w:val="2F470C56"/>
    <w:rsid w:val="2F822718"/>
    <w:rsid w:val="2F910EF5"/>
    <w:rsid w:val="2F9B4E6C"/>
    <w:rsid w:val="2FB31DB8"/>
    <w:rsid w:val="2FED35B6"/>
    <w:rsid w:val="2FF3403E"/>
    <w:rsid w:val="30130DD3"/>
    <w:rsid w:val="302F4D88"/>
    <w:rsid w:val="303834C6"/>
    <w:rsid w:val="30421A0A"/>
    <w:rsid w:val="305F242C"/>
    <w:rsid w:val="308F2D66"/>
    <w:rsid w:val="30992979"/>
    <w:rsid w:val="30A37466"/>
    <w:rsid w:val="30B95E5E"/>
    <w:rsid w:val="30BC17A8"/>
    <w:rsid w:val="30BD14ED"/>
    <w:rsid w:val="30E35750"/>
    <w:rsid w:val="30FD3F25"/>
    <w:rsid w:val="310838E3"/>
    <w:rsid w:val="31085103"/>
    <w:rsid w:val="31183DD9"/>
    <w:rsid w:val="31251733"/>
    <w:rsid w:val="313644FE"/>
    <w:rsid w:val="31364C9A"/>
    <w:rsid w:val="316F6D2C"/>
    <w:rsid w:val="31760384"/>
    <w:rsid w:val="31973EAC"/>
    <w:rsid w:val="31AE5902"/>
    <w:rsid w:val="31C82565"/>
    <w:rsid w:val="31D2279D"/>
    <w:rsid w:val="31D22B03"/>
    <w:rsid w:val="31E01632"/>
    <w:rsid w:val="31E06A33"/>
    <w:rsid w:val="32116CCB"/>
    <w:rsid w:val="323B16F0"/>
    <w:rsid w:val="328535B5"/>
    <w:rsid w:val="32AB6865"/>
    <w:rsid w:val="32CA293A"/>
    <w:rsid w:val="3325639A"/>
    <w:rsid w:val="333246CB"/>
    <w:rsid w:val="33354351"/>
    <w:rsid w:val="333E50DF"/>
    <w:rsid w:val="334A47E0"/>
    <w:rsid w:val="33524882"/>
    <w:rsid w:val="33551360"/>
    <w:rsid w:val="335A67A7"/>
    <w:rsid w:val="33B43B72"/>
    <w:rsid w:val="33B949E2"/>
    <w:rsid w:val="33C624CE"/>
    <w:rsid w:val="33E34146"/>
    <w:rsid w:val="33EB6A1E"/>
    <w:rsid w:val="34225171"/>
    <w:rsid w:val="345929DF"/>
    <w:rsid w:val="347B317D"/>
    <w:rsid w:val="3485189C"/>
    <w:rsid w:val="34960BC3"/>
    <w:rsid w:val="35531AEE"/>
    <w:rsid w:val="356A4C09"/>
    <w:rsid w:val="3596121B"/>
    <w:rsid w:val="35A40F77"/>
    <w:rsid w:val="35AF3993"/>
    <w:rsid w:val="35C548D9"/>
    <w:rsid w:val="36061118"/>
    <w:rsid w:val="3627494C"/>
    <w:rsid w:val="36445F41"/>
    <w:rsid w:val="364A0CD0"/>
    <w:rsid w:val="36666DF7"/>
    <w:rsid w:val="366B0BED"/>
    <w:rsid w:val="36985373"/>
    <w:rsid w:val="36D00B96"/>
    <w:rsid w:val="370719E4"/>
    <w:rsid w:val="373E7920"/>
    <w:rsid w:val="374F06D8"/>
    <w:rsid w:val="37593C3E"/>
    <w:rsid w:val="37604CFE"/>
    <w:rsid w:val="3762643C"/>
    <w:rsid w:val="3767181C"/>
    <w:rsid w:val="37A65CF7"/>
    <w:rsid w:val="37D1344F"/>
    <w:rsid w:val="37DE6558"/>
    <w:rsid w:val="37E25CC5"/>
    <w:rsid w:val="388D7263"/>
    <w:rsid w:val="38CD7AF7"/>
    <w:rsid w:val="392130A8"/>
    <w:rsid w:val="393B737D"/>
    <w:rsid w:val="393F4E68"/>
    <w:rsid w:val="394A18CF"/>
    <w:rsid w:val="394B35CE"/>
    <w:rsid w:val="39790D7F"/>
    <w:rsid w:val="39801508"/>
    <w:rsid w:val="39F3444A"/>
    <w:rsid w:val="3A142E3D"/>
    <w:rsid w:val="3A1C6F02"/>
    <w:rsid w:val="3A1F3EC9"/>
    <w:rsid w:val="3A3047ED"/>
    <w:rsid w:val="3A4C3377"/>
    <w:rsid w:val="3A743535"/>
    <w:rsid w:val="3A8D650C"/>
    <w:rsid w:val="3ACE2F0A"/>
    <w:rsid w:val="3AE2054D"/>
    <w:rsid w:val="3AF82BCE"/>
    <w:rsid w:val="3AF96EA4"/>
    <w:rsid w:val="3B0D1338"/>
    <w:rsid w:val="3B185448"/>
    <w:rsid w:val="3B6338BD"/>
    <w:rsid w:val="3BB04970"/>
    <w:rsid w:val="3BC33396"/>
    <w:rsid w:val="3BE46471"/>
    <w:rsid w:val="3C0F48CD"/>
    <w:rsid w:val="3C2C4174"/>
    <w:rsid w:val="3C3A7C45"/>
    <w:rsid w:val="3C7C61DE"/>
    <w:rsid w:val="3C7D2DEA"/>
    <w:rsid w:val="3CEA6618"/>
    <w:rsid w:val="3D134D89"/>
    <w:rsid w:val="3D2D3D73"/>
    <w:rsid w:val="3D4002DC"/>
    <w:rsid w:val="3D4564C5"/>
    <w:rsid w:val="3D580CD3"/>
    <w:rsid w:val="3DB84C1D"/>
    <w:rsid w:val="3DC512DB"/>
    <w:rsid w:val="3DD40438"/>
    <w:rsid w:val="3DF379DA"/>
    <w:rsid w:val="3E0469E1"/>
    <w:rsid w:val="3E3603CE"/>
    <w:rsid w:val="3E3A6E05"/>
    <w:rsid w:val="3E465940"/>
    <w:rsid w:val="3E5F2CD4"/>
    <w:rsid w:val="3E6263F8"/>
    <w:rsid w:val="3E641004"/>
    <w:rsid w:val="3EE1203D"/>
    <w:rsid w:val="3F017B65"/>
    <w:rsid w:val="3F0F2505"/>
    <w:rsid w:val="3F173891"/>
    <w:rsid w:val="3F353DAF"/>
    <w:rsid w:val="3F760FC1"/>
    <w:rsid w:val="3FBE1415"/>
    <w:rsid w:val="3FF7177D"/>
    <w:rsid w:val="400F5CEC"/>
    <w:rsid w:val="40362267"/>
    <w:rsid w:val="405026D0"/>
    <w:rsid w:val="40B20C0D"/>
    <w:rsid w:val="40C16A0C"/>
    <w:rsid w:val="40E7188F"/>
    <w:rsid w:val="40F5265C"/>
    <w:rsid w:val="40F70EE2"/>
    <w:rsid w:val="4104333F"/>
    <w:rsid w:val="41821500"/>
    <w:rsid w:val="41A62F72"/>
    <w:rsid w:val="41AC630A"/>
    <w:rsid w:val="41B27002"/>
    <w:rsid w:val="41EB221D"/>
    <w:rsid w:val="41EC4F33"/>
    <w:rsid w:val="41FA5C40"/>
    <w:rsid w:val="41FC4E03"/>
    <w:rsid w:val="42002D49"/>
    <w:rsid w:val="420231C1"/>
    <w:rsid w:val="420B42F8"/>
    <w:rsid w:val="427A2FC5"/>
    <w:rsid w:val="428C7A3E"/>
    <w:rsid w:val="428D572A"/>
    <w:rsid w:val="42BC3DE7"/>
    <w:rsid w:val="42D339AB"/>
    <w:rsid w:val="42F03636"/>
    <w:rsid w:val="42FC510A"/>
    <w:rsid w:val="432462E8"/>
    <w:rsid w:val="432A0A75"/>
    <w:rsid w:val="432D33F6"/>
    <w:rsid w:val="433F7493"/>
    <w:rsid w:val="434F70A7"/>
    <w:rsid w:val="435969FE"/>
    <w:rsid w:val="436B3B76"/>
    <w:rsid w:val="43954C9D"/>
    <w:rsid w:val="43CC632D"/>
    <w:rsid w:val="43EE06FE"/>
    <w:rsid w:val="43EF31AB"/>
    <w:rsid w:val="440C1CF3"/>
    <w:rsid w:val="444A0E91"/>
    <w:rsid w:val="444C2380"/>
    <w:rsid w:val="445717B6"/>
    <w:rsid w:val="4462397E"/>
    <w:rsid w:val="44677827"/>
    <w:rsid w:val="44680C55"/>
    <w:rsid w:val="448564BF"/>
    <w:rsid w:val="44A11B72"/>
    <w:rsid w:val="44B22BBD"/>
    <w:rsid w:val="44BF6582"/>
    <w:rsid w:val="453D3084"/>
    <w:rsid w:val="45625B27"/>
    <w:rsid w:val="45715948"/>
    <w:rsid w:val="457333FE"/>
    <w:rsid w:val="459D619A"/>
    <w:rsid w:val="45B27617"/>
    <w:rsid w:val="46070178"/>
    <w:rsid w:val="46233689"/>
    <w:rsid w:val="46543D31"/>
    <w:rsid w:val="46712F22"/>
    <w:rsid w:val="468342D4"/>
    <w:rsid w:val="46E5139A"/>
    <w:rsid w:val="471E77D3"/>
    <w:rsid w:val="475A091E"/>
    <w:rsid w:val="476C5299"/>
    <w:rsid w:val="478D20A7"/>
    <w:rsid w:val="478E4B63"/>
    <w:rsid w:val="47C270A5"/>
    <w:rsid w:val="47CD03BD"/>
    <w:rsid w:val="47FE7781"/>
    <w:rsid w:val="482B3585"/>
    <w:rsid w:val="485556B0"/>
    <w:rsid w:val="48840FF6"/>
    <w:rsid w:val="48B11BEC"/>
    <w:rsid w:val="48C46A21"/>
    <w:rsid w:val="490F2213"/>
    <w:rsid w:val="49164762"/>
    <w:rsid w:val="491B6536"/>
    <w:rsid w:val="49423621"/>
    <w:rsid w:val="4974660C"/>
    <w:rsid w:val="497B4551"/>
    <w:rsid w:val="49A20AAC"/>
    <w:rsid w:val="49CA24F2"/>
    <w:rsid w:val="49F02962"/>
    <w:rsid w:val="4A192052"/>
    <w:rsid w:val="4A3152EC"/>
    <w:rsid w:val="4A4D17A3"/>
    <w:rsid w:val="4A5316FA"/>
    <w:rsid w:val="4A5E263B"/>
    <w:rsid w:val="4A804D5B"/>
    <w:rsid w:val="4A8207B8"/>
    <w:rsid w:val="4A9B1815"/>
    <w:rsid w:val="4ABB34A7"/>
    <w:rsid w:val="4AC16AF2"/>
    <w:rsid w:val="4AC45DF4"/>
    <w:rsid w:val="4ADD04D3"/>
    <w:rsid w:val="4AE256BD"/>
    <w:rsid w:val="4B476B5A"/>
    <w:rsid w:val="4B4F19F9"/>
    <w:rsid w:val="4B606703"/>
    <w:rsid w:val="4B64712E"/>
    <w:rsid w:val="4BF93FEA"/>
    <w:rsid w:val="4C274222"/>
    <w:rsid w:val="4C8C10DD"/>
    <w:rsid w:val="4C8D1494"/>
    <w:rsid w:val="4CAA5D5A"/>
    <w:rsid w:val="4CAB61F0"/>
    <w:rsid w:val="4CC500BB"/>
    <w:rsid w:val="4D012AD7"/>
    <w:rsid w:val="4D1D4633"/>
    <w:rsid w:val="4D5A157F"/>
    <w:rsid w:val="4D6246D4"/>
    <w:rsid w:val="4D674DDF"/>
    <w:rsid w:val="4D685BC6"/>
    <w:rsid w:val="4D766B5F"/>
    <w:rsid w:val="4D8C3D28"/>
    <w:rsid w:val="4D8F1BC0"/>
    <w:rsid w:val="4D9B6DCA"/>
    <w:rsid w:val="4DA1079D"/>
    <w:rsid w:val="4DD17186"/>
    <w:rsid w:val="4DE33123"/>
    <w:rsid w:val="4E135BAC"/>
    <w:rsid w:val="4E395791"/>
    <w:rsid w:val="4EA55D23"/>
    <w:rsid w:val="4EC03195"/>
    <w:rsid w:val="4EE92C62"/>
    <w:rsid w:val="4F0D1F10"/>
    <w:rsid w:val="4F103160"/>
    <w:rsid w:val="4F242B7A"/>
    <w:rsid w:val="4F622DCA"/>
    <w:rsid w:val="4F690C4F"/>
    <w:rsid w:val="4FA97439"/>
    <w:rsid w:val="4FBD0B42"/>
    <w:rsid w:val="4FCB05A2"/>
    <w:rsid w:val="4FCF71C4"/>
    <w:rsid w:val="503B6E73"/>
    <w:rsid w:val="5058095B"/>
    <w:rsid w:val="50BC2D27"/>
    <w:rsid w:val="50C443A2"/>
    <w:rsid w:val="50CD287A"/>
    <w:rsid w:val="50D46963"/>
    <w:rsid w:val="50E6579F"/>
    <w:rsid w:val="50ED6A21"/>
    <w:rsid w:val="50F10B86"/>
    <w:rsid w:val="50F4701D"/>
    <w:rsid w:val="51010B75"/>
    <w:rsid w:val="510D1423"/>
    <w:rsid w:val="51336917"/>
    <w:rsid w:val="513455F4"/>
    <w:rsid w:val="514F47D8"/>
    <w:rsid w:val="5175288D"/>
    <w:rsid w:val="518C2846"/>
    <w:rsid w:val="518E4C5A"/>
    <w:rsid w:val="51A27707"/>
    <w:rsid w:val="51B925B1"/>
    <w:rsid w:val="51DD542F"/>
    <w:rsid w:val="520D6E62"/>
    <w:rsid w:val="52314495"/>
    <w:rsid w:val="524C6270"/>
    <w:rsid w:val="525C359B"/>
    <w:rsid w:val="526913F1"/>
    <w:rsid w:val="5271771B"/>
    <w:rsid w:val="52A34720"/>
    <w:rsid w:val="52DC789E"/>
    <w:rsid w:val="52EF0780"/>
    <w:rsid w:val="52F14A5D"/>
    <w:rsid w:val="52FF5623"/>
    <w:rsid w:val="534B6026"/>
    <w:rsid w:val="536359FF"/>
    <w:rsid w:val="536D3AF8"/>
    <w:rsid w:val="537831EB"/>
    <w:rsid w:val="53EA400D"/>
    <w:rsid w:val="53ED1942"/>
    <w:rsid w:val="541C4AF9"/>
    <w:rsid w:val="54304D53"/>
    <w:rsid w:val="54565F2D"/>
    <w:rsid w:val="548517FD"/>
    <w:rsid w:val="54877132"/>
    <w:rsid w:val="549D3233"/>
    <w:rsid w:val="54A0357C"/>
    <w:rsid w:val="54AA03A4"/>
    <w:rsid w:val="54EE3CD0"/>
    <w:rsid w:val="551037EE"/>
    <w:rsid w:val="55217344"/>
    <w:rsid w:val="55221542"/>
    <w:rsid w:val="55343840"/>
    <w:rsid w:val="553D0B8D"/>
    <w:rsid w:val="55634593"/>
    <w:rsid w:val="55A42596"/>
    <w:rsid w:val="55B14514"/>
    <w:rsid w:val="55C319F0"/>
    <w:rsid w:val="55D03D87"/>
    <w:rsid w:val="560E5E35"/>
    <w:rsid w:val="563422B1"/>
    <w:rsid w:val="56465830"/>
    <w:rsid w:val="56561C8F"/>
    <w:rsid w:val="56575586"/>
    <w:rsid w:val="568658C8"/>
    <w:rsid w:val="56B573D5"/>
    <w:rsid w:val="56C15815"/>
    <w:rsid w:val="56CE3A09"/>
    <w:rsid w:val="56D86C98"/>
    <w:rsid w:val="56FB5A0B"/>
    <w:rsid w:val="57173D46"/>
    <w:rsid w:val="57213A74"/>
    <w:rsid w:val="57260873"/>
    <w:rsid w:val="5732264F"/>
    <w:rsid w:val="57324F60"/>
    <w:rsid w:val="57333BBB"/>
    <w:rsid w:val="574E034B"/>
    <w:rsid w:val="57575155"/>
    <w:rsid w:val="57615DE8"/>
    <w:rsid w:val="57662C3C"/>
    <w:rsid w:val="57BB2CB5"/>
    <w:rsid w:val="57D8190D"/>
    <w:rsid w:val="57EA099B"/>
    <w:rsid w:val="58017911"/>
    <w:rsid w:val="58080F38"/>
    <w:rsid w:val="584660DE"/>
    <w:rsid w:val="5860639F"/>
    <w:rsid w:val="589630C1"/>
    <w:rsid w:val="58BB4635"/>
    <w:rsid w:val="58D01947"/>
    <w:rsid w:val="58EA391B"/>
    <w:rsid w:val="58EA655D"/>
    <w:rsid w:val="590B5715"/>
    <w:rsid w:val="591F027D"/>
    <w:rsid w:val="59344C84"/>
    <w:rsid w:val="59411504"/>
    <w:rsid w:val="59771A9C"/>
    <w:rsid w:val="59B72474"/>
    <w:rsid w:val="5A1A6890"/>
    <w:rsid w:val="5A315018"/>
    <w:rsid w:val="5A5E664F"/>
    <w:rsid w:val="5A626DA8"/>
    <w:rsid w:val="5A644622"/>
    <w:rsid w:val="5A8E37B2"/>
    <w:rsid w:val="5AD42732"/>
    <w:rsid w:val="5B2708E6"/>
    <w:rsid w:val="5B2B5F06"/>
    <w:rsid w:val="5B3B181A"/>
    <w:rsid w:val="5B627952"/>
    <w:rsid w:val="5B685414"/>
    <w:rsid w:val="5B805B33"/>
    <w:rsid w:val="5B8A7E94"/>
    <w:rsid w:val="5B981AF1"/>
    <w:rsid w:val="5BCF03D5"/>
    <w:rsid w:val="5C074D2E"/>
    <w:rsid w:val="5C0B5FF7"/>
    <w:rsid w:val="5C215FFF"/>
    <w:rsid w:val="5C373D86"/>
    <w:rsid w:val="5C43006E"/>
    <w:rsid w:val="5C51033F"/>
    <w:rsid w:val="5C5B757A"/>
    <w:rsid w:val="5C691785"/>
    <w:rsid w:val="5C926CFE"/>
    <w:rsid w:val="5C933DF3"/>
    <w:rsid w:val="5CB31632"/>
    <w:rsid w:val="5CC8425F"/>
    <w:rsid w:val="5CD05FD4"/>
    <w:rsid w:val="5CDE211A"/>
    <w:rsid w:val="5D0E4FD2"/>
    <w:rsid w:val="5D213BB9"/>
    <w:rsid w:val="5D286635"/>
    <w:rsid w:val="5D560FD4"/>
    <w:rsid w:val="5D5D1F85"/>
    <w:rsid w:val="5D717243"/>
    <w:rsid w:val="5DFA216B"/>
    <w:rsid w:val="5DFE60A7"/>
    <w:rsid w:val="5E014C47"/>
    <w:rsid w:val="5E29009F"/>
    <w:rsid w:val="5E5806B6"/>
    <w:rsid w:val="5E69305D"/>
    <w:rsid w:val="5E71750C"/>
    <w:rsid w:val="5E8F3DCD"/>
    <w:rsid w:val="5EA262CA"/>
    <w:rsid w:val="5EB75F6F"/>
    <w:rsid w:val="5EC76D2E"/>
    <w:rsid w:val="5EEC306E"/>
    <w:rsid w:val="5F217958"/>
    <w:rsid w:val="5F234D31"/>
    <w:rsid w:val="5F5B769A"/>
    <w:rsid w:val="5F6A42CE"/>
    <w:rsid w:val="5F6F0930"/>
    <w:rsid w:val="5F79549A"/>
    <w:rsid w:val="5FA11470"/>
    <w:rsid w:val="60193B96"/>
    <w:rsid w:val="602C507A"/>
    <w:rsid w:val="602C5D99"/>
    <w:rsid w:val="604F55D4"/>
    <w:rsid w:val="60587FD5"/>
    <w:rsid w:val="60606DC0"/>
    <w:rsid w:val="6068456E"/>
    <w:rsid w:val="60746453"/>
    <w:rsid w:val="608C38D0"/>
    <w:rsid w:val="60981097"/>
    <w:rsid w:val="60C035C6"/>
    <w:rsid w:val="60F84F80"/>
    <w:rsid w:val="60FD66E0"/>
    <w:rsid w:val="6106020C"/>
    <w:rsid w:val="612311F0"/>
    <w:rsid w:val="615F3904"/>
    <w:rsid w:val="61605B73"/>
    <w:rsid w:val="617F7D75"/>
    <w:rsid w:val="61B42971"/>
    <w:rsid w:val="61D32E65"/>
    <w:rsid w:val="61DF14CA"/>
    <w:rsid w:val="62013250"/>
    <w:rsid w:val="625C5A7F"/>
    <w:rsid w:val="626C7D42"/>
    <w:rsid w:val="62B37A97"/>
    <w:rsid w:val="62B8591B"/>
    <w:rsid w:val="62D7787E"/>
    <w:rsid w:val="62DE4237"/>
    <w:rsid w:val="632F2B4A"/>
    <w:rsid w:val="63305F37"/>
    <w:rsid w:val="633D40AE"/>
    <w:rsid w:val="63534CF8"/>
    <w:rsid w:val="637255F1"/>
    <w:rsid w:val="63737D29"/>
    <w:rsid w:val="63782C43"/>
    <w:rsid w:val="637F3971"/>
    <w:rsid w:val="638E4242"/>
    <w:rsid w:val="63974A0B"/>
    <w:rsid w:val="63A03E3D"/>
    <w:rsid w:val="63A81B5E"/>
    <w:rsid w:val="63E0624B"/>
    <w:rsid w:val="64210EE3"/>
    <w:rsid w:val="642E741B"/>
    <w:rsid w:val="64326207"/>
    <w:rsid w:val="64384611"/>
    <w:rsid w:val="64390B9E"/>
    <w:rsid w:val="646C0746"/>
    <w:rsid w:val="646F0081"/>
    <w:rsid w:val="647018BE"/>
    <w:rsid w:val="648C3A88"/>
    <w:rsid w:val="649E677D"/>
    <w:rsid w:val="64A97554"/>
    <w:rsid w:val="64C00EE1"/>
    <w:rsid w:val="64D857B8"/>
    <w:rsid w:val="64EB72B7"/>
    <w:rsid w:val="6505123F"/>
    <w:rsid w:val="650F138F"/>
    <w:rsid w:val="65256035"/>
    <w:rsid w:val="65616539"/>
    <w:rsid w:val="65783D0D"/>
    <w:rsid w:val="658457AD"/>
    <w:rsid w:val="658762D5"/>
    <w:rsid w:val="65962F62"/>
    <w:rsid w:val="659669C2"/>
    <w:rsid w:val="65AF10E4"/>
    <w:rsid w:val="65B768C2"/>
    <w:rsid w:val="65D345F2"/>
    <w:rsid w:val="65E70432"/>
    <w:rsid w:val="65EC4982"/>
    <w:rsid w:val="660343AB"/>
    <w:rsid w:val="6615503E"/>
    <w:rsid w:val="661F62C4"/>
    <w:rsid w:val="66277E58"/>
    <w:rsid w:val="663123A0"/>
    <w:rsid w:val="66560D6F"/>
    <w:rsid w:val="6668006D"/>
    <w:rsid w:val="666C1242"/>
    <w:rsid w:val="667C204B"/>
    <w:rsid w:val="6705602C"/>
    <w:rsid w:val="67083504"/>
    <w:rsid w:val="6730727A"/>
    <w:rsid w:val="67413F09"/>
    <w:rsid w:val="67537105"/>
    <w:rsid w:val="67567E53"/>
    <w:rsid w:val="677B663C"/>
    <w:rsid w:val="679B398C"/>
    <w:rsid w:val="67D17D8D"/>
    <w:rsid w:val="67EC5DAF"/>
    <w:rsid w:val="680D144A"/>
    <w:rsid w:val="683767F6"/>
    <w:rsid w:val="68512E75"/>
    <w:rsid w:val="68A222A3"/>
    <w:rsid w:val="68A30E2F"/>
    <w:rsid w:val="68AF5240"/>
    <w:rsid w:val="68B712EE"/>
    <w:rsid w:val="68DA16EE"/>
    <w:rsid w:val="68E52A10"/>
    <w:rsid w:val="69195B80"/>
    <w:rsid w:val="694205A1"/>
    <w:rsid w:val="69552A33"/>
    <w:rsid w:val="695553A8"/>
    <w:rsid w:val="69562710"/>
    <w:rsid w:val="69777710"/>
    <w:rsid w:val="69BD1BC3"/>
    <w:rsid w:val="69C95462"/>
    <w:rsid w:val="69D220C4"/>
    <w:rsid w:val="69D46CA6"/>
    <w:rsid w:val="69DF2D67"/>
    <w:rsid w:val="6A1B406A"/>
    <w:rsid w:val="6A1D7A7F"/>
    <w:rsid w:val="6A23075C"/>
    <w:rsid w:val="6A30594A"/>
    <w:rsid w:val="6A345154"/>
    <w:rsid w:val="6A683801"/>
    <w:rsid w:val="6AA048EB"/>
    <w:rsid w:val="6AD35138"/>
    <w:rsid w:val="6AF2735D"/>
    <w:rsid w:val="6B274441"/>
    <w:rsid w:val="6B7C4B59"/>
    <w:rsid w:val="6B9941CB"/>
    <w:rsid w:val="6BA51295"/>
    <w:rsid w:val="6BBA0F41"/>
    <w:rsid w:val="6BC94EF3"/>
    <w:rsid w:val="6BCF2121"/>
    <w:rsid w:val="6BCF3CB2"/>
    <w:rsid w:val="6BF77B2D"/>
    <w:rsid w:val="6C1B7C72"/>
    <w:rsid w:val="6C2C3998"/>
    <w:rsid w:val="6C3D5B6D"/>
    <w:rsid w:val="6C516934"/>
    <w:rsid w:val="6C7764E7"/>
    <w:rsid w:val="6C7A3CEB"/>
    <w:rsid w:val="6C936AD0"/>
    <w:rsid w:val="6C9D3B33"/>
    <w:rsid w:val="6CB03ED5"/>
    <w:rsid w:val="6D0A4E43"/>
    <w:rsid w:val="6D2E75B4"/>
    <w:rsid w:val="6D2E7661"/>
    <w:rsid w:val="6D337498"/>
    <w:rsid w:val="6D345798"/>
    <w:rsid w:val="6D5627F2"/>
    <w:rsid w:val="6D61510C"/>
    <w:rsid w:val="6D8A5905"/>
    <w:rsid w:val="6DA32FE3"/>
    <w:rsid w:val="6DCC559D"/>
    <w:rsid w:val="6DD01956"/>
    <w:rsid w:val="6DEB3720"/>
    <w:rsid w:val="6E0F0789"/>
    <w:rsid w:val="6E1D56BF"/>
    <w:rsid w:val="6E4D0235"/>
    <w:rsid w:val="6E7A0C78"/>
    <w:rsid w:val="6E8312F2"/>
    <w:rsid w:val="6EA959A9"/>
    <w:rsid w:val="6EBC04E7"/>
    <w:rsid w:val="6ED4090F"/>
    <w:rsid w:val="6F4D2CF1"/>
    <w:rsid w:val="6F4F4CEE"/>
    <w:rsid w:val="6F577FAF"/>
    <w:rsid w:val="6F6371A0"/>
    <w:rsid w:val="6F6A04F3"/>
    <w:rsid w:val="6FCF773E"/>
    <w:rsid w:val="6FFF5FD8"/>
    <w:rsid w:val="703904B0"/>
    <w:rsid w:val="70512DBE"/>
    <w:rsid w:val="7052725B"/>
    <w:rsid w:val="70572C87"/>
    <w:rsid w:val="706D4643"/>
    <w:rsid w:val="70700AD4"/>
    <w:rsid w:val="70755CE5"/>
    <w:rsid w:val="70B20884"/>
    <w:rsid w:val="70B30480"/>
    <w:rsid w:val="70BF10E4"/>
    <w:rsid w:val="70CC74C0"/>
    <w:rsid w:val="70D435F4"/>
    <w:rsid w:val="70E10516"/>
    <w:rsid w:val="70F83532"/>
    <w:rsid w:val="710B1196"/>
    <w:rsid w:val="71747A2F"/>
    <w:rsid w:val="71CF602A"/>
    <w:rsid w:val="71D06C6E"/>
    <w:rsid w:val="71D3669B"/>
    <w:rsid w:val="71E85E2F"/>
    <w:rsid w:val="71F72CA3"/>
    <w:rsid w:val="71FC227C"/>
    <w:rsid w:val="720706F1"/>
    <w:rsid w:val="727203F6"/>
    <w:rsid w:val="72794D21"/>
    <w:rsid w:val="72C85782"/>
    <w:rsid w:val="72D06FC5"/>
    <w:rsid w:val="733B3201"/>
    <w:rsid w:val="734148F4"/>
    <w:rsid w:val="73482F01"/>
    <w:rsid w:val="737214EC"/>
    <w:rsid w:val="738C4914"/>
    <w:rsid w:val="739F5EAD"/>
    <w:rsid w:val="73A16597"/>
    <w:rsid w:val="73B7067D"/>
    <w:rsid w:val="73C0337C"/>
    <w:rsid w:val="73CC2845"/>
    <w:rsid w:val="73ED6ACB"/>
    <w:rsid w:val="73F2020E"/>
    <w:rsid w:val="73F50E48"/>
    <w:rsid w:val="74152A06"/>
    <w:rsid w:val="747407A7"/>
    <w:rsid w:val="74757E21"/>
    <w:rsid w:val="74CA651C"/>
    <w:rsid w:val="74D26511"/>
    <w:rsid w:val="74E57939"/>
    <w:rsid w:val="74E85CDA"/>
    <w:rsid w:val="74ED3886"/>
    <w:rsid w:val="752148B4"/>
    <w:rsid w:val="75342A59"/>
    <w:rsid w:val="756C3E0B"/>
    <w:rsid w:val="7584300E"/>
    <w:rsid w:val="75843E96"/>
    <w:rsid w:val="75887AC5"/>
    <w:rsid w:val="758F31D3"/>
    <w:rsid w:val="758F489E"/>
    <w:rsid w:val="75910154"/>
    <w:rsid w:val="75A82484"/>
    <w:rsid w:val="75C068E7"/>
    <w:rsid w:val="75CD01C3"/>
    <w:rsid w:val="76032CEC"/>
    <w:rsid w:val="7639769E"/>
    <w:rsid w:val="763A0435"/>
    <w:rsid w:val="76EF0212"/>
    <w:rsid w:val="775646B2"/>
    <w:rsid w:val="7778741A"/>
    <w:rsid w:val="779053E6"/>
    <w:rsid w:val="77B54CAC"/>
    <w:rsid w:val="77DD37DE"/>
    <w:rsid w:val="77E304C0"/>
    <w:rsid w:val="77F07DC6"/>
    <w:rsid w:val="77FB48F8"/>
    <w:rsid w:val="7803632F"/>
    <w:rsid w:val="780B2FFC"/>
    <w:rsid w:val="78184026"/>
    <w:rsid w:val="782A2A72"/>
    <w:rsid w:val="78426A96"/>
    <w:rsid w:val="78480567"/>
    <w:rsid w:val="78635E95"/>
    <w:rsid w:val="78765391"/>
    <w:rsid w:val="787C20BC"/>
    <w:rsid w:val="78A27872"/>
    <w:rsid w:val="78B85C28"/>
    <w:rsid w:val="78BF7FA0"/>
    <w:rsid w:val="78CA7E90"/>
    <w:rsid w:val="78F53E60"/>
    <w:rsid w:val="79033868"/>
    <w:rsid w:val="79092B2C"/>
    <w:rsid w:val="79235EBD"/>
    <w:rsid w:val="792A286D"/>
    <w:rsid w:val="798230D7"/>
    <w:rsid w:val="79863CE0"/>
    <w:rsid w:val="79BE1E10"/>
    <w:rsid w:val="7A084DCD"/>
    <w:rsid w:val="7ABB78ED"/>
    <w:rsid w:val="7AD209EC"/>
    <w:rsid w:val="7AD51494"/>
    <w:rsid w:val="7AF94034"/>
    <w:rsid w:val="7B0D1F4C"/>
    <w:rsid w:val="7B1600CE"/>
    <w:rsid w:val="7B1A7A09"/>
    <w:rsid w:val="7B1F3735"/>
    <w:rsid w:val="7B4D7149"/>
    <w:rsid w:val="7B952A2F"/>
    <w:rsid w:val="7BAE5EB6"/>
    <w:rsid w:val="7BFF2D98"/>
    <w:rsid w:val="7C5026A8"/>
    <w:rsid w:val="7C895D33"/>
    <w:rsid w:val="7C927E46"/>
    <w:rsid w:val="7CAA3F35"/>
    <w:rsid w:val="7CDD182B"/>
    <w:rsid w:val="7D046D48"/>
    <w:rsid w:val="7D282404"/>
    <w:rsid w:val="7D2D3220"/>
    <w:rsid w:val="7D463090"/>
    <w:rsid w:val="7D531604"/>
    <w:rsid w:val="7D57186E"/>
    <w:rsid w:val="7D6221DD"/>
    <w:rsid w:val="7D76293F"/>
    <w:rsid w:val="7D7E4E07"/>
    <w:rsid w:val="7DBF50E1"/>
    <w:rsid w:val="7DC83F9B"/>
    <w:rsid w:val="7DCB7423"/>
    <w:rsid w:val="7E134BC1"/>
    <w:rsid w:val="7E16595A"/>
    <w:rsid w:val="7E2C7528"/>
    <w:rsid w:val="7E367960"/>
    <w:rsid w:val="7E4D3161"/>
    <w:rsid w:val="7E5653A1"/>
    <w:rsid w:val="7E680DC6"/>
    <w:rsid w:val="7E9147A2"/>
    <w:rsid w:val="7EAA0EDF"/>
    <w:rsid w:val="7EB14216"/>
    <w:rsid w:val="7EC71AEA"/>
    <w:rsid w:val="7EC90059"/>
    <w:rsid w:val="7EEB4096"/>
    <w:rsid w:val="7EEC550D"/>
    <w:rsid w:val="7F0811AC"/>
    <w:rsid w:val="7F0A59D7"/>
    <w:rsid w:val="7F2974E7"/>
    <w:rsid w:val="7F2F2FDC"/>
    <w:rsid w:val="7F3F5A2E"/>
    <w:rsid w:val="7F7606B6"/>
    <w:rsid w:val="7F87695F"/>
    <w:rsid w:val="7FB17096"/>
    <w:rsid w:val="7FB93C11"/>
    <w:rsid w:val="7FD11A2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pt" color="#000000" startarrow="block" endarrow="block"/>
    </o:shapedefaults>
    <o:shapelayout v:ext="edit">
      <o:idmap v:ext="edit" data="1,2,4,5"/>
      <o:rules v:ext="edit">
        <o:r id="V:Rule1" type="connector" idref="#自选图形 2700"/>
        <o:r id="V:Rule2" type="connector" idref="#自选图形 2700"/>
        <o:r id="V:Rule3" type="connector" idref="#自选图形 2700"/>
        <o:r id="V:Rule4" type="connector" idref="#自选图形 2700"/>
        <o:r id="V:Rule5" type="connector" idref="#自选图形 2700"/>
        <o:r id="V:Rule6" type="connector" idref="#自选图形 2700"/>
        <o:r id="V:Rule7" type="connector" idref="#自选图形 2700"/>
        <o:r id="V:Rule8" type="connector" idref="#自选图形 2700"/>
        <o:r id="V:Rule9" type="connector" idref="#自选图形 2700"/>
        <o:r id="V:Rule10" type="connector" idref="#自选图形 2700"/>
        <o:r id="V:Rule11" type="connector" idref="#自选图形 2700"/>
        <o:r id="V:Rule12" type="connector" idref="#自选图形 2700"/>
        <o:r id="V:Rule13" type="connector" idref="#_x0000_s2097"/>
        <o:r id="V:Rule14" type="connector" idref="#_x0000_s2099"/>
        <o:r id="V:Rule15" type="connector" idref="#自选图形 2700"/>
        <o:r id="V:Rule16" type="connector" idref="#自选图形 2700"/>
        <o:r id="V:Rule17" type="connector" idref="#_x0000_s598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Times New Roma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ind w:firstLine="510"/>
      <w:jc w:val="left"/>
      <w:outlineLvl w:val="0"/>
    </w:pPr>
    <w:rPr>
      <w:b/>
      <w:sz w:val="28"/>
      <w:szCs w:val="20"/>
    </w:rPr>
  </w:style>
  <w:style w:type="paragraph" w:styleId="3">
    <w:name w:val="heading 2"/>
    <w:basedOn w:val="1"/>
    <w:next w:val="1"/>
    <w:link w:val="52"/>
    <w:qFormat/>
    <w:uiPriority w:val="0"/>
    <w:pPr>
      <w:keepNext/>
      <w:keepLines/>
      <w:autoSpaceDE w:val="0"/>
      <w:autoSpaceDN w:val="0"/>
      <w:adjustRightInd w:val="0"/>
      <w:spacing w:before="120" w:after="120"/>
      <w:textAlignment w:val="baseline"/>
      <w:outlineLvl w:val="1"/>
    </w:pPr>
    <w:rPr>
      <w:rFonts w:ascii="宋体" w:hAnsi="Arial" w:eastAsia="楷体_GB2312"/>
      <w:b/>
      <w:kern w:val="24"/>
      <w:sz w:val="24"/>
      <w:szCs w:val="20"/>
    </w:rPr>
  </w:style>
  <w:style w:type="paragraph" w:styleId="4">
    <w:name w:val="heading 3"/>
    <w:basedOn w:val="1"/>
    <w:next w:val="1"/>
    <w:qFormat/>
    <w:uiPriority w:val="0"/>
    <w:pPr>
      <w:tabs>
        <w:tab w:val="left" w:pos="1260"/>
      </w:tabs>
      <w:autoSpaceDE w:val="0"/>
      <w:autoSpaceDN w:val="0"/>
      <w:adjustRightInd w:val="0"/>
      <w:spacing w:before="120" w:after="120"/>
      <w:ind w:left="1260" w:hanging="420"/>
      <w:textAlignment w:val="baseline"/>
      <w:outlineLvl w:val="2"/>
    </w:pPr>
    <w:rPr>
      <w:rFonts w:ascii="宋体" w:hAnsi="Impact" w:eastAsia="楷体_GB2312"/>
      <w:b/>
      <w:kern w:val="24"/>
      <w:sz w:val="24"/>
      <w:szCs w:val="20"/>
    </w:rPr>
  </w:style>
  <w:style w:type="paragraph" w:styleId="5">
    <w:name w:val="heading 4"/>
    <w:basedOn w:val="1"/>
    <w:next w:val="1"/>
    <w:qFormat/>
    <w:uiPriority w:val="0"/>
    <w:pPr>
      <w:numPr>
        <w:ilvl w:val="3"/>
        <w:numId w:val="1"/>
      </w:num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6">
    <w:name w:val="heading 5"/>
    <w:basedOn w:val="1"/>
    <w:next w:val="7"/>
    <w:qFormat/>
    <w:uiPriority w:val="0"/>
    <w:pPr>
      <w:keepNext/>
      <w:keepLines/>
      <w:numPr>
        <w:ilvl w:val="4"/>
        <w:numId w:val="1"/>
      </w:numPr>
      <w:spacing w:before="60" w:after="60"/>
      <w:outlineLvl w:val="4"/>
    </w:pPr>
    <w:rPr>
      <w:rFonts w:ascii="宋体" w:hAnsi="Impact" w:eastAsia="楷体_GB2312"/>
      <w:b/>
      <w:sz w:val="24"/>
      <w:szCs w:val="20"/>
    </w:rPr>
  </w:style>
  <w:style w:type="paragraph" w:styleId="8">
    <w:name w:val="heading 6"/>
    <w:basedOn w:val="1"/>
    <w:next w:val="1"/>
    <w:qFormat/>
    <w:uiPriority w:val="0"/>
    <w:pPr>
      <w:keepNext/>
      <w:keepLines/>
      <w:numPr>
        <w:ilvl w:val="5"/>
        <w:numId w:val="1"/>
      </w:numPr>
      <w:autoSpaceDE w:val="0"/>
      <w:autoSpaceDN w:val="0"/>
      <w:adjustRightInd w:val="0"/>
      <w:spacing w:before="120" w:after="64" w:line="319" w:lineRule="auto"/>
      <w:textAlignment w:val="baseline"/>
      <w:outlineLvl w:val="5"/>
    </w:pPr>
    <w:rPr>
      <w:rFonts w:ascii="Arial" w:hAnsi="Arial" w:eastAsia="楷体_GB2312"/>
      <w:b/>
      <w:kern w:val="24"/>
      <w:sz w:val="24"/>
      <w:szCs w:val="20"/>
    </w:rPr>
  </w:style>
  <w:style w:type="paragraph" w:styleId="9">
    <w:name w:val="heading 7"/>
    <w:basedOn w:val="1"/>
    <w:next w:val="1"/>
    <w:qFormat/>
    <w:uiPriority w:val="0"/>
    <w:pPr>
      <w:keepNext/>
      <w:keepLines/>
      <w:numPr>
        <w:ilvl w:val="6"/>
        <w:numId w:val="1"/>
      </w:numPr>
      <w:autoSpaceDE w:val="0"/>
      <w:autoSpaceDN w:val="0"/>
      <w:adjustRightInd w:val="0"/>
      <w:spacing w:before="240" w:after="64" w:line="320" w:lineRule="auto"/>
      <w:textAlignment w:val="baseline"/>
      <w:outlineLvl w:val="6"/>
    </w:pPr>
    <w:rPr>
      <w:rFonts w:ascii="宋体" w:hAnsi="Impact" w:eastAsia="楷体_GB2312"/>
      <w:b/>
      <w:kern w:val="24"/>
      <w:sz w:val="24"/>
      <w:szCs w:val="20"/>
    </w:rPr>
  </w:style>
  <w:style w:type="paragraph" w:styleId="10">
    <w:name w:val="heading 8"/>
    <w:basedOn w:val="1"/>
    <w:next w:val="1"/>
    <w:qFormat/>
    <w:uiPriority w:val="0"/>
    <w:pPr>
      <w:keepNext/>
      <w:keepLines/>
      <w:numPr>
        <w:ilvl w:val="7"/>
        <w:numId w:val="1"/>
      </w:numPr>
      <w:autoSpaceDE w:val="0"/>
      <w:autoSpaceDN w:val="0"/>
      <w:adjustRightInd w:val="0"/>
      <w:spacing w:before="240" w:after="64" w:line="320" w:lineRule="auto"/>
      <w:textAlignment w:val="baseline"/>
      <w:outlineLvl w:val="7"/>
    </w:pPr>
    <w:rPr>
      <w:rFonts w:ascii="Arial" w:hAnsi="Arial" w:eastAsia="黑体"/>
      <w:kern w:val="24"/>
      <w:sz w:val="24"/>
      <w:szCs w:val="20"/>
    </w:rPr>
  </w:style>
  <w:style w:type="paragraph" w:styleId="11">
    <w:name w:val="heading 9"/>
    <w:basedOn w:val="1"/>
    <w:next w:val="1"/>
    <w:qFormat/>
    <w:uiPriority w:val="0"/>
    <w:pPr>
      <w:keepNext/>
      <w:keepLines/>
      <w:numPr>
        <w:ilvl w:val="8"/>
        <w:numId w:val="1"/>
      </w:numPr>
      <w:autoSpaceDE w:val="0"/>
      <w:autoSpaceDN w:val="0"/>
      <w:adjustRightInd w:val="0"/>
      <w:spacing w:before="240" w:after="64" w:line="320" w:lineRule="auto"/>
      <w:textAlignment w:val="baseline"/>
      <w:outlineLvl w:val="8"/>
    </w:pPr>
    <w:rPr>
      <w:rFonts w:ascii="Arial" w:hAnsi="Arial" w:eastAsia="黑体"/>
      <w:kern w:val="24"/>
      <w:szCs w:val="20"/>
    </w:rPr>
  </w:style>
  <w:style w:type="character" w:default="1" w:styleId="42">
    <w:name w:val="Default Paragraph Font"/>
    <w:semiHidden/>
    <w:unhideWhenUsed/>
    <w:qFormat/>
    <w:uiPriority w:val="1"/>
  </w:style>
  <w:style w:type="table" w:default="1" w:styleId="40">
    <w:name w:val="Normal Table"/>
    <w:semiHidden/>
    <w:unhideWhenUsed/>
    <w:qFormat/>
    <w:uiPriority w:val="99"/>
    <w:tblPr>
      <w:tblCellMar>
        <w:top w:w="0" w:type="dxa"/>
        <w:left w:w="108" w:type="dxa"/>
        <w:bottom w:w="0" w:type="dxa"/>
        <w:right w:w="108" w:type="dxa"/>
      </w:tblCellMar>
    </w:tblPr>
  </w:style>
  <w:style w:type="paragraph" w:styleId="7">
    <w:name w:val="Normal Indent"/>
    <w:basedOn w:val="1"/>
    <w:link w:val="53"/>
    <w:qFormat/>
    <w:uiPriority w:val="0"/>
    <w:pPr>
      <w:ind w:firstLine="420"/>
    </w:pPr>
    <w:rPr>
      <w:szCs w:val="20"/>
    </w:rPr>
  </w:style>
  <w:style w:type="paragraph" w:styleId="12">
    <w:name w:val="List 3"/>
    <w:basedOn w:val="1"/>
    <w:qFormat/>
    <w:uiPriority w:val="0"/>
    <w:pPr>
      <w:ind w:left="100" w:leftChars="400" w:hanging="200" w:hangingChars="200"/>
    </w:pPr>
  </w:style>
  <w:style w:type="paragraph" w:styleId="13">
    <w:name w:val="Note Heading"/>
    <w:basedOn w:val="1"/>
    <w:next w:val="1"/>
    <w:qFormat/>
    <w:uiPriority w:val="0"/>
    <w:pPr>
      <w:jc w:val="center"/>
    </w:pPr>
    <w:rPr>
      <w:szCs w:val="20"/>
    </w:rPr>
  </w:style>
  <w:style w:type="paragraph" w:styleId="14">
    <w:name w:val="E-mail Signature"/>
    <w:basedOn w:val="1"/>
    <w:next w:val="15"/>
    <w:qFormat/>
    <w:uiPriority w:val="0"/>
    <w:pPr>
      <w:spacing w:line="460" w:lineRule="exact"/>
      <w:ind w:firstLine="200"/>
    </w:pPr>
    <w:rPr>
      <w:sz w:val="24"/>
    </w:rPr>
  </w:style>
  <w:style w:type="paragraph" w:customStyle="1" w:styleId="15">
    <w:name w:val="文章"/>
    <w:basedOn w:val="16"/>
    <w:next w:val="17"/>
    <w:qFormat/>
    <w:uiPriority w:val="0"/>
    <w:pPr>
      <w:widowControl/>
      <w:ind w:firstLine="480"/>
      <w:jc w:val="center"/>
    </w:pPr>
    <w:rPr>
      <w:sz w:val="26"/>
    </w:rPr>
  </w:style>
  <w:style w:type="paragraph" w:styleId="16">
    <w:name w:val="Body Text Indent"/>
    <w:basedOn w:val="1"/>
    <w:link w:val="125"/>
    <w:qFormat/>
    <w:uiPriority w:val="0"/>
    <w:pPr>
      <w:spacing w:line="300" w:lineRule="auto"/>
      <w:ind w:firstLine="454"/>
    </w:pPr>
    <w:rPr>
      <w:sz w:val="24"/>
    </w:rPr>
  </w:style>
  <w:style w:type="paragraph" w:styleId="17">
    <w:name w:val="List"/>
    <w:basedOn w:val="1"/>
    <w:next w:val="18"/>
    <w:qFormat/>
    <w:uiPriority w:val="0"/>
    <w:pPr>
      <w:ind w:left="200" w:hanging="200" w:hangingChars="200"/>
    </w:pPr>
    <w:rPr>
      <w:sz w:val="24"/>
      <w:szCs w:val="20"/>
    </w:rPr>
  </w:style>
  <w:style w:type="paragraph" w:styleId="18">
    <w:name w:val="List Bullet 2"/>
    <w:basedOn w:val="1"/>
    <w:next w:val="19"/>
    <w:qFormat/>
    <w:uiPriority w:val="0"/>
    <w:pPr>
      <w:numPr>
        <w:ilvl w:val="0"/>
        <w:numId w:val="2"/>
      </w:numPr>
    </w:pPr>
  </w:style>
  <w:style w:type="paragraph" w:customStyle="1" w:styleId="19">
    <w:name w:val="xl70"/>
    <w:basedOn w:val="1"/>
    <w:next w:val="20"/>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20">
    <w:name w:val="正文缩进1"/>
    <w:basedOn w:val="1"/>
    <w:next w:val="21"/>
    <w:qFormat/>
    <w:uiPriority w:val="0"/>
    <w:pPr>
      <w:spacing w:line="240" w:lineRule="auto"/>
      <w:ind w:firstLine="420" w:firstLineChars="0"/>
    </w:pPr>
    <w:rPr>
      <w:sz w:val="21"/>
      <w:szCs w:val="20"/>
    </w:rPr>
  </w:style>
  <w:style w:type="paragraph" w:customStyle="1" w:styleId="21">
    <w:name w:val="td1"/>
    <w:basedOn w:val="1"/>
    <w:next w:val="1"/>
    <w:qFormat/>
    <w:uiPriority w:val="0"/>
    <w:pPr>
      <w:widowControl/>
      <w:spacing w:before="280" w:after="280" w:line="300" w:lineRule="atLeast"/>
      <w:ind w:firstLine="200"/>
    </w:pPr>
    <w:rPr>
      <w:color w:val="000000"/>
      <w:sz w:val="18"/>
    </w:rPr>
  </w:style>
  <w:style w:type="paragraph" w:styleId="22">
    <w:name w:val="Document Map"/>
    <w:basedOn w:val="1"/>
    <w:semiHidden/>
    <w:qFormat/>
    <w:uiPriority w:val="0"/>
    <w:pPr>
      <w:shd w:val="clear" w:color="auto" w:fill="000080"/>
    </w:pPr>
  </w:style>
  <w:style w:type="paragraph" w:styleId="23">
    <w:name w:val="annotation text"/>
    <w:basedOn w:val="1"/>
    <w:link w:val="70"/>
    <w:qFormat/>
    <w:uiPriority w:val="0"/>
    <w:pPr>
      <w:jc w:val="left"/>
    </w:pPr>
    <w:rPr>
      <w:szCs w:val="20"/>
    </w:rPr>
  </w:style>
  <w:style w:type="paragraph" w:styleId="24">
    <w:name w:val="Body Text 3"/>
    <w:basedOn w:val="1"/>
    <w:qFormat/>
    <w:uiPriority w:val="0"/>
    <w:pPr>
      <w:spacing w:after="120"/>
    </w:pPr>
    <w:rPr>
      <w:sz w:val="16"/>
      <w:szCs w:val="16"/>
    </w:rPr>
  </w:style>
  <w:style w:type="paragraph" w:styleId="25">
    <w:name w:val="Body Text"/>
    <w:basedOn w:val="1"/>
    <w:link w:val="65"/>
    <w:qFormat/>
    <w:uiPriority w:val="0"/>
    <w:pPr>
      <w:spacing w:line="360" w:lineRule="auto"/>
    </w:pPr>
    <w:rPr>
      <w:b/>
      <w:bCs/>
      <w:sz w:val="32"/>
    </w:rPr>
  </w:style>
  <w:style w:type="paragraph" w:styleId="26">
    <w:name w:val="Block Text"/>
    <w:basedOn w:val="1"/>
    <w:qFormat/>
    <w:uiPriority w:val="0"/>
    <w:pPr>
      <w:spacing w:line="360" w:lineRule="auto"/>
      <w:ind w:left="39" w:leftChars="14" w:right="50" w:rightChars="18" w:firstLine="480" w:firstLineChars="200"/>
    </w:pPr>
    <w:rPr>
      <w:rFonts w:ascii="宋体" w:hAnsi="宋体"/>
      <w:sz w:val="24"/>
      <w:szCs w:val="20"/>
    </w:rPr>
  </w:style>
  <w:style w:type="paragraph" w:styleId="27">
    <w:name w:val="Plain Text"/>
    <w:basedOn w:val="1"/>
    <w:qFormat/>
    <w:uiPriority w:val="0"/>
    <w:rPr>
      <w:rFonts w:ascii="宋体" w:hAnsi="Courier New" w:cs="Courier New"/>
      <w:szCs w:val="21"/>
    </w:rPr>
  </w:style>
  <w:style w:type="paragraph" w:styleId="28">
    <w:name w:val="Date"/>
    <w:basedOn w:val="1"/>
    <w:next w:val="1"/>
    <w:qFormat/>
    <w:uiPriority w:val="0"/>
    <w:rPr>
      <w:sz w:val="24"/>
      <w:szCs w:val="20"/>
    </w:rPr>
  </w:style>
  <w:style w:type="paragraph" w:styleId="29">
    <w:name w:val="Body Text Indent 2"/>
    <w:basedOn w:val="1"/>
    <w:link w:val="62"/>
    <w:qFormat/>
    <w:uiPriority w:val="0"/>
    <w:pPr>
      <w:widowControl/>
      <w:ind w:firstLine="430"/>
      <w:jc w:val="left"/>
    </w:pPr>
    <w:rPr>
      <w:kern w:val="0"/>
      <w:sz w:val="24"/>
      <w:szCs w:val="20"/>
    </w:rPr>
  </w:style>
  <w:style w:type="paragraph" w:styleId="30">
    <w:name w:val="Balloon Text"/>
    <w:basedOn w:val="1"/>
    <w:link w:val="120"/>
    <w:qFormat/>
    <w:uiPriority w:val="0"/>
    <w:rPr>
      <w:sz w:val="18"/>
      <w:szCs w:val="18"/>
    </w:rPr>
  </w:style>
  <w:style w:type="paragraph" w:styleId="31">
    <w:name w:val="footer"/>
    <w:basedOn w:val="1"/>
    <w:link w:val="63"/>
    <w:qFormat/>
    <w:uiPriority w:val="0"/>
    <w:pPr>
      <w:widowControl/>
      <w:tabs>
        <w:tab w:val="center" w:pos="4153"/>
        <w:tab w:val="right" w:pos="8306"/>
      </w:tabs>
      <w:snapToGrid w:val="0"/>
      <w:jc w:val="left"/>
    </w:pPr>
    <w:rPr>
      <w:kern w:val="0"/>
      <w:sz w:val="18"/>
      <w:szCs w:val="20"/>
    </w:rPr>
  </w:style>
  <w:style w:type="paragraph" w:styleId="32">
    <w:name w:val="header"/>
    <w:basedOn w:val="1"/>
    <w:link w:val="145"/>
    <w:qFormat/>
    <w:uiPriority w:val="0"/>
    <w:pPr>
      <w:pBdr>
        <w:bottom w:val="single" w:color="auto" w:sz="6" w:space="1"/>
      </w:pBdr>
      <w:tabs>
        <w:tab w:val="center" w:pos="4153"/>
        <w:tab w:val="right" w:pos="8306"/>
      </w:tabs>
      <w:snapToGrid w:val="0"/>
      <w:jc w:val="center"/>
    </w:pPr>
    <w:rPr>
      <w:sz w:val="18"/>
      <w:szCs w:val="18"/>
    </w:rPr>
  </w:style>
  <w:style w:type="paragraph" w:styleId="33">
    <w:name w:val="Body Text Indent 3"/>
    <w:basedOn w:val="1"/>
    <w:link w:val="64"/>
    <w:qFormat/>
    <w:uiPriority w:val="0"/>
    <w:pPr>
      <w:spacing w:line="288" w:lineRule="auto"/>
      <w:ind w:firstLine="430"/>
    </w:pPr>
    <w:rPr>
      <w:sz w:val="24"/>
    </w:rPr>
  </w:style>
  <w:style w:type="paragraph" w:styleId="34">
    <w:name w:val="toc 2"/>
    <w:basedOn w:val="1"/>
    <w:next w:val="14"/>
    <w:qFormat/>
    <w:uiPriority w:val="0"/>
    <w:pPr>
      <w:ind w:left="210"/>
      <w:jc w:val="left"/>
    </w:pPr>
    <w:rPr>
      <w:rFonts w:cs="Calibri"/>
      <w:smallCaps/>
      <w:sz w:val="20"/>
      <w:szCs w:val="20"/>
    </w:rPr>
  </w:style>
  <w:style w:type="paragraph" w:styleId="35">
    <w:name w:val="Body Text 2"/>
    <w:basedOn w:val="1"/>
    <w:qFormat/>
    <w:uiPriority w:val="0"/>
    <w:pPr>
      <w:jc w:val="center"/>
    </w:pPr>
    <w:rPr>
      <w:szCs w:val="20"/>
    </w:rPr>
  </w:style>
  <w:style w:type="paragraph" w:styleId="3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s="Arial Unicode MS"/>
      <w:kern w:val="0"/>
      <w:sz w:val="20"/>
      <w:szCs w:val="20"/>
    </w:rPr>
  </w:style>
  <w:style w:type="paragraph" w:styleId="37">
    <w:name w:val="Normal (Web)"/>
    <w:basedOn w:val="1"/>
    <w:qFormat/>
    <w:uiPriority w:val="0"/>
    <w:pPr>
      <w:widowControl/>
      <w:spacing w:before="100" w:beforeAutospacing="1" w:after="100" w:afterAutospacing="1" w:line="270" w:lineRule="atLeast"/>
      <w:jc w:val="left"/>
    </w:pPr>
    <w:rPr>
      <w:rFonts w:ascii="宋体" w:hAnsi="宋体" w:cs="宋体"/>
      <w:kern w:val="0"/>
      <w:sz w:val="24"/>
    </w:rPr>
  </w:style>
  <w:style w:type="paragraph" w:styleId="38">
    <w:name w:val="Title"/>
    <w:basedOn w:val="1"/>
    <w:next w:val="1"/>
    <w:link w:val="97"/>
    <w:qFormat/>
    <w:uiPriority w:val="0"/>
    <w:pPr>
      <w:spacing w:before="240" w:after="60"/>
      <w:jc w:val="center"/>
      <w:outlineLvl w:val="0"/>
    </w:pPr>
    <w:rPr>
      <w:rFonts w:ascii="Cambria" w:hAnsi="Cambria"/>
      <w:b/>
      <w:bCs/>
      <w:sz w:val="32"/>
      <w:szCs w:val="32"/>
    </w:rPr>
  </w:style>
  <w:style w:type="paragraph" w:styleId="39">
    <w:name w:val="annotation subject"/>
    <w:basedOn w:val="23"/>
    <w:next w:val="23"/>
    <w:link w:val="100"/>
    <w:qFormat/>
    <w:uiPriority w:val="0"/>
    <w:rPr>
      <w:b/>
      <w:bCs/>
      <w:szCs w:val="24"/>
    </w:rPr>
  </w:style>
  <w:style w:type="table" w:styleId="41">
    <w:name w:val="Table Grid"/>
    <w:basedOn w:val="40"/>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qFormat/>
    <w:uiPriority w:val="22"/>
    <w:rPr>
      <w:b/>
      <w:bCs/>
    </w:rPr>
  </w:style>
  <w:style w:type="character" w:styleId="44">
    <w:name w:val="page number"/>
    <w:basedOn w:val="42"/>
    <w:qFormat/>
    <w:uiPriority w:val="0"/>
  </w:style>
  <w:style w:type="character" w:styleId="45">
    <w:name w:val="Hyperlink"/>
    <w:qFormat/>
    <w:uiPriority w:val="0"/>
    <w:rPr>
      <w:color w:val="136EC2"/>
      <w:u w:val="single"/>
    </w:rPr>
  </w:style>
  <w:style w:type="character" w:styleId="46">
    <w:name w:val="annotation reference"/>
    <w:qFormat/>
    <w:uiPriority w:val="0"/>
    <w:rPr>
      <w:sz w:val="21"/>
      <w:szCs w:val="21"/>
    </w:rPr>
  </w:style>
  <w:style w:type="paragraph" w:customStyle="1" w:styleId="47">
    <w:name w:val="Default"/>
    <w:basedOn w:val="48"/>
    <w:next w:val="49"/>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8">
    <w:name w:val="纯文本1"/>
    <w:basedOn w:val="1"/>
    <w:qFormat/>
    <w:uiPriority w:val="0"/>
    <w:pPr>
      <w:adjustRightInd w:val="0"/>
    </w:pPr>
    <w:rPr>
      <w:rFonts w:ascii="宋体" w:hAnsi="Courier New"/>
      <w:szCs w:val="20"/>
    </w:rPr>
  </w:style>
  <w:style w:type="paragraph" w:customStyle="1" w:styleId="49">
    <w:name w:val="样式35"/>
    <w:basedOn w:val="50"/>
    <w:next w:val="51"/>
    <w:qFormat/>
    <w:uiPriority w:val="0"/>
    <w:pPr>
      <w:spacing w:line="312" w:lineRule="auto"/>
      <w:ind w:firstLine="567"/>
    </w:pPr>
    <w:rPr>
      <w:rFonts w:ascii="宋体"/>
    </w:rPr>
  </w:style>
  <w:style w:type="paragraph" w:customStyle="1" w:styleId="50">
    <w:name w:val="表 内容"/>
    <w:basedOn w:val="1"/>
    <w:qFormat/>
    <w:uiPriority w:val="0"/>
    <w:pPr>
      <w:adjustRightInd w:val="0"/>
      <w:snapToGrid w:val="0"/>
      <w:spacing w:beforeLines="15" w:afterLines="15"/>
      <w:jc w:val="center"/>
    </w:pPr>
    <w:rPr>
      <w:rFonts w:ascii="Times New Roman" w:hAnsi="Times New Roman" w:eastAsia="宋体" w:cs="Times New Roman"/>
      <w:szCs w:val="21"/>
    </w:rPr>
  </w:style>
  <w:style w:type="paragraph" w:customStyle="1" w:styleId="51">
    <w:name w:val="font6"/>
    <w:basedOn w:val="1"/>
    <w:next w:val="34"/>
    <w:qFormat/>
    <w:uiPriority w:val="0"/>
    <w:pPr>
      <w:widowControl/>
      <w:spacing w:before="100" w:beforeAutospacing="1" w:after="100" w:afterAutospacing="1"/>
      <w:jc w:val="left"/>
    </w:pPr>
    <w:rPr>
      <w:rFonts w:ascii="宋体" w:hAnsi="宋体" w:cs="宋体"/>
      <w:kern w:val="0"/>
      <w:sz w:val="20"/>
      <w:szCs w:val="20"/>
    </w:rPr>
  </w:style>
  <w:style w:type="character" w:customStyle="1" w:styleId="52">
    <w:name w:val="标题 2 Char"/>
    <w:link w:val="3"/>
    <w:qFormat/>
    <w:uiPriority w:val="0"/>
    <w:rPr>
      <w:rFonts w:ascii="宋体" w:hAnsi="Arial" w:eastAsia="楷体_GB2312"/>
      <w:b/>
      <w:kern w:val="24"/>
      <w:sz w:val="24"/>
      <w:lang w:val="en-US" w:eastAsia="zh-CN" w:bidi="ar-SA"/>
    </w:rPr>
  </w:style>
  <w:style w:type="character" w:customStyle="1" w:styleId="53">
    <w:name w:val="正文缩进 Char1"/>
    <w:link w:val="7"/>
    <w:qFormat/>
    <w:uiPriority w:val="0"/>
    <w:rPr>
      <w:rFonts w:eastAsia="宋体"/>
      <w:kern w:val="2"/>
      <w:sz w:val="21"/>
      <w:lang w:val="en-US" w:eastAsia="zh-CN" w:bidi="ar-SA"/>
    </w:rPr>
  </w:style>
  <w:style w:type="paragraph" w:customStyle="1" w:styleId="54">
    <w:name w:val="正文 03"/>
    <w:basedOn w:val="1"/>
    <w:qFormat/>
    <w:uiPriority w:val="0"/>
    <w:pPr>
      <w:autoSpaceDE w:val="0"/>
      <w:autoSpaceDN w:val="0"/>
      <w:adjustRightInd w:val="0"/>
      <w:textAlignment w:val="baseline"/>
    </w:pPr>
    <w:rPr>
      <w:rFonts w:eastAsia="楷体_GB2312"/>
      <w:kern w:val="0"/>
      <w:sz w:val="24"/>
      <w:szCs w:val="20"/>
    </w:rPr>
  </w:style>
  <w:style w:type="paragraph" w:customStyle="1" w:styleId="55">
    <w:name w:val="表格1"/>
    <w:basedOn w:val="1"/>
    <w:next w:val="1"/>
    <w:link w:val="127"/>
    <w:qFormat/>
    <w:uiPriority w:val="0"/>
    <w:pPr>
      <w:topLinePunct/>
      <w:autoSpaceDE w:val="0"/>
      <w:autoSpaceDN w:val="0"/>
      <w:adjustRightInd w:val="0"/>
      <w:jc w:val="center"/>
      <w:textAlignment w:val="baseline"/>
    </w:pPr>
    <w:rPr>
      <w:rFonts w:ascii="宋体" w:hAnsi="Impact"/>
      <w:kern w:val="24"/>
      <w:sz w:val="28"/>
      <w:szCs w:val="20"/>
    </w:rPr>
  </w:style>
  <w:style w:type="paragraph" w:customStyle="1" w:styleId="56">
    <w:name w:val="表格2"/>
    <w:basedOn w:val="55"/>
    <w:next w:val="1"/>
    <w:qFormat/>
    <w:uiPriority w:val="0"/>
    <w:rPr>
      <w:position w:val="-28"/>
      <w:sz w:val="21"/>
    </w:rPr>
  </w:style>
  <w:style w:type="paragraph" w:customStyle="1" w:styleId="57">
    <w:name w:val="表格 32"/>
    <w:basedOn w:val="1"/>
    <w:link w:val="58"/>
    <w:qFormat/>
    <w:uiPriority w:val="0"/>
    <w:pPr>
      <w:autoSpaceDE w:val="0"/>
      <w:autoSpaceDN w:val="0"/>
      <w:adjustRightInd w:val="0"/>
      <w:jc w:val="center"/>
      <w:textAlignment w:val="baseline"/>
    </w:pPr>
    <w:rPr>
      <w:rFonts w:ascii="宋体" w:hAnsi="Impact"/>
      <w:kern w:val="24"/>
      <w:sz w:val="24"/>
      <w:szCs w:val="20"/>
    </w:rPr>
  </w:style>
  <w:style w:type="character" w:customStyle="1" w:styleId="58">
    <w:name w:val="表格 32 Char"/>
    <w:link w:val="57"/>
    <w:qFormat/>
    <w:uiPriority w:val="0"/>
    <w:rPr>
      <w:rFonts w:ascii="宋体" w:hAnsi="Impact" w:eastAsia="宋体"/>
      <w:kern w:val="24"/>
      <w:sz w:val="24"/>
      <w:lang w:val="en-US" w:eastAsia="zh-CN" w:bidi="ar-SA"/>
    </w:rPr>
  </w:style>
  <w:style w:type="paragraph" w:customStyle="1" w:styleId="59">
    <w:name w:val="正文 32"/>
    <w:basedOn w:val="1"/>
    <w:link w:val="60"/>
    <w:qFormat/>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60">
    <w:name w:val="正文 32 Char"/>
    <w:link w:val="59"/>
    <w:qFormat/>
    <w:uiPriority w:val="0"/>
    <w:rPr>
      <w:rFonts w:eastAsia="楷体_GB2312"/>
      <w:sz w:val="24"/>
      <w:lang w:val="en-US" w:eastAsia="zh-CN" w:bidi="ar-SA"/>
    </w:rPr>
  </w:style>
  <w:style w:type="paragraph" w:customStyle="1" w:styleId="61">
    <w:name w:val="表1表2"/>
    <w:basedOn w:val="1"/>
    <w:qFormat/>
    <w:uiPriority w:val="99"/>
    <w:pPr>
      <w:autoSpaceDE w:val="0"/>
      <w:autoSpaceDN w:val="0"/>
      <w:adjustRightInd w:val="0"/>
      <w:jc w:val="center"/>
      <w:textAlignment w:val="center"/>
    </w:pPr>
    <w:rPr>
      <w:rFonts w:eastAsia="仿宋体"/>
      <w:kern w:val="0"/>
      <w:sz w:val="24"/>
      <w:szCs w:val="20"/>
    </w:rPr>
  </w:style>
  <w:style w:type="character" w:customStyle="1" w:styleId="62">
    <w:name w:val="正文文本缩进 2 Char"/>
    <w:link w:val="29"/>
    <w:qFormat/>
    <w:uiPriority w:val="0"/>
    <w:rPr>
      <w:rFonts w:eastAsia="宋体"/>
      <w:sz w:val="24"/>
      <w:lang w:bidi="ar-SA"/>
    </w:rPr>
  </w:style>
  <w:style w:type="character" w:customStyle="1" w:styleId="63">
    <w:name w:val="页脚 Char"/>
    <w:link w:val="31"/>
    <w:qFormat/>
    <w:uiPriority w:val="0"/>
    <w:rPr>
      <w:rFonts w:eastAsia="宋体"/>
      <w:sz w:val="18"/>
      <w:lang w:val="en-US" w:eastAsia="zh-CN" w:bidi="ar-SA"/>
    </w:rPr>
  </w:style>
  <w:style w:type="character" w:customStyle="1" w:styleId="64">
    <w:name w:val="正文文本缩进 3 Char"/>
    <w:link w:val="33"/>
    <w:qFormat/>
    <w:uiPriority w:val="0"/>
    <w:rPr>
      <w:rFonts w:eastAsia="宋体"/>
      <w:kern w:val="2"/>
      <w:sz w:val="24"/>
      <w:szCs w:val="24"/>
      <w:lang w:bidi="ar-SA"/>
    </w:rPr>
  </w:style>
  <w:style w:type="character" w:customStyle="1" w:styleId="65">
    <w:name w:val="正文文本 Char1"/>
    <w:link w:val="25"/>
    <w:qFormat/>
    <w:uiPriority w:val="0"/>
    <w:rPr>
      <w:rFonts w:eastAsia="宋体"/>
      <w:b/>
      <w:bCs/>
      <w:kern w:val="2"/>
      <w:sz w:val="32"/>
      <w:szCs w:val="24"/>
      <w:lang w:val="en-US" w:eastAsia="zh-CN" w:bidi="ar-SA"/>
    </w:rPr>
  </w:style>
  <w:style w:type="paragraph" w:customStyle="1" w:styleId="66">
    <w:name w:val="表格"/>
    <w:next w:val="1"/>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paragraph" w:customStyle="1" w:styleId="67">
    <w:name w:val="表头"/>
    <w:basedOn w:val="12"/>
    <w:next w:val="66"/>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character" w:customStyle="1" w:styleId="68">
    <w:name w:val="p141"/>
    <w:qFormat/>
    <w:uiPriority w:val="0"/>
    <w:rPr>
      <w:color w:val="333333"/>
      <w:spacing w:val="330"/>
      <w:sz w:val="21"/>
      <w:szCs w:val="21"/>
    </w:rPr>
  </w:style>
  <w:style w:type="paragraph" w:customStyle="1" w:styleId="69">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character" w:customStyle="1" w:styleId="70">
    <w:name w:val="批注文字 Char"/>
    <w:link w:val="23"/>
    <w:qFormat/>
    <w:uiPriority w:val="0"/>
    <w:rPr>
      <w:rFonts w:eastAsia="宋体"/>
      <w:kern w:val="2"/>
      <w:sz w:val="21"/>
      <w:lang w:bidi="ar-SA"/>
    </w:rPr>
  </w:style>
  <w:style w:type="character" w:customStyle="1" w:styleId="71">
    <w:name w:val="font21"/>
    <w:qFormat/>
    <w:uiPriority w:val="0"/>
    <w:rPr>
      <w:rFonts w:hint="default" w:ascii="ˎ̥" w:hAnsi="ˎ̥"/>
      <w:color w:val="000000"/>
      <w:sz w:val="20"/>
      <w:szCs w:val="20"/>
      <w:u w:val="none"/>
    </w:rPr>
  </w:style>
  <w:style w:type="paragraph" w:customStyle="1" w:styleId="72">
    <w:name w:val="Char"/>
    <w:basedOn w:val="1"/>
    <w:qFormat/>
    <w:uiPriority w:val="0"/>
    <w:pPr>
      <w:snapToGrid w:val="0"/>
      <w:spacing w:line="360" w:lineRule="auto"/>
      <w:ind w:firstLine="529" w:firstLineChars="200"/>
    </w:pPr>
    <w:rPr>
      <w:rFonts w:ascii="宋体" w:hAnsi="宋体"/>
      <w:b/>
    </w:rPr>
  </w:style>
  <w:style w:type="paragraph" w:customStyle="1" w:styleId="73">
    <w:name w:val="报告表正文"/>
    <w:basedOn w:val="1"/>
    <w:link w:val="121"/>
    <w:qFormat/>
    <w:uiPriority w:val="0"/>
    <w:pPr>
      <w:adjustRightInd w:val="0"/>
      <w:spacing w:line="312" w:lineRule="auto"/>
      <w:ind w:left="113" w:right="113" w:firstLine="482"/>
      <w:jc w:val="left"/>
      <w:textAlignment w:val="baseline"/>
    </w:pPr>
    <w:rPr>
      <w:kern w:val="0"/>
      <w:sz w:val="24"/>
      <w:szCs w:val="20"/>
    </w:rPr>
  </w:style>
  <w:style w:type="paragraph" w:customStyle="1" w:styleId="74">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75">
    <w:name w:val="报告"/>
    <w:basedOn w:val="1"/>
    <w:link w:val="144"/>
    <w:qFormat/>
    <w:uiPriority w:val="0"/>
    <w:pPr>
      <w:overflowPunct w:val="0"/>
      <w:autoSpaceDE w:val="0"/>
      <w:autoSpaceDN w:val="0"/>
      <w:adjustRightInd w:val="0"/>
      <w:spacing w:beforeLines="30" w:afterLines="30" w:line="400" w:lineRule="atLeast"/>
      <w:ind w:left="200" w:leftChars="200" w:firstLine="200" w:firstLineChars="200"/>
      <w:textAlignment w:val="baseline"/>
    </w:pPr>
    <w:rPr>
      <w:kern w:val="0"/>
      <w:sz w:val="24"/>
      <w:szCs w:val="20"/>
    </w:rPr>
  </w:style>
  <w:style w:type="paragraph" w:customStyle="1" w:styleId="76">
    <w:name w:val="页面 7"/>
    <w:basedOn w:val="1"/>
    <w:qFormat/>
    <w:uiPriority w:val="0"/>
    <w:pPr>
      <w:autoSpaceDE w:val="0"/>
      <w:autoSpaceDN w:val="0"/>
      <w:adjustRightInd w:val="0"/>
      <w:spacing w:before="120" w:after="120"/>
      <w:jc w:val="center"/>
      <w:textAlignment w:val="baseline"/>
    </w:pPr>
    <w:rPr>
      <w:rFonts w:ascii="宋体" w:hAnsi="Impact"/>
      <w:kern w:val="24"/>
      <w:sz w:val="32"/>
      <w:szCs w:val="20"/>
    </w:rPr>
  </w:style>
  <w:style w:type="paragraph" w:customStyle="1" w:styleId="77">
    <w:name w:val="前言"/>
    <w:basedOn w:val="1"/>
    <w:qFormat/>
    <w:uiPriority w:val="0"/>
    <w:pPr>
      <w:pageBreakBefore/>
      <w:autoSpaceDE w:val="0"/>
      <w:autoSpaceDN w:val="0"/>
      <w:adjustRightInd w:val="0"/>
      <w:jc w:val="center"/>
      <w:textAlignment w:val="baseline"/>
    </w:pPr>
    <w:rPr>
      <w:rFonts w:ascii="黑体" w:hAnsi="Impact" w:eastAsia="黑体"/>
      <w:kern w:val="24"/>
      <w:sz w:val="32"/>
      <w:szCs w:val="20"/>
    </w:rPr>
  </w:style>
  <w:style w:type="paragraph" w:customStyle="1" w:styleId="78">
    <w:name w:val="正文 + 小四"/>
    <w:basedOn w:val="1"/>
    <w:link w:val="79"/>
    <w:qFormat/>
    <w:uiPriority w:val="0"/>
    <w:pPr>
      <w:ind w:firstLine="360" w:firstLineChars="150"/>
    </w:pPr>
    <w:rPr>
      <w:rFonts w:hAnsi="宋体"/>
      <w:sz w:val="24"/>
    </w:rPr>
  </w:style>
  <w:style w:type="character" w:customStyle="1" w:styleId="79">
    <w:name w:val="正文 + 小四 Char"/>
    <w:link w:val="78"/>
    <w:qFormat/>
    <w:uiPriority w:val="0"/>
    <w:rPr>
      <w:rFonts w:hAnsi="宋体" w:eastAsia="宋体"/>
      <w:kern w:val="2"/>
      <w:sz w:val="24"/>
      <w:szCs w:val="24"/>
      <w:lang w:val="en-US" w:eastAsia="zh-CN" w:bidi="ar-SA"/>
    </w:rPr>
  </w:style>
  <w:style w:type="paragraph" w:customStyle="1" w:styleId="80">
    <w:name w:val="Char Char Char Char Char Char"/>
    <w:basedOn w:val="1"/>
    <w:qFormat/>
    <w:uiPriority w:val="0"/>
    <w:pPr>
      <w:snapToGrid w:val="0"/>
      <w:spacing w:line="360" w:lineRule="auto"/>
      <w:ind w:firstLine="529" w:firstLineChars="200"/>
    </w:pPr>
    <w:rPr>
      <w:rFonts w:ascii="宋体" w:hAnsi="宋体"/>
      <w:b/>
    </w:rPr>
  </w:style>
  <w:style w:type="paragraph" w:customStyle="1" w:styleId="81">
    <w:name w:val="Char Char Char"/>
    <w:basedOn w:val="1"/>
    <w:qFormat/>
    <w:uiPriority w:val="0"/>
  </w:style>
  <w:style w:type="paragraph" w:customStyle="1" w:styleId="82">
    <w:name w:val="中文报告书样式"/>
    <w:basedOn w:val="1"/>
    <w:qFormat/>
    <w:uiPriority w:val="0"/>
    <w:pPr>
      <w:adjustRightInd w:val="0"/>
      <w:spacing w:line="480" w:lineRule="atLeast"/>
      <w:ind w:firstLine="482"/>
    </w:pPr>
    <w:rPr>
      <w:kern w:val="24"/>
      <w:sz w:val="24"/>
      <w:szCs w:val="20"/>
    </w:rPr>
  </w:style>
  <w:style w:type="paragraph" w:customStyle="1" w:styleId="83">
    <w:name w:val="报告书表格"/>
    <w:basedOn w:val="1"/>
    <w:qFormat/>
    <w:uiPriority w:val="0"/>
    <w:pPr>
      <w:adjustRightInd w:val="0"/>
      <w:spacing w:before="60" w:after="60" w:line="240" w:lineRule="atLeast"/>
      <w:jc w:val="center"/>
    </w:pPr>
    <w:rPr>
      <w:kern w:val="0"/>
      <w:szCs w:val="20"/>
    </w:rPr>
  </w:style>
  <w:style w:type="character" w:customStyle="1" w:styleId="84">
    <w:name w:val="正文文本 Char"/>
    <w:qFormat/>
    <w:uiPriority w:val="0"/>
    <w:rPr>
      <w:rFonts w:eastAsia="宋体"/>
      <w:kern w:val="2"/>
      <w:sz w:val="21"/>
      <w:szCs w:val="24"/>
      <w:lang w:val="en-US" w:eastAsia="zh-CN" w:bidi="ar-SA"/>
    </w:rPr>
  </w:style>
  <w:style w:type="paragraph" w:customStyle="1" w:styleId="85">
    <w:name w:val="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86">
    <w:name w:val="表格 23"/>
    <w:basedOn w:val="1"/>
    <w:qFormat/>
    <w:uiPriority w:val="0"/>
    <w:pPr>
      <w:jc w:val="center"/>
    </w:pPr>
    <w:rPr>
      <w:rFonts w:ascii="宋体" w:hAnsi="宋体"/>
      <w:b/>
      <w:sz w:val="24"/>
    </w:rPr>
  </w:style>
  <w:style w:type="paragraph" w:customStyle="1" w:styleId="87">
    <w:name w:val="正文25磅"/>
    <w:basedOn w:val="1"/>
    <w:qFormat/>
    <w:uiPriority w:val="0"/>
    <w:pPr>
      <w:spacing w:line="500" w:lineRule="exact"/>
      <w:ind w:firstLine="200" w:firstLineChars="200"/>
    </w:pPr>
    <w:rPr>
      <w:sz w:val="24"/>
      <w:szCs w:val="20"/>
    </w:rPr>
  </w:style>
  <w:style w:type="paragraph" w:customStyle="1" w:styleId="88">
    <w:name w:val="表格标题"/>
    <w:basedOn w:val="1"/>
    <w:qFormat/>
    <w:uiPriority w:val="0"/>
    <w:rPr>
      <w:rFonts w:eastAsia="仿宋_GB2312"/>
      <w:b/>
      <w:sz w:val="24"/>
    </w:rPr>
  </w:style>
  <w:style w:type="paragraph" w:customStyle="1" w:styleId="89">
    <w:name w:val="Char Char Char Char"/>
    <w:basedOn w:val="1"/>
    <w:qFormat/>
    <w:uiPriority w:val="0"/>
    <w:pPr>
      <w:snapToGrid w:val="0"/>
      <w:spacing w:line="360" w:lineRule="auto"/>
      <w:ind w:firstLine="529" w:firstLineChars="200"/>
    </w:pPr>
    <w:rPr>
      <w:rFonts w:ascii="宋体" w:hAnsi="宋体"/>
      <w:b/>
    </w:rPr>
  </w:style>
  <w:style w:type="paragraph" w:customStyle="1" w:styleId="90">
    <w:name w:val="Char Char Char Char Char Char Char"/>
    <w:basedOn w:val="5"/>
    <w:qFormat/>
    <w:uiPriority w:val="0"/>
    <w:pPr>
      <w:keepNext/>
      <w:keepLines/>
      <w:numPr>
        <w:ilvl w:val="0"/>
        <w:numId w:val="0"/>
      </w:numPr>
      <w:autoSpaceDE/>
      <w:autoSpaceDN/>
      <w:adjustRightInd/>
      <w:spacing w:before="280" w:after="290" w:line="376" w:lineRule="auto"/>
      <w:textAlignment w:val="auto"/>
    </w:pPr>
    <w:rPr>
      <w:rFonts w:ascii="Arial" w:eastAsia="仿宋_GB2312"/>
      <w:b w:val="0"/>
      <w:bCs/>
      <w:kern w:val="2"/>
      <w:szCs w:val="28"/>
    </w:rPr>
  </w:style>
  <w:style w:type="paragraph" w:customStyle="1" w:styleId="91">
    <w:name w:val="Char Char Char Char Char Char Char Char Char11"/>
    <w:basedOn w:val="1"/>
    <w:qFormat/>
    <w:uiPriority w:val="0"/>
    <w:pPr>
      <w:snapToGrid w:val="0"/>
      <w:spacing w:line="360" w:lineRule="auto"/>
      <w:ind w:firstLine="529" w:firstLineChars="200"/>
    </w:pPr>
  </w:style>
  <w:style w:type="paragraph" w:customStyle="1" w:styleId="92">
    <w:name w:val="Char Char"/>
    <w:basedOn w:val="1"/>
    <w:qFormat/>
    <w:uiPriority w:val="0"/>
    <w:pPr>
      <w:snapToGrid w:val="0"/>
      <w:spacing w:line="360" w:lineRule="auto"/>
      <w:ind w:firstLine="529" w:firstLineChars="200"/>
    </w:pPr>
    <w:rPr>
      <w:rFonts w:ascii="宋体" w:hAnsi="宋体"/>
      <w:b/>
    </w:rPr>
  </w:style>
  <w:style w:type="paragraph" w:customStyle="1" w:styleId="93">
    <w:name w:val="4 Char"/>
    <w:basedOn w:val="1"/>
    <w:qFormat/>
    <w:uiPriority w:val="0"/>
  </w:style>
  <w:style w:type="paragraph" w:customStyle="1" w:styleId="94">
    <w:name w:val="默认段落字体 Para Char Char Char Char Char Char Char Char Char Char Char Char Char1 Char"/>
    <w:basedOn w:val="22"/>
    <w:qFormat/>
    <w:uiPriority w:val="0"/>
  </w:style>
  <w:style w:type="paragraph" w:customStyle="1" w:styleId="95">
    <w:name w:val="Char2"/>
    <w:basedOn w:val="1"/>
    <w:qFormat/>
    <w:uiPriority w:val="0"/>
  </w:style>
  <w:style w:type="paragraph" w:customStyle="1" w:styleId="96">
    <w:name w:val="Char Char Char Char Char Char Char Char Char Char"/>
    <w:basedOn w:val="1"/>
    <w:qFormat/>
    <w:uiPriority w:val="0"/>
    <w:pPr>
      <w:adjustRightInd w:val="0"/>
      <w:spacing w:line="360" w:lineRule="auto"/>
    </w:pPr>
    <w:rPr>
      <w:kern w:val="0"/>
      <w:sz w:val="24"/>
      <w:szCs w:val="20"/>
    </w:rPr>
  </w:style>
  <w:style w:type="character" w:customStyle="1" w:styleId="97">
    <w:name w:val="标题 Char"/>
    <w:link w:val="38"/>
    <w:qFormat/>
    <w:uiPriority w:val="0"/>
    <w:rPr>
      <w:rFonts w:ascii="Cambria" w:hAnsi="Cambria" w:eastAsia="宋体"/>
      <w:b/>
      <w:bCs/>
      <w:kern w:val="2"/>
      <w:sz w:val="32"/>
      <w:szCs w:val="32"/>
      <w:lang w:bidi="ar-SA"/>
    </w:rPr>
  </w:style>
  <w:style w:type="character" w:customStyle="1" w:styleId="98">
    <w:name w:val="text-h21"/>
    <w:qFormat/>
    <w:uiPriority w:val="0"/>
    <w:rPr>
      <w:rFonts w:hint="default" w:ascii="Tahoma" w:hAnsi="Tahoma" w:cs="Tahoma"/>
      <w:color w:val="333333"/>
      <w:sz w:val="18"/>
      <w:szCs w:val="18"/>
    </w:rPr>
  </w:style>
  <w:style w:type="paragraph" w:customStyle="1" w:styleId="99">
    <w:name w:val="text-h2"/>
    <w:basedOn w:val="1"/>
    <w:qFormat/>
    <w:uiPriority w:val="0"/>
    <w:pPr>
      <w:widowControl/>
      <w:spacing w:before="100" w:beforeAutospacing="1" w:after="100" w:afterAutospacing="1" w:line="300" w:lineRule="atLeast"/>
      <w:jc w:val="left"/>
    </w:pPr>
    <w:rPr>
      <w:rFonts w:ascii="Tahoma" w:hAnsi="Tahoma" w:cs="Tahoma"/>
      <w:color w:val="333333"/>
      <w:kern w:val="0"/>
      <w:sz w:val="18"/>
      <w:szCs w:val="18"/>
    </w:rPr>
  </w:style>
  <w:style w:type="character" w:customStyle="1" w:styleId="100">
    <w:name w:val="批注主题 Char"/>
    <w:link w:val="39"/>
    <w:qFormat/>
    <w:uiPriority w:val="0"/>
    <w:rPr>
      <w:rFonts w:eastAsia="宋体"/>
      <w:b/>
      <w:bCs/>
      <w:kern w:val="2"/>
      <w:sz w:val="21"/>
      <w:szCs w:val="24"/>
      <w:lang w:bidi="ar-SA"/>
    </w:rPr>
  </w:style>
  <w:style w:type="paragraph" w:customStyle="1" w:styleId="101">
    <w:name w:val="四级标题"/>
    <w:basedOn w:val="1"/>
    <w:link w:val="102"/>
    <w:qFormat/>
    <w:uiPriority w:val="0"/>
    <w:pPr>
      <w:tabs>
        <w:tab w:val="left" w:pos="630"/>
      </w:tabs>
      <w:spacing w:beforeLines="30" w:afterLines="30" w:line="360" w:lineRule="auto"/>
      <w:ind w:firstLine="480" w:firstLineChars="200"/>
      <w:outlineLvl w:val="0"/>
    </w:pPr>
    <w:rPr>
      <w:rFonts w:ascii="宋体" w:hAnsi="宋体"/>
      <w:b/>
      <w:kern w:val="44"/>
      <w:sz w:val="24"/>
      <w:szCs w:val="20"/>
    </w:rPr>
  </w:style>
  <w:style w:type="character" w:customStyle="1" w:styleId="102">
    <w:name w:val="四级标题 Char"/>
    <w:link w:val="101"/>
    <w:qFormat/>
    <w:uiPriority w:val="0"/>
    <w:rPr>
      <w:rFonts w:ascii="宋体" w:hAnsi="宋体" w:eastAsia="宋体"/>
      <w:b/>
      <w:kern w:val="44"/>
      <w:sz w:val="24"/>
      <w:lang w:val="en-US" w:eastAsia="zh-CN" w:bidi="ar-SA"/>
    </w:rPr>
  </w:style>
  <w:style w:type="paragraph" w:customStyle="1" w:styleId="103">
    <w:name w:val="报告正文"/>
    <w:basedOn w:val="1"/>
    <w:qFormat/>
    <w:uiPriority w:val="0"/>
    <w:pPr>
      <w:spacing w:line="360" w:lineRule="auto"/>
      <w:ind w:firstLine="480" w:firstLineChars="200"/>
    </w:pPr>
    <w:rPr>
      <w:rFonts w:hAnsi="宋体"/>
      <w:sz w:val="24"/>
    </w:rPr>
  </w:style>
  <w:style w:type="paragraph" w:customStyle="1" w:styleId="104">
    <w:name w:val="三级标题"/>
    <w:basedOn w:val="1"/>
    <w:link w:val="105"/>
    <w:qFormat/>
    <w:uiPriority w:val="0"/>
    <w:pPr>
      <w:tabs>
        <w:tab w:val="left" w:pos="630"/>
      </w:tabs>
      <w:spacing w:beforeLines="30" w:afterLines="30"/>
      <w:ind w:firstLine="482" w:firstLineChars="200"/>
      <w:outlineLvl w:val="0"/>
    </w:pPr>
    <w:rPr>
      <w:rFonts w:ascii="宋体" w:hAnsi="宋体"/>
      <w:b/>
      <w:kern w:val="44"/>
      <w:sz w:val="24"/>
    </w:rPr>
  </w:style>
  <w:style w:type="character" w:customStyle="1" w:styleId="105">
    <w:name w:val="三级标题 Char"/>
    <w:link w:val="104"/>
    <w:qFormat/>
    <w:uiPriority w:val="0"/>
    <w:rPr>
      <w:rFonts w:ascii="宋体" w:hAnsi="宋体" w:eastAsia="宋体"/>
      <w:b/>
      <w:kern w:val="44"/>
      <w:sz w:val="24"/>
      <w:szCs w:val="24"/>
      <w:lang w:val="en-US" w:eastAsia="zh-CN" w:bidi="ar-SA"/>
    </w:rPr>
  </w:style>
  <w:style w:type="paragraph" w:customStyle="1" w:styleId="106">
    <w:name w:val="pic-info"/>
    <w:basedOn w:val="1"/>
    <w:qFormat/>
    <w:uiPriority w:val="0"/>
    <w:pPr>
      <w:widowControl/>
      <w:spacing w:before="100" w:beforeAutospacing="1" w:after="100" w:afterAutospacing="1"/>
      <w:jc w:val="left"/>
    </w:pPr>
    <w:rPr>
      <w:rFonts w:ascii="宋体" w:hAnsi="宋体" w:cs="宋体"/>
      <w:kern w:val="0"/>
      <w:sz w:val="24"/>
    </w:rPr>
  </w:style>
  <w:style w:type="character" w:customStyle="1" w:styleId="107">
    <w:name w:val="headline-content2"/>
    <w:basedOn w:val="42"/>
    <w:qFormat/>
    <w:uiPriority w:val="0"/>
  </w:style>
  <w:style w:type="character" w:customStyle="1" w:styleId="108">
    <w:name w:val="Char Char7"/>
    <w:qFormat/>
    <w:uiPriority w:val="0"/>
    <w:rPr>
      <w:rFonts w:eastAsia="宋体"/>
      <w:sz w:val="18"/>
      <w:lang w:val="en-US" w:eastAsia="zh-CN" w:bidi="ar-SA"/>
    </w:rPr>
  </w:style>
  <w:style w:type="paragraph" w:customStyle="1" w:styleId="109">
    <w:name w:val="正文1"/>
    <w:basedOn w:val="1"/>
    <w:link w:val="110"/>
    <w:qFormat/>
    <w:uiPriority w:val="0"/>
    <w:pPr>
      <w:adjustRightInd w:val="0"/>
    </w:pPr>
    <w:rPr>
      <w:rFonts w:eastAsia="楷体_GB2312"/>
      <w:sz w:val="20"/>
    </w:rPr>
  </w:style>
  <w:style w:type="character" w:customStyle="1" w:styleId="110">
    <w:name w:val="正文1 Char"/>
    <w:link w:val="109"/>
    <w:qFormat/>
    <w:uiPriority w:val="0"/>
    <w:rPr>
      <w:rFonts w:eastAsia="楷体_GB2312"/>
      <w:kern w:val="2"/>
      <w:szCs w:val="24"/>
      <w:lang w:val="en-US" w:eastAsia="zh-CN" w:bidi="ar-SA"/>
    </w:rPr>
  </w:style>
  <w:style w:type="character" w:customStyle="1" w:styleId="111">
    <w:name w:val="A表名 Char"/>
    <w:qFormat/>
    <w:uiPriority w:val="0"/>
    <w:rPr>
      <w:rFonts w:ascii="Arial" w:hAnsi="Arial" w:eastAsia="黑体"/>
      <w:b/>
      <w:bCs/>
      <w:kern w:val="2"/>
      <w:sz w:val="24"/>
      <w:szCs w:val="24"/>
      <w:lang w:val="en-US" w:eastAsia="en-US" w:bidi="ar-SA"/>
    </w:rPr>
  </w:style>
  <w:style w:type="paragraph" w:customStyle="1" w:styleId="112">
    <w:name w:val="缩进"/>
    <w:basedOn w:val="1"/>
    <w:qFormat/>
    <w:uiPriority w:val="0"/>
    <w:pPr>
      <w:autoSpaceDE w:val="0"/>
      <w:autoSpaceDN w:val="0"/>
      <w:adjustRightInd w:val="0"/>
      <w:spacing w:line="400" w:lineRule="atLeast"/>
      <w:ind w:firstLine="480" w:firstLineChars="200"/>
      <w:textAlignment w:val="baseline"/>
    </w:pPr>
    <w:rPr>
      <w:sz w:val="24"/>
      <w:szCs w:val="20"/>
    </w:rPr>
  </w:style>
  <w:style w:type="character" w:customStyle="1" w:styleId="113">
    <w:name w:val="apple-style-span"/>
    <w:basedOn w:val="42"/>
    <w:qFormat/>
    <w:uiPriority w:val="0"/>
  </w:style>
  <w:style w:type="paragraph" w:customStyle="1" w:styleId="114">
    <w:name w:val="album-div1"/>
    <w:basedOn w:val="1"/>
    <w:qFormat/>
    <w:uiPriority w:val="0"/>
    <w:pPr>
      <w:widowControl/>
      <w:shd w:val="clear" w:color="auto" w:fill="FFFFFF"/>
      <w:spacing w:before="100" w:beforeAutospacing="1" w:after="100" w:afterAutospacing="1"/>
      <w:jc w:val="left"/>
    </w:pPr>
    <w:rPr>
      <w:rFonts w:ascii="宋体" w:hAnsi="宋体" w:cs="宋体"/>
      <w:kern w:val="0"/>
      <w:sz w:val="24"/>
    </w:rPr>
  </w:style>
  <w:style w:type="character" w:customStyle="1" w:styleId="115">
    <w:name w:val="title11"/>
    <w:basedOn w:val="42"/>
    <w:qFormat/>
    <w:uiPriority w:val="0"/>
  </w:style>
  <w:style w:type="character" w:customStyle="1" w:styleId="116">
    <w:name w:val="count4"/>
    <w:basedOn w:val="42"/>
    <w:qFormat/>
    <w:uiPriority w:val="0"/>
  </w:style>
  <w:style w:type="character" w:customStyle="1" w:styleId="117">
    <w:name w:val="apple-converted-space"/>
    <w:basedOn w:val="42"/>
    <w:qFormat/>
    <w:uiPriority w:val="0"/>
  </w:style>
  <w:style w:type="paragraph" w:customStyle="1" w:styleId="118">
    <w:name w:val="表1表2 表头格式"/>
    <w:basedOn w:val="1"/>
    <w:qFormat/>
    <w:uiPriority w:val="0"/>
    <w:pPr>
      <w:numPr>
        <w:ilvl w:val="0"/>
        <w:numId w:val="3"/>
      </w:numPr>
      <w:autoSpaceDE w:val="0"/>
      <w:autoSpaceDN w:val="0"/>
      <w:adjustRightInd w:val="0"/>
      <w:spacing w:beforeLines="50"/>
      <w:jc w:val="center"/>
      <w:textAlignment w:val="center"/>
    </w:pPr>
    <w:rPr>
      <w:rFonts w:eastAsia="黑体"/>
      <w:snapToGrid w:val="0"/>
      <w:kern w:val="0"/>
      <w:szCs w:val="20"/>
    </w:rPr>
  </w:style>
  <w:style w:type="paragraph" w:customStyle="1" w:styleId="119">
    <w:name w:val="样式 样式 表1表2 表头格式 + 段前: 0.5 行 + 字距调整小四"/>
    <w:basedOn w:val="1"/>
    <w:qFormat/>
    <w:uiPriority w:val="0"/>
    <w:pPr>
      <w:tabs>
        <w:tab w:val="left" w:pos="1132"/>
      </w:tabs>
      <w:autoSpaceDE w:val="0"/>
      <w:autoSpaceDN w:val="0"/>
      <w:adjustRightInd w:val="0"/>
      <w:spacing w:before="120"/>
      <w:ind w:left="1132" w:hanging="570"/>
      <w:jc w:val="center"/>
      <w:textAlignment w:val="center"/>
    </w:pPr>
    <w:rPr>
      <w:rFonts w:eastAsia="黑体" w:cs="宋体"/>
      <w:snapToGrid w:val="0"/>
      <w:kern w:val="24"/>
      <w:sz w:val="24"/>
      <w:szCs w:val="20"/>
    </w:rPr>
  </w:style>
  <w:style w:type="character" w:customStyle="1" w:styleId="120">
    <w:name w:val="批注框文本 Char"/>
    <w:link w:val="30"/>
    <w:qFormat/>
    <w:uiPriority w:val="0"/>
    <w:rPr>
      <w:rFonts w:eastAsia="宋体"/>
      <w:kern w:val="2"/>
      <w:sz w:val="18"/>
      <w:szCs w:val="18"/>
      <w:lang w:val="en-US" w:eastAsia="zh-CN" w:bidi="ar-SA"/>
    </w:rPr>
  </w:style>
  <w:style w:type="character" w:customStyle="1" w:styleId="121">
    <w:name w:val="报告表正文 Char"/>
    <w:link w:val="73"/>
    <w:qFormat/>
    <w:uiPriority w:val="0"/>
    <w:rPr>
      <w:rFonts w:eastAsia="宋体"/>
      <w:sz w:val="24"/>
      <w:lang w:val="en-US" w:eastAsia="zh-CN" w:bidi="ar-SA"/>
    </w:rPr>
  </w:style>
  <w:style w:type="character" w:customStyle="1" w:styleId="122">
    <w:name w:val="博泵1 Char Char"/>
    <w:link w:val="123"/>
    <w:qFormat/>
    <w:locked/>
    <w:uiPriority w:val="0"/>
    <w:rPr>
      <w:rFonts w:ascii="宋体" w:hAnsi="宋体"/>
      <w:color w:val="000000"/>
      <w:sz w:val="24"/>
    </w:rPr>
  </w:style>
  <w:style w:type="paragraph" w:customStyle="1" w:styleId="123">
    <w:name w:val="博泵1"/>
    <w:basedOn w:val="1"/>
    <w:link w:val="122"/>
    <w:qFormat/>
    <w:uiPriority w:val="0"/>
    <w:pPr>
      <w:adjustRightInd w:val="0"/>
      <w:spacing w:line="480" w:lineRule="exact"/>
      <w:ind w:firstLine="200" w:firstLineChars="200"/>
      <w:jc w:val="left"/>
    </w:pPr>
    <w:rPr>
      <w:rFonts w:ascii="宋体" w:hAnsi="宋体"/>
      <w:color w:val="000000"/>
      <w:kern w:val="0"/>
      <w:sz w:val="24"/>
      <w:szCs w:val="20"/>
    </w:rPr>
  </w:style>
  <w:style w:type="character" w:customStyle="1" w:styleId="124">
    <w:name w:val="表格 32 Char Char"/>
    <w:qFormat/>
    <w:locked/>
    <w:uiPriority w:val="0"/>
    <w:rPr>
      <w:rFonts w:ascii="楷体_GB2312" w:eastAsia="楷体_GB2312"/>
      <w:szCs w:val="24"/>
    </w:rPr>
  </w:style>
  <w:style w:type="character" w:customStyle="1" w:styleId="125">
    <w:name w:val="正文文本缩进 Char"/>
    <w:link w:val="16"/>
    <w:qFormat/>
    <w:uiPriority w:val="0"/>
    <w:rPr>
      <w:kern w:val="2"/>
      <w:sz w:val="24"/>
      <w:szCs w:val="24"/>
    </w:rPr>
  </w:style>
  <w:style w:type="character" w:customStyle="1" w:styleId="126">
    <w:name w:val="正文 32 Char Char"/>
    <w:qFormat/>
    <w:uiPriority w:val="0"/>
    <w:rPr>
      <w:rFonts w:eastAsia="楷体_GB2312"/>
      <w:sz w:val="24"/>
    </w:rPr>
  </w:style>
  <w:style w:type="character" w:customStyle="1" w:styleId="127">
    <w:name w:val="表格1 Char Char"/>
    <w:link w:val="55"/>
    <w:qFormat/>
    <w:uiPriority w:val="0"/>
    <w:rPr>
      <w:rFonts w:ascii="宋体" w:hAnsi="Impact"/>
      <w:kern w:val="24"/>
      <w:sz w:val="28"/>
    </w:rPr>
  </w:style>
  <w:style w:type="paragraph" w:customStyle="1" w:styleId="128">
    <w:name w:val="报告表  段"/>
    <w:basedOn w:val="1"/>
    <w:link w:val="130"/>
    <w:qFormat/>
    <w:uiPriority w:val="0"/>
    <w:pPr>
      <w:adjustRightInd w:val="0"/>
      <w:spacing w:line="360" w:lineRule="auto"/>
      <w:ind w:firstLine="505"/>
      <w:textAlignment w:val="baseline"/>
    </w:pPr>
    <w:rPr>
      <w:rFonts w:ascii="宋体"/>
      <w:kern w:val="0"/>
      <w:sz w:val="24"/>
      <w:szCs w:val="20"/>
    </w:rPr>
  </w:style>
  <w:style w:type="paragraph" w:customStyle="1" w:styleId="129">
    <w:name w:val="报告表 段"/>
    <w:basedOn w:val="1"/>
    <w:link w:val="131"/>
    <w:qFormat/>
    <w:uiPriority w:val="0"/>
    <w:pPr>
      <w:spacing w:line="360" w:lineRule="auto"/>
      <w:ind w:firstLine="470" w:firstLineChars="196"/>
    </w:pPr>
    <w:rPr>
      <w:rFonts w:ascii="宋体" w:hAnsi="宋体"/>
      <w:bCs/>
      <w:sz w:val="24"/>
    </w:rPr>
  </w:style>
  <w:style w:type="character" w:customStyle="1" w:styleId="130">
    <w:name w:val="报告表  段 Char"/>
    <w:link w:val="128"/>
    <w:qFormat/>
    <w:locked/>
    <w:uiPriority w:val="0"/>
    <w:rPr>
      <w:rFonts w:ascii="宋体"/>
      <w:sz w:val="24"/>
    </w:rPr>
  </w:style>
  <w:style w:type="character" w:customStyle="1" w:styleId="131">
    <w:name w:val="报告表 段 Char"/>
    <w:link w:val="129"/>
    <w:qFormat/>
    <w:uiPriority w:val="0"/>
    <w:rPr>
      <w:rFonts w:ascii="宋体" w:hAnsi="宋体"/>
      <w:bCs/>
      <w:kern w:val="2"/>
      <w:sz w:val="24"/>
      <w:szCs w:val="24"/>
    </w:rPr>
  </w:style>
  <w:style w:type="paragraph" w:customStyle="1" w:styleId="132">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133">
    <w:name w:val="无间隔1"/>
    <w:qFormat/>
    <w:uiPriority w:val="0"/>
    <w:pPr>
      <w:widowControl w:val="0"/>
      <w:jc w:val="center"/>
      <w:outlineLvl w:val="7"/>
    </w:pPr>
    <w:rPr>
      <w:rFonts w:ascii="Times New Roman" w:hAnsi="Times New Roman" w:eastAsia="宋体" w:cs="Times New Roman"/>
      <w:kern w:val="2"/>
      <w:sz w:val="21"/>
      <w:szCs w:val="24"/>
      <w:lang w:val="en-US" w:eastAsia="zh-CN" w:bidi="ar-SA"/>
    </w:rPr>
  </w:style>
  <w:style w:type="paragraph" w:customStyle="1" w:styleId="134">
    <w:name w:val="引用1"/>
    <w:basedOn w:val="1"/>
    <w:next w:val="1"/>
    <w:link w:val="135"/>
    <w:qFormat/>
    <w:uiPriority w:val="0"/>
    <w:pPr>
      <w:jc w:val="center"/>
    </w:pPr>
    <w:rPr>
      <w:b/>
      <w:iCs/>
    </w:rPr>
  </w:style>
  <w:style w:type="character" w:customStyle="1" w:styleId="135">
    <w:name w:val="引用 Char"/>
    <w:link w:val="134"/>
    <w:qFormat/>
    <w:uiPriority w:val="0"/>
    <w:rPr>
      <w:b/>
      <w:iCs/>
      <w:kern w:val="2"/>
      <w:sz w:val="21"/>
      <w:szCs w:val="24"/>
    </w:rPr>
  </w:style>
  <w:style w:type="paragraph" w:customStyle="1" w:styleId="136">
    <w:name w:val="Char1"/>
    <w:basedOn w:val="1"/>
    <w:qFormat/>
    <w:uiPriority w:val="0"/>
    <w:rPr>
      <w:sz w:val="24"/>
    </w:rPr>
  </w:style>
  <w:style w:type="character" w:customStyle="1" w:styleId="137">
    <w:name w:val="一级标题 Char Char"/>
    <w:link w:val="138"/>
    <w:qFormat/>
    <w:uiPriority w:val="0"/>
    <w:rPr>
      <w:b/>
      <w:kern w:val="44"/>
      <w:sz w:val="32"/>
    </w:rPr>
  </w:style>
  <w:style w:type="paragraph" w:customStyle="1" w:styleId="138">
    <w:name w:val="一级标题"/>
    <w:basedOn w:val="2"/>
    <w:link w:val="137"/>
    <w:qFormat/>
    <w:uiPriority w:val="0"/>
    <w:pPr>
      <w:keepLines/>
      <w:tabs>
        <w:tab w:val="left" w:pos="630"/>
      </w:tabs>
      <w:spacing w:afterLines="50"/>
      <w:ind w:firstLine="0"/>
      <w:jc w:val="both"/>
    </w:pPr>
    <w:rPr>
      <w:kern w:val="44"/>
      <w:sz w:val="32"/>
    </w:rPr>
  </w:style>
  <w:style w:type="paragraph" w:customStyle="1" w:styleId="139">
    <w:name w:val="样式 表格表头样式"/>
    <w:basedOn w:val="1"/>
    <w:qFormat/>
    <w:uiPriority w:val="0"/>
    <w:pPr>
      <w:widowControl/>
      <w:tabs>
        <w:tab w:val="left" w:pos="360"/>
      </w:tabs>
      <w:adjustRightInd w:val="0"/>
      <w:snapToGrid w:val="0"/>
      <w:ind w:left="360" w:hanging="360"/>
      <w:jc w:val="center"/>
    </w:pPr>
    <w:rPr>
      <w:rFonts w:eastAsia="黑体" w:cs="宋体"/>
      <w:kern w:val="0"/>
      <w:sz w:val="24"/>
      <w:szCs w:val="20"/>
    </w:rPr>
  </w:style>
  <w:style w:type="paragraph" w:styleId="140">
    <w:name w:val="List Paragraph"/>
    <w:basedOn w:val="1"/>
    <w:qFormat/>
    <w:uiPriority w:val="34"/>
    <w:pPr>
      <w:ind w:firstLine="420" w:firstLineChars="200"/>
    </w:pPr>
    <w:rPr>
      <w:rFonts w:ascii="Calibri" w:hAnsi="Calibri"/>
      <w:szCs w:val="22"/>
    </w:rPr>
  </w:style>
  <w:style w:type="paragraph" w:customStyle="1" w:styleId="141">
    <w:name w:val="列出段落1"/>
    <w:basedOn w:val="1"/>
    <w:qFormat/>
    <w:uiPriority w:val="34"/>
    <w:pPr>
      <w:ind w:firstLine="420" w:firstLineChars="200"/>
    </w:pPr>
    <w:rPr>
      <w:rFonts w:ascii="Calibri" w:hAnsi="Calibri"/>
      <w:szCs w:val="22"/>
    </w:rPr>
  </w:style>
  <w:style w:type="paragraph" w:customStyle="1" w:styleId="142">
    <w:name w:val="正文4"/>
    <w:basedOn w:val="1"/>
    <w:qFormat/>
    <w:uiPriority w:val="0"/>
    <w:pPr>
      <w:adjustRightInd w:val="0"/>
      <w:snapToGrid w:val="0"/>
      <w:spacing w:line="600" w:lineRule="exact"/>
      <w:ind w:firstLine="640" w:firstLineChars="200"/>
    </w:pPr>
    <w:rPr>
      <w:rFonts w:eastAsia="仿宋_GB2312"/>
      <w:color w:val="FF0000"/>
      <w:sz w:val="32"/>
      <w:szCs w:val="32"/>
    </w:rPr>
  </w:style>
  <w:style w:type="paragraph" w:customStyle="1" w:styleId="143">
    <w:name w:val="表格填充1"/>
    <w:basedOn w:val="1"/>
    <w:qFormat/>
    <w:uiPriority w:val="0"/>
    <w:pPr>
      <w:adjustRightInd w:val="0"/>
      <w:snapToGrid w:val="0"/>
      <w:spacing w:line="400" w:lineRule="exact"/>
      <w:jc w:val="center"/>
    </w:pPr>
    <w:rPr>
      <w:snapToGrid w:val="0"/>
      <w:kern w:val="0"/>
      <w:szCs w:val="18"/>
    </w:rPr>
  </w:style>
  <w:style w:type="character" w:customStyle="1" w:styleId="144">
    <w:name w:val="报告 Char Char"/>
    <w:link w:val="75"/>
    <w:qFormat/>
    <w:uiPriority w:val="0"/>
    <w:rPr>
      <w:sz w:val="24"/>
    </w:rPr>
  </w:style>
  <w:style w:type="character" w:customStyle="1" w:styleId="145">
    <w:name w:val="页眉 Char"/>
    <w:link w:val="32"/>
    <w:qFormat/>
    <w:uiPriority w:val="0"/>
    <w:rPr>
      <w:kern w:val="2"/>
      <w:sz w:val="18"/>
      <w:szCs w:val="18"/>
    </w:rPr>
  </w:style>
  <w:style w:type="paragraph" w:customStyle="1" w:styleId="146">
    <w:name w:val="Table Paragraph"/>
    <w:basedOn w:val="1"/>
    <w:qFormat/>
    <w:uiPriority w:val="1"/>
    <w:rPr>
      <w:rFonts w:ascii="Noto Sans CJK JP Regular" w:hAnsi="Noto Sans CJK JP Regular" w:eastAsia="Noto Sans CJK JP Regular" w:cs="Noto Sans CJK JP Regular"/>
    </w:rPr>
  </w:style>
  <w:style w:type="paragraph" w:customStyle="1" w:styleId="147">
    <w:name w:val="小标题"/>
    <w:basedOn w:val="148"/>
    <w:qFormat/>
    <w:uiPriority w:val="0"/>
    <w:pPr>
      <w:ind w:firstLine="0" w:firstLineChars="0"/>
      <w:jc w:val="left"/>
    </w:pPr>
    <w:rPr>
      <w:b/>
      <w:bCs/>
    </w:rPr>
  </w:style>
  <w:style w:type="paragraph" w:customStyle="1" w:styleId="148">
    <w:name w:val="正文-lin"/>
    <w:basedOn w:val="1"/>
    <w:qFormat/>
    <w:uiPriority w:val="0"/>
    <w:pPr>
      <w:spacing w:line="360" w:lineRule="auto"/>
      <w:ind w:firstLine="1040" w:firstLineChars="200"/>
    </w:pPr>
    <w:rPr>
      <w:kern w:val="0"/>
      <w:sz w:val="24"/>
      <w:szCs w:val="20"/>
    </w:rPr>
  </w:style>
  <w:style w:type="paragraph" w:customStyle="1" w:styleId="149">
    <w:name w:val="真宗兴表格内容"/>
    <w:basedOn w:val="1"/>
    <w:qFormat/>
    <w:uiPriority w:val="0"/>
    <w:pPr>
      <w:tabs>
        <w:tab w:val="left" w:pos="-2848"/>
      </w:tabs>
      <w:spacing w:before="93" w:beforeLines="20" w:after="93" w:afterLines="20"/>
      <w:jc w:val="center"/>
    </w:pPr>
  </w:style>
  <w:style w:type="paragraph" w:customStyle="1" w:styleId="150">
    <w:name w:val="表文字"/>
    <w:basedOn w:val="1"/>
    <w:qFormat/>
    <w:uiPriority w:val="0"/>
    <w:pPr>
      <w:overflowPunct w:val="0"/>
      <w:autoSpaceDE w:val="0"/>
      <w:autoSpaceDN w:val="0"/>
      <w:adjustRightInd w:val="0"/>
      <w:spacing w:line="240" w:lineRule="atLeast"/>
      <w:jc w:val="center"/>
    </w:pPr>
    <w:rPr>
      <w:rFonts w:ascii="Times New Roman" w:hAnsi="Times New Roman" w:eastAsia="宋体" w:cs="Times New Roman"/>
      <w:kern w:val="0"/>
      <w:sz w:val="24"/>
      <w:szCs w:val="20"/>
    </w:rPr>
  </w:style>
  <w:style w:type="paragraph" w:customStyle="1" w:styleId="151">
    <w:name w:val="3级"/>
    <w:basedOn w:val="4"/>
    <w:qFormat/>
    <w:uiPriority w:val="0"/>
    <w:pPr>
      <w:spacing w:before="120" w:after="120" w:line="240" w:lineRule="auto"/>
      <w:ind w:firstLine="480" w:firstLineChars="200"/>
    </w:pPr>
    <w:rPr>
      <w:b w:val="0"/>
      <w:kern w:val="0"/>
      <w:sz w:val="24"/>
      <w:szCs w:val="20"/>
    </w:rPr>
  </w:style>
  <w:style w:type="paragraph" w:customStyle="1" w:styleId="152">
    <w:name w:val="样式 表格 32 + 首行缩进:  2 字符"/>
    <w:basedOn w:val="1"/>
    <w:qFormat/>
    <w:uiPriority w:val="0"/>
    <w:pPr>
      <w:autoSpaceDE w:val="0"/>
      <w:autoSpaceDN w:val="0"/>
      <w:adjustRightInd w:val="0"/>
      <w:spacing w:line="0" w:lineRule="atLeast"/>
      <w:jc w:val="center"/>
      <w:textAlignment w:val="baseline"/>
    </w:pPr>
    <w:rPr>
      <w:kern w:val="0"/>
      <w:szCs w:val="21"/>
    </w:rPr>
  </w:style>
  <w:style w:type="paragraph" w:customStyle="1" w:styleId="153">
    <w:name w:val="表格文字"/>
    <w:basedOn w:val="1"/>
    <w:qFormat/>
    <w:uiPriority w:val="0"/>
    <w:pPr>
      <w:jc w:val="center"/>
    </w:pPr>
    <w:rPr>
      <w:kern w:val="44"/>
      <w:szCs w:val="20"/>
    </w:rPr>
  </w:style>
  <w:style w:type="paragraph" w:customStyle="1" w:styleId="154">
    <w:name w:val="正文+小四，黑色"/>
    <w:basedOn w:val="1"/>
    <w:qFormat/>
    <w:uiPriority w:val="0"/>
    <w:pPr>
      <w:snapToGrid w:val="0"/>
      <w:spacing w:line="300" w:lineRule="auto"/>
      <w:ind w:firstLine="492" w:firstLineChars="205"/>
    </w:pPr>
    <w:rPr>
      <w:rFonts w:ascii="宋体" w:hAnsi="宋体"/>
      <w:sz w:val="24"/>
      <w:szCs w:val="20"/>
    </w:rPr>
  </w:style>
  <w:style w:type="paragraph" w:customStyle="1" w:styleId="155">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56">
    <w:name w:val="Body text|1"/>
    <w:basedOn w:val="1"/>
    <w:qFormat/>
    <w:uiPriority w:val="0"/>
    <w:pPr>
      <w:widowControl w:val="0"/>
      <w:shd w:val="clear" w:color="auto" w:fill="auto"/>
      <w:spacing w:line="456" w:lineRule="auto"/>
      <w:ind w:firstLine="400"/>
    </w:pPr>
    <w:rPr>
      <w:rFonts w:ascii="宋体" w:hAnsi="宋体" w:eastAsia="宋体" w:cs="宋体"/>
      <w:sz w:val="20"/>
      <w:szCs w:val="20"/>
      <w:u w:val="none"/>
      <w:shd w:val="clear" w:color="auto" w:fill="auto"/>
      <w:lang w:val="zh-TW" w:eastAsia="zh-TW" w:bidi="zh-TW"/>
    </w:rPr>
  </w:style>
</w:styles>
</file>

<file path=word/_rels/document.xml.rels><?xml version="1.0" encoding="UTF-8" standalone="yes"?>
<Relationships xmlns="http://schemas.openxmlformats.org/package/2006/relationships"><Relationship Id="rId99" Type="http://schemas.openxmlformats.org/officeDocument/2006/relationships/image" Target="media/image46.png"/><Relationship Id="rId98" Type="http://schemas.openxmlformats.org/officeDocument/2006/relationships/image" Target="media/image45.png"/><Relationship Id="rId97" Type="http://schemas.openxmlformats.org/officeDocument/2006/relationships/image" Target="media/image44.png"/><Relationship Id="rId96" Type="http://schemas.openxmlformats.org/officeDocument/2006/relationships/image" Target="media/image43.png"/><Relationship Id="rId95" Type="http://schemas.openxmlformats.org/officeDocument/2006/relationships/image" Target="media/image42.png"/><Relationship Id="rId94" Type="http://schemas.openxmlformats.org/officeDocument/2006/relationships/image" Target="media/image41.png"/><Relationship Id="rId93" Type="http://schemas.openxmlformats.org/officeDocument/2006/relationships/image" Target="media/image40.png"/><Relationship Id="rId92" Type="http://schemas.openxmlformats.org/officeDocument/2006/relationships/image" Target="media/image39.png"/><Relationship Id="rId91" Type="http://schemas.openxmlformats.org/officeDocument/2006/relationships/image" Target="media/image38.jpeg"/><Relationship Id="rId90" Type="http://schemas.openxmlformats.org/officeDocument/2006/relationships/image" Target="media/image37.png"/><Relationship Id="rId9" Type="http://schemas.openxmlformats.org/officeDocument/2006/relationships/footer" Target="footer4.xml"/><Relationship Id="rId89" Type="http://schemas.openxmlformats.org/officeDocument/2006/relationships/image" Target="media/image36.jpeg"/><Relationship Id="rId88" Type="http://schemas.openxmlformats.org/officeDocument/2006/relationships/image" Target="media/image35.png"/><Relationship Id="rId87" Type="http://schemas.openxmlformats.org/officeDocument/2006/relationships/image" Target="media/image34.png"/><Relationship Id="rId86" Type="http://schemas.openxmlformats.org/officeDocument/2006/relationships/oleObject" Target="embeddings/oleObject26.bin"/><Relationship Id="rId85" Type="http://schemas.openxmlformats.org/officeDocument/2006/relationships/oleObject" Target="embeddings/oleObject25.bin"/><Relationship Id="rId84" Type="http://schemas.openxmlformats.org/officeDocument/2006/relationships/image" Target="media/image33.wmf"/><Relationship Id="rId83" Type="http://schemas.openxmlformats.org/officeDocument/2006/relationships/oleObject" Target="embeddings/oleObject24.bin"/><Relationship Id="rId82" Type="http://schemas.openxmlformats.org/officeDocument/2006/relationships/image" Target="media/image32.wmf"/><Relationship Id="rId81" Type="http://schemas.openxmlformats.org/officeDocument/2006/relationships/oleObject" Target="embeddings/oleObject23.bin"/><Relationship Id="rId80" Type="http://schemas.openxmlformats.org/officeDocument/2006/relationships/image" Target="media/image31.wmf"/><Relationship Id="rId8" Type="http://schemas.openxmlformats.org/officeDocument/2006/relationships/footer" Target="footer3.xml"/><Relationship Id="rId79" Type="http://schemas.openxmlformats.org/officeDocument/2006/relationships/oleObject" Target="embeddings/oleObject22.bin"/><Relationship Id="rId78" Type="http://schemas.openxmlformats.org/officeDocument/2006/relationships/image" Target="media/image30.wmf"/><Relationship Id="rId77" Type="http://schemas.openxmlformats.org/officeDocument/2006/relationships/oleObject" Target="embeddings/oleObject21.bin"/><Relationship Id="rId76" Type="http://schemas.openxmlformats.org/officeDocument/2006/relationships/image" Target="media/image29.wmf"/><Relationship Id="rId75" Type="http://schemas.openxmlformats.org/officeDocument/2006/relationships/oleObject" Target="embeddings/oleObject20.bin"/><Relationship Id="rId74" Type="http://schemas.openxmlformats.org/officeDocument/2006/relationships/image" Target="media/image28.wmf"/><Relationship Id="rId73" Type="http://schemas.openxmlformats.org/officeDocument/2006/relationships/oleObject" Target="embeddings/oleObject19.bin"/><Relationship Id="rId72" Type="http://schemas.openxmlformats.org/officeDocument/2006/relationships/image" Target="media/image27.wmf"/><Relationship Id="rId71" Type="http://schemas.openxmlformats.org/officeDocument/2006/relationships/oleObject" Target="embeddings/oleObject18.bin"/><Relationship Id="rId70" Type="http://schemas.openxmlformats.org/officeDocument/2006/relationships/image" Target="media/image26.wmf"/><Relationship Id="rId7" Type="http://schemas.openxmlformats.org/officeDocument/2006/relationships/header" Target="header3.xml"/><Relationship Id="rId69" Type="http://schemas.openxmlformats.org/officeDocument/2006/relationships/oleObject" Target="embeddings/oleObject17.bin"/><Relationship Id="rId68" Type="http://schemas.openxmlformats.org/officeDocument/2006/relationships/image" Target="media/image25.wmf"/><Relationship Id="rId67" Type="http://schemas.openxmlformats.org/officeDocument/2006/relationships/oleObject" Target="embeddings/oleObject16.bin"/><Relationship Id="rId66" Type="http://schemas.openxmlformats.org/officeDocument/2006/relationships/image" Target="media/image24.wmf"/><Relationship Id="rId65" Type="http://schemas.openxmlformats.org/officeDocument/2006/relationships/oleObject" Target="embeddings/oleObject15.bin"/><Relationship Id="rId64" Type="http://schemas.openxmlformats.org/officeDocument/2006/relationships/oleObject" Target="embeddings/oleObject14.bin"/><Relationship Id="rId63" Type="http://schemas.openxmlformats.org/officeDocument/2006/relationships/image" Target="media/image23.wmf"/><Relationship Id="rId62" Type="http://schemas.openxmlformats.org/officeDocument/2006/relationships/oleObject" Target="embeddings/oleObject13.bin"/><Relationship Id="rId61" Type="http://schemas.openxmlformats.org/officeDocument/2006/relationships/image" Target="media/image22.wmf"/><Relationship Id="rId60" Type="http://schemas.openxmlformats.org/officeDocument/2006/relationships/oleObject" Target="embeddings/oleObject12.bin"/><Relationship Id="rId6" Type="http://schemas.openxmlformats.org/officeDocument/2006/relationships/footer" Target="footer2.xml"/><Relationship Id="rId59" Type="http://schemas.openxmlformats.org/officeDocument/2006/relationships/oleObject" Target="embeddings/oleObject11.bin"/><Relationship Id="rId58" Type="http://schemas.openxmlformats.org/officeDocument/2006/relationships/image" Target="media/image21.wmf"/><Relationship Id="rId57" Type="http://schemas.openxmlformats.org/officeDocument/2006/relationships/oleObject" Target="embeddings/oleObject10.bin"/><Relationship Id="rId56" Type="http://schemas.openxmlformats.org/officeDocument/2006/relationships/image" Target="media/image20.wmf"/><Relationship Id="rId55" Type="http://schemas.openxmlformats.org/officeDocument/2006/relationships/oleObject" Target="embeddings/oleObject9.bin"/><Relationship Id="rId54" Type="http://schemas.openxmlformats.org/officeDocument/2006/relationships/image" Target="media/image19.wmf"/><Relationship Id="rId53" Type="http://schemas.openxmlformats.org/officeDocument/2006/relationships/oleObject" Target="embeddings/oleObject8.bin"/><Relationship Id="rId52" Type="http://schemas.openxmlformats.org/officeDocument/2006/relationships/image" Target="media/image18.wmf"/><Relationship Id="rId51" Type="http://schemas.openxmlformats.org/officeDocument/2006/relationships/oleObject" Target="embeddings/oleObject7.bin"/><Relationship Id="rId50" Type="http://schemas.openxmlformats.org/officeDocument/2006/relationships/image" Target="media/image17.wmf"/><Relationship Id="rId5" Type="http://schemas.openxmlformats.org/officeDocument/2006/relationships/footer" Target="footer1.xml"/><Relationship Id="rId49" Type="http://schemas.openxmlformats.org/officeDocument/2006/relationships/oleObject" Target="embeddings/oleObject6.bin"/><Relationship Id="rId48" Type="http://schemas.openxmlformats.org/officeDocument/2006/relationships/image" Target="media/image16.wmf"/><Relationship Id="rId47" Type="http://schemas.openxmlformats.org/officeDocument/2006/relationships/oleObject" Target="embeddings/oleObject5.bin"/><Relationship Id="rId46" Type="http://schemas.openxmlformats.org/officeDocument/2006/relationships/image" Target="media/image15.wmf"/><Relationship Id="rId45" Type="http://schemas.openxmlformats.org/officeDocument/2006/relationships/oleObject" Target="embeddings/oleObject4.bin"/><Relationship Id="rId44" Type="http://schemas.openxmlformats.org/officeDocument/2006/relationships/image" Target="media/image14.wmf"/><Relationship Id="rId43" Type="http://schemas.openxmlformats.org/officeDocument/2006/relationships/oleObject" Target="embeddings/oleObject3.bin"/><Relationship Id="rId42" Type="http://schemas.openxmlformats.org/officeDocument/2006/relationships/image" Target="media/image13.wmf"/><Relationship Id="rId41" Type="http://schemas.openxmlformats.org/officeDocument/2006/relationships/oleObject" Target="embeddings/oleObject2.bin"/><Relationship Id="rId40" Type="http://schemas.openxmlformats.org/officeDocument/2006/relationships/image" Target="media/image12.wmf"/><Relationship Id="rId4" Type="http://schemas.openxmlformats.org/officeDocument/2006/relationships/header" Target="header2.xml"/><Relationship Id="rId39" Type="http://schemas.openxmlformats.org/officeDocument/2006/relationships/oleObject" Target="embeddings/oleObject1.bin"/><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header" Target="header1.xml"/><Relationship Id="rId29" Type="http://schemas.openxmlformats.org/officeDocument/2006/relationships/image" Target="media/image2.png"/><Relationship Id="rId28" Type="http://schemas.openxmlformats.org/officeDocument/2006/relationships/image" Target="media/image1.png"/><Relationship Id="rId27" Type="http://schemas.openxmlformats.org/officeDocument/2006/relationships/theme" Target="theme/theme1.xml"/><Relationship Id="rId26" Type="http://schemas.openxmlformats.org/officeDocument/2006/relationships/footer" Target="footer17.xml"/><Relationship Id="rId25" Type="http://schemas.openxmlformats.org/officeDocument/2006/relationships/header" Target="header7.xml"/><Relationship Id="rId24" Type="http://schemas.openxmlformats.org/officeDocument/2006/relationships/footer" Target="footer16.xml"/><Relationship Id="rId23" Type="http://schemas.openxmlformats.org/officeDocument/2006/relationships/footer" Target="footer15.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9" Type="http://schemas.openxmlformats.org/officeDocument/2006/relationships/fontTable" Target="fontTable.xml"/><Relationship Id="rId108" Type="http://schemas.openxmlformats.org/officeDocument/2006/relationships/customXml" Target="../customXml/item2.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52.png"/><Relationship Id="rId104" Type="http://schemas.openxmlformats.org/officeDocument/2006/relationships/image" Target="media/image51.jpeg"/><Relationship Id="rId103" Type="http://schemas.openxmlformats.org/officeDocument/2006/relationships/image" Target="media/image50.png"/><Relationship Id="rId102" Type="http://schemas.openxmlformats.org/officeDocument/2006/relationships/image" Target="media/image49.jpeg"/><Relationship Id="rId101" Type="http://schemas.openxmlformats.org/officeDocument/2006/relationships/image" Target="media/image48.png"/><Relationship Id="rId100" Type="http://schemas.openxmlformats.org/officeDocument/2006/relationships/image" Target="media/image47.jpe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1027"/>
    <customShpInfo spid="_x0000_s2094"/>
    <customShpInfo spid="_x0000_s2095"/>
    <customShpInfo spid="_x0000_s2096"/>
    <customShpInfo spid="_x0000_s2097"/>
    <customShpInfo spid="_x0000_s2098"/>
    <customShpInfo spid="_x0000_s2099"/>
    <customShpInfo spid="_x0000_s2100"/>
    <customShpInfo spid="_x0000_s2102"/>
    <customShpInfo spid="_x0000_s2103"/>
    <customShpInfo spid="_x0000_s2104"/>
    <customShpInfo spid="_x0000_s2101"/>
    <customShpInfo spid="_x0000_s2105"/>
    <customShpInfo spid="_x0000_s2106"/>
    <customShpInfo spid="_x0000_s2107"/>
    <customShpInfo spid="_x0000_s2108"/>
    <customShpInfo spid="_x0000_s2109"/>
    <customShpInfo spid="_x0000_s2110"/>
    <customShpInfo spid="_x0000_s2111"/>
    <customShpInfo spid="_x0000_s2112"/>
    <customShpInfo spid="_x0000_s2114"/>
    <customShpInfo spid="_x0000_s2116"/>
    <customShpInfo spid="_x0000_s2117"/>
    <customShpInfo spid="_x0000_s2118"/>
    <customShpInfo spid="_x0000_s2119"/>
    <customShpInfo spid="_x0000_s2120"/>
    <customShpInfo spid="_x0000_s2121"/>
    <customShpInfo spid="_x0000_s2122"/>
    <customShpInfo spid="_x0000_s2123"/>
    <customShpInfo spid="_x0000_s2124"/>
    <customShpInfo spid="_x0000_s2126"/>
    <customShpInfo spid="_x0000_s2127"/>
    <customShpInfo spid="_x0000_s2128"/>
    <customShpInfo spid="_x0000_s2125"/>
    <customShpInfo spid="_x0000_s2129"/>
    <customShpInfo spid="_x0000_s2130"/>
    <customShpInfo spid="_x0000_s2131"/>
    <customShpInfo spid="_x0000_s2132"/>
    <customShpInfo spid="_x0000_s2133"/>
    <customShpInfo spid="_x0000_s2134"/>
    <customShpInfo spid="_x0000_s2135"/>
    <customShpInfo spid="_x0000_s2136"/>
    <customShpInfo spid="_x0000_s2093"/>
    <customShpInfo spid="_x0000_s2166"/>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175"/>
    <customShpInfo spid="_x0000_s2176"/>
    <customShpInfo spid="_x0000_s2177"/>
    <customShpInfo spid="_x0000_s2052"/>
    <customShpInfo spid="_x0000_s2168"/>
    <customShpInfo spid="_x0000_s2080"/>
    <customShpInfo spid="_x0000_s2171"/>
    <customShpInfo spid="_x0000_s2172"/>
    <customShpInfo spid="_x0000_s2170"/>
    <customShpInfo spid="_x0000_s2173"/>
    <customShpInfo spid="_x0000_s2169"/>
    <customShpInfo spid="_x0000_s2081"/>
    <customShpInfo spid="_x0000_s2167"/>
    <customShpInfo spid="_x0000_s5684"/>
    <customShpInfo spid="_x0000_s5695"/>
    <customShpInfo spid="_x0000_s5696"/>
    <customShpInfo spid="_x0000_s5697"/>
    <customShpInfo spid="_x0000_s5700"/>
    <customShpInfo spid="_x0000_s5721"/>
    <customShpInfo spid="_x0000_s5722"/>
    <customShpInfo spid="_x0000_s5723"/>
    <customShpInfo spid="_x0000_s5724"/>
    <customShpInfo spid="_x0000_s5725"/>
    <customShpInfo spid="_x0000_s5726"/>
    <customShpInfo spid="_x0000_s5727"/>
    <customShpInfo spid="_x0000_s5728"/>
    <customShpInfo spid="_x0000_s5729"/>
    <customShpInfo spid="_x0000_s5933"/>
    <customShpInfo spid="_x0000_s5934"/>
    <customShpInfo spid="_x0000_s5935"/>
    <customShpInfo spid="_x0000_s5937"/>
    <customShpInfo spid="_x0000_s5938"/>
    <customShpInfo spid="_x0000_s5939"/>
    <customShpInfo spid="_x0000_s5941"/>
    <customShpInfo spid="_x0000_s5942"/>
    <customShpInfo spid="_x0000_s5943"/>
    <customShpInfo spid="_x0000_s5944"/>
    <customShpInfo spid="_x0000_s5945"/>
    <customShpInfo spid="_x0000_s5948" textRotate="1"/>
    <customShpInfo spid="_x0000_s5949" textRotate="1"/>
    <customShpInfo spid="_x0000_s5947"/>
    <customShpInfo spid="_x0000_s5950" textRotate="1"/>
    <customShpInfo spid="_x0000_s5946"/>
    <customShpInfo spid="_x0000_s5951"/>
    <customShpInfo spid="_x0000_s5952"/>
    <customShpInfo spid="_x0000_s5953"/>
    <customShpInfo spid="_x0000_s5954"/>
    <customShpInfo spid="_x0000_s5955"/>
    <customShpInfo spid="_x0000_s5956"/>
    <customShpInfo spid="_x0000_s5957"/>
    <customShpInfo spid="_x0000_s5958"/>
    <customShpInfo spid="_x0000_s5959"/>
    <customShpInfo spid="_x0000_s5960"/>
    <customShpInfo spid="_x0000_s5932" textRotate="1"/>
    <customShpInfo spid="_x0000_s5961"/>
    <customShpInfo spid="_x0000_s2174"/>
    <customShpInfo spid="_x0000_s5831"/>
    <customShpInfo spid="_x0000_s5830"/>
    <customShpInfo spid="_x0000_s5828"/>
    <customShpInfo spid="_x0000_s5829"/>
    <customShpInfo spid="_x0000_s5833"/>
    <customShpInfo spid="_x0000_s5834"/>
    <customShpInfo spid="_x0000_s5855"/>
    <customShpInfo spid="_x0000_s5856"/>
    <customShpInfo spid="_x0000_s5857"/>
    <customShpInfo spid="_x0000_s5858"/>
    <customShpInfo spid="_x0000_s5859"/>
    <customShpInfo spid="_x0000_s5860"/>
    <customShpInfo spid="_x0000_s5861"/>
    <customShpInfo spid="_x0000_s5862"/>
    <customShpInfo spid="_x0000_s5863"/>
    <customShpInfo spid="_x0000_s5864"/>
    <customShpInfo spid="_x0000_s5865"/>
    <customShpInfo spid="_x0000_s5866"/>
    <customShpInfo spid="_x0000_s5867"/>
    <customShpInfo spid="_x0000_s5868"/>
    <customShpInfo spid="_x0000_s5869"/>
    <customShpInfo spid="_x0000_s5870"/>
    <customShpInfo spid="_x0000_s5871"/>
    <customShpInfo spid="_x0000_s5872"/>
    <customShpInfo spid="_x0000_s5893"/>
    <customShpInfo spid="_x0000_s5894" textRotate="1"/>
    <customShpInfo spid="_x0000_s5895" textRotate="1"/>
    <customShpInfo spid="_x0000_s5896"/>
    <customShpInfo spid="_x0000_s5897"/>
    <customShpInfo spid="_x0000_s5898"/>
    <customShpInfo spid="_x0000_s5899"/>
    <customShpInfo spid="_x0000_s5900"/>
    <customShpInfo spid="_x0000_s5901"/>
    <customShpInfo spid="_x0000_s5902"/>
    <customShpInfo spid="_x0000_s5903"/>
    <customShpInfo spid="_x0000_s5904"/>
    <customShpInfo spid="_x0000_s5962"/>
    <customShpInfo spid="_x0000_s5963"/>
    <customShpInfo spid="_x0000_s5832"/>
    <customShpInfo spid="_x0000_s6086"/>
    <customShpInfo spid="_x0000_s6081"/>
    <customShpInfo spid="_x0000_s6030"/>
    <customShpInfo spid="_x0000_s6075"/>
    <customShpInfo spid="_x0000_s6072"/>
    <customShpInfo spid="_x0000_s6071"/>
    <customShpInfo spid="_x0000_s6032"/>
    <customShpInfo spid="_x0000_s6033"/>
    <customShpInfo spid="_x0000_s6034"/>
    <customShpInfo spid="_x0000_s6035"/>
    <customShpInfo spid="_x0000_s6036"/>
    <customShpInfo spid="_x0000_s6039"/>
    <customShpInfo spid="_x0000_s6040"/>
    <customShpInfo spid="_x0000_s6038"/>
    <customShpInfo spid="_x0000_s6041"/>
    <customShpInfo spid="_x0000_s6037"/>
    <customShpInfo spid="_x0000_s6042"/>
    <customShpInfo spid="_x0000_s6044"/>
    <customShpInfo spid="_x0000_s6045"/>
    <customShpInfo spid="_x0000_s6046"/>
    <customShpInfo spid="_x0000_s6048"/>
    <customShpInfo spid="_x0000_s6049"/>
    <customShpInfo spid="_x0000_s6050"/>
    <customShpInfo spid="_x0000_s6051"/>
    <customShpInfo spid="_x0000_s6052"/>
    <customShpInfo spid="_x0000_s6053"/>
    <customShpInfo spid="_x0000_s6054"/>
    <customShpInfo spid="_x0000_s6055"/>
    <customShpInfo spid="_x0000_s6056"/>
    <customShpInfo spid="_x0000_s6057"/>
    <customShpInfo spid="_x0000_s6058"/>
    <customShpInfo spid="_x0000_s6059"/>
    <customShpInfo spid="_x0000_s6060"/>
    <customShpInfo spid="_x0000_s6061"/>
    <customShpInfo spid="_x0000_s6062"/>
    <customShpInfo spid="_x0000_s6063"/>
    <customShpInfo spid="_x0000_s6064"/>
    <customShpInfo spid="_x0000_s6065"/>
    <customShpInfo spid="_x0000_s6066"/>
    <customShpInfo spid="_x0000_s6067"/>
    <customShpInfo spid="_x0000_s6068"/>
    <customShpInfo spid="_x0000_s6069"/>
    <customShpInfo spid="_x0000_s6070"/>
    <customShpInfo spid="_x0000_s6076"/>
    <customShpInfo spid="_x0000_s6077"/>
    <customShpInfo spid="_x0000_s6078"/>
    <customShpInfo spid="_x0000_s6079"/>
    <customShpInfo spid="_x0000_s6080"/>
    <customShpInfo spid="_x0000_s6082"/>
    <customShpInfo spid="_x0000_s6083"/>
    <customShpInfo spid="_x0000_s6084"/>
    <customShpInfo spid="_x0000_s6087"/>
    <customShpInfo spid="_x0000_s6029"/>
    <customShpInfo spid="_x0000_s5987"/>
    <customShpInfo spid="_x0000_s5986"/>
    <customShpInfo spid="_x0000_s6001"/>
    <customShpInfo spid="_x0000_s5998" textRotate="1"/>
    <customShpInfo spid="_x0000_s5999" textRotate="1"/>
    <customShpInfo spid="_x0000_s5997"/>
    <customShpInfo spid="_x0000_s6000" textRotate="1"/>
    <customShpInfo spid="_x0000_s5996"/>
    <customShpInfo spid="_x0000_s5981"/>
    <customShpInfo spid="_x0000_s5985"/>
    <customShpInfo spid="_x0000_s5982"/>
    <customShpInfo spid="_x0000_s5983"/>
    <customShpInfo spid="_x0000_s5984"/>
    <customShpInfo spid="_x0000_s6024"/>
    <customShpInfo spid="_x0000_s6008"/>
    <customShpInfo spid="_x0000_s6010"/>
    <customShpInfo spid="_x0000_s6013" textRotate="1"/>
    <customShpInfo spid="_x0000_s6014" textRotate="1"/>
    <customShpInfo spid="_x0000_s6012"/>
    <customShpInfo spid="_x0000_s6015" textRotate="1"/>
    <customShpInfo spid="_x0000_s6011"/>
    <customShpInfo spid="_x0000_s6016" textRotate="1"/>
    <customShpInfo spid="_x0000_s6017"/>
    <customShpInfo spid="_x0000_s6018"/>
    <customShpInfo spid="_x0000_s6019"/>
    <customShpInfo spid="_x0000_s6020"/>
    <customShpInfo spid="_x0000_s6021"/>
    <customShpInfo spid="_x0000_s6022"/>
    <customShpInfo spid="_x0000_s6023"/>
    <customShpInfo spid="_x0000_s6009"/>
    <customShpInfo spid="_x0000_s5964"/>
    <customShpInfo spid="_x0000_s5965"/>
    <customShpInfo spid="_x0000_s6027"/>
    <customShpInfo spid="_x0000_s5966"/>
    <customShpInfo spid="_x0000_s5967"/>
    <customShpInfo spid="_x0000_s5969"/>
    <customShpInfo spid="_x0000_s5968"/>
    <customShpInfo spid="_x0000_s5971"/>
    <customShpInfo spid="_x0000_s5970"/>
    <customShpInfo spid="_x0000_s5979"/>
    <customShpInfo spid="_x0000_s5980"/>
    <customShpInfo spid="_x0000_s597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AC99B12-6551-4D19-BEC5-5615439B98C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60</Pages>
  <Words>15868</Words>
  <Characters>18441</Characters>
  <Lines>208</Lines>
  <Paragraphs>58</Paragraphs>
  <TotalTime>5</TotalTime>
  <ScaleCrop>false</ScaleCrop>
  <LinksUpToDate>false</LinksUpToDate>
  <CharactersWithSpaces>18842</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2017-07-31T00:57:00Z</dcterms:created>
  <dc:creator>微软用户</dc:creator>
  <cp:lastModifiedBy>Ltt</cp:lastModifiedBy>
  <cp:lastPrinted>2018-11-20T11:51:00Z</cp:lastPrinted>
  <dcterms:modified xsi:type="dcterms:W3CDTF">2020-05-21T01:19:34Z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