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3.2.0.0 -->
  <w:body>
    <w:p>
      <w:bookmarkStart w:id="0" w:name="_Toc80585283"/>
    </w:p>
    <w:p/>
    <w:p/>
    <w:p>
      <w:pPr>
        <w:jc w:val="center"/>
        <w:rPr>
          <w:rFonts w:ascii="华文仿宋" w:eastAsia="华文仿宋" w:hAnsi="华文仿宋"/>
          <w:b/>
          <w:bCs/>
          <w:sz w:val="40"/>
          <w:szCs w:val="18"/>
        </w:rPr>
      </w:pPr>
      <w:r>
        <w:rPr>
          <w:rFonts w:ascii="华文仿宋" w:eastAsia="华文仿宋" w:hAnsi="华文仿宋" w:hint="eastAsia"/>
          <w:b/>
          <w:bCs/>
          <w:sz w:val="40"/>
          <w:szCs w:val="18"/>
        </w:rPr>
        <w:t>“广东平安小水电”移动监管平台</w:t>
      </w:r>
    </w:p>
    <w:p>
      <w:pPr>
        <w:jc w:val="center"/>
        <w:rPr>
          <w:rFonts w:ascii="华文仿宋" w:eastAsia="华文仿宋" w:hAnsi="华文仿宋"/>
          <w:b/>
          <w:bCs/>
          <w:sz w:val="52"/>
        </w:rPr>
      </w:pPr>
      <w:r>
        <w:rPr>
          <w:rFonts w:ascii="华文仿宋" w:eastAsia="华文仿宋" w:hAnsi="华文仿宋" w:hint="eastAsia"/>
          <w:b/>
          <w:bCs/>
          <w:sz w:val="52"/>
        </w:rPr>
        <w:t>水行政主管部门用户手册</w:t>
      </w:r>
    </w:p>
    <w:p/>
    <w:p/>
    <w:p/>
    <w:p/>
    <w:p/>
    <w:p/>
    <w:p/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jc w:val="center"/>
        <w:rPr>
          <w:rFonts w:ascii="黑体" w:eastAsia="黑体"/>
          <w:sz w:val="48"/>
          <w:szCs w:val="48"/>
        </w:rPr>
      </w:pPr>
      <w:r>
        <w:rPr>
          <w:rFonts w:hint="eastAsia"/>
        </w:rPr>
        <w:drawing>
          <wp:inline distT="0" distB="0" distL="0" distR="0">
            <wp:extent cx="657225" cy="657225"/>
            <wp:effectExtent l="0" t="0" r="9525" b="9525"/>
            <wp:docPr id="76" name="图片 76" descr="QQ截图20130904164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QQ截图2013090416495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广东华南水电高新技术开发有限公司</w:t>
      </w:r>
    </w:p>
    <w:p>
      <w:pPr>
        <w:jc w:val="center"/>
      </w:pPr>
      <w:r>
        <w:t>20</w:t>
      </w:r>
      <w:r>
        <w:rPr>
          <w:rFonts w:hint="eastAsia"/>
        </w:rPr>
        <w:t>20年0</w:t>
      </w:r>
      <w:r>
        <w:t>6</w:t>
      </w:r>
      <w:r>
        <w:rPr>
          <w:rFonts w:hint="eastAsia"/>
        </w:rPr>
        <w:t>月</w:t>
      </w:r>
      <w:r>
        <w:t>05</w:t>
      </w:r>
      <w:r>
        <w:rPr>
          <w:rFonts w:hint="eastAsia"/>
        </w:rPr>
        <w:t>日</w:t>
      </w:r>
    </w:p>
    <w:p>
      <w:pPr>
        <w:widowControl/>
        <w:spacing w:line="240" w:lineRule="auto"/>
      </w:pPr>
      <w:r>
        <w:br w:type="page"/>
      </w:r>
    </w:p>
    <w:sdt>
      <w:sdtPr>
        <w:rPr>
          <w:rFonts w:ascii="宋体" w:eastAsia="宋体" w:hAnsi="宋体" w:cstheme="minorBidi"/>
          <w:color w:val="auto"/>
          <w:kern w:val="2"/>
          <w:sz w:val="28"/>
          <w:szCs w:val="22"/>
          <w:lang w:val="zh-CN"/>
        </w:rPr>
        <w:id w:val="-1929956550"/>
        <w:richText/>
      </w:sdtPr>
      <w:sdtEndPr>
        <w:rPr>
          <w:rFonts w:ascii="宋体" w:eastAsia="宋体" w:hAnsi="宋体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TOC10"/>
            <w:jc w:val="center"/>
            <w:rPr>
              <w:rFonts w:ascii="宋体" w:eastAsia="宋体" w:hAnsi="宋体"/>
              <w:b/>
              <w:color w:val="000000" w:themeColor="text1"/>
              <w:sz w:val="40"/>
            </w:rPr>
          </w:pPr>
          <w:r>
            <w:rPr>
              <w:rFonts w:ascii="宋体" w:eastAsia="宋体" w:hAnsi="宋体"/>
              <w:b/>
              <w:color w:val="000000" w:themeColor="text1"/>
              <w:sz w:val="40"/>
              <w:lang w:val="zh-CN"/>
            </w:rPr>
            <w:t>目</w:t>
          </w:r>
          <w:r>
            <w:rPr>
              <w:rFonts w:ascii="宋体" w:eastAsia="宋体" w:hAnsi="宋体" w:hint="eastAsia"/>
              <w:b/>
              <w:color w:val="000000" w:themeColor="text1"/>
              <w:sz w:val="40"/>
              <w:lang w:val="zh-CN"/>
            </w:rPr>
            <w:t xml:space="preserve"> </w:t>
          </w:r>
          <w:r>
            <w:rPr>
              <w:rFonts w:ascii="宋体" w:eastAsia="宋体" w:hAnsi="宋体"/>
              <w:b/>
              <w:color w:val="000000" w:themeColor="text1"/>
              <w:sz w:val="40"/>
              <w:lang w:val="zh-CN"/>
            </w:rPr>
            <w:t xml:space="preserve"> 录</w:t>
          </w:r>
        </w:p>
        <w:p>
          <w:pPr>
            <w:pStyle w:val="TOC1"/>
            <w:tabs>
              <w:tab w:val="left" w:pos="420"/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1"/>
              <w:szCs w:val="22"/>
            </w:rPr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TOC \o "1-3" \h \z \u </w:instrText>
          </w:r>
          <w:r>
            <w:rPr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"_Toc43819886" </w:instrText>
          </w:r>
          <w:r>
            <w:fldChar w:fldCharType="separate"/>
          </w:r>
          <w:r>
            <w:rPr>
              <w:rStyle w:val="Hyperlink"/>
              <w:rFonts w:cs="宋体"/>
            </w:rPr>
            <w:t>1</w:t>
          </w:r>
          <w:r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Hyperlink"/>
            </w:rPr>
            <w:t>总述</w:t>
          </w:r>
          <w:r>
            <w:tab/>
          </w:r>
          <w:r>
            <w:fldChar w:fldCharType="begin"/>
          </w:r>
          <w:r>
            <w:instrText xml:space="preserve"> PAGEREF _Toc43819886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"_Toc43819887"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1.1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_Toc43819887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"_Toc43819888"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1.2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系统概述</w:t>
          </w:r>
          <w:r>
            <w:tab/>
          </w:r>
          <w:r>
            <w:fldChar w:fldCharType="begin"/>
          </w:r>
          <w:r>
            <w:instrText xml:space="preserve"> PAGEREF _Toc43819888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TOC1"/>
            <w:tabs>
              <w:tab w:val="left" w:pos="420"/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"_Toc43819889" </w:instrText>
          </w:r>
          <w:r>
            <w:fldChar w:fldCharType="separate"/>
          </w:r>
          <w:r>
            <w:rPr>
              <w:rStyle w:val="Hyperlink"/>
              <w:rFonts w:cs="宋体"/>
            </w:rPr>
            <w:t>2</w:t>
          </w:r>
          <w:r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Hyperlink"/>
            </w:rPr>
            <w:t>小程序扫码登录</w:t>
          </w:r>
          <w:r>
            <w:tab/>
          </w:r>
          <w:r>
            <w:fldChar w:fldCharType="begin"/>
          </w:r>
          <w:r>
            <w:instrText xml:space="preserve"> PAGEREF _Toc43819889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TOC1"/>
            <w:tabs>
              <w:tab w:val="left" w:pos="420"/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"_Toc43819890" </w:instrText>
          </w:r>
          <w:r>
            <w:fldChar w:fldCharType="separate"/>
          </w:r>
          <w:r>
            <w:rPr>
              <w:rStyle w:val="Hyperlink"/>
              <w:rFonts w:cs="宋体"/>
            </w:rPr>
            <w:t>3</w:t>
          </w:r>
          <w:r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Hyperlink"/>
            </w:rPr>
            <w:t>功能模块说明</w:t>
          </w:r>
          <w:r>
            <w:tab/>
          </w:r>
          <w:r>
            <w:fldChar w:fldCharType="begin"/>
          </w:r>
          <w:r>
            <w:instrText xml:space="preserve"> PAGEREF _Toc43819890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"_Toc43819891"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3.1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概要说明</w:t>
          </w:r>
          <w:r>
            <w:tab/>
          </w:r>
          <w:r>
            <w:fldChar w:fldCharType="begin"/>
          </w:r>
          <w:r>
            <w:instrText xml:space="preserve"> PAGEREF _Toc43819891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"_Toc43819892"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3.2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系统主页</w:t>
          </w:r>
          <w:r>
            <w:tab/>
          </w:r>
          <w:r>
            <w:fldChar w:fldCharType="begin"/>
          </w:r>
          <w:r>
            <w:instrText xml:space="preserve"> PAGEREF _Toc43819892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"_Toc43819893"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3.3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电站查询</w:t>
          </w:r>
          <w:r>
            <w:tab/>
          </w:r>
          <w:r>
            <w:fldChar w:fldCharType="begin"/>
          </w:r>
          <w:r>
            <w:instrText xml:space="preserve"> PAGEREF _Toc43819893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"_Toc43819894"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3.4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周边服务</w:t>
          </w:r>
          <w:r>
            <w:tab/>
          </w:r>
          <w:r>
            <w:fldChar w:fldCharType="begin"/>
          </w:r>
          <w:r>
            <w:instrText xml:space="preserve"> PAGEREF _Toc43819894 \h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"_Toc43819895"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3.5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通知公告</w:t>
          </w:r>
          <w:r>
            <w:tab/>
          </w:r>
          <w:r>
            <w:fldChar w:fldCharType="begin"/>
          </w:r>
          <w:r>
            <w:instrText xml:space="preserve"> PAGEREF _Toc43819895 \h </w:instrText>
          </w:r>
          <w:r>
            <w:fldChar w:fldCharType="separate"/>
          </w:r>
          <w:r>
            <w:t>- 7 -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"_Toc43819896"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3.6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待办事项</w:t>
          </w:r>
          <w:r>
            <w:tab/>
          </w:r>
          <w:r>
            <w:fldChar w:fldCharType="begin"/>
          </w:r>
          <w:r>
            <w:instrText xml:space="preserve"> PAGEREF _Toc43819896 \h </w:instrText>
          </w:r>
          <w:r>
            <w:fldChar w:fldCharType="separate"/>
          </w:r>
          <w:r>
            <w:t>- 8 -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"_Toc43819897"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3.7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监督检查</w:t>
          </w:r>
          <w:r>
            <w:tab/>
          </w:r>
          <w:r>
            <w:fldChar w:fldCharType="begin"/>
          </w:r>
          <w:r>
            <w:instrText xml:space="preserve"> PAGEREF _Toc43819897 \h </w:instrText>
          </w:r>
          <w:r>
            <w:fldChar w:fldCharType="separate"/>
          </w:r>
          <w:r>
            <w:t>- 8 -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"_Toc43819898"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3.8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电站自检</w:t>
          </w:r>
          <w:r>
            <w:tab/>
          </w:r>
          <w:r>
            <w:fldChar w:fldCharType="begin"/>
          </w:r>
          <w:r>
            <w:instrText xml:space="preserve"> PAGEREF _Toc43819898 \h </w:instrText>
          </w:r>
          <w:r>
            <w:fldChar w:fldCharType="separate"/>
          </w:r>
          <w:r>
            <w:t>- 11 -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"_Toc43819899"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3.9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责任落实</w:t>
          </w:r>
          <w:r>
            <w:tab/>
          </w:r>
          <w:r>
            <w:fldChar w:fldCharType="begin"/>
          </w:r>
          <w:r>
            <w:instrText xml:space="preserve"> PAGEREF _Toc43819899 \h </w:instrText>
          </w:r>
          <w:r>
            <w:fldChar w:fldCharType="separate"/>
          </w:r>
          <w:r>
            <w:t>- 13 -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"_Toc43819900"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3.10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安全隐患</w:t>
          </w:r>
          <w:r>
            <w:tab/>
          </w:r>
          <w:r>
            <w:fldChar w:fldCharType="begin"/>
          </w:r>
          <w:r>
            <w:instrText xml:space="preserve"> PAGEREF _Toc43819900 \h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"_Toc43819901"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3.11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水雨情摘要</w:t>
          </w:r>
          <w:r>
            <w:tab/>
          </w:r>
          <w:r>
            <w:fldChar w:fldCharType="begin"/>
          </w:r>
          <w:r>
            <w:instrText xml:space="preserve"> PAGEREF _Toc43819901 \h </w:instrText>
          </w:r>
          <w:r>
            <w:fldChar w:fldCharType="separate"/>
          </w:r>
          <w:r>
            <w:t>- 17 -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"_Toc43819902"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3.12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水情信息</w:t>
          </w:r>
          <w:r>
            <w:tab/>
          </w:r>
          <w:r>
            <w:fldChar w:fldCharType="begin"/>
          </w:r>
          <w:r>
            <w:instrText xml:space="preserve"> PAGEREF _Toc43819902 \h </w:instrText>
          </w:r>
          <w:r>
            <w:fldChar w:fldCharType="separate"/>
          </w:r>
          <w:r>
            <w:t>- 17 -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"_Toc43819903"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3.13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雨情信息</w:t>
          </w:r>
          <w:r>
            <w:tab/>
          </w:r>
          <w:r>
            <w:fldChar w:fldCharType="begin"/>
          </w:r>
          <w:r>
            <w:instrText xml:space="preserve"> PAGEREF _Toc43819903 \h </w:instrText>
          </w:r>
          <w:r>
            <w:fldChar w:fldCharType="separate"/>
          </w:r>
          <w:r>
            <w:t>- 18 -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"_Toc43819904"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3.14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视频监控</w:t>
          </w:r>
          <w:r>
            <w:tab/>
          </w:r>
          <w:r>
            <w:fldChar w:fldCharType="begin"/>
          </w:r>
          <w:r>
            <w:instrText xml:space="preserve"> PAGEREF _Toc43819904 \h </w:instrText>
          </w:r>
          <w:r>
            <w:fldChar w:fldCharType="separate"/>
          </w:r>
          <w:r>
            <w:t>- 19 -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"_Toc43819905"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3.15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天气预报</w:t>
          </w:r>
          <w:r>
            <w:tab/>
          </w:r>
          <w:r>
            <w:fldChar w:fldCharType="begin"/>
          </w:r>
          <w:r>
            <w:instrText xml:space="preserve"> PAGEREF _Toc43819905 \h </w:instrText>
          </w:r>
          <w:r>
            <w:fldChar w:fldCharType="separate"/>
          </w:r>
          <w:r>
            <w:t>- 20 -</w:t>
          </w:r>
          <w:r>
            <w:fldChar w:fldCharType="end"/>
          </w:r>
          <w:r>
            <w:fldChar w:fldCharType="end"/>
          </w:r>
        </w:p>
        <w:p>
          <w:pPr>
            <w:pStyle w:val="TOC1"/>
            <w:tabs>
              <w:tab w:val="left" w:pos="420"/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"_Toc43819906" </w:instrText>
          </w:r>
          <w:r>
            <w:fldChar w:fldCharType="separate"/>
          </w:r>
          <w:r>
            <w:rPr>
              <w:rStyle w:val="Hyperlink"/>
              <w:rFonts w:cs="宋体"/>
            </w:rPr>
            <w:t>4</w:t>
          </w:r>
          <w:r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Hyperlink"/>
            </w:rPr>
            <w:t>数据核查员工作说明</w:t>
          </w:r>
          <w:r>
            <w:tab/>
          </w:r>
          <w:r>
            <w:fldChar w:fldCharType="begin"/>
          </w:r>
          <w:r>
            <w:instrText xml:space="preserve"> PAGEREF _Toc43819906 \h </w:instrText>
          </w:r>
          <w:r>
            <w:fldChar w:fldCharType="separate"/>
          </w:r>
          <w:r>
            <w:t>- 21 -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"_Toc43819907"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4.1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安全隐患整改结果审核</w:t>
          </w:r>
          <w:r>
            <w:tab/>
          </w:r>
          <w:r>
            <w:fldChar w:fldCharType="begin"/>
          </w:r>
          <w:r>
            <w:instrText xml:space="preserve"> PAGEREF _Toc43819907 \h </w:instrText>
          </w:r>
          <w:r>
            <w:fldChar w:fldCharType="separate"/>
          </w:r>
          <w:r>
            <w:t>- 21 -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"_Toc43819908"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4.2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责任人信息审核</w:t>
          </w:r>
          <w:r>
            <w:tab/>
          </w:r>
          <w:r>
            <w:fldChar w:fldCharType="begin"/>
          </w:r>
          <w:r>
            <w:instrText xml:space="preserve"> PAGEREF _Toc43819908 \h </w:instrText>
          </w:r>
          <w:r>
            <w:fldChar w:fldCharType="separate"/>
          </w:r>
          <w:r>
            <w:t>- 23 -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"_Toc43819909"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4.3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电站核查信息审核</w:t>
          </w:r>
          <w:r>
            <w:tab/>
          </w:r>
          <w:r>
            <w:fldChar w:fldCharType="begin"/>
          </w:r>
          <w:r>
            <w:instrText xml:space="preserve"> PAGEREF _Toc43819909 \h </w:instrText>
          </w:r>
          <w:r>
            <w:fldChar w:fldCharType="separate"/>
          </w:r>
          <w:r>
            <w:t>- 26 -</w:t>
          </w:r>
          <w:r>
            <w:fldChar w:fldCharType="end"/>
          </w:r>
          <w:r>
            <w:fldChar w:fldCharType="end"/>
          </w:r>
        </w:p>
        <w:p>
          <w:pPr>
            <w:pStyle w:val="TOC1"/>
            <w:tabs>
              <w:tab w:val="left" w:pos="420"/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"_Toc43819910" </w:instrText>
          </w:r>
          <w:r>
            <w:fldChar w:fldCharType="separate"/>
          </w:r>
          <w:r>
            <w:rPr>
              <w:rStyle w:val="Hyperlink"/>
              <w:rFonts w:cs="宋体"/>
            </w:rPr>
            <w:t>5</w:t>
          </w:r>
          <w:r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Hyperlink"/>
            </w:rPr>
            <w:t>技术支撑</w:t>
          </w:r>
          <w:r>
            <w:tab/>
          </w:r>
          <w:r>
            <w:fldChar w:fldCharType="begin"/>
          </w:r>
          <w:r>
            <w:instrText xml:space="preserve"> PAGEREF _Toc43819910 \h </w:instrText>
          </w:r>
          <w:r>
            <w:fldChar w:fldCharType="separate"/>
          </w:r>
          <w:r>
            <w:t>- 29 -</w:t>
          </w:r>
          <w:r>
            <w:fldChar w:fldCharType="end"/>
          </w:r>
          <w:r>
            <w:fldChar w:fldCharType="end"/>
          </w:r>
        </w:p>
        <w:p>
          <w:pPr>
            <w:sectPr>
              <w:pgSz w:w="11906" w:h="16838"/>
              <w:pgMar w:top="1440" w:right="1797" w:bottom="1440" w:left="1797" w:header="851" w:footer="992" w:gutter="0"/>
              <w:pgNumType w:fmt="upperRoman" w:start="1"/>
              <w:cols w:num="1" w:space="720"/>
              <w:titlePg/>
              <w:docGrid w:type="lines" w:linePitch="312" w:charSpace="0"/>
            </w:sectPr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Heading1"/>
      </w:pPr>
      <w:bookmarkEnd w:id="0"/>
      <w:bookmarkStart w:id="1" w:name="_Toc43819886"/>
      <w:bookmarkStart w:id="2" w:name="_Toc12171"/>
      <w:bookmarkStart w:id="3" w:name="_Toc14843"/>
      <w:bookmarkStart w:id="4" w:name="_Toc383508643"/>
      <w:r>
        <w:rPr>
          <w:rFonts w:hint="eastAsia"/>
        </w:rPr>
        <w:t>总述</w:t>
      </w:r>
      <w:bookmarkEnd w:id="1"/>
      <w:bookmarkEnd w:id="2"/>
    </w:p>
    <w:p>
      <w:pPr>
        <w:pStyle w:val="Heading2"/>
      </w:pPr>
      <w:bookmarkStart w:id="5" w:name="_Toc31640"/>
      <w:bookmarkStart w:id="6" w:name="_Toc43819887"/>
      <w:r>
        <w:rPr>
          <w:rFonts w:hint="eastAsia"/>
        </w:rPr>
        <w:t>编写目的</w:t>
      </w:r>
      <w:bookmarkEnd w:id="5"/>
      <w:bookmarkEnd w:id="6"/>
    </w:p>
    <w:p>
      <w:r>
        <w:rPr>
          <w:rFonts w:hint="eastAsia"/>
        </w:rPr>
        <w:t>　　1、编写</w:t>
      </w:r>
      <w:r>
        <w:t>用户手册</w:t>
      </w:r>
      <w:r>
        <w:rPr>
          <w:rFonts w:hint="eastAsia"/>
        </w:rPr>
        <w:t>的主要目的</w:t>
      </w:r>
    </w:p>
    <w:p>
      <w:r>
        <w:t>　　详细描述</w:t>
      </w:r>
      <w:r>
        <w:rPr>
          <w:rFonts w:hint="eastAsia"/>
        </w:rPr>
        <w:t>“广东平安小水电”移动监管平台系统</w:t>
      </w:r>
      <w:r>
        <w:t>界面，</w:t>
      </w:r>
      <w:r>
        <w:rPr>
          <w:rFonts w:hint="eastAsia"/>
        </w:rPr>
        <w:t>帮助</w:t>
      </w:r>
      <w:r>
        <w:t>用户</w:t>
      </w:r>
      <w:r>
        <w:rPr>
          <w:rFonts w:hint="eastAsia"/>
        </w:rPr>
        <w:t>更快、</w:t>
      </w:r>
      <w:r>
        <w:t>更全面的了解如何使用该</w:t>
      </w:r>
      <w:r>
        <w:rPr>
          <w:rFonts w:hint="eastAsia"/>
        </w:rPr>
        <w:t>系统</w:t>
      </w:r>
      <w:r>
        <w:t>。</w:t>
      </w:r>
    </w:p>
    <w:p>
      <w:r>
        <w:rPr>
          <w:rFonts w:hint="eastAsia"/>
        </w:rPr>
        <w:t>　　2、本用户手册的预期读者</w:t>
      </w:r>
    </w:p>
    <w:p>
      <w:r>
        <w:rPr>
          <w:rFonts w:hint="eastAsia"/>
        </w:rPr>
        <w:t>　　水行政管理用户</w:t>
      </w:r>
    </w:p>
    <w:p>
      <w:pPr>
        <w:pStyle w:val="Heading2"/>
      </w:pPr>
      <w:bookmarkStart w:id="7" w:name="_Toc43819888"/>
      <w:bookmarkStart w:id="8" w:name="_Toc17283"/>
      <w:r>
        <w:rPr>
          <w:rFonts w:hint="eastAsia"/>
        </w:rPr>
        <w:t>系统概述</w:t>
      </w:r>
      <w:bookmarkEnd w:id="7"/>
      <w:bookmarkEnd w:id="8"/>
    </w:p>
    <w:p>
      <w:r>
        <w:rPr>
          <w:rFonts w:hint="eastAsia"/>
        </w:rPr>
        <w:t>　　系统是由广东华南水电高新技术开发有限公司自主设计研发，在省水利互联网+的技术标准和支撑服务基础上，根据广东省小水电站管理的实际情况，基于腾讯微信小程序进行开发的一个小程序工作平台。</w:t>
      </w:r>
    </w:p>
    <w:p>
      <w:pPr>
        <w:ind w:firstLine="645"/>
      </w:pPr>
      <w:r>
        <w:rPr>
          <w:rFonts w:hint="eastAsia"/>
        </w:rPr>
        <w:t>系统为用户提供了一个行政部门与小水电站的业务协同平台，让电站的监管业务变得更智能化、系统化，让用户可以更方便快捷直观地管理电站。</w:t>
      </w:r>
    </w:p>
    <w:p>
      <w:pPr>
        <w:widowControl/>
        <w:spacing w:line="240" w:lineRule="auto"/>
      </w:pPr>
      <w:r>
        <w:br w:type="page"/>
      </w:r>
    </w:p>
    <w:p>
      <w:pPr>
        <w:pStyle w:val="Heading1"/>
      </w:pPr>
      <w:bookmarkEnd w:id="3"/>
      <w:bookmarkStart w:id="9" w:name="_Toc43819889"/>
      <w:bookmarkStart w:id="10" w:name="_Toc13770"/>
      <w:r>
        <w:rPr>
          <w:rFonts w:hint="eastAsia"/>
        </w:rPr>
        <w:t>小程序扫码登录</w:t>
      </w:r>
      <w:bookmarkEnd w:id="9"/>
      <w:bookmarkEnd w:id="10"/>
    </w:p>
    <w:p>
      <w:pPr>
        <w:ind w:firstLine="480" w:firstLineChars="200"/>
        <w:jc w:val="both"/>
      </w:pPr>
      <w:bookmarkStart w:id="11" w:name="_Toc407711235"/>
      <w:bookmarkEnd w:id="11"/>
      <w:bookmarkStart w:id="12" w:name="_Toc407098362"/>
      <w:bookmarkEnd w:id="12"/>
      <w:bookmarkStart w:id="13" w:name="_Toc407091282"/>
      <w:bookmarkEnd w:id="13"/>
      <w:bookmarkStart w:id="14" w:name="_Toc407712845"/>
      <w:bookmarkEnd w:id="14"/>
      <w:bookmarkStart w:id="15" w:name="_Toc407100888"/>
      <w:bookmarkEnd w:id="15"/>
      <w:r>
        <w:rPr>
          <w:rFonts w:hint="eastAsia"/>
        </w:rPr>
        <w:t>使用微信扫一扫功能，扫描广东平安小水电二维码，扫描成功后点击授权手机号登录。</w:t>
      </w:r>
    </w:p>
    <w:p>
      <w:pPr>
        <w:jc w:val="center"/>
      </w:pPr>
      <w:r>
        <w:drawing>
          <wp:inline distT="0" distB="0" distL="0" distR="0">
            <wp:extent cx="2897505" cy="2897505"/>
            <wp:effectExtent l="0" t="0" r="0" b="0"/>
            <wp:docPr id="15" name="图片 15" descr="C:\Users\Lenovo\Documents\Tencent Files\357562115\FileRecv\广东小水电小程序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enovo\Documents\Tencent Files\357562115\FileRecv\广东小水电小程序二维码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480" w:firstLineChars="200"/>
      </w:pPr>
      <w:r>
        <w:rPr>
          <w:rFonts w:hint="eastAsia"/>
        </w:rPr>
        <w:t>本应用通过“广东水利公众号”进行实时消息推送，请扫码关注“广东水利公众号”。</w:t>
      </w:r>
    </w:p>
    <w:p>
      <w:pPr>
        <w:jc w:val="center"/>
      </w:pPr>
      <w:r>
        <w:drawing>
          <wp:inline distT="0" distB="0" distL="0" distR="0">
            <wp:extent cx="2209165" cy="2228215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widowControl/>
        <w:spacing w:line="240" w:lineRule="auto"/>
      </w:pPr>
      <w:r>
        <w:br w:type="page"/>
      </w:r>
    </w:p>
    <w:p>
      <w:pPr>
        <w:pStyle w:val="Heading1"/>
      </w:pPr>
      <w:bookmarkEnd w:id="4"/>
      <w:bookmarkStart w:id="16" w:name="_Toc43819890"/>
      <w:bookmarkStart w:id="17" w:name="_Toc9403"/>
      <w:bookmarkStart w:id="18" w:name="_Toc13470"/>
      <w:r>
        <w:rPr>
          <w:rFonts w:hint="eastAsia"/>
        </w:rPr>
        <w:t>功能模块</w:t>
      </w:r>
      <w:r>
        <w:t>说明</w:t>
      </w:r>
      <w:bookmarkEnd w:id="16"/>
      <w:bookmarkEnd w:id="17"/>
      <w:bookmarkEnd w:id="18"/>
    </w:p>
    <w:p>
      <w:pPr>
        <w:pStyle w:val="Heading2"/>
      </w:pPr>
      <w:bookmarkStart w:id="19" w:name="_Toc43819891"/>
      <w:r>
        <w:rPr>
          <w:rFonts w:hint="eastAsia"/>
        </w:rPr>
        <w:t>概要说明</w:t>
      </w:r>
      <w:bookmarkEnd w:id="19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height:1pt;width:1pt">
            <v:imagedata r:id="rId9" o:title=""/>
          </v:shape>
        </w:pict>
      </w:r>
    </w:p>
    <w:tbl>
      <w:tblPr>
        <w:tblStyle w:val="TableGrid"/>
        <w:tblW w:w="987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7777"/>
      </w:tblGrid>
      <w:tr>
        <w:tblPrEx>
          <w:tblW w:w="9870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  <w:shd w:val="clear" w:color="auto" w:fill="E7E6E6" w:themeFill="background2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名称</w:t>
            </w:r>
          </w:p>
        </w:tc>
        <w:tc>
          <w:tcPr>
            <w:tcW w:w="7777" w:type="dxa"/>
            <w:shd w:val="clear" w:color="auto" w:fill="E7E6E6" w:themeFill="background2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简介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系统主页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提供便捷入口、统计分析功能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电站查询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查询电站详细信息、定位导航、各区域电站、绿色小水电和增效扩容的数量。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周边服务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提供周边的电站、雨情查询服务。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通知公告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查看最新的通知公告。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待办事项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个人的待审批事项。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监督检查</w:t>
            </w:r>
          </w:p>
        </w:tc>
        <w:tc>
          <w:tcPr>
            <w:tcW w:w="7777" w:type="dxa"/>
          </w:tcPr>
          <w:p>
            <w:r>
              <w:rPr>
                <w:rFonts w:hint="eastAsia"/>
                <w:bCs/>
              </w:rPr>
              <w:t>水行政管理人员对所管辖范围内的电站进行监督检查，通过“广东平安小水电”小程序进行线上录入检查结果到系统中，提供可跟踪、流程化管理。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电站自检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要求电站的工作人员，每个季度需要对电站进行一次自行检查，并通过“广东平安小水电”小程序录入检查结果、安全隐患到系统中。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责任落实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核实每个电站的相关责任人信息，由水电站人员填写上报，县级核查员进行审核。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安全隐患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安全隐患的数据主要来源于水行政人员的【监督检查】与水电站工作人员的【电站自检】，可查看隐患整改落实情况。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水雨情摘要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查看实时水雨情摘要信息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水情信息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提供测站数量、超汛限数量和数据列表，点击列表项可查看详细水情信息。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雨情信息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提供测站数量、降雨数量和数据列表，点击列表项可查看详细雨情信息。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视频监控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视频在线观看和监控。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天气预报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可查看未来4天的天气预报。</w:t>
            </w:r>
          </w:p>
        </w:tc>
      </w:tr>
    </w:tbl>
    <w:p>
      <w:bookmarkStart w:id="20" w:name="_Toc152"/>
      <w:bookmarkStart w:id="21" w:name="_Toc14386"/>
    </w:p>
    <w:p>
      <w:pPr>
        <w:pStyle w:val="Heading2"/>
      </w:pPr>
      <w:bookmarkStart w:id="22" w:name="_Toc43819892"/>
      <w:r>
        <w:rPr>
          <w:rFonts w:hint="eastAsia"/>
        </w:rPr>
        <w:t>系统主</w:t>
      </w:r>
      <w:bookmarkEnd w:id="20"/>
      <w:bookmarkEnd w:id="21"/>
      <w:r>
        <w:rPr>
          <w:rFonts w:hint="eastAsia"/>
        </w:rPr>
        <w:t>页</w:t>
      </w:r>
      <w:bookmarkEnd w:id="22"/>
      <w:r>
        <w:pict>
          <v:shape id="_x0000_i1026" type="#_x0000_t75" style="height:1pt;width:1pt">
            <v:imagedata r:id="rId9" o:title=""/>
          </v:shape>
        </w:pict>
      </w:r>
    </w:p>
    <w:p>
      <w:r>
        <w:rPr>
          <w:rFonts w:hint="eastAsia"/>
        </w:rPr>
        <w:t>　　系统主界面为各类信息提供便捷的入口， 包括有电站查询，监督检查，电站自检，安全隐患，通知公告，代办事项，水情信息，雨情信息、电站核查、责任落实以及周边信息。</w:t>
      </w:r>
    </w:p>
    <w:p>
      <w:pPr>
        <w:jc w:val="center"/>
      </w:pPr>
      <w:r>
        <w:drawing>
          <wp:inline distT="0" distB="0" distL="0" distR="0">
            <wp:extent cx="1799590" cy="3901440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　</w:t>
      </w:r>
      <w:r>
        <w:t xml:space="preserve"> </w:t>
      </w:r>
      <w:r>
        <w:drawing>
          <wp:inline distT="0" distB="0" distL="0" distR="0">
            <wp:extent cx="1799590" cy="3899535"/>
            <wp:effectExtent l="0" t="0" r="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3" w:name="_Toc31193"/>
      <w:bookmarkStart w:id="24" w:name="_Toc22216"/>
      <w:bookmarkStart w:id="25" w:name="_Toc43819893"/>
      <w:r>
        <w:rPr>
          <w:rFonts w:hint="eastAsia"/>
        </w:rPr>
        <w:t>电站</w:t>
      </w:r>
      <w:bookmarkEnd w:id="23"/>
      <w:bookmarkEnd w:id="24"/>
      <w:r>
        <w:rPr>
          <w:rFonts w:hint="eastAsia"/>
        </w:rPr>
        <w:t>查询</w:t>
      </w:r>
      <w:bookmarkEnd w:id="25"/>
    </w:p>
    <w:p>
      <w:pPr>
        <w:ind w:firstLine="480"/>
      </w:pPr>
      <w:r>
        <w:rPr>
          <w:rFonts w:hint="eastAsia"/>
        </w:rPr>
        <w:t>在小水电首页，点击</w:t>
      </w:r>
      <w:r>
        <w:drawing>
          <wp:inline distT="0" distB="0" distL="114300" distR="114300">
            <wp:extent cx="638175" cy="583565"/>
            <wp:effectExtent l="0" t="0" r="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798" cy="59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，进入电站查询栏目。</w:t>
      </w:r>
    </w:p>
    <w:p>
      <w:pPr>
        <w:ind w:firstLine="480"/>
      </w:pPr>
      <w:r>
        <w:rPr>
          <w:rFonts w:hint="eastAsia"/>
          <w:b/>
          <w:bCs/>
        </w:rPr>
        <w:t>统计汇总：</w:t>
      </w:r>
      <w:r>
        <w:rPr>
          <w:rFonts w:hint="eastAsia"/>
        </w:rPr>
        <w:t>可以浏览所管辖范围内的电站、绿色小水电、增效扩容、安全达标、防汛任务的电站数量，点击各行政区划，可进入查看相关区域电站列表。</w:t>
      </w:r>
    </w:p>
    <w:p>
      <w:pPr>
        <w:ind w:firstLine="480"/>
      </w:pPr>
      <w:r>
        <w:rPr>
          <w:rFonts w:hint="eastAsia"/>
          <w:b/>
          <w:bCs/>
        </w:rPr>
        <w:t>电站列表：</w:t>
      </w:r>
      <w:r>
        <w:rPr>
          <w:rFonts w:hint="eastAsia"/>
        </w:rPr>
        <w:t>提供模糊检索、行政区划筛选、收藏、定位与导航功等功能，方便用户快速查询所需电站。</w:t>
      </w:r>
    </w:p>
    <w:p>
      <w:pPr>
        <w:pStyle w:val="20"/>
        <w:jc w:val="center"/>
      </w:pPr>
      <w:r>
        <w:drawing>
          <wp:inline distT="0" distB="0" distL="0" distR="0">
            <wp:extent cx="1799590" cy="389953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99590" cy="38995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b/>
          <w:bCs/>
        </w:rPr>
        <w:t>详情页面：</w:t>
      </w:r>
      <w:r>
        <w:rPr>
          <w:rFonts w:hint="eastAsia"/>
        </w:rPr>
        <w:t>点击电站列表，可查看水电站的详细信息，包括概览、责任人和图像。相关责任人提供电话通讯功能，点击责任人手机号码可直接拨打电话。</w:t>
      </w:r>
    </w:p>
    <w:p>
      <w:pPr>
        <w:pStyle w:val="20"/>
        <w:jc w:val="center"/>
      </w:pPr>
      <w:r>
        <w:drawing>
          <wp:inline distT="0" distB="0" distL="0" distR="0">
            <wp:extent cx="1799590" cy="389953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99590" cy="389953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27" type="#_x0000_t75" style="height:1pt;width:1pt">
            <v:imagedata r:id="rId17" o:title=""/>
          </v:shape>
        </w:pict>
      </w:r>
    </w:p>
    <w:p>
      <w:pPr>
        <w:pStyle w:val="20"/>
        <w:jc w:val="center"/>
      </w:pPr>
    </w:p>
    <w:p>
      <w:pPr>
        <w:pStyle w:val="Heading2"/>
      </w:pPr>
      <w:bookmarkStart w:id="26" w:name="_Toc43819894"/>
      <w:r>
        <w:rPr>
          <w:rFonts w:hint="eastAsia"/>
        </w:rPr>
        <w:t>周边服务</w:t>
      </w:r>
      <w:bookmarkEnd w:id="26"/>
    </w:p>
    <w:p>
      <w:pPr>
        <w:ind w:firstLine="480"/>
      </w:pPr>
      <w:r>
        <w:rPr>
          <w:rFonts w:hint="eastAsia"/>
        </w:rPr>
        <w:t>在小水电首页，点击</w:t>
      </w:r>
      <w:r>
        <w:drawing>
          <wp:inline distT="0" distB="0" distL="0" distR="0">
            <wp:extent cx="532765" cy="523240"/>
            <wp:effectExtent l="0" t="0" r="63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按钮进入周边功能页，以当前位置为中心点，提供空间智能检索功能，可查询周边电站和周边雨情。</w:t>
      </w:r>
    </w:p>
    <w:p>
      <w:pPr>
        <w:ind w:firstLine="480"/>
      </w:pPr>
      <w:r>
        <w:rPr>
          <w:rFonts w:hint="eastAsia"/>
        </w:rPr>
        <w:t>本功能模块需要使用到手机定位功能，请允许定位请求。</w:t>
      </w:r>
    </w:p>
    <w:p>
      <w:pPr>
        <w:ind w:firstLine="480" w:firstLineChars="200"/>
      </w:pPr>
      <w:r>
        <w:rPr>
          <w:rFonts w:hint="eastAsia"/>
          <w:b/>
          <w:bCs/>
        </w:rPr>
        <w:t>周边电站：</w:t>
      </w:r>
      <w:r>
        <w:rPr>
          <w:rFonts w:hint="eastAsia"/>
        </w:rPr>
        <w:t>提供周边3</w:t>
      </w:r>
      <w:r>
        <w:t>0</w:t>
      </w:r>
      <w:r>
        <w:rPr>
          <w:rFonts w:hint="eastAsia"/>
        </w:rPr>
        <w:t>公里范围内的电站列表，由近到远排序，点击列表项可定向到该电站，提供导航服务。</w:t>
      </w:r>
    </w:p>
    <w:p>
      <w:pPr>
        <w:ind w:firstLine="480" w:firstLineChars="200"/>
      </w:pPr>
      <w:r>
        <w:rPr>
          <w:rFonts w:hint="eastAsia"/>
          <w:b/>
          <w:bCs/>
        </w:rPr>
        <w:t>周边雨情：</w:t>
      </w:r>
      <w:r>
        <w:rPr>
          <w:rFonts w:hint="eastAsia"/>
        </w:rPr>
        <w:t>提供周边3</w:t>
      </w:r>
      <w:r>
        <w:t>0</w:t>
      </w:r>
      <w:r>
        <w:rPr>
          <w:rFonts w:hint="eastAsia"/>
        </w:rPr>
        <w:t>公里范围内的雨情监测点列表，由雨量大到小排序，点击列表项可定向到雨情监测点。</w:t>
      </w:r>
    </w:p>
    <w:p>
      <w:pPr>
        <w:jc w:val="center"/>
      </w:pPr>
      <w:r>
        <w:drawing>
          <wp:inline distT="0" distB="0" distL="0" distR="0">
            <wp:extent cx="1799590" cy="389953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</w:t>
      </w:r>
      <w:r>
        <w:drawing>
          <wp:inline distT="0" distB="0" distL="0" distR="0">
            <wp:extent cx="1799590" cy="389953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BodyText"/>
        <w:ind w:firstLine="420"/>
        <w:rPr>
          <w:sz w:val="24"/>
        </w:rPr>
      </w:pPr>
      <w:r>
        <w:rPr>
          <w:rFonts w:hint="eastAsia"/>
          <w:sz w:val="24"/>
        </w:rPr>
        <w:t xml:space="preserve">       </w:t>
      </w:r>
    </w:p>
    <w:p>
      <w:pPr>
        <w:pStyle w:val="Heading2"/>
      </w:pPr>
      <w:bookmarkStart w:id="27" w:name="_Toc43819895"/>
      <w:r>
        <w:rPr>
          <w:rFonts w:hint="eastAsia"/>
        </w:rPr>
        <w:t>通知公告</w:t>
      </w:r>
      <w:bookmarkEnd w:id="27"/>
    </w:p>
    <w:p>
      <w:r>
        <w:rPr>
          <w:rFonts w:hint="eastAsia"/>
        </w:rPr>
        <w:t xml:space="preserve">　 </w:t>
      </w:r>
      <w:r>
        <w:rPr>
          <w:rFonts w:hint="eastAsia"/>
        </w:rPr>
        <w:tab/>
      </w:r>
      <w:r>
        <w:rPr>
          <w:rFonts w:hint="eastAsia"/>
        </w:rPr>
        <w:t>在小水电首页，点击</w:t>
      </w:r>
      <w:r>
        <w:drawing>
          <wp:inline distT="0" distB="0" distL="0" distR="0">
            <wp:extent cx="580390" cy="570865"/>
            <wp:effectExtent l="0" t="0" r="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，可以进入通知公告列表，列表展示了最新系统公告信息，点击列表项可以链接到公告信息页。</w:t>
      </w:r>
    </w:p>
    <w:p>
      <w:pPr>
        <w:pStyle w:val="BodyText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1799590" cy="3806825"/>
            <wp:effectExtent l="0" t="0" r="0" b="3175"/>
            <wp:docPr id="72" name="图片 72" descr="C:\Users\Lenovo\AppData\Local\Temp\WeChat Files\8337559ac7916455bf09c316bfc3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Lenovo\AppData\Local\Temp\WeChat Files\8337559ac7916455bf09c316bfc346e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0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8" w:name="_Toc43819896"/>
      <w:r>
        <w:rPr>
          <w:rFonts w:hint="eastAsia"/>
        </w:rPr>
        <w:t>待办事项</w:t>
      </w:r>
      <w:bookmarkEnd w:id="28"/>
    </w:p>
    <w:p>
      <w:r>
        <w:rPr>
          <w:rFonts w:hint="eastAsia"/>
        </w:rPr>
        <w:t xml:space="preserve">　 </w:t>
      </w:r>
      <w:r>
        <w:rPr>
          <w:rFonts w:hint="eastAsia"/>
        </w:rPr>
        <w:tab/>
      </w:r>
      <w:r>
        <w:rPr>
          <w:rFonts w:hint="eastAsia"/>
        </w:rPr>
        <w:t>在小水电首页，点击</w:t>
      </w:r>
      <w:r>
        <w:drawing>
          <wp:inline distT="0" distB="0" distL="114300" distR="114300">
            <wp:extent cx="666750" cy="790575"/>
            <wp:effectExtent l="0" t="0" r="0" b="9525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，可以进入待办事项列表，列表展示了待办和已办事项信息，点击列表项可以链接到对应的事项操作页。</w:t>
      </w:r>
    </w:p>
    <w:p>
      <w:pPr>
        <w:pStyle w:val="Heading2"/>
      </w:pPr>
      <w:bookmarkStart w:id="29" w:name="_Toc43819897"/>
      <w:r>
        <w:rPr>
          <w:rFonts w:hint="eastAsia"/>
        </w:rPr>
        <w:t>监督检查</w:t>
      </w:r>
      <w:bookmarkEnd w:id="29"/>
    </w:p>
    <w:p>
      <w:pPr>
        <w:ind w:firstLine="480"/>
        <w:rPr>
          <w:bCs/>
        </w:rPr>
      </w:pPr>
      <w:r>
        <w:rPr>
          <w:rFonts w:hint="eastAsia"/>
          <w:bCs/>
        </w:rPr>
        <w:t>水行政管理人员对所管辖范围内的电站进行监督检查，通过“广东平安小水电”小程序进行线上录入检查结果到系统中，提供可跟踪、流程化管理，具体流程如下：</w:t>
      </w:r>
    </w:p>
    <w:p>
      <w:pPr>
        <w:jc w:val="center"/>
      </w:pPr>
      <w:r>
        <w:pict>
          <v:shape id="_x0000_i1028" type="#_x0000_t75" style="height:277.8pt;width:305pt" coordsize="21600,21600" o:preferrelative="t" filled="f" stroked="f">
            <v:stroke joinstyle="miter"/>
            <v:imagedata r:id="rId24" o:title=""/>
            <o:lock v:ext="edit" aspectratio="t"/>
            <w10:anchorlock/>
          </v:shape>
        </w:pict>
      </w:r>
    </w:p>
    <w:p>
      <w:pPr>
        <w:jc w:val="center"/>
        <w:rPr>
          <w:bCs/>
        </w:rPr>
      </w:pPr>
    </w:p>
    <w:p>
      <w:pPr>
        <w:ind w:firstLine="480"/>
      </w:pPr>
      <w:r>
        <w:rPr>
          <w:rFonts w:hint="eastAsia"/>
          <w:b/>
          <w:bCs/>
        </w:rPr>
        <w:t>统计汇总：</w:t>
      </w:r>
      <w:r>
        <w:rPr>
          <w:rFonts w:hint="eastAsia"/>
        </w:rPr>
        <w:t>可以浏览所管辖范围内的监督检查的情况（默认统计本年度），点击各行政区划，可进入查看相关区域数据列表。</w:t>
      </w:r>
    </w:p>
    <w:p>
      <w:pPr>
        <w:ind w:firstLine="480"/>
      </w:pPr>
      <w:r>
        <w:rPr>
          <w:rFonts w:hint="eastAsia"/>
          <w:b/>
          <w:bCs/>
        </w:rPr>
        <w:t>添加检查：</w:t>
      </w:r>
      <w:r>
        <w:rPr>
          <w:rFonts w:hint="eastAsia"/>
        </w:rPr>
        <w:t>根据本次监督检查实际情况，在线填写《农村水电站监督检查表》，上传相关图像附件，如果本次监督检查存在安全隐患，系统自动通过“广东水利公众号”向水电站相关人员推送通知信息。</w:t>
      </w:r>
    </w:p>
    <w:p>
      <w:pPr>
        <w:jc w:val="center"/>
      </w:pPr>
      <w:r>
        <w:drawing>
          <wp:inline distT="0" distB="0" distL="0" distR="0">
            <wp:extent cx="1799590" cy="3899535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99590" cy="3899535"/>
            <wp:effectExtent l="0" t="0" r="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b/>
          <w:bCs/>
        </w:rPr>
        <w:t>检查列表：</w:t>
      </w:r>
      <w:r>
        <w:rPr>
          <w:rFonts w:hint="eastAsia"/>
        </w:rPr>
        <w:t>提供模糊检索、行政区划、列表排序和数据筛选等功能。</w:t>
      </w:r>
    </w:p>
    <w:p>
      <w:pPr>
        <w:ind w:firstLine="480"/>
        <w:jc w:val="both"/>
      </w:pPr>
      <w:r>
        <w:rPr>
          <w:rFonts w:hint="eastAsia"/>
          <w:b/>
          <w:bCs/>
        </w:rPr>
        <w:t>详情页面：</w:t>
      </w:r>
      <w:r>
        <w:rPr>
          <w:rFonts w:hint="eastAsia"/>
        </w:rPr>
        <w:t xml:space="preserve">可浏览本次监督检查的详情，包括检查表、安全隐患等信息。      </w:t>
      </w:r>
    </w:p>
    <w:p>
      <w:pPr>
        <w:pStyle w:val="BodyText"/>
        <w:jc w:val="center"/>
        <w:rPr>
          <w:b/>
          <w:bCs/>
        </w:rPr>
      </w:pPr>
      <w:r>
        <w:drawing>
          <wp:inline distT="0" distB="0" distL="0" distR="0">
            <wp:extent cx="1799590" cy="3899535"/>
            <wp:effectExtent l="0" t="0" r="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99590" cy="3899535"/>
            <wp:effectExtent l="0" t="0" r="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Heading2"/>
      </w:pPr>
      <w:bookmarkStart w:id="30" w:name="_Toc43819898"/>
      <w:r>
        <w:rPr>
          <w:rFonts w:hint="eastAsia"/>
        </w:rPr>
        <w:t>电站自检</w:t>
      </w:r>
      <w:bookmarkEnd w:id="30"/>
    </w:p>
    <w:p>
      <w:pPr>
        <w:ind w:firstLine="480"/>
        <w:rPr>
          <w:bCs/>
        </w:rPr>
      </w:pPr>
      <w:r>
        <w:rPr>
          <w:rFonts w:hint="eastAsia"/>
          <w:bCs/>
        </w:rPr>
        <w:t>要求每个水电站的工作人员，每个季度需要对水电站进行一次自行检查，并通过“广东平安小水电”小程序录入检查结果到系统中。</w:t>
      </w:r>
    </w:p>
    <w:p>
      <w:pPr>
        <w:ind w:firstLine="480"/>
      </w:pPr>
      <w:r>
        <w:rPr>
          <w:rFonts w:hint="eastAsia"/>
          <w:b/>
          <w:bCs/>
        </w:rPr>
        <w:t>统计汇总：</w:t>
      </w:r>
      <w:r>
        <w:rPr>
          <w:rFonts w:hint="eastAsia"/>
        </w:rPr>
        <w:t>可以浏览所管辖范围内的电站自检的情况（默认统计本季度），统计各个行政区划水电站的自检情况，开展了多少次自检，发现隐患多少、已整改多少、剩余多少，点击各行政区划，可进入查看相关区域数据列表。</w:t>
      </w:r>
    </w:p>
    <w:p>
      <w:pPr>
        <w:jc w:val="center"/>
      </w:pPr>
      <w:r>
        <w:drawing>
          <wp:inline distT="0" distB="0" distL="0" distR="0">
            <wp:extent cx="1799590" cy="3899535"/>
            <wp:effectExtent l="0" t="0" r="0" b="57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b/>
          <w:bCs/>
        </w:rPr>
        <w:t>检查列表：</w:t>
      </w:r>
      <w:r>
        <w:rPr>
          <w:rFonts w:hint="eastAsia"/>
        </w:rPr>
        <w:t>提供模糊检索、行政区划、列表排序和数据筛选等功能。</w:t>
      </w:r>
    </w:p>
    <w:p>
      <w:pPr>
        <w:jc w:val="center"/>
      </w:pPr>
      <w:r>
        <w:drawing>
          <wp:inline distT="0" distB="0" distL="0" distR="0">
            <wp:extent cx="1799590" cy="3899535"/>
            <wp:effectExtent l="0" t="0" r="0" b="571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799590" cy="3899535"/>
            <wp:effectExtent l="0" t="0" r="0" b="571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b/>
          <w:bCs/>
        </w:rPr>
        <w:t>详情页面：</w:t>
      </w:r>
      <w:r>
        <w:rPr>
          <w:rFonts w:hint="eastAsia"/>
        </w:rPr>
        <w:t>可浏览本次电站自检的详情，包括检查表、安全隐患等信息。</w:t>
      </w:r>
    </w:p>
    <w:p>
      <w:pPr>
        <w:pStyle w:val="BodyText"/>
        <w:jc w:val="center"/>
      </w:pPr>
      <w:r>
        <w:drawing>
          <wp:inline distT="0" distB="0" distL="0" distR="0">
            <wp:extent cx="1799590" cy="3899535"/>
            <wp:effectExtent l="0" t="0" r="0" b="57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1" w:name="_Toc43819899"/>
      <w:r>
        <w:rPr>
          <w:rFonts w:hint="eastAsia"/>
        </w:rPr>
        <w:t>责任落实</w:t>
      </w:r>
      <w:bookmarkEnd w:id="31"/>
    </w:p>
    <w:p>
      <w:pPr>
        <w:ind w:firstLine="480"/>
        <w:rPr>
          <w:bCs/>
        </w:rPr>
      </w:pPr>
      <w:r>
        <w:rPr>
          <w:rFonts w:hint="eastAsia"/>
          <w:bCs/>
        </w:rPr>
        <w:t>提供各个水电站的责任落实情况浏览。</w:t>
      </w:r>
    </w:p>
    <w:p>
      <w:pPr>
        <w:ind w:firstLine="480"/>
      </w:pPr>
      <w:r>
        <w:rPr>
          <w:rFonts w:hint="eastAsia"/>
          <w:b/>
          <w:bCs/>
        </w:rPr>
        <w:t>统计汇总：</w:t>
      </w:r>
      <w:r>
        <w:rPr>
          <w:rFonts w:hint="eastAsia"/>
        </w:rPr>
        <w:t>统计各个行政区划责任落实情况，已落实多少、待落实多少，落实占比率。</w:t>
      </w:r>
    </w:p>
    <w:p>
      <w:pPr>
        <w:jc w:val="center"/>
      </w:pPr>
      <w:r>
        <w:drawing>
          <wp:inline distT="0" distB="0" distL="0" distR="0">
            <wp:extent cx="1799590" cy="3899535"/>
            <wp:effectExtent l="0" t="0" r="0" b="571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b/>
          <w:bCs/>
        </w:rPr>
        <w:t>检查列表：</w:t>
      </w:r>
      <w:r>
        <w:rPr>
          <w:rFonts w:hint="eastAsia"/>
        </w:rPr>
        <w:t>提供模糊检索、行政区划、列表排序和数据筛选等功能。</w:t>
      </w:r>
    </w:p>
    <w:p>
      <w:pPr>
        <w:jc w:val="center"/>
      </w:pPr>
      <w:r>
        <w:drawing>
          <wp:inline distT="0" distB="0" distL="0" distR="0">
            <wp:extent cx="1799590" cy="3899535"/>
            <wp:effectExtent l="0" t="0" r="0" b="571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b/>
          <w:bCs/>
        </w:rPr>
        <w:t>详情页面：</w:t>
      </w:r>
      <w:r>
        <w:rPr>
          <w:rFonts w:hint="eastAsia"/>
        </w:rPr>
        <w:t>可浏览本次监督检查的详情，包括检查表、安全隐患等信息。</w:t>
      </w:r>
    </w:p>
    <w:p>
      <w:pPr>
        <w:jc w:val="center"/>
      </w:pPr>
      <w:r>
        <w:drawing>
          <wp:inline distT="0" distB="0" distL="0" distR="0">
            <wp:extent cx="1799590" cy="3899535"/>
            <wp:effectExtent l="0" t="0" r="0" b="571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2" w:name="_Toc43819900"/>
      <w:r>
        <w:rPr>
          <w:rFonts w:hint="eastAsia"/>
        </w:rPr>
        <w:t>安全隐患</w:t>
      </w:r>
      <w:bookmarkEnd w:id="32"/>
    </w:p>
    <w:p>
      <w:r>
        <w:rPr>
          <w:rFonts w:hint="eastAsia"/>
        </w:rPr>
        <w:t>　　安全隐患的数据主要来源于水行政管理人员的【监督检查】与水电站工作人员的【电站自检】，可跟踪与管理水电站隐患整改落实情况。</w:t>
      </w:r>
    </w:p>
    <w:p>
      <w:pPr>
        <w:ind w:firstLine="480"/>
      </w:pPr>
      <w:r>
        <w:rPr>
          <w:rFonts w:hint="eastAsia"/>
          <w:b/>
          <w:bCs/>
        </w:rPr>
        <w:t>统计汇总：</w:t>
      </w:r>
      <w:r>
        <w:rPr>
          <w:rFonts w:hint="eastAsia"/>
        </w:rPr>
        <w:t>统计各个行政区划安全隐患整改落实情况，发现隐患、隐患电站、待整改和已整改的数量。</w:t>
      </w:r>
    </w:p>
    <w:p>
      <w:pPr>
        <w:ind w:firstLine="480"/>
      </w:pPr>
      <w:r>
        <w:rPr>
          <w:rFonts w:hint="eastAsia"/>
          <w:b/>
          <w:bCs/>
        </w:rPr>
        <w:t>检查列表：</w:t>
      </w:r>
      <w:r>
        <w:rPr>
          <w:rFonts w:hint="eastAsia"/>
        </w:rPr>
        <w:t>提供模糊检索、行政区划等功能。</w:t>
      </w:r>
    </w:p>
    <w:p>
      <w:pPr>
        <w:jc w:val="center"/>
      </w:pPr>
      <w:r>
        <w:drawing>
          <wp:inline distT="0" distB="0" distL="0" distR="0">
            <wp:extent cx="1799590" cy="3899535"/>
            <wp:effectExtent l="0" t="0" r="0" b="571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799590" cy="3899535"/>
            <wp:effectExtent l="0" t="0" r="0" b="571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b/>
          <w:bCs/>
        </w:rPr>
        <w:t>详情页面：</w:t>
      </w:r>
      <w:r>
        <w:rPr>
          <w:rFonts w:hint="eastAsia"/>
        </w:rPr>
        <w:t>可浏览当前安全隐患的详情信息。</w:t>
      </w:r>
    </w:p>
    <w:p>
      <w:pPr>
        <w:jc w:val="center"/>
        <w:rPr>
          <w:b/>
          <w:bCs/>
        </w:rPr>
      </w:pPr>
      <w:r>
        <w:drawing>
          <wp:inline distT="0" distB="0" distL="0" distR="0">
            <wp:extent cx="1799590" cy="3899535"/>
            <wp:effectExtent l="0" t="0" r="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3" w:name="_Toc43819901"/>
      <w:r>
        <w:rPr>
          <w:rFonts w:hint="eastAsia"/>
        </w:rPr>
        <w:t>水雨情摘要</w:t>
      </w:r>
      <w:bookmarkEnd w:id="33"/>
    </w:p>
    <w:p>
      <w:r>
        <w:rPr>
          <w:rFonts w:hint="eastAsia"/>
        </w:rPr>
        <w:t xml:space="preserve">   在小水电首页，点击下方菜单中的水雨情摘要</w:t>
      </w:r>
      <w:r>
        <w:drawing>
          <wp:inline distT="0" distB="0" distL="0" distR="0">
            <wp:extent cx="1923415" cy="465455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26251" cy="4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，进入水雨情摘要页面查看概要信息。</w:t>
      </w:r>
    </w:p>
    <w:p>
      <w:pPr>
        <w:jc w:val="center"/>
      </w:pPr>
      <w:r>
        <w:drawing>
          <wp:inline distT="0" distB="0" distL="0" distR="0">
            <wp:extent cx="1799590" cy="3899535"/>
            <wp:effectExtent l="0" t="0" r="0" b="571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799590" cy="3899535"/>
            <wp:effectExtent l="0" t="0" r="0" b="571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4" w:name="_Toc43819902"/>
      <w:r>
        <w:rPr>
          <w:rFonts w:hint="eastAsia"/>
        </w:rPr>
        <w:t>水情信息</w:t>
      </w:r>
      <w:bookmarkEnd w:id="34"/>
    </w:p>
    <w:p>
      <w:r>
        <w:rPr>
          <w:rFonts w:hint="eastAsia"/>
        </w:rPr>
        <w:t>在小水电首页，点击下方菜单中的水情菜单</w:t>
      </w:r>
      <w:r>
        <w:drawing>
          <wp:inline distT="0" distB="0" distL="0" distR="0">
            <wp:extent cx="2286000" cy="4572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91352" cy="45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进入水情信息页面，提供测站数量、超汛限数量和数据列表，点击列表项可查看详细水情信息。</w:t>
      </w:r>
    </w:p>
    <w:p>
      <w:pPr>
        <w:jc w:val="center"/>
      </w:pPr>
      <w:r>
        <w:drawing>
          <wp:inline distT="0" distB="0" distL="0" distR="0">
            <wp:extent cx="1799590" cy="3899535"/>
            <wp:effectExtent l="0" t="0" r="0" b="571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799590" cy="3899535"/>
            <wp:effectExtent l="0" t="0" r="0" b="571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5" w:name="_Toc43819903"/>
      <w:r>
        <w:rPr>
          <w:rFonts w:hint="eastAsia"/>
        </w:rPr>
        <w:t>雨情信息</w:t>
      </w:r>
      <w:bookmarkEnd w:id="35"/>
    </w:p>
    <w:p>
      <w:r>
        <w:rPr>
          <w:rFonts w:hint="eastAsia"/>
        </w:rPr>
        <w:t>在小水电首页，点击下方菜单中的雨情菜单</w:t>
      </w:r>
      <w:r>
        <w:drawing>
          <wp:inline distT="0" distB="0" distL="0" distR="0">
            <wp:extent cx="2070100" cy="548640"/>
            <wp:effectExtent l="0" t="0" r="635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69315" cy="54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进入雨情信息页面，提供测站数量、降雨数量和数据列表，点击列表项可查看详细雨情信息。</w:t>
      </w:r>
    </w:p>
    <w:p>
      <w:pPr>
        <w:jc w:val="center"/>
      </w:pPr>
      <w:r>
        <w:drawing>
          <wp:inline distT="0" distB="0" distL="0" distR="0">
            <wp:extent cx="1799590" cy="3899535"/>
            <wp:effectExtent l="0" t="0" r="0" b="571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99590" cy="3899535"/>
            <wp:effectExtent l="0" t="0" r="0" b="571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99590" cy="3899535"/>
            <wp:effectExtent l="0" t="0" r="0" b="571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Heading2"/>
      </w:pPr>
      <w:bookmarkStart w:id="36" w:name="_Toc43819904"/>
      <w:r>
        <w:rPr>
          <w:rFonts w:hint="eastAsia"/>
        </w:rPr>
        <w:t>视频监控</w:t>
      </w:r>
      <w:bookmarkEnd w:id="36"/>
    </w:p>
    <w:p>
      <w:r>
        <w:rPr>
          <w:rFonts w:hint="eastAsia"/>
        </w:rPr>
        <w:t>在小水电首页，点击下方菜单中的视频监控菜单</w:t>
      </w:r>
      <w:r>
        <w:drawing>
          <wp:inline distT="0" distB="0" distL="0" distR="0">
            <wp:extent cx="1880235" cy="482600"/>
            <wp:effectExtent l="0" t="0" r="571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87447" cy="4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进入视频监控页面；</w:t>
      </w:r>
    </w:p>
    <w:p>
      <w:pPr>
        <w:jc w:val="center"/>
      </w:pPr>
      <w:r>
        <w:drawing>
          <wp:inline distT="0" distB="0" distL="0" distR="0">
            <wp:extent cx="1799590" cy="3939540"/>
            <wp:effectExtent l="0" t="0" r="0" b="3810"/>
            <wp:docPr id="41" name="图片 41" descr="C:\Users\Lenovo\AppData\Local\Temp\WeChat Files\bf7b0b65f01d6ae676bd7e21aa65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Lenovo\AppData\Local\Temp\WeChat Files\bf7b0b65f01d6ae676bd7e21aa65d9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3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7" w:name="_Toc43819905"/>
      <w:r>
        <w:rPr>
          <w:rFonts w:hint="eastAsia"/>
        </w:rPr>
        <w:t>天气预报</w:t>
      </w:r>
      <w:bookmarkEnd w:id="37"/>
    </w:p>
    <w:p>
      <w:r>
        <w:rPr>
          <w:rFonts w:hint="eastAsia"/>
        </w:rPr>
        <w:t>在小水电首页，点击下方菜单中的天气预报菜单</w:t>
      </w:r>
      <w:r>
        <w:drawing>
          <wp:inline distT="0" distB="0" distL="0" distR="0">
            <wp:extent cx="1647190" cy="37084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53683" cy="37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进入天气预报页面；</w:t>
      </w:r>
    </w:p>
    <w:p>
      <w:pPr>
        <w:jc w:val="center"/>
      </w:pPr>
      <w:r>
        <w:drawing>
          <wp:inline distT="0" distB="0" distL="0" distR="0">
            <wp:extent cx="1799590" cy="25146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1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</w:pPr>
      <w:r>
        <w:br w:type="page"/>
      </w:r>
    </w:p>
    <w:p>
      <w:pPr>
        <w:pStyle w:val="Heading1"/>
      </w:pPr>
      <w:bookmarkStart w:id="38" w:name="_Toc43819906"/>
      <w:r>
        <w:rPr>
          <w:rFonts w:hint="eastAsia"/>
        </w:rPr>
        <w:t>数据核查员工作说明</w:t>
      </w:r>
      <w:bookmarkEnd w:id="38"/>
    </w:p>
    <w:p>
      <w:pPr>
        <w:ind w:firstLine="480"/>
      </w:pPr>
      <w:r>
        <w:rPr>
          <w:rFonts w:hint="eastAsia"/>
        </w:rPr>
        <w:t>每个区（县）指定的数据核查员具体的工作主要包括安全隐患整改结果审核、责任人信息审核和电站核查信息审核等工作。</w:t>
      </w:r>
    </w:p>
    <w:p>
      <w:pPr>
        <w:ind w:firstLine="48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本应用通过“广东水利公众号”进行实时消息推送，每个数据核查员必须关注“广东水利公众号”接收消息推送。</w:t>
      </w:r>
    </w:p>
    <w:p>
      <w:pPr>
        <w:pStyle w:val="Heading2"/>
      </w:pPr>
      <w:bookmarkStart w:id="39" w:name="_Toc43819907"/>
      <w:r>
        <w:rPr>
          <w:rFonts w:hint="eastAsia"/>
        </w:rPr>
        <w:t>安全隐患整改结果审核</w:t>
      </w:r>
      <w:bookmarkEnd w:id="39"/>
    </w:p>
    <w:p>
      <w:r>
        <w:rPr>
          <w:rFonts w:hint="eastAsia"/>
        </w:rPr>
        <w:t>　　具体工作流程如下：</w:t>
      </w:r>
    </w:p>
    <w:p>
      <w:pPr>
        <w:jc w:val="center"/>
      </w:pPr>
      <w:r>
        <w:pict>
          <v:shape id="_x0000_i1029" type="#_x0000_t75" style="height:404.85pt;width:265.6pt" coordsize="21600,21600" o:preferrelative="t" filled="f" stroked="f">
            <v:stroke joinstyle="miter"/>
            <v:imagedata r:id="rId53" o:title=""/>
            <o:lock v:ext="edit" aspectratio="t"/>
            <w10:anchorlock/>
          </v:shape>
        </w:pict>
      </w:r>
    </w:p>
    <w:p>
      <w:pPr>
        <w:ind w:firstLine="480"/>
        <w:rPr>
          <w:rFonts w:hint="eastAsia"/>
        </w:rPr>
      </w:pPr>
      <w:r>
        <w:rPr>
          <w:rFonts w:hint="eastAsia"/>
          <w:b/>
          <w:bCs/>
        </w:rPr>
        <w:t>消息提醒：</w:t>
      </w:r>
      <w:r>
        <w:rPr>
          <w:rFonts w:hint="eastAsia"/>
        </w:rPr>
        <w:t>“广东水利公众号”推送待办事项提醒，数据核查员可点击进入小程序，对待办事项进行办理。</w:t>
      </w:r>
    </w:p>
    <w:p>
      <w:pPr>
        <w:ind w:firstLine="480"/>
        <w:jc w:val="center"/>
        <w:rPr>
          <w:b/>
          <w:bCs/>
        </w:rPr>
      </w:pPr>
      <w:r>
        <w:drawing>
          <wp:inline distT="0" distB="0" distL="0" distR="0">
            <wp:extent cx="2423795" cy="196723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43856" cy="198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b/>
          <w:bCs/>
        </w:rPr>
        <w:t>待办事项：</w:t>
      </w:r>
      <w:r>
        <w:rPr>
          <w:rFonts w:hint="eastAsia"/>
        </w:rPr>
        <w:t>可在【待办事项】栏目里，可查询到本人所需要审核的安全隐患整改结果。</w:t>
      </w:r>
    </w:p>
    <w:p>
      <w:pPr>
        <w:jc w:val="center"/>
      </w:pPr>
      <w:r>
        <w:drawing>
          <wp:inline distT="0" distB="0" distL="0" distR="0">
            <wp:extent cx="2519680" cy="2360295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8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36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519680" cy="23025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30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b/>
          <w:bCs/>
        </w:rPr>
        <w:t>结果审核：</w:t>
      </w:r>
      <w:r>
        <w:rPr>
          <w:rFonts w:hint="eastAsia"/>
        </w:rPr>
        <w:t>点击数据项，可进入查看详细的安全隐患整改情况，对整改结果进行认真审核，确认是否符合整改要求，如符合，请点击【审核通过】完成本次安全隐患整改结果的审核，如不符合，点击【退回】，退回当前安全隐患给水电站，让水电站人员继续完成整改工作。</w:t>
      </w:r>
    </w:p>
    <w:p>
      <w:pPr>
        <w:jc w:val="center"/>
      </w:pPr>
      <w:r>
        <w:drawing>
          <wp:inline distT="0" distB="0" distL="0" distR="0">
            <wp:extent cx="2159635" cy="386461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6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40" w:name="_Toc43819908"/>
      <w:r>
        <w:rPr>
          <w:rFonts w:hint="eastAsia"/>
        </w:rPr>
        <w:t>责任人信息审核</w:t>
      </w:r>
      <w:bookmarkEnd w:id="40"/>
    </w:p>
    <w:p>
      <w:r>
        <w:rPr>
          <w:rFonts w:hint="eastAsia"/>
        </w:rPr>
        <w:t>　　具体工作流程如下：</w:t>
      </w:r>
    </w:p>
    <w:p>
      <w:pPr>
        <w:jc w:val="center"/>
      </w:pPr>
      <w:r>
        <w:pict>
          <v:shape id="_x0000_i1030" type="#_x0000_t75" style="height:343pt;width:277.8pt" coordsize="21600,21600" o:preferrelative="t" filled="f" stroked="f">
            <v:stroke joinstyle="miter"/>
            <v:imagedata r:id="rId58" o:title=""/>
            <o:lock v:ext="edit" aspectratio="t"/>
            <w10:anchorlock/>
          </v:shape>
        </w:pict>
      </w:r>
    </w:p>
    <w:p>
      <w:pPr>
        <w:ind w:firstLine="480"/>
        <w:rPr>
          <w:rFonts w:hint="eastAsia"/>
        </w:rPr>
      </w:pPr>
      <w:r>
        <w:rPr>
          <w:rFonts w:hint="eastAsia"/>
          <w:b/>
          <w:bCs/>
        </w:rPr>
        <w:t>消息提醒：</w:t>
      </w:r>
      <w:r>
        <w:rPr>
          <w:rFonts w:hint="eastAsia"/>
        </w:rPr>
        <w:t>“广东水利公众号”推送待办事项提醒，数据核查员可点击进入小程序，对待办事项进行办理。</w:t>
      </w:r>
    </w:p>
    <w:p>
      <w:pPr>
        <w:ind w:firstLine="480"/>
        <w:jc w:val="center"/>
        <w:rPr>
          <w:rFonts w:hint="eastAsia"/>
          <w:b/>
          <w:bCs/>
        </w:rPr>
      </w:pPr>
      <w:r>
        <w:drawing>
          <wp:inline distT="0" distB="0" distL="0" distR="0">
            <wp:extent cx="2519680" cy="202755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2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b/>
          <w:bCs/>
        </w:rPr>
        <w:t>待办事项：</w:t>
      </w:r>
      <w:r>
        <w:rPr>
          <w:rFonts w:hint="eastAsia"/>
        </w:rPr>
        <w:t>可在【待办事项】栏目里，可查询到本人所需要审核的责任人上报信息。</w:t>
      </w:r>
    </w:p>
    <w:p>
      <w:pPr>
        <w:jc w:val="center"/>
      </w:pPr>
      <w:r>
        <w:drawing>
          <wp:inline distT="0" distB="0" distL="0" distR="0">
            <wp:extent cx="2519680" cy="1809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519680" cy="226441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b/>
          <w:bCs/>
        </w:rPr>
        <w:t>结果审核：</w:t>
      </w:r>
      <w:r>
        <w:rPr>
          <w:rFonts w:hint="eastAsia"/>
        </w:rPr>
        <w:t>点击数据项，可进入查看详细的责任人信息，对责任人信息进行认真审核，确认是否正确填写，如正确，请点击【审核通过】完成本次责任人信息的审核，如不符合，点击【退回】，退回责任人信息给水电站，让水电站人员继续完善责任人信息上报工作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2519680" cy="45415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41" w:name="_Toc43819909"/>
      <w:r>
        <w:rPr>
          <w:rFonts w:hint="eastAsia"/>
        </w:rPr>
        <w:t>电站核查信息审核</w:t>
      </w:r>
      <w:bookmarkEnd w:id="41"/>
    </w:p>
    <w:p>
      <w:r>
        <w:rPr>
          <w:rFonts w:hint="eastAsia"/>
        </w:rPr>
        <w:t>　　具体工作流程如下：</w:t>
      </w:r>
    </w:p>
    <w:p>
      <w:pPr>
        <w:jc w:val="center"/>
      </w:pPr>
      <w:r>
        <w:pict>
          <v:shape id="_x0000_i1031" type="#_x0000_t75" style="height:343pt;width:277.8pt" coordsize="21600,21600" o:preferrelative="t" filled="f" stroked="f">
            <v:stroke joinstyle="miter"/>
            <v:imagedata r:id="rId63" o:title=""/>
            <o:lock v:ext="edit" aspectratio="t"/>
            <w10:anchorlock/>
          </v:shape>
        </w:pict>
      </w:r>
    </w:p>
    <w:p>
      <w:pPr>
        <w:ind w:firstLine="480"/>
        <w:rPr>
          <w:rFonts w:hint="eastAsia"/>
        </w:rPr>
      </w:pPr>
      <w:r>
        <w:rPr>
          <w:rFonts w:hint="eastAsia"/>
          <w:b/>
          <w:bCs/>
        </w:rPr>
        <w:t>消息提醒：</w:t>
      </w:r>
      <w:r>
        <w:rPr>
          <w:rFonts w:hint="eastAsia"/>
        </w:rPr>
        <w:t>“广东水利公众号”推送待办事项提醒，数据核查员可点击进入小程序，对待办事项进行办理。</w:t>
      </w:r>
    </w:p>
    <w:p>
      <w:pPr>
        <w:jc w:val="center"/>
      </w:pPr>
      <w:r>
        <w:drawing>
          <wp:inline distT="0" distB="0" distL="0" distR="0">
            <wp:extent cx="2519680" cy="185229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</w:rPr>
      </w:pPr>
    </w:p>
    <w:p>
      <w:pPr>
        <w:ind w:firstLine="480"/>
      </w:pPr>
      <w:r>
        <w:rPr>
          <w:rFonts w:hint="eastAsia"/>
          <w:b/>
          <w:bCs/>
        </w:rPr>
        <w:t>待办事项：</w:t>
      </w:r>
      <w:r>
        <w:rPr>
          <w:rFonts w:hint="eastAsia"/>
        </w:rPr>
        <w:t>可在【待办事项】栏目里，可查询到本人所需要审核的电站核查信息。</w:t>
      </w:r>
    </w:p>
    <w:p>
      <w:pPr>
        <w:jc w:val="center"/>
      </w:pPr>
      <w:r>
        <w:drawing>
          <wp:inline distT="0" distB="0" distL="0" distR="0">
            <wp:extent cx="2519680" cy="18097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/>
        </w:rPr>
      </w:pPr>
    </w:p>
    <w:p>
      <w:pPr>
        <w:ind w:firstLine="480"/>
      </w:pPr>
      <w:r>
        <w:rPr>
          <w:rFonts w:hint="eastAsia"/>
          <w:b/>
          <w:bCs/>
        </w:rPr>
        <w:t>结果审核：</w:t>
      </w:r>
      <w:r>
        <w:rPr>
          <w:rFonts w:hint="eastAsia"/>
        </w:rPr>
        <w:t>点击数据项，可进入查看详细的电站更新信息，对电站更新信息进行认真审核，确认是否正确填写，如正确，请点击【审核通过】完成本次电站核查信息的审核，如不符合，点击【不通过】，退回电站核查信息给水电站，让水电站人员继续完善电站核查信息上报工作。</w:t>
      </w:r>
    </w:p>
    <w:p>
      <w:pPr>
        <w:ind w:firstLine="480"/>
        <w:rPr>
          <w:rFonts w:hint="eastAsia"/>
        </w:rPr>
      </w:pPr>
    </w:p>
    <w:p>
      <w:pPr>
        <w:widowControl/>
        <w:spacing w:line="240" w:lineRule="auto"/>
        <w:jc w:val="center"/>
      </w:pPr>
      <w:r>
        <w:drawing>
          <wp:inline distT="0" distB="0" distL="0" distR="0">
            <wp:extent cx="2519680" cy="21361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3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</w:pPr>
    </w:p>
    <w:p>
      <w:pPr>
        <w:widowControl/>
        <w:spacing w:line="240" w:lineRule="auto"/>
        <w:jc w:val="center"/>
      </w:pPr>
    </w:p>
    <w:p>
      <w:pPr>
        <w:widowControl/>
        <w:spacing w:line="240" w:lineRule="auto"/>
        <w:jc w:val="center"/>
      </w:pPr>
    </w:p>
    <w:p>
      <w:pPr>
        <w:widowControl/>
        <w:spacing w:line="240" w:lineRule="auto"/>
        <w:jc w:val="center"/>
      </w:pPr>
    </w:p>
    <w:p>
      <w:pPr>
        <w:widowControl/>
        <w:spacing w:line="240" w:lineRule="auto"/>
        <w:jc w:val="center"/>
        <w:rPr>
          <w:rFonts w:hint="eastAsia"/>
        </w:rPr>
      </w:pPr>
    </w:p>
    <w:p>
      <w:pPr>
        <w:pStyle w:val="Heading1"/>
      </w:pPr>
      <w:bookmarkStart w:id="42" w:name="_Toc43819910"/>
      <w:r>
        <w:rPr>
          <w:rFonts w:hint="eastAsia"/>
        </w:rPr>
        <w:t>技术支撑</w:t>
      </w:r>
      <w:bookmarkEnd w:id="42"/>
    </w:p>
    <w:p>
      <w:pPr>
        <w:ind w:firstLine="480"/>
      </w:pPr>
      <w:r>
        <w:rPr>
          <w:rFonts w:hint="eastAsia"/>
        </w:rPr>
        <w:t>技术支撑企业：广东华南水电高新技术开发有限公司</w:t>
      </w:r>
    </w:p>
    <w:p>
      <w:pPr>
        <w:ind w:firstLine="480"/>
      </w:pPr>
      <w:r>
        <w:rPr>
          <w:rFonts w:hint="eastAsia"/>
        </w:rPr>
        <w:t>联系人：梁郁安</w:t>
      </w:r>
    </w:p>
    <w:p>
      <w:pPr>
        <w:ind w:firstLine="480"/>
      </w:pPr>
      <w:r>
        <w:rPr>
          <w:rFonts w:hint="eastAsia"/>
        </w:rPr>
        <w:t>联系电话：1</w:t>
      </w:r>
      <w:r>
        <w:t>3632424345</w:t>
      </w:r>
    </w:p>
    <w:p>
      <w:pPr>
        <w:ind w:firstLine="480"/>
      </w:pPr>
      <w:r>
        <w:rPr>
          <w:rFonts w:hint="eastAsia"/>
        </w:rPr>
        <w:t>技术支撑Q</w:t>
      </w:r>
      <w:r>
        <w:t>Q</w:t>
      </w:r>
      <w:r>
        <w:rPr>
          <w:rFonts w:hint="eastAsia"/>
        </w:rPr>
        <w:t>群：</w:t>
      </w:r>
      <w:r>
        <w:t>714689817</w:t>
      </w:r>
    </w:p>
    <w:p>
      <w:pPr>
        <w:jc w:val="center"/>
      </w:pPr>
      <w:bookmarkStart w:id="43" w:name="_GoBack"/>
      <w:bookmarkEnd w:id="43"/>
    </w:p>
    <w:p/>
    <w:sectPr>
      <w:headerReference w:type="default" r:id="rId66"/>
      <w:footerReference w:type="default" r:id="rId67"/>
      <w:pgSz w:w="11906" w:h="16838"/>
      <w:pgMar w:top="1440" w:right="646" w:bottom="1440" w:left="1380" w:header="851" w:footer="992" w:gutter="0"/>
      <w:pgNumType w:fmt="numberInDash" w:start="1"/>
      <w:cols w:num="1" w:space="720"/>
      <w:docGrid w:type="lines" w:linePitch="312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jc w:val="center"/>
    </w:pPr>
    <w:r>
      <w:pict>
        <v:line id="_x0000_s1026" o:spid="_x0000_s2049" style="mso-height-relative:page;mso-position-horizontal:left;mso-position-horizontal-relative:margin;mso-width-relative:page;position:absolute;z-index:251658240" from="0,11.7pt" to="484.5pt,13.2pt" coordsize="21600,21600" stroked="t">
          <v:stroke joinstyle="miter"/>
        </v:line>
      </w:pic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-</w:t>
    </w:r>
    <w:r>
      <w:t xml:space="preserve"> 26 -</w:t>
    </w:r>
    <w:r>
      <w:fldChar w:fldCharType="end"/>
    </w:r>
  </w:p>
  <w:p>
    <w:pPr>
      <w:pStyle w:val="Footer"/>
    </w:pPr>
    <w:r>
      <w:rPr>
        <w:rFonts w:hint="eastAsia"/>
        <w:lang w:eastAsia="zh-CN"/>
      </w:rPr>
      <w:t>技术</w:t>
    </w:r>
    <w:r>
      <w:rPr>
        <w:rFonts w:hint="eastAsia"/>
      </w:rPr>
      <w:t xml:space="preserve">服务机构：广东华南水电高新技术开发有限公司 </w:t>
    </w:r>
    <w:r>
      <w:t xml:space="preserve">      </w:t>
    </w:r>
    <w:r>
      <w:rPr>
        <w:rFonts w:hint="eastAsia"/>
      </w:rPr>
      <w:t xml:space="preserve">       地址：广州市天河区天寿路1</w:t>
    </w:r>
    <w:r>
      <w:t>05</w:t>
    </w:r>
    <w:r>
      <w:rPr>
        <w:rFonts w:hint="eastAsia"/>
      </w:rPr>
      <w:t xml:space="preserve">号天寿大厦9、10楼 </w:t>
    </w:r>
    <w:r>
      <w:t xml:space="preserve">         </w:t>
    </w:r>
  </w:p>
  <w:p/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Header"/>
    </w:pPr>
    <w:r>
      <w:rPr>
        <w:rFonts w:hint="eastAsia"/>
      </w:rPr>
      <w:t>“广东</w:t>
    </w:r>
    <w:r>
      <w:rPr>
        <w:rFonts w:hint="eastAsia"/>
        <w:lang w:eastAsia="zh-CN"/>
      </w:rPr>
      <w:t>平安</w:t>
    </w:r>
    <w:r>
      <w:rPr>
        <w:rFonts w:hint="eastAsia"/>
      </w:rPr>
      <w:t xml:space="preserve">小水电”移动监管平台                </w:t>
    </w:r>
    <w:r>
      <w:t xml:space="preserve">         </w:t>
    </w:r>
    <w:r>
      <w:rPr>
        <w:rFonts w:hint="eastAsia"/>
      </w:rPr>
      <w:t xml:space="preserve">                                     </w:t>
    </w:r>
    <w:r>
      <w:t>用户手册</w:t>
    </w:r>
  </w:p>
  <w:p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D377E"/>
    <w:multiLevelType w:val="multilevel"/>
    <w:tmpl w:val="3DBD377E"/>
    <w:lvl w:ilvl="0">
      <w:start w:val="1"/>
      <w:numFmt w:val="decimal"/>
      <w:pStyle w:val="Heading1"/>
      <w:lvlText w:val="%1"/>
      <w:lvlJc w:val="left"/>
      <w:pPr>
        <w:ind w:left="0" w:firstLine="0"/>
      </w:pPr>
      <w:rPr>
        <w:rFonts w:ascii="宋体" w:eastAsia="宋体" w:hAnsi="宋体" w:cs="宋体" w:hint="default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ascii="宋体" w:eastAsia="宋体" w:hAnsi="宋体" w:cs="宋体" w:hint="default"/>
      </w:rPr>
    </w:lvl>
    <w:lvl w:ilvl="2">
      <w:start w:val="1"/>
      <w:numFmt w:val="decimal"/>
      <w:pStyle w:val="Heading3"/>
      <w:lvlText w:val="%1.%2.%3"/>
      <w:lvlJc w:val="left"/>
      <w:pPr>
        <w:ind w:left="0" w:firstLine="0"/>
      </w:pPr>
      <w:rPr>
        <w:rFonts w:ascii="宋体" w:eastAsia="宋体" w:hAnsi="宋体" w:cs="宋体" w:hint="default"/>
      </w:rPr>
    </w:lvl>
    <w:lvl w:ilvl="3">
      <w:start w:val="1"/>
      <w:numFmt w:val="decimal"/>
      <w:pStyle w:val="Heading4"/>
      <w:lvlText w:val="%1.%2.%3.%4"/>
      <w:lvlJc w:val="left"/>
      <w:pPr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decimal"/>
      <w:pStyle w:val="Heading5"/>
      <w:lvlText w:val="%1.%2.%3.%4.%5"/>
      <w:lvlJc w:val="left"/>
      <w:pPr>
        <w:ind w:left="0" w:firstLine="0"/>
      </w:pPr>
      <w:rPr>
        <w:rFonts w:ascii="宋体" w:eastAsia="宋体" w:hAnsi="宋体" w:cs="宋体"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semiHidden="0" w:uiPriority="39" w:unhideWhenUsed="0" w:qFormat="1"/>
    <w:lsdException w:name="toc 2" w:semiHidden="0" w:uiPriority="39" w:unhideWhenUsed="0" w:qFormat="1"/>
    <w:lsdException w:name="toc 3" w:semiHidden="0" w:uiPriority="39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 w:semiHidden="0" w:qFormat="1"/>
    <w:lsdException w:name="header" w:semiHidden="0" w:uiPriority="0" w:qFormat="1"/>
    <w:lsdException w:name="footer" w:semiHidden="0" w:uiPriority="0" w:qFormat="1"/>
    <w:lsdException w:name="index heading"/>
    <w:lsdException w:name="caption" w:semiHidden="0" w:uiPriority="35" w:qFormat="1"/>
    <w:lsdException w:name="table of figures"/>
    <w:lsdException w:name="envelope address"/>
    <w:lsdException w:name="envelope return"/>
    <w:lsdException w:name="footnote reference"/>
    <w:lsdException w:name="annotation reference" w:semiHidden="0" w:qFormat="1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iPriority="0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 w:semiHidden="0" w:qFormat="1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qFormat="1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spacing w:line="360" w:lineRule="auto"/>
    </w:pPr>
    <w:rPr>
      <w:rFonts w:ascii="宋体" w:eastAsia="宋体" w:hAnsi="宋体" w:cstheme="minorBidi"/>
      <w:kern w:val="2"/>
      <w:sz w:val="24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"/>
    <w:qFormat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44"/>
      <w:szCs w:val="32"/>
    </w:rPr>
  </w:style>
  <w:style w:type="paragraph" w:styleId="Heading3">
    <w:name w:val="heading 3"/>
    <w:basedOn w:val="Normal"/>
    <w:next w:val="Normal"/>
    <w:link w:val="3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6"/>
      <w:szCs w:val="32"/>
    </w:rPr>
  </w:style>
  <w:style w:type="paragraph" w:styleId="Heading4">
    <w:name w:val="heading 4"/>
    <w:basedOn w:val="Normal"/>
    <w:next w:val="Normal"/>
    <w:link w:val="4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cstheme="majorBidi"/>
      <w:b/>
      <w:bCs/>
      <w:sz w:val="36"/>
      <w:szCs w:val="28"/>
    </w:rPr>
  </w:style>
  <w:style w:type="paragraph" w:styleId="Heading5">
    <w:name w:val="heading 5"/>
    <w:basedOn w:val="Normal"/>
    <w:next w:val="Normal"/>
    <w:link w:val="5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Heading6">
    <w:name w:val="heading 6"/>
    <w:basedOn w:val="Normal"/>
    <w:next w:val="Normal"/>
    <w:link w:val="6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cstheme="majorBidi"/>
      <w:b/>
      <w:bCs/>
      <w:szCs w:val="24"/>
    </w:rPr>
  </w:style>
  <w:style w:type="paragraph" w:styleId="Heading7">
    <w:name w:val="heading 7"/>
    <w:basedOn w:val="Normal"/>
    <w:next w:val="Normal"/>
    <w:link w:val="7"/>
    <w:qFormat/>
    <w:pPr>
      <w:keepNext/>
      <w:keepLines/>
      <w:spacing w:before="240" w:after="64" w:line="317" w:lineRule="auto"/>
      <w:ind w:left="1296" w:hanging="1296"/>
      <w:outlineLvl w:val="6"/>
    </w:pPr>
    <w:rPr>
      <w:rFonts w:ascii="Times New Roman" w:hAnsi="Times New Roman" w:cs="Times New Roman"/>
      <w:b/>
      <w:szCs w:val="24"/>
    </w:rPr>
  </w:style>
  <w:style w:type="paragraph" w:styleId="Heading8">
    <w:name w:val="heading 8"/>
    <w:basedOn w:val="Normal"/>
    <w:next w:val="Normal"/>
    <w:link w:val="8"/>
    <w:qFormat/>
    <w:pPr>
      <w:keepNext/>
      <w:keepLines/>
      <w:spacing w:before="240" w:after="64" w:line="317" w:lineRule="auto"/>
      <w:ind w:left="1440" w:hanging="1440"/>
      <w:outlineLvl w:val="7"/>
    </w:pPr>
    <w:rPr>
      <w:rFonts w:ascii="Arial" w:eastAsia="黑体" w:hAnsi="Arial" w:cs="Times New Roman"/>
      <w:szCs w:val="24"/>
    </w:rPr>
  </w:style>
  <w:style w:type="paragraph" w:styleId="Heading9">
    <w:name w:val="heading 9"/>
    <w:basedOn w:val="Normal"/>
    <w:next w:val="Normal"/>
    <w:link w:val="9"/>
    <w:qFormat/>
    <w:pPr>
      <w:keepNext/>
      <w:keepLines/>
      <w:spacing w:before="240" w:after="64" w:line="317" w:lineRule="auto"/>
      <w:ind w:left="1583" w:hanging="1583"/>
      <w:outlineLvl w:val="8"/>
    </w:pPr>
    <w:rPr>
      <w:rFonts w:ascii="Arial" w:eastAsia="黑体" w:hAnsi="Arial" w:cs="Times New Roman"/>
      <w:sz w:val="21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a4"/>
    <w:uiPriority w:val="99"/>
    <w:unhideWhenUsed/>
    <w:qFormat/>
    <w:rPr>
      <w:b/>
      <w:bCs/>
    </w:rPr>
  </w:style>
  <w:style w:type="paragraph" w:styleId="CommentText">
    <w:name w:val="annotation text"/>
    <w:basedOn w:val="Normal"/>
    <w:link w:val="a3"/>
    <w:uiPriority w:val="99"/>
    <w:unhideWhenUsed/>
    <w:qFormat/>
  </w:style>
  <w:style w:type="paragraph" w:styleId="Caption">
    <w:name w:val="caption"/>
    <w:basedOn w:val="Normal"/>
    <w:next w:val="Normal"/>
    <w:uiPriority w:val="35"/>
    <w:unhideWhenUsed/>
    <w:qFormat/>
    <w:rPr>
      <w:rFonts w:asciiTheme="majorHAnsi" w:hAnsiTheme="majorHAnsi" w:cstheme="majorBidi"/>
      <w:szCs w:val="20"/>
    </w:rPr>
  </w:style>
  <w:style w:type="paragraph" w:styleId="BodyText">
    <w:name w:val="Body Text"/>
    <w:basedOn w:val="Normal"/>
    <w:link w:val="a1"/>
    <w:qFormat/>
    <w:pPr>
      <w:spacing w:after="120"/>
    </w:pPr>
    <w:rPr>
      <w:rFonts w:ascii="Times New Roman" w:hAnsi="Times New Roman" w:cs="Times New Roman"/>
      <w:sz w:val="21"/>
      <w:szCs w:val="24"/>
    </w:rPr>
  </w:style>
  <w:style w:type="paragraph" w:styleId="TOC3">
    <w:name w:val="toc 3"/>
    <w:basedOn w:val="Normal"/>
    <w:next w:val="Normal"/>
    <w:uiPriority w:val="39"/>
    <w:qFormat/>
    <w:pPr>
      <w:ind w:left="420"/>
    </w:pPr>
    <w:rPr>
      <w:rFonts w:ascii="Times New Roman" w:hAnsi="Times New Roman" w:cs="Times New Roman"/>
      <w:i/>
      <w:iCs/>
      <w:szCs w:val="24"/>
    </w:rPr>
  </w:style>
  <w:style w:type="paragraph" w:styleId="BalloonText">
    <w:name w:val="Balloon Text"/>
    <w:basedOn w:val="Normal"/>
    <w:link w:val="a5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Footer">
    <w:name w:val="footer"/>
    <w:basedOn w:val="Normal"/>
    <w:link w:val="a0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qFormat/>
    <w:pPr>
      <w:spacing w:before="120" w:after="120"/>
    </w:pPr>
    <w:rPr>
      <w:rFonts w:ascii="Times New Roman" w:hAnsi="Times New Roman" w:cs="Times New Roman"/>
      <w:b/>
      <w:bCs/>
      <w:caps/>
      <w:szCs w:val="24"/>
    </w:rPr>
  </w:style>
  <w:style w:type="paragraph" w:styleId="TOC2">
    <w:name w:val="toc 2"/>
    <w:basedOn w:val="Normal"/>
    <w:next w:val="Normal"/>
    <w:uiPriority w:val="39"/>
    <w:qFormat/>
    <w:pPr>
      <w:ind w:left="210"/>
    </w:pPr>
    <w:rPr>
      <w:rFonts w:ascii="Times New Roman" w:hAnsi="Times New Roman" w:cs="Times New Roman"/>
      <w:smallCaps/>
      <w:szCs w:val="24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unhideWhenUsed/>
    <w:qFormat/>
    <w:rPr>
      <w:sz w:val="21"/>
      <w:szCs w:val="21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1">
    <w:name w:val="标题 1 字符"/>
    <w:basedOn w:val="DefaultParagraphFont"/>
    <w:link w:val="Heading1"/>
    <w:qFormat/>
    <w:rPr>
      <w:rFonts w:ascii="宋体" w:hAnsi="宋体" w:cstheme="minorBidi"/>
      <w:b/>
      <w:bCs/>
      <w:kern w:val="44"/>
      <w:sz w:val="44"/>
      <w:szCs w:val="44"/>
    </w:rPr>
  </w:style>
  <w:style w:type="character" w:customStyle="1" w:styleId="2">
    <w:name w:val="标题 2 字符"/>
    <w:basedOn w:val="DefaultParagraphFont"/>
    <w:link w:val="Heading2"/>
    <w:qFormat/>
    <w:rPr>
      <w:rFonts w:asciiTheme="majorHAnsi" w:hAnsiTheme="majorHAnsi" w:cstheme="majorBidi"/>
      <w:b/>
      <w:bCs/>
      <w:kern w:val="2"/>
      <w:sz w:val="44"/>
      <w:szCs w:val="32"/>
    </w:rPr>
  </w:style>
  <w:style w:type="character" w:customStyle="1" w:styleId="3">
    <w:name w:val="标题 3 字符"/>
    <w:basedOn w:val="DefaultParagraphFont"/>
    <w:link w:val="Heading3"/>
    <w:qFormat/>
    <w:rPr>
      <w:rFonts w:eastAsia="宋体"/>
      <w:b/>
      <w:bCs/>
      <w:sz w:val="36"/>
      <w:szCs w:val="32"/>
    </w:rPr>
  </w:style>
  <w:style w:type="character" w:customStyle="1" w:styleId="4">
    <w:name w:val="标题 4 字符"/>
    <w:basedOn w:val="DefaultParagraphFont"/>
    <w:link w:val="Heading4"/>
    <w:uiPriority w:val="9"/>
    <w:qFormat/>
    <w:rPr>
      <w:rFonts w:eastAsia="宋体" w:asciiTheme="majorHAnsi" w:hAnsiTheme="majorHAnsi" w:cstheme="majorBidi"/>
      <w:b/>
      <w:bCs/>
      <w:sz w:val="36"/>
      <w:szCs w:val="28"/>
    </w:rPr>
  </w:style>
  <w:style w:type="character" w:customStyle="1" w:styleId="5">
    <w:name w:val="标题 5 字符"/>
    <w:basedOn w:val="DefaultParagraphFont"/>
    <w:link w:val="Heading5"/>
    <w:uiPriority w:val="9"/>
    <w:qFormat/>
    <w:rPr>
      <w:rFonts w:eastAsia="宋体"/>
      <w:b/>
      <w:bCs/>
      <w:sz w:val="32"/>
      <w:szCs w:val="28"/>
    </w:rPr>
  </w:style>
  <w:style w:type="character" w:customStyle="1" w:styleId="6">
    <w:name w:val="标题 6 字符"/>
    <w:basedOn w:val="DefaultParagraphFont"/>
    <w:link w:val="Heading6"/>
    <w:uiPriority w:val="9"/>
    <w:qFormat/>
    <w:rPr>
      <w:rFonts w:eastAsia="宋体" w:asciiTheme="majorHAnsi" w:hAnsiTheme="majorHAnsi" w:cstheme="majorBidi"/>
      <w:b/>
      <w:bCs/>
      <w:sz w:val="32"/>
      <w:szCs w:val="24"/>
    </w:rPr>
  </w:style>
  <w:style w:type="character" w:customStyle="1" w:styleId="2Char">
    <w:name w:val="正文2 Char"/>
    <w:link w:val="20"/>
    <w:qFormat/>
  </w:style>
  <w:style w:type="paragraph" w:customStyle="1" w:styleId="20">
    <w:name w:val="正文2"/>
    <w:basedOn w:val="Normal"/>
    <w:link w:val="2Char"/>
    <w:qFormat/>
    <w:pPr>
      <w:ind w:firstLine="465"/>
    </w:pPr>
    <w:rPr>
      <w:rFonts w:eastAsiaTheme="minorEastAsia"/>
      <w:sz w:val="21"/>
    </w:rPr>
  </w:style>
  <w:style w:type="paragraph" w:customStyle="1" w:styleId="CharCharCharChar">
    <w:name w:val="Char Char Char Char"/>
    <w:basedOn w:val="Normal"/>
    <w:qFormat/>
    <w:pPr>
      <w:widowControl/>
      <w:spacing w:line="240" w:lineRule="exact"/>
      <w:ind w:firstLine="200" w:firstLineChars="200"/>
    </w:pPr>
    <w:rPr>
      <w:rFonts w:ascii="Times New Roman" w:hAnsi="Times New Roman" w:cs="Times New Roman"/>
      <w:szCs w:val="24"/>
    </w:rPr>
  </w:style>
  <w:style w:type="character" w:customStyle="1" w:styleId="a1">
    <w:name w:val="正文文本 字符"/>
    <w:basedOn w:val="DefaultParagraphFont"/>
    <w:link w:val="BodyText"/>
    <w:qFormat/>
    <w:rPr>
      <w:rFonts w:ascii="Times New Roman" w:eastAsia="宋体" w:hAnsi="Times New Roman" w:cs="Times New Roman"/>
      <w:szCs w:val="24"/>
    </w:rPr>
  </w:style>
  <w:style w:type="paragraph" w:customStyle="1" w:styleId="10">
    <w:name w:val="引用1"/>
    <w:basedOn w:val="Normal"/>
    <w:next w:val="Normal"/>
    <w:link w:val="a2"/>
    <w:uiPriority w:val="99"/>
    <w:qFormat/>
    <w:pPr>
      <w:spacing w:before="200" w:after="160"/>
      <w:ind w:left="864" w:right="864"/>
      <w:jc w:val="center"/>
    </w:pPr>
    <w:rPr>
      <w:rFonts w:ascii="Times New Roman" w:hAnsi="Times New Roman" w:cs="Times New Roman"/>
      <w:iCs/>
      <w:color w:val="404040" w:themeColor="text1" w:themeTint="BF"/>
      <w:szCs w:val="24"/>
    </w:rPr>
  </w:style>
  <w:style w:type="character" w:customStyle="1" w:styleId="a2">
    <w:name w:val="引用 字符"/>
    <w:basedOn w:val="DefaultParagraphFont"/>
    <w:link w:val="10"/>
    <w:uiPriority w:val="99"/>
    <w:qFormat/>
    <w:rPr>
      <w:rFonts w:ascii="Times New Roman" w:eastAsia="宋体" w:hAnsi="Times New Roman" w:cs="Times New Roman"/>
      <w:iCs/>
      <w:color w:val="404040" w:themeColor="text1" w:themeTint="BF"/>
      <w:sz w:val="28"/>
      <w:szCs w:val="24"/>
    </w:rPr>
  </w:style>
  <w:style w:type="paragraph" w:customStyle="1" w:styleId="11">
    <w:name w:val="列表段落1"/>
    <w:basedOn w:val="Normal"/>
    <w:uiPriority w:val="34"/>
    <w:qFormat/>
    <w:pPr>
      <w:ind w:firstLine="420" w:firstLineChars="200"/>
    </w:pPr>
  </w:style>
  <w:style w:type="paragraph" w:customStyle="1" w:styleId="TOC10">
    <w:name w:val="TOC 标题1"/>
    <w:basedOn w:val="Heading1"/>
    <w:next w:val="Normal"/>
    <w:uiPriority w:val="39"/>
    <w:unhideWhenUsed/>
    <w:qFormat/>
    <w:pPr>
      <w:widowControl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7">
    <w:name w:val="标题 7 字符"/>
    <w:basedOn w:val="DefaultParagraphFont"/>
    <w:link w:val="Heading7"/>
    <w:qFormat/>
    <w:rPr>
      <w:rFonts w:ascii="Times New Roman" w:eastAsia="宋体" w:hAnsi="Times New Roman" w:cs="Times New Roman"/>
      <w:b/>
      <w:kern w:val="2"/>
      <w:sz w:val="24"/>
      <w:szCs w:val="24"/>
    </w:rPr>
  </w:style>
  <w:style w:type="character" w:customStyle="1" w:styleId="8">
    <w:name w:val="标题 8 字符"/>
    <w:basedOn w:val="DefaultParagraphFont"/>
    <w:link w:val="Heading8"/>
    <w:qFormat/>
    <w:rPr>
      <w:rFonts w:ascii="Arial" w:eastAsia="黑体" w:hAnsi="Arial" w:cs="Times New Roman"/>
      <w:kern w:val="2"/>
      <w:sz w:val="24"/>
      <w:szCs w:val="24"/>
    </w:rPr>
  </w:style>
  <w:style w:type="character" w:customStyle="1" w:styleId="9">
    <w:name w:val="标题 9 字符"/>
    <w:basedOn w:val="DefaultParagraphFont"/>
    <w:link w:val="Heading9"/>
    <w:qFormat/>
    <w:rPr>
      <w:rFonts w:ascii="Arial" w:eastAsia="黑体" w:hAnsi="Arial" w:cs="Times New Roman"/>
      <w:kern w:val="2"/>
      <w:sz w:val="21"/>
      <w:szCs w:val="24"/>
    </w:rPr>
  </w:style>
  <w:style w:type="character" w:customStyle="1" w:styleId="a3">
    <w:name w:val="批注文字 字符"/>
    <w:basedOn w:val="DefaultParagraphFont"/>
    <w:link w:val="CommentText"/>
    <w:uiPriority w:val="99"/>
    <w:semiHidden/>
    <w:qFormat/>
    <w:rPr>
      <w:rFonts w:ascii="宋体" w:eastAsia="宋体" w:hAnsi="宋体"/>
      <w:kern w:val="2"/>
      <w:sz w:val="24"/>
      <w:szCs w:val="22"/>
    </w:rPr>
  </w:style>
  <w:style w:type="character" w:customStyle="1" w:styleId="a4">
    <w:name w:val="批注主题 字符"/>
    <w:basedOn w:val="a3"/>
    <w:link w:val="CommentSubject"/>
    <w:uiPriority w:val="99"/>
    <w:semiHidden/>
    <w:qFormat/>
    <w:rPr>
      <w:rFonts w:ascii="宋体" w:eastAsia="宋体" w:hAnsi="宋体"/>
      <w:b/>
      <w:bCs/>
      <w:kern w:val="2"/>
      <w:sz w:val="24"/>
      <w:szCs w:val="22"/>
    </w:rPr>
  </w:style>
  <w:style w:type="character" w:customStyle="1" w:styleId="a5">
    <w:name w:val="批注框文本 字符"/>
    <w:basedOn w:val="DefaultParagraphFont"/>
    <w:link w:val="BalloonText"/>
    <w:uiPriority w:val="99"/>
    <w:semiHidden/>
    <w:qFormat/>
    <w:rPr>
      <w:rFonts w:ascii="宋体" w:eastAsia="宋体" w:hAnsi="宋体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image" Target="media/image6.png" /><Relationship Id="rId13" Type="http://schemas.openxmlformats.org/officeDocument/2006/relationships/image" Target="media/image7.jpeg" /><Relationship Id="rId14" Type="http://schemas.openxmlformats.org/officeDocument/2006/relationships/image" Target="media/image8.jpeg" /><Relationship Id="rId15" Type="http://schemas.openxmlformats.org/officeDocument/2006/relationships/image" Target="media/image9.jpeg" /><Relationship Id="rId16" Type="http://schemas.openxmlformats.org/officeDocument/2006/relationships/image" Target="media/image10.jpeg" /><Relationship Id="rId17" Type="http://schemas.openxmlformats.org/officeDocument/2006/relationships/image" Target="file:///C:\Users\hwj\AppData\Local\Temp\SNAGHTML6daa58b7.PNG" TargetMode="External" /><Relationship Id="rId18" Type="http://schemas.openxmlformats.org/officeDocument/2006/relationships/image" Target="media/image11.png" /><Relationship Id="rId19" Type="http://schemas.openxmlformats.org/officeDocument/2006/relationships/image" Target="media/image12.jpeg" /><Relationship Id="rId2" Type="http://schemas.openxmlformats.org/officeDocument/2006/relationships/webSettings" Target="webSettings.xml" /><Relationship Id="rId20" Type="http://schemas.openxmlformats.org/officeDocument/2006/relationships/image" Target="media/image13.jpeg" /><Relationship Id="rId21" Type="http://schemas.openxmlformats.org/officeDocument/2006/relationships/image" Target="media/image14.png" /><Relationship Id="rId22" Type="http://schemas.openxmlformats.org/officeDocument/2006/relationships/image" Target="media/image15.jpeg" /><Relationship Id="rId23" Type="http://schemas.openxmlformats.org/officeDocument/2006/relationships/image" Target="media/image16.png" /><Relationship Id="rId24" Type="http://schemas.openxmlformats.org/officeDocument/2006/relationships/image" Target="media/image17.emf" /><Relationship Id="rId25" Type="http://schemas.openxmlformats.org/officeDocument/2006/relationships/image" Target="media/image18.jpeg" /><Relationship Id="rId26" Type="http://schemas.openxmlformats.org/officeDocument/2006/relationships/image" Target="media/image19.jpeg" /><Relationship Id="rId27" Type="http://schemas.openxmlformats.org/officeDocument/2006/relationships/image" Target="media/image20.jpeg" /><Relationship Id="rId28" Type="http://schemas.openxmlformats.org/officeDocument/2006/relationships/image" Target="media/image21.jpeg" /><Relationship Id="rId29" Type="http://schemas.openxmlformats.org/officeDocument/2006/relationships/image" Target="media/image22.jpeg" /><Relationship Id="rId3" Type="http://schemas.openxmlformats.org/officeDocument/2006/relationships/fontTable" Target="fontTable.xml" /><Relationship Id="rId30" Type="http://schemas.openxmlformats.org/officeDocument/2006/relationships/image" Target="media/image23.jpeg" /><Relationship Id="rId31" Type="http://schemas.openxmlformats.org/officeDocument/2006/relationships/image" Target="media/image24.jpeg" /><Relationship Id="rId32" Type="http://schemas.openxmlformats.org/officeDocument/2006/relationships/image" Target="media/image25.jpeg" /><Relationship Id="rId33" Type="http://schemas.openxmlformats.org/officeDocument/2006/relationships/image" Target="media/image26.jpeg" /><Relationship Id="rId34" Type="http://schemas.openxmlformats.org/officeDocument/2006/relationships/image" Target="media/image27.jpeg" /><Relationship Id="rId35" Type="http://schemas.openxmlformats.org/officeDocument/2006/relationships/image" Target="media/image28.jpeg" /><Relationship Id="rId36" Type="http://schemas.openxmlformats.org/officeDocument/2006/relationships/image" Target="media/image29.jpeg" /><Relationship Id="rId37" Type="http://schemas.openxmlformats.org/officeDocument/2006/relationships/image" Target="media/image30.jpeg" /><Relationship Id="rId38" Type="http://schemas.openxmlformats.org/officeDocument/2006/relationships/image" Target="media/image31.jpe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jpeg" /><Relationship Id="rId41" Type="http://schemas.openxmlformats.org/officeDocument/2006/relationships/image" Target="media/image34.jpeg" /><Relationship Id="rId42" Type="http://schemas.openxmlformats.org/officeDocument/2006/relationships/image" Target="media/image35.png" /><Relationship Id="rId43" Type="http://schemas.openxmlformats.org/officeDocument/2006/relationships/image" Target="media/image36.jpeg" /><Relationship Id="rId44" Type="http://schemas.openxmlformats.org/officeDocument/2006/relationships/image" Target="media/image37.jpeg" /><Relationship Id="rId45" Type="http://schemas.openxmlformats.org/officeDocument/2006/relationships/image" Target="media/image38.png" /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image" Target="media/image41.jpeg" /><Relationship Id="rId49" Type="http://schemas.openxmlformats.org/officeDocument/2006/relationships/image" Target="media/image42.png" /><Relationship Id="rId5" Type="http://schemas.openxmlformats.org/officeDocument/2006/relationships/customXml" Target="../customXml/item2.xml" /><Relationship Id="rId50" Type="http://schemas.openxmlformats.org/officeDocument/2006/relationships/image" Target="media/image43.jpeg" /><Relationship Id="rId51" Type="http://schemas.openxmlformats.org/officeDocument/2006/relationships/image" Target="media/image44.png" /><Relationship Id="rId52" Type="http://schemas.openxmlformats.org/officeDocument/2006/relationships/image" Target="media/image45.jpeg" /><Relationship Id="rId53" Type="http://schemas.openxmlformats.org/officeDocument/2006/relationships/image" Target="media/image46.emf" /><Relationship Id="rId54" Type="http://schemas.openxmlformats.org/officeDocument/2006/relationships/image" Target="media/image47.png" /><Relationship Id="rId55" Type="http://schemas.openxmlformats.org/officeDocument/2006/relationships/image" Target="media/image48.jpeg" /><Relationship Id="rId56" Type="http://schemas.openxmlformats.org/officeDocument/2006/relationships/image" Target="media/image49.png" /><Relationship Id="rId57" Type="http://schemas.openxmlformats.org/officeDocument/2006/relationships/image" Target="media/image50.png" /><Relationship Id="rId58" Type="http://schemas.openxmlformats.org/officeDocument/2006/relationships/image" Target="media/image51.emf" /><Relationship Id="rId59" Type="http://schemas.openxmlformats.org/officeDocument/2006/relationships/image" Target="media/image52.png" /><Relationship Id="rId6" Type="http://schemas.openxmlformats.org/officeDocument/2006/relationships/image" Target="media/image1.jpeg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emf" /><Relationship Id="rId64" Type="http://schemas.openxmlformats.org/officeDocument/2006/relationships/image" Target="media/image57.png" /><Relationship Id="rId65" Type="http://schemas.openxmlformats.org/officeDocument/2006/relationships/image" Target="media/image58.png" /><Relationship Id="rId66" Type="http://schemas.openxmlformats.org/officeDocument/2006/relationships/header" Target="header1.xml" /><Relationship Id="rId67" Type="http://schemas.openxmlformats.org/officeDocument/2006/relationships/footer" Target="footer1.xml" /><Relationship Id="rId68" Type="http://schemas.openxmlformats.org/officeDocument/2006/relationships/theme" Target="theme/theme1.xml" /><Relationship Id="rId69" Type="http://schemas.openxmlformats.org/officeDocument/2006/relationships/numbering" Target="numbering.xml" /><Relationship Id="rId7" Type="http://schemas.openxmlformats.org/officeDocument/2006/relationships/image" Target="media/image2.jpeg" /><Relationship Id="rId70" Type="http://schemas.openxmlformats.org/officeDocument/2006/relationships/styles" Target="styles.xml" /><Relationship Id="rId8" Type="http://schemas.openxmlformats.org/officeDocument/2006/relationships/image" Target="media/image3.png" /><Relationship Id="rId9" Type="http://schemas.openxmlformats.org/officeDocument/2006/relationships/image" Target="file:///C:\Users\hwj\AppData\Local\Temp\SNAGHTML637bf5ac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1C3DA4-CE9F-4699-8F50-0AC249D5438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1</Pages>
  <Words>925</Words>
  <Characters>5274</Characters>
  <Application>Microsoft Office Word</Application>
  <DocSecurity>0</DocSecurity>
  <Lines>43</Lines>
  <Paragraphs>12</Paragraphs>
  <ScaleCrop>false</ScaleCrop>
  <Company/>
  <LinksUpToDate>false</LinksUpToDate>
  <CharactersWithSpaces>6187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刘腾(发文初审)</cp:lastModifiedBy>
  <cp:revision>294</cp:revision>
  <cp:lastPrinted>2019-03-12T09:47:00Z</cp:lastPrinted>
  <dcterms:created xsi:type="dcterms:W3CDTF">2019-03-12T07:51:00Z</dcterms:created>
  <dcterms:modified xsi:type="dcterms:W3CDTF">2020-07-06T01:13:30Z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