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方正小标宋_GBK" w:hAnsi="宋体" w:eastAsia="方正小标宋_GBK"/>
          <w:bCs/>
          <w:spacing w:val="51"/>
          <w:w w:val="64"/>
          <w:kern w:val="96"/>
          <w:position w:val="-4"/>
        </w:rPr>
      </w:pPr>
      <w:r>
        <w:rPr>
          <w:rFonts w:hint="eastAsia" w:ascii="方正小标宋_GBK" w:hAnsi="宋体" w:eastAsia="方正小标宋_GBK"/>
          <w:bCs/>
          <w:color w:val="FF0000"/>
          <w:spacing w:val="51"/>
          <w:w w:val="64"/>
          <w:kern w:val="96"/>
          <w:position w:val="-4"/>
          <w:sz w:val="120"/>
          <w:szCs w:val="120"/>
        </w:rPr>
        <w:t>江门市生态环境局文件</w:t>
      </w:r>
    </w:p>
    <w:p>
      <w:pPr>
        <w:spacing w:line="400" w:lineRule="exact"/>
        <w:rPr>
          <w:rFonts w:ascii="方正小标宋_GBK" w:hAnsi="华文中宋" w:eastAsia="方正小标宋_GBK" w:cs="Dotum"/>
          <w:sz w:val="44"/>
          <w:szCs w:val="44"/>
        </w:rPr>
      </w:pPr>
      <w:bookmarkStart w:id="0" w:name="OLE_LINK1"/>
    </w:p>
    <w:p>
      <w:pPr>
        <w:spacing w:line="400" w:lineRule="exact"/>
        <w:rPr>
          <w:rFonts w:ascii="方正小标宋_GBK" w:hAnsi="华文中宋" w:eastAsia="方正小标宋_GBK" w:cs="Dotum"/>
          <w:sz w:val="44"/>
          <w:szCs w:val="44"/>
        </w:rPr>
      </w:pPr>
    </w:p>
    <w:bookmarkEnd w:id="0"/>
    <w:p>
      <w:pPr>
        <w:spacing w:line="400" w:lineRule="exact"/>
        <w:ind w:firstLine="320" w:firstLineChars="100"/>
        <w:jc w:val="center"/>
        <w:rPr>
          <w:rFonts w:ascii="楷体_GB2312" w:hAnsi="华文仿宋" w:eastAsia="楷体_GB2312"/>
          <w:sz w:val="32"/>
          <w:szCs w:val="32"/>
        </w:rPr>
      </w:pPr>
      <w:r>
        <w:rPr>
          <w:rFonts w:hint="eastAsia" w:ascii="仿宋_GB2312" w:hAnsi="华文仿宋" w:eastAsia="仿宋_GB2312"/>
          <w:sz w:val="32"/>
          <w:szCs w:val="32"/>
        </w:rPr>
        <w:t>江蓬环验〔2020〕</w:t>
      </w:r>
      <w:r>
        <w:rPr>
          <w:rFonts w:hint="eastAsia" w:ascii="仿宋_GB2312" w:hAnsi="华文仿宋" w:eastAsia="仿宋_GB2312"/>
          <w:sz w:val="32"/>
          <w:szCs w:val="32"/>
          <w:lang w:val="en-US" w:eastAsia="zh-CN"/>
        </w:rPr>
        <w:t>57</w:t>
      </w:r>
      <w:r>
        <w:rPr>
          <w:rFonts w:hint="eastAsia" w:ascii="仿宋_GB2312" w:hAnsi="华文仿宋" w:eastAsia="仿宋_GB2312"/>
          <w:sz w:val="32"/>
          <w:szCs w:val="32"/>
        </w:rPr>
        <w:t>号</w:t>
      </w:r>
    </w:p>
    <w:p>
      <w:pPr>
        <w:spacing w:line="400" w:lineRule="exact"/>
        <w:ind w:firstLine="320" w:firstLineChars="100"/>
        <w:jc w:val="center"/>
        <w:rPr>
          <w:rFonts w:ascii="楷体_GB2312" w:hAnsi="华文仿宋" w:eastAsia="楷体_GB2312"/>
          <w:sz w:val="32"/>
          <w:szCs w:val="32"/>
        </w:rPr>
      </w:pPr>
      <w:r>
        <w:rPr>
          <w:rFonts w:hint="eastAsia" w:ascii="仿宋_GB2312" w:eastAsia="仿宋_GB2312"/>
          <w:sz w:val="32"/>
          <w:szCs w:val="32"/>
        </w:rPr>
        <mc:AlternateContent>
          <mc:Choice Requires="wps">
            <w:drawing>
              <wp:anchor distT="0" distB="0" distL="114300" distR="114300" simplePos="0" relativeHeight="251658240" behindDoc="1" locked="1" layoutInCell="1" allowOverlap="1">
                <wp:simplePos x="0" y="0"/>
                <wp:positionH relativeFrom="column">
                  <wp:align>center</wp:align>
                </wp:positionH>
                <wp:positionV relativeFrom="paragraph">
                  <wp:posOffset>144145</wp:posOffset>
                </wp:positionV>
                <wp:extent cx="5618480" cy="0"/>
                <wp:effectExtent l="17780" t="20955" r="21590" b="17145"/>
                <wp:wrapNone/>
                <wp:docPr id="1" name="直线 3"/>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5400" cmpd="sng">
                          <a:solidFill>
                            <a:srgbClr val="FF0000"/>
                          </a:solidFill>
                          <a:round/>
                        </a:ln>
                      </wps:spPr>
                      <wps:bodyPr/>
                    </wps:wsp>
                  </a:graphicData>
                </a:graphic>
              </wp:anchor>
            </w:drawing>
          </mc:Choice>
          <mc:Fallback>
            <w:pict>
              <v:line id="直线 3" o:spid="_x0000_s1026" o:spt="20" style="position:absolute;left:0pt;margin-top:11.35pt;height:0pt;width:442.4pt;mso-position-horizontal:center;z-index:-251658240;mso-width-relative:page;mso-height-relative:page;" filled="f" stroked="t" coordsize="21600,21600" o:gfxdata="UEsDBAoAAAAAAIdO4kAAAAAAAAAAAAAAAAAEAAAAZHJzL1BLAwQUAAAACACHTuJArSvDStQAAAAG&#10;AQAADwAAAGRycy9kb3ducmV2LnhtbE2PzU7DMBCE70i8g7VI3KiTCEKUxukBBBLcKBTEzY03cVR7&#10;HcXuD2/PIg5wnJ3VzDfN6uSdOOAcx0AK8kUGAqkLZqRBwdvrw1UFIiZNRrtAqOALI6za87NG1yYc&#10;6QUP6zQIDqFYawU2pamWMnYWvY6LMCGx14fZ68RyHqSZ9ZHDvZNFlpXS65G4weoJ7yx2u/XeK3h6&#10;x43ZfD7f3wRn8v7jsYy9LZW6vMizJYiEp/T3DD/4jA4tM23DnkwUTgEPSQqK4hYEu1V1zUO2vwfZ&#10;NvI/fvsNUEsDBBQAAAAIAIdO4kD8hpxSxQEAAF8DAAAOAAAAZHJzL2Uyb0RvYy54bWytU0tu2zAQ&#10;3RfoHQjua8luEhiC5SwcuJu0NZDkADRFSURJDsGhLfksvUZX3fQ4uUaH9KdpuwviBWFy5j3Oe49a&#10;3I7WsL0KqMHVfDopOVNOQqNdV/Onx/WHOWcYhWuEAadqflDIb5fv3y0GX6kZ9GAaFRiROKwGX/M+&#10;Rl8VBcpeWYET8MpRsYVgRaRt6IomiIHYrSlmZXlTDBAaH0AqRDq9Oxb5MvO3rZLxa9uiiszUnGaL&#10;eQ153aa1WC5E1QXhey1PY4hXTGGFdnTphepORMF2Qf9HZbUMgNDGiQRbQNtqqbIGUjMt/1Hz0Auv&#10;shYyB/3FJnw7WvllvwlMN5QdZ05Yiuj5+4/nn7/Yx+TN4LGilpXbhKROju7B34P8hszBqheuU3nG&#10;x4Mn4DQhir8gaYOebtgOn6GhHrGLkI0a22ATJVnAxpzH4ZKHGiOTdHh9M51fzSk2ea4VojoDfcD4&#10;SYFl6U/NjXbJKlGJ/T3GNIiozi3p2MFaG5PjNo4NNZ9dX5WJ2noSj67LYASjm9SYIBi67coEthf0&#10;eNbrkn5ZIVVetgXYueZ4oXEnA5Lmo3tbaA6bcDaGUsyTnV5ceiYv9xn957t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tK8NK1AAAAAYBAAAPAAAAAAAAAAEAIAAAACIAAABkcnMvZG93bnJldi54&#10;bWxQSwECFAAUAAAACACHTuJA/IacUsUBAABfAwAADgAAAAAAAAABACAAAAAjAQAAZHJzL2Uyb0Rv&#10;Yy54bWxQSwUGAAAAAAYABgBZAQAAWgUAAAAA&#10;">
                <v:fill on="f" focussize="0,0"/>
                <v:stroke weight="2pt" color="#FF0000" joinstyle="round"/>
                <v:imagedata o:title=""/>
                <o:lock v:ext="edit" aspectratio="f"/>
                <w10:anchorlock/>
              </v:line>
            </w:pict>
          </mc:Fallback>
        </mc:AlternateContent>
      </w:r>
    </w:p>
    <w:p>
      <w:pPr>
        <w:keepNext w:val="0"/>
        <w:keepLines w:val="0"/>
        <w:pageBreakBefore w:val="0"/>
        <w:widowControl w:val="0"/>
        <w:kinsoku/>
        <w:overflowPunct/>
        <w:topLinePunct w:val="0"/>
        <w:autoSpaceDE/>
        <w:autoSpaceDN/>
        <w:bidi w:val="0"/>
        <w:spacing w:line="576" w:lineRule="exact"/>
        <w:ind w:left="0" w:leftChars="0"/>
        <w:textAlignment w:val="auto"/>
        <w:outlineLvl w:val="9"/>
        <w:rPr>
          <w:rFonts w:ascii="仿宋_GB2312" w:eastAsia="仿宋_GB2312"/>
          <w:sz w:val="32"/>
          <w:szCs w:val="32"/>
        </w:rPr>
      </w:pPr>
    </w:p>
    <w:p>
      <w:pPr>
        <w:keepNext w:val="0"/>
        <w:keepLines w:val="0"/>
        <w:pageBreakBefore w:val="0"/>
        <w:widowControl w:val="0"/>
        <w:kinsoku/>
        <w:overflowPunct/>
        <w:topLinePunct w:val="0"/>
        <w:autoSpaceDE/>
        <w:autoSpaceDN/>
        <w:bidi w:val="0"/>
        <w:spacing w:line="576" w:lineRule="exact"/>
        <w:ind w:left="0" w:leftChars="0"/>
        <w:jc w:val="center"/>
        <w:textAlignment w:val="auto"/>
        <w:outlineLvl w:val="9"/>
        <w:rPr>
          <w:rFonts w:ascii="方正小标宋_GBK" w:hAnsi="华文中宋" w:eastAsia="方正小标宋_GBK"/>
          <w:spacing w:val="-10"/>
          <w:sz w:val="44"/>
          <w:szCs w:val="44"/>
        </w:rPr>
      </w:pPr>
      <w:r>
        <w:rPr>
          <w:rFonts w:hint="eastAsia" w:ascii="方正小标宋_GBK" w:hAnsi="华文中宋" w:eastAsia="方正小标宋_GBK"/>
          <w:spacing w:val="-10"/>
          <w:sz w:val="44"/>
          <w:szCs w:val="44"/>
        </w:rPr>
        <w:t>关于同意江门市十全照明有限公司年产灯饰配件2770吨、组装灯饰50万个建设项目（固体废物</w:t>
      </w:r>
    </w:p>
    <w:p>
      <w:pPr>
        <w:keepNext w:val="0"/>
        <w:keepLines w:val="0"/>
        <w:pageBreakBefore w:val="0"/>
        <w:widowControl w:val="0"/>
        <w:kinsoku/>
        <w:overflowPunct/>
        <w:topLinePunct w:val="0"/>
        <w:autoSpaceDE/>
        <w:autoSpaceDN/>
        <w:bidi w:val="0"/>
        <w:spacing w:line="576" w:lineRule="exact"/>
        <w:ind w:left="0" w:leftChars="0"/>
        <w:jc w:val="center"/>
        <w:textAlignment w:val="auto"/>
        <w:outlineLvl w:val="9"/>
        <w:rPr>
          <w:rFonts w:ascii="方正小标宋_GBK" w:hAnsi="华文中宋" w:eastAsia="方正小标宋_GBK"/>
          <w:spacing w:val="-10"/>
          <w:sz w:val="44"/>
          <w:szCs w:val="44"/>
        </w:rPr>
      </w:pPr>
      <w:r>
        <w:rPr>
          <w:rFonts w:hint="eastAsia" w:ascii="方正小标宋_GBK" w:hAnsi="华文中宋" w:eastAsia="方正小标宋_GBK"/>
          <w:spacing w:val="-10"/>
          <w:sz w:val="44"/>
          <w:szCs w:val="44"/>
        </w:rPr>
        <w:t>污染防治设施）竣工环境保护验收的函</w:t>
      </w:r>
    </w:p>
    <w:p>
      <w:pPr>
        <w:keepNext w:val="0"/>
        <w:keepLines w:val="0"/>
        <w:pageBreakBefore w:val="0"/>
        <w:widowControl w:val="0"/>
        <w:kinsoku/>
        <w:overflowPunct/>
        <w:topLinePunct w:val="0"/>
        <w:autoSpaceDE/>
        <w:autoSpaceDN/>
        <w:bidi w:val="0"/>
        <w:spacing w:line="576" w:lineRule="exact"/>
        <w:ind w:left="0" w:leftChars="0"/>
        <w:textAlignment w:val="auto"/>
        <w:outlineLvl w:val="9"/>
        <w:rPr>
          <w:rFonts w:ascii="仿宋_GB2312" w:eastAsia="仿宋_GB2312"/>
          <w:sz w:val="32"/>
          <w:szCs w:val="32"/>
        </w:rPr>
      </w:pPr>
    </w:p>
    <w:p>
      <w:pPr>
        <w:keepNext w:val="0"/>
        <w:keepLines w:val="0"/>
        <w:pageBreakBefore w:val="0"/>
        <w:widowControl w:val="0"/>
        <w:kinsoku/>
        <w:overflowPunct/>
        <w:topLinePunct w:val="0"/>
        <w:autoSpaceDE/>
        <w:autoSpaceDN/>
        <w:bidi w:val="0"/>
        <w:spacing w:line="576" w:lineRule="exact"/>
        <w:ind w:left="0" w:leftChars="0"/>
        <w:textAlignment w:val="auto"/>
        <w:outlineLvl w:val="9"/>
        <w:rPr>
          <w:rFonts w:ascii="仿宋_GB2312" w:eastAsia="仿宋_GB2312"/>
          <w:sz w:val="32"/>
          <w:szCs w:val="32"/>
        </w:rPr>
      </w:pPr>
      <w:r>
        <w:rPr>
          <w:rFonts w:hint="eastAsia" w:ascii="仿宋_GB2312" w:eastAsia="仿宋_GB2312"/>
          <w:sz w:val="32"/>
          <w:szCs w:val="32"/>
        </w:rPr>
        <w:t>江门市十全照明有限公司：</w:t>
      </w:r>
    </w:p>
    <w:p>
      <w:pPr>
        <w:keepNext w:val="0"/>
        <w:keepLines w:val="0"/>
        <w:pageBreakBefore w:val="0"/>
        <w:widowControl w:val="0"/>
        <w:kinsoku/>
        <w:wordWrap w:val="0"/>
        <w:overflowPunct/>
        <w:topLinePunct w:val="0"/>
        <w:autoSpaceDE/>
        <w:autoSpaceDN/>
        <w:bidi w:val="0"/>
        <w:spacing w:line="576" w:lineRule="exact"/>
        <w:ind w:left="0" w:leftChars="0" w:firstLine="624" w:firstLineChars="200"/>
        <w:textAlignment w:val="auto"/>
        <w:outlineLvl w:val="9"/>
        <w:rPr>
          <w:rFonts w:ascii="仿宋_GB2312" w:hAnsi="华文中宋" w:eastAsia="仿宋_GB2312"/>
          <w:spacing w:val="-4"/>
          <w:sz w:val="32"/>
          <w:szCs w:val="32"/>
        </w:rPr>
      </w:pPr>
      <w:r>
        <w:rPr>
          <w:rFonts w:hint="eastAsia" w:ascii="仿宋_GB2312" w:hAnsi="华文中宋" w:eastAsia="仿宋_GB2312"/>
          <w:spacing w:val="-4"/>
          <w:sz w:val="32"/>
          <w:szCs w:val="32"/>
        </w:rPr>
        <w:t>你公司年产灯饰配件2770吨、组装灯饰50万个建设项目（固体废物污染防治设施）竣工环境保护验收申请等有关资料收悉。我局组织对该项目（固体废物污染防治设施）进行了竣工环境保护现场检查，并将该项目环境保护执行</w:t>
      </w:r>
      <w:r>
        <w:rPr>
          <w:rFonts w:hint="eastAsia" w:ascii="仿宋_GB2312" w:hAnsi="华文中宋" w:eastAsia="仿宋_GB2312"/>
          <w:spacing w:val="-6"/>
          <w:sz w:val="32"/>
          <w:szCs w:val="32"/>
        </w:rPr>
        <w:t>情况在江门市生态环境局蓬江分局工作动态</w:t>
      </w:r>
      <w:r>
        <w:rPr>
          <w:rFonts w:hint="eastAsia" w:ascii="仿宋_GB2312" w:hAnsi="华文中宋" w:eastAsia="仿宋_GB2312"/>
          <w:spacing w:val="-4"/>
          <w:sz w:val="32"/>
          <w:szCs w:val="32"/>
        </w:rPr>
        <w:t>（</w:t>
      </w:r>
      <w:r>
        <w:rPr>
          <w:rFonts w:ascii="仿宋_GB2312" w:eastAsia="仿宋_GB2312"/>
          <w:spacing w:val="-4"/>
          <w:sz w:val="32"/>
          <w:szCs w:val="32"/>
        </w:rPr>
        <w:t>http://www.jiangmen.gov.cn/bmpd/jmssthjj/pcfj/pjfj/gzdt/index.html</w:t>
      </w:r>
      <w:r>
        <w:rPr>
          <w:rFonts w:hint="eastAsia" w:ascii="仿宋_GB2312" w:hAnsi="华文中宋" w:eastAsia="仿宋_GB2312"/>
          <w:spacing w:val="-4"/>
          <w:sz w:val="32"/>
          <w:szCs w:val="32"/>
        </w:rPr>
        <w:t>）进行了公示。公示期间没有收到群众投诉和反对意见。经研究，现提出验收意见如下：</w:t>
      </w:r>
    </w:p>
    <w:p>
      <w:pPr>
        <w:keepNext w:val="0"/>
        <w:keepLines w:val="0"/>
        <w:pageBreakBefore w:val="0"/>
        <w:widowControl w:val="0"/>
        <w:kinsoku/>
        <w:overflowPunct/>
        <w:topLinePunct w:val="0"/>
        <w:autoSpaceDE/>
        <w:autoSpaceDN/>
        <w:bidi w:val="0"/>
        <w:spacing w:line="576" w:lineRule="exact"/>
        <w:ind w:left="0" w:leftChars="0" w:firstLine="640" w:firstLineChars="200"/>
        <w:textAlignment w:val="auto"/>
        <w:outlineLvl w:val="9"/>
        <w:rPr>
          <w:rFonts w:ascii="黑体" w:hAnsi="黑体" w:eastAsia="黑体"/>
          <w:color w:val="000000"/>
          <w:sz w:val="32"/>
          <w:szCs w:val="32"/>
        </w:rPr>
      </w:pPr>
      <w:r>
        <w:rPr>
          <w:rFonts w:hint="eastAsia" w:ascii="黑体" w:hAnsi="黑体" w:eastAsia="黑体"/>
          <w:color w:val="000000"/>
          <w:sz w:val="32"/>
          <w:szCs w:val="32"/>
        </w:rPr>
        <w:t>一、项目基本情况</w:t>
      </w:r>
    </w:p>
    <w:p>
      <w:pPr>
        <w:keepNext w:val="0"/>
        <w:keepLines w:val="0"/>
        <w:pageBreakBefore w:val="0"/>
        <w:widowControl w:val="0"/>
        <w:kinsoku/>
        <w:overflowPunct/>
        <w:topLinePunct w:val="0"/>
        <w:autoSpaceDE/>
        <w:autoSpaceDN/>
        <w:bidi w:val="0"/>
        <w:adjustRightInd w:val="0"/>
        <w:snapToGrid w:val="0"/>
        <w:spacing w:line="576"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江门市十全照明有限公司位于江门市蓬江区荷塘镇篁湾华昌路6号之一厂房，占地面积6188平方米</w:t>
      </w:r>
      <w:r>
        <w:rPr>
          <w:rFonts w:ascii="仿宋_GB2312" w:eastAsia="仿宋_GB2312"/>
          <w:sz w:val="32"/>
          <w:szCs w:val="32"/>
        </w:rPr>
        <w:t>，建筑面积</w:t>
      </w:r>
      <w:r>
        <w:rPr>
          <w:rFonts w:hint="eastAsia" w:ascii="仿宋_GB2312" w:eastAsia="仿宋_GB2312"/>
          <w:sz w:val="32"/>
          <w:szCs w:val="32"/>
        </w:rPr>
        <w:t>6438平方米</w:t>
      </w:r>
      <w:r>
        <w:rPr>
          <w:rFonts w:ascii="仿宋_GB2312" w:eastAsia="仿宋_GB2312"/>
          <w:sz w:val="32"/>
          <w:szCs w:val="32"/>
        </w:rPr>
        <w:t>。</w:t>
      </w:r>
      <w:r>
        <w:rPr>
          <w:rFonts w:hint="eastAsia" w:ascii="仿宋_GB2312" w:eastAsia="仿宋_GB2312"/>
          <w:sz w:val="32"/>
          <w:szCs w:val="32"/>
        </w:rPr>
        <w:t>主要从事铝材及灯饰配件的生产项目。现场设有铝棒加热炉（燃液化石油气）3台、铝材挤压机线3条、时效炉（燃液化石油气）3台、切割锯15台、自动打孔机4台、五金冲压机5台、铝材焊接机（自动）5台、铝材焊接机（手动）5台、铝材拼接机8台、铝材废料打包机1台。铝材的生产工艺流程：铝棒+模具→加热→挤出→调直→中断锯切→冲压→时效处理→定尺锯切→成品出货。灯饰配件的生产工艺流程：灯具配件→检验→流水线组装、焊接→产品检测→产品包装→出货。</w:t>
      </w:r>
    </w:p>
    <w:p>
      <w:pPr>
        <w:keepNext w:val="0"/>
        <w:keepLines w:val="0"/>
        <w:pageBreakBefore w:val="0"/>
        <w:widowControl w:val="0"/>
        <w:kinsoku/>
        <w:overflowPunct/>
        <w:topLinePunct w:val="0"/>
        <w:autoSpaceDE/>
        <w:autoSpaceDN/>
        <w:bidi w:val="0"/>
        <w:adjustRightInd w:val="0"/>
        <w:snapToGrid w:val="0"/>
        <w:spacing w:line="576" w:lineRule="exact"/>
        <w:ind w:left="0" w:leftChars="0" w:firstLine="640" w:firstLineChars="200"/>
        <w:textAlignment w:val="auto"/>
        <w:outlineLvl w:val="9"/>
        <w:rPr>
          <w:rFonts w:ascii="黑体" w:hAnsi="黑体" w:eastAsia="黑体"/>
          <w:color w:val="000000"/>
          <w:sz w:val="32"/>
          <w:szCs w:val="32"/>
        </w:rPr>
      </w:pPr>
      <w:r>
        <w:rPr>
          <w:rFonts w:hint="eastAsia" w:ascii="黑体" w:hAnsi="黑体" w:eastAsia="黑体"/>
          <w:color w:val="000000"/>
          <w:sz w:val="32"/>
          <w:szCs w:val="32"/>
        </w:rPr>
        <w:t>二、环境保护执行情况</w:t>
      </w:r>
    </w:p>
    <w:p>
      <w:pPr>
        <w:pStyle w:val="2"/>
        <w:keepNext w:val="0"/>
        <w:keepLines w:val="0"/>
        <w:pageBreakBefore w:val="0"/>
        <w:widowControl w:val="0"/>
        <w:kinsoku/>
        <w:overflowPunct/>
        <w:topLinePunct w:val="0"/>
        <w:autoSpaceDE/>
        <w:autoSpaceDN/>
        <w:bidi w:val="0"/>
        <w:adjustRightInd w:val="0"/>
        <w:snapToGrid w:val="0"/>
        <w:spacing w:line="576" w:lineRule="exact"/>
        <w:ind w:left="0" w:leftChars="0"/>
        <w:textAlignment w:val="auto"/>
        <w:outlineLvl w:val="9"/>
        <w:rPr>
          <w:rFonts w:hAnsi="仿宋_GB2312" w:cs="仿宋_GB2312"/>
          <w:color w:val="000000"/>
          <w:sz w:val="32"/>
          <w:szCs w:val="32"/>
        </w:rPr>
      </w:pPr>
      <w:r>
        <w:rPr>
          <w:rFonts w:hint="eastAsia" w:hAnsi="仿宋_GB2312" w:cs="仿宋_GB2312"/>
          <w:color w:val="000000"/>
          <w:sz w:val="32"/>
          <w:szCs w:val="32"/>
        </w:rPr>
        <w:t>该项目执行了环境影响评价制度。建设单位于</w:t>
      </w:r>
      <w:r>
        <w:rPr>
          <w:sz w:val="32"/>
          <w:szCs w:val="32"/>
        </w:rPr>
        <w:t>2019</w:t>
      </w:r>
      <w:r>
        <w:rPr>
          <w:rFonts w:hint="eastAsia" w:hAnsi="仿宋_GB2312" w:cs="仿宋_GB2312"/>
          <w:color w:val="000000"/>
          <w:sz w:val="32"/>
          <w:szCs w:val="32"/>
        </w:rPr>
        <w:t>年</w:t>
      </w:r>
      <w:r>
        <w:rPr>
          <w:rFonts w:hint="eastAsia"/>
          <w:sz w:val="32"/>
          <w:szCs w:val="32"/>
        </w:rPr>
        <w:t>1</w:t>
      </w:r>
      <w:r>
        <w:rPr>
          <w:rFonts w:hint="eastAsia" w:hAnsi="仿宋_GB2312" w:cs="仿宋_GB2312"/>
          <w:color w:val="000000"/>
          <w:sz w:val="32"/>
          <w:szCs w:val="32"/>
        </w:rPr>
        <w:t>月编制《江门市十全照明有限公司年产灯饰配件</w:t>
      </w:r>
      <w:r>
        <w:rPr>
          <w:sz w:val="32"/>
          <w:szCs w:val="32"/>
        </w:rPr>
        <w:t>2770</w:t>
      </w:r>
      <w:r>
        <w:rPr>
          <w:rFonts w:hint="eastAsia" w:hAnsi="仿宋_GB2312" w:cs="仿宋_GB2312"/>
          <w:color w:val="000000"/>
          <w:sz w:val="32"/>
          <w:szCs w:val="32"/>
        </w:rPr>
        <w:t>吨、组装灯饰</w:t>
      </w:r>
      <w:r>
        <w:rPr>
          <w:sz w:val="32"/>
          <w:szCs w:val="32"/>
        </w:rPr>
        <w:t>50</w:t>
      </w:r>
      <w:r>
        <w:rPr>
          <w:rFonts w:hint="eastAsia" w:hAnsi="仿宋_GB2312" w:cs="仿宋_GB2312"/>
          <w:color w:val="000000"/>
          <w:sz w:val="32"/>
          <w:szCs w:val="32"/>
        </w:rPr>
        <w:t>万个建设项目环境影响报告表》，并于</w:t>
      </w:r>
      <w:r>
        <w:rPr>
          <w:sz w:val="32"/>
          <w:szCs w:val="32"/>
        </w:rPr>
        <w:t>2019</w:t>
      </w:r>
      <w:r>
        <w:rPr>
          <w:rFonts w:hint="eastAsia" w:hAnsi="仿宋_GB2312" w:cs="仿宋_GB2312"/>
          <w:color w:val="000000"/>
          <w:sz w:val="32"/>
          <w:szCs w:val="32"/>
        </w:rPr>
        <w:t>年</w:t>
      </w:r>
      <w:r>
        <w:rPr>
          <w:sz w:val="32"/>
          <w:szCs w:val="32"/>
        </w:rPr>
        <w:t>6</w:t>
      </w:r>
      <w:r>
        <w:rPr>
          <w:rFonts w:hint="eastAsia" w:hAnsi="仿宋_GB2312" w:cs="仿宋_GB2312"/>
          <w:color w:val="000000"/>
          <w:sz w:val="32"/>
          <w:szCs w:val="32"/>
        </w:rPr>
        <w:t>月</w:t>
      </w:r>
      <w:r>
        <w:rPr>
          <w:sz w:val="32"/>
          <w:szCs w:val="32"/>
        </w:rPr>
        <w:t>18</w:t>
      </w:r>
      <w:r>
        <w:rPr>
          <w:rFonts w:hint="eastAsia" w:hAnsi="仿宋_GB2312" w:cs="仿宋_GB2312"/>
          <w:color w:val="000000"/>
          <w:sz w:val="32"/>
          <w:szCs w:val="32"/>
        </w:rPr>
        <w:t>日取得江门市生态环境局（江蓬环审〔</w:t>
      </w:r>
      <w:r>
        <w:rPr>
          <w:sz w:val="32"/>
          <w:szCs w:val="32"/>
        </w:rPr>
        <w:t>2019</w:t>
      </w:r>
      <w:r>
        <w:rPr>
          <w:rFonts w:hint="eastAsia" w:hAnsi="仿宋_GB2312" w:cs="仿宋_GB2312"/>
          <w:color w:val="000000"/>
          <w:sz w:val="32"/>
          <w:szCs w:val="32"/>
        </w:rPr>
        <w:t>〕</w:t>
      </w:r>
      <w:r>
        <w:rPr>
          <w:sz w:val="32"/>
          <w:szCs w:val="32"/>
        </w:rPr>
        <w:t>2</w:t>
      </w:r>
      <w:r>
        <w:rPr>
          <w:rFonts w:hint="eastAsia"/>
          <w:sz w:val="32"/>
          <w:szCs w:val="32"/>
        </w:rPr>
        <w:t>3</w:t>
      </w:r>
      <w:r>
        <w:rPr>
          <w:rFonts w:hint="eastAsia" w:hAnsi="仿宋_GB2312" w:cs="仿宋_GB2312"/>
          <w:color w:val="000000"/>
          <w:sz w:val="32"/>
          <w:szCs w:val="32"/>
        </w:rPr>
        <w:t>号）批复。</w:t>
      </w:r>
    </w:p>
    <w:p>
      <w:pPr>
        <w:pStyle w:val="2"/>
        <w:keepNext w:val="0"/>
        <w:keepLines w:val="0"/>
        <w:pageBreakBefore w:val="0"/>
        <w:widowControl w:val="0"/>
        <w:kinsoku/>
        <w:overflowPunct/>
        <w:topLinePunct w:val="0"/>
        <w:autoSpaceDE/>
        <w:autoSpaceDN/>
        <w:bidi w:val="0"/>
        <w:adjustRightInd w:val="0"/>
        <w:snapToGrid w:val="0"/>
        <w:spacing w:line="576" w:lineRule="exact"/>
        <w:ind w:left="0" w:leftChars="0"/>
        <w:textAlignment w:val="auto"/>
        <w:outlineLvl w:val="9"/>
        <w:rPr>
          <w:rFonts w:hAnsi="仿宋_GB2312" w:cs="仿宋_GB2312"/>
          <w:color w:val="000000"/>
          <w:sz w:val="32"/>
          <w:szCs w:val="32"/>
        </w:rPr>
      </w:pPr>
      <w:r>
        <w:rPr>
          <w:rFonts w:hint="eastAsia" w:hAnsi="仿宋_GB2312" w:cs="仿宋_GB2312"/>
          <w:color w:val="000000"/>
          <w:sz w:val="32"/>
          <w:szCs w:val="32"/>
        </w:rPr>
        <w:t>项目生产过程产生的</w:t>
      </w:r>
      <w:r>
        <w:rPr>
          <w:rFonts w:hAnsi="仿宋_GB2312" w:cs="仿宋_GB2312"/>
          <w:color w:val="000000"/>
          <w:sz w:val="32"/>
          <w:szCs w:val="32"/>
        </w:rPr>
        <w:t>一般工业固体废物为</w:t>
      </w:r>
      <w:r>
        <w:rPr>
          <w:rFonts w:hint="eastAsia" w:hAnsi="仿宋_GB2312" w:cs="仿宋_GB2312"/>
          <w:color w:val="000000"/>
          <w:sz w:val="32"/>
          <w:szCs w:val="32"/>
        </w:rPr>
        <w:t>铝材废料和包装废料，铝材废料交由专门的回收公司外运处理。</w:t>
      </w:r>
    </w:p>
    <w:p>
      <w:pPr>
        <w:pStyle w:val="2"/>
        <w:keepNext w:val="0"/>
        <w:keepLines w:val="0"/>
        <w:pageBreakBefore w:val="0"/>
        <w:widowControl w:val="0"/>
        <w:kinsoku/>
        <w:overflowPunct/>
        <w:topLinePunct w:val="0"/>
        <w:autoSpaceDE/>
        <w:autoSpaceDN/>
        <w:bidi w:val="0"/>
        <w:adjustRightInd w:val="0"/>
        <w:snapToGrid w:val="0"/>
        <w:spacing w:line="576" w:lineRule="exact"/>
        <w:ind w:left="0" w:leftChars="0"/>
        <w:textAlignment w:val="auto"/>
        <w:outlineLvl w:val="9"/>
        <w:rPr>
          <w:rFonts w:hAnsi="仿宋_GB2312" w:cs="仿宋_GB2312"/>
          <w:color w:val="000000"/>
          <w:sz w:val="32"/>
          <w:szCs w:val="32"/>
        </w:rPr>
      </w:pPr>
      <w:r>
        <w:rPr>
          <w:rFonts w:hint="eastAsia" w:hAnsi="仿宋_GB2312" w:cs="仿宋_GB2312"/>
          <w:color w:val="000000"/>
          <w:sz w:val="32"/>
          <w:szCs w:val="32"/>
        </w:rPr>
        <w:t>包装废料和生活垃圾交环卫部门统一清运并进行安全卫生处置。</w:t>
      </w:r>
    </w:p>
    <w:p>
      <w:pPr>
        <w:pStyle w:val="2"/>
        <w:keepNext w:val="0"/>
        <w:keepLines w:val="0"/>
        <w:pageBreakBefore w:val="0"/>
        <w:widowControl w:val="0"/>
        <w:kinsoku/>
        <w:overflowPunct/>
        <w:topLinePunct w:val="0"/>
        <w:autoSpaceDE/>
        <w:autoSpaceDN/>
        <w:bidi w:val="0"/>
        <w:adjustRightInd w:val="0"/>
        <w:snapToGrid w:val="0"/>
        <w:spacing w:line="576" w:lineRule="exact"/>
        <w:ind w:left="0" w:leftChars="0"/>
        <w:jc w:val="both"/>
        <w:textAlignment w:val="auto"/>
        <w:outlineLvl w:val="9"/>
        <w:rPr>
          <w:rFonts w:hAnsi="仿宋_GB2312" w:cs="仿宋_GB2312"/>
          <w:color w:val="000000"/>
          <w:sz w:val="32"/>
          <w:szCs w:val="32"/>
        </w:rPr>
      </w:pPr>
      <w:r>
        <w:rPr>
          <w:rFonts w:hint="eastAsia" w:hAnsi="仿宋_GB2312" w:cs="仿宋_GB2312"/>
          <w:color w:val="000000"/>
          <w:sz w:val="32"/>
          <w:szCs w:val="32"/>
        </w:rPr>
        <w:t>该项目产生的废碱水属于危险废物，交由具有危险废物处理资质的单位统一处理，并签订危废处理协议。</w:t>
      </w:r>
    </w:p>
    <w:p>
      <w:pPr>
        <w:pStyle w:val="2"/>
        <w:keepNext w:val="0"/>
        <w:keepLines w:val="0"/>
        <w:pageBreakBefore w:val="0"/>
        <w:widowControl w:val="0"/>
        <w:kinsoku/>
        <w:overflowPunct/>
        <w:topLinePunct w:val="0"/>
        <w:autoSpaceDE/>
        <w:autoSpaceDN/>
        <w:bidi w:val="0"/>
        <w:adjustRightInd w:val="0"/>
        <w:snapToGrid w:val="0"/>
        <w:spacing w:line="576" w:lineRule="exact"/>
        <w:ind w:left="0" w:leftChars="0"/>
        <w:jc w:val="both"/>
        <w:textAlignment w:val="auto"/>
        <w:outlineLvl w:val="9"/>
        <w:rPr>
          <w:rFonts w:ascii="黑体" w:hAnsi="黑体" w:eastAsia="黑体"/>
          <w:color w:val="000000"/>
          <w:szCs w:val="32"/>
        </w:rPr>
      </w:pPr>
      <w:r>
        <w:rPr>
          <w:rFonts w:hint="eastAsia" w:ascii="黑体" w:hAnsi="黑体" w:eastAsia="黑体"/>
          <w:color w:val="000000"/>
          <w:szCs w:val="32"/>
        </w:rPr>
        <w:t>三、验收结论</w:t>
      </w:r>
    </w:p>
    <w:p>
      <w:pPr>
        <w:keepNext w:val="0"/>
        <w:keepLines w:val="0"/>
        <w:pageBreakBefore w:val="0"/>
        <w:widowControl w:val="0"/>
        <w:kinsoku/>
        <w:overflowPunct/>
        <w:topLinePunct w:val="0"/>
        <w:autoSpaceDE/>
        <w:autoSpaceDN/>
        <w:bidi w:val="0"/>
        <w:spacing w:line="576" w:lineRule="exact"/>
        <w:ind w:left="0" w:leftChars="0" w:firstLine="640" w:firstLineChars="200"/>
        <w:textAlignment w:val="auto"/>
        <w:outlineLvl w:val="9"/>
        <w:rPr>
          <w:rFonts w:ascii="仿宋_GB2312" w:hAnsi="华文中宋" w:eastAsia="仿宋_GB2312"/>
          <w:sz w:val="32"/>
          <w:szCs w:val="32"/>
        </w:rPr>
      </w:pPr>
      <w:r>
        <w:rPr>
          <w:rFonts w:hint="eastAsia" w:ascii="仿宋_GB2312" w:eastAsia="仿宋_GB2312"/>
          <w:color w:val="000000"/>
          <w:sz w:val="32"/>
          <w:szCs w:val="32"/>
        </w:rPr>
        <w:t>该项目基本落实了环评报告表及其批复文件提出的固体废物污染防治措施和要求，符合《建设项目竣工环境保护验收管理办法》中第十六条竣工环境保护验收条件，根据《建设项目竣工环境保护验收管理办法》中第十七条第一款，我局同意你公司</w:t>
      </w:r>
      <w:r>
        <w:rPr>
          <w:rFonts w:hint="eastAsia" w:ascii="仿宋_GB2312" w:eastAsia="仿宋_GB2312"/>
          <w:sz w:val="32"/>
          <w:szCs w:val="32"/>
        </w:rPr>
        <w:t>年产灯饰配件2770吨、组装灯饰50万个</w:t>
      </w:r>
      <w:r>
        <w:rPr>
          <w:rFonts w:hint="eastAsia" w:ascii="仿宋_GB2312" w:eastAsia="仿宋_GB2312"/>
          <w:color w:val="000000"/>
          <w:sz w:val="32"/>
          <w:szCs w:val="32"/>
        </w:rPr>
        <w:t>项目固体废物污染防治设施通过竣工环境保护验收。</w:t>
      </w:r>
    </w:p>
    <w:p>
      <w:pPr>
        <w:keepNext w:val="0"/>
        <w:keepLines w:val="0"/>
        <w:pageBreakBefore w:val="0"/>
        <w:widowControl w:val="0"/>
        <w:kinsoku/>
        <w:overflowPunct/>
        <w:topLinePunct w:val="0"/>
        <w:autoSpaceDE/>
        <w:autoSpaceDN/>
        <w:bidi w:val="0"/>
        <w:adjustRightInd w:val="0"/>
        <w:snapToGrid w:val="0"/>
        <w:spacing w:line="576" w:lineRule="exact"/>
        <w:ind w:left="0" w:leftChars="0" w:firstLine="640" w:firstLineChars="200"/>
        <w:textAlignment w:val="auto"/>
        <w:outlineLvl w:val="9"/>
        <w:rPr>
          <w:rFonts w:ascii="黑体" w:hAnsi="黑体" w:eastAsia="黑体"/>
          <w:bCs/>
          <w:color w:val="000000"/>
          <w:sz w:val="32"/>
          <w:szCs w:val="32"/>
        </w:rPr>
      </w:pPr>
      <w:r>
        <w:rPr>
          <w:rFonts w:hint="eastAsia" w:ascii="黑体" w:hAnsi="黑体" w:eastAsia="黑体"/>
          <w:color w:val="000000"/>
          <w:sz w:val="32"/>
          <w:szCs w:val="32"/>
        </w:rPr>
        <w:t>四、项目投运后应做好以下工作：</w:t>
      </w:r>
    </w:p>
    <w:p>
      <w:pPr>
        <w:keepNext w:val="0"/>
        <w:keepLines w:val="0"/>
        <w:pageBreakBefore w:val="0"/>
        <w:widowControl w:val="0"/>
        <w:kinsoku/>
        <w:overflowPunct/>
        <w:topLinePunct w:val="0"/>
        <w:autoSpaceDE/>
        <w:autoSpaceDN/>
        <w:bidi w:val="0"/>
        <w:spacing w:line="576" w:lineRule="exact"/>
        <w:ind w:left="0" w:lef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（一）加强环境保护管理及环保设施运维管理，确保各项环保设施处于良好的运行状态，污染物长期稳定达标排放。</w:t>
      </w:r>
    </w:p>
    <w:p>
      <w:pPr>
        <w:keepNext w:val="0"/>
        <w:keepLines w:val="0"/>
        <w:pageBreakBefore w:val="0"/>
        <w:widowControl w:val="0"/>
        <w:kinsoku/>
        <w:overflowPunct/>
        <w:topLinePunct w:val="0"/>
        <w:autoSpaceDE/>
        <w:autoSpaceDN/>
        <w:bidi w:val="0"/>
        <w:spacing w:line="576" w:lineRule="exact"/>
        <w:ind w:left="0" w:lef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（二）加强固体废物管理，产生的固体废物须按照有关环保规定进行处理处置，进一步完善环境安全管理体系。</w:t>
      </w:r>
    </w:p>
    <w:p>
      <w:pPr>
        <w:keepNext w:val="0"/>
        <w:keepLines w:val="0"/>
        <w:pageBreakBefore w:val="0"/>
        <w:widowControl w:val="0"/>
        <w:kinsoku/>
        <w:overflowPunct/>
        <w:topLinePunct w:val="0"/>
        <w:autoSpaceDE/>
        <w:autoSpaceDN/>
        <w:bidi w:val="0"/>
        <w:spacing w:line="576" w:lineRule="exact"/>
        <w:ind w:left="0" w:lef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（三）加强危险废物的管理，危险废物必须交由有资质的单位进行处理处置，并严格执行危险废物转移联单制度。</w:t>
      </w:r>
    </w:p>
    <w:p>
      <w:pPr>
        <w:keepNext w:val="0"/>
        <w:keepLines w:val="0"/>
        <w:pageBreakBefore w:val="0"/>
        <w:widowControl w:val="0"/>
        <w:kinsoku/>
        <w:overflowPunct/>
        <w:topLinePunct w:val="0"/>
        <w:autoSpaceDE/>
        <w:autoSpaceDN/>
        <w:bidi w:val="0"/>
        <w:spacing w:line="576" w:lineRule="exact"/>
        <w:ind w:left="0" w:leftChars="0"/>
        <w:textAlignment w:val="auto"/>
        <w:outlineLvl w:val="9"/>
        <w:rPr>
          <w:rFonts w:ascii="仿宋_GB2312" w:hAnsi="华文中宋" w:eastAsia="仿宋_GB2312"/>
          <w:sz w:val="32"/>
          <w:szCs w:val="32"/>
        </w:rPr>
      </w:pPr>
    </w:p>
    <w:p>
      <w:pPr>
        <w:keepNext w:val="0"/>
        <w:keepLines w:val="0"/>
        <w:pageBreakBefore w:val="0"/>
        <w:widowControl w:val="0"/>
        <w:kinsoku/>
        <w:overflowPunct/>
        <w:topLinePunct w:val="0"/>
        <w:autoSpaceDE/>
        <w:autoSpaceDN/>
        <w:bidi w:val="0"/>
        <w:spacing w:line="576" w:lineRule="exact"/>
        <w:ind w:left="0" w:leftChars="0"/>
        <w:textAlignment w:val="auto"/>
        <w:outlineLvl w:val="9"/>
        <w:rPr>
          <w:rFonts w:ascii="仿宋_GB2312" w:hAnsi="华文中宋" w:eastAsia="仿宋_GB2312"/>
          <w:sz w:val="32"/>
          <w:szCs w:val="32"/>
        </w:rPr>
      </w:pPr>
    </w:p>
    <w:p>
      <w:pPr>
        <w:keepNext w:val="0"/>
        <w:keepLines w:val="0"/>
        <w:pageBreakBefore w:val="0"/>
        <w:widowControl w:val="0"/>
        <w:kinsoku/>
        <w:overflowPunct/>
        <w:topLinePunct w:val="0"/>
        <w:autoSpaceDE/>
        <w:autoSpaceDN/>
        <w:bidi w:val="0"/>
        <w:spacing w:line="576" w:lineRule="exact"/>
        <w:ind w:left="0" w:leftChars="0" w:right="57" w:firstLine="454"/>
        <w:jc w:val="center"/>
        <w:textAlignment w:val="auto"/>
        <w:outlineLvl w:val="9"/>
        <w:rPr>
          <w:rFonts w:ascii="仿宋_GB2312" w:hAnsi="华文中宋" w:eastAsia="仿宋_GB2312"/>
          <w:sz w:val="32"/>
          <w:szCs w:val="32"/>
        </w:rPr>
      </w:pPr>
      <w:r>
        <w:rPr>
          <w:rFonts w:hint="eastAsia" w:ascii="仿宋_GB2312" w:hAnsi="华文中宋" w:eastAsia="仿宋_GB2312"/>
          <w:sz w:val="32"/>
          <w:szCs w:val="32"/>
        </w:rPr>
        <w:t xml:space="preserve">                             江门市生态环境局</w:t>
      </w:r>
    </w:p>
    <w:p>
      <w:pPr>
        <w:keepNext w:val="0"/>
        <w:keepLines w:val="0"/>
        <w:pageBreakBefore w:val="0"/>
        <w:widowControl w:val="0"/>
        <w:kinsoku/>
        <w:overflowPunct/>
        <w:topLinePunct w:val="0"/>
        <w:autoSpaceDE/>
        <w:autoSpaceDN/>
        <w:bidi w:val="0"/>
        <w:spacing w:line="576" w:lineRule="exact"/>
        <w:ind w:left="0" w:leftChars="0" w:right="57" w:firstLine="454"/>
        <w:jc w:val="center"/>
        <w:textAlignment w:val="auto"/>
        <w:outlineLvl w:val="9"/>
        <w:rPr>
          <w:rFonts w:ascii="仿宋_GB2312" w:hAnsi="仿宋_GB2312" w:eastAsia="仿宋_GB2312" w:cs="仿宋_GB2312"/>
          <w:sz w:val="32"/>
          <w:szCs w:val="32"/>
        </w:rPr>
      </w:pPr>
      <w:r>
        <w:rPr>
          <w:rFonts w:hint="eastAsia"/>
          <w:sz w:val="32"/>
          <w:szCs w:val="32"/>
        </w:rPr>
        <w:t xml:space="preserve">            </w:t>
      </w:r>
      <w:r>
        <w:rPr>
          <w:rFonts w:hint="eastAsia" w:ascii="仿宋_GB2312" w:hAnsi="华文中宋" w:eastAsia="仿宋_GB2312"/>
          <w:sz w:val="32"/>
          <w:szCs w:val="32"/>
        </w:rPr>
        <w:t xml:space="preserve">             </w:t>
      </w:r>
      <w:bookmarkStart w:id="1" w:name="_GoBack"/>
      <w:bookmarkEnd w:id="1"/>
      <w:r>
        <w:rPr>
          <w:rFonts w:hint="eastAsia" w:ascii="仿宋_GB2312" w:hAnsi="华文中宋" w:eastAsia="仿宋_GB2312"/>
          <w:sz w:val="32"/>
          <w:szCs w:val="32"/>
        </w:rPr>
        <w:t xml:space="preserve">    </w:t>
      </w:r>
      <w:r>
        <w:rPr>
          <w:rFonts w:ascii="仿宋_GB2312" w:eastAsia="仿宋_GB2312"/>
          <w:sz w:val="32"/>
          <w:szCs w:val="32"/>
        </w:rPr>
        <w:t>2020</w:t>
      </w:r>
      <w:r>
        <w:rPr>
          <w:rFonts w:hint="eastAsia" w:ascii="仿宋_GB2312" w:hAnsi="华文中宋" w:eastAsia="仿宋_GB2312"/>
          <w:sz w:val="32"/>
          <w:szCs w:val="32"/>
        </w:rPr>
        <w:t>年7月</w:t>
      </w:r>
      <w:r>
        <w:rPr>
          <w:rFonts w:hint="eastAsia" w:ascii="仿宋_GB2312" w:hAnsi="华文中宋" w:eastAsia="仿宋_GB2312"/>
          <w:sz w:val="32"/>
          <w:szCs w:val="32"/>
          <w:lang w:val="en-US" w:eastAsia="zh-CN"/>
        </w:rPr>
        <w:t>30</w:t>
      </w:r>
      <w:r>
        <w:rPr>
          <w:rFonts w:hint="eastAsia" w:ascii="仿宋_GB2312" w:hAnsi="华文中宋" w:eastAsia="仿宋_GB2312"/>
          <w:sz w:val="32"/>
          <w:szCs w:val="32"/>
        </w:rPr>
        <w:t>日</w:t>
      </w:r>
    </w:p>
    <w:sectPr>
      <w:footerReference r:id="rId3" w:type="default"/>
      <w:pgSz w:w="11906" w:h="16838"/>
      <w:pgMar w:top="1928" w:right="1531" w:bottom="2041" w:left="1531"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otum">
    <w:panose1 w:val="020B0600000101010101"/>
    <w:charset w:val="81"/>
    <w:family w:val="moder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7" w:usb1="00000000" w:usb2="00000000" w:usb3="00000000" w:csb0="00000093" w:csb1="0000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266700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仿宋_GB2312" w:hAnsi="仿宋_GB2312" w:eastAsia="仿宋_GB2312" w:cs="仿宋_GB2312"/>
                              <w:sz w:val="28"/>
                              <w:szCs w:val="32"/>
                              <w:lang w:eastAsia="zh-CN"/>
                            </w:rPr>
                            <w:fldChar w:fldCharType="begin"/>
                          </w:r>
                          <w:r>
                            <w:rPr>
                              <w:rFonts w:hint="eastAsia" w:ascii="仿宋_GB2312" w:hAnsi="仿宋_GB2312" w:eastAsia="仿宋_GB2312" w:cs="仿宋_GB2312"/>
                              <w:sz w:val="28"/>
                              <w:szCs w:val="32"/>
                              <w:lang w:eastAsia="zh-CN"/>
                            </w:rPr>
                            <w:instrText xml:space="preserve"> PAGE  \* MERGEFORMAT </w:instrText>
                          </w:r>
                          <w:r>
                            <w:rPr>
                              <w:rFonts w:hint="eastAsia" w:ascii="仿宋_GB2312" w:hAnsi="仿宋_GB2312" w:eastAsia="仿宋_GB2312" w:cs="仿宋_GB2312"/>
                              <w:sz w:val="28"/>
                              <w:szCs w:val="32"/>
                              <w:lang w:eastAsia="zh-CN"/>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1pt;height:144pt;width:144pt;mso-position-horizontal:outside;mso-position-horizontal-relative:margin;mso-wrap-style:none;z-index:251658240;mso-width-relative:page;mso-height-relative:page;" filled="f" stroked="f" coordsize="21600,21600" o:gfxdata="UEsDBAoAAAAAAIdO4kAAAAAAAAAAAAAAAAAEAAAAZHJzL1BLAwQUAAAACACHTuJAFyrPw9cAAAAL&#10;AQAADwAAAGRycy9kb3ducmV2LnhtbE2Py07DMBBF90j8gzVI7Kidh1AJcSpREZZINCxYuvGQBOxx&#10;ZLtp+HvcFSxn5ujOufVutYYt6MPkSEK2EcCQeqcnGiS8d+3dFliIirQyjlDCDwbYNddXtaq0O9Mb&#10;Loc4sBRCoVISxhjnivPQj2hV2LgZKd0+nbcqptEPXHt1TuHW8FyIe27VROnDqGbcj9h/H05Wwr7t&#10;Or9g8OYDX9ri6/WpxOdVytubTDwCi7jGPxgu+kkdmuR0dCfSgRkJ26x8SKiEMk+dLkAm8rQ5SigK&#10;IYA3Nf/fofkFUEsDBBQAAAAIAIdO4kDzzfY5wQIAANYFAAAOAAAAZHJzL2Uyb0RvYy54bWytVM1u&#10;1DAQviPxDpbvaX6abrOrZqvtpkFIFa1UEGev42wiHNuyvT8FcYU34MSFO8/V52DsbHbbghACcnDG&#10;nvH8fDP+zs63HUdrpk0rRY7jowgjJqisWrHM8ZvXZZBhZCwRFeFSsBzfMYPPp8+fnW3UhCWykbxi&#10;GoETYSYblePGWjUJQ0Mb1hFzJBUToKyl7oiFrV6GlSYb8N7xMImiUbiRulJaUmYMnBa9Ek+9/7pm&#10;1F7XtWEW8RxDbtav2q8Lt4bTMzJZaqKalu7SIH+RRUdaAUH3rgpiCVrp9idXXUu1NLK2R1R2oazr&#10;ljJfA1QTR0+quW2IYr4WAMeoPUzm/7mlr9Y3GrVVjhOMBOmgRfdfPt9//X7/7RNKHDwbZSZgdavA&#10;zm4v5BbaPJwbOHRVb2vduT/Ug0APQN/twWVbi6i7lCVZFoGKgm7YgP/wcF1pY18w2SEn5FhD9zyo&#10;ZH1lbG86mLhoQpYt576DXKBNjkfHJ5G/sNeAcy6cLWQBPnZS35kP42h8mV1maZAmo8sgjYoimJXz&#10;NBiV8elJcVzM50X80fmL00nTVhUTLt4wJXH6Z13YzWvf3/2cGMnbyrlzKRm9XMy5RmsCU1r6zyEM&#10;yT8wCx+n4dVQ1ZOS4iSNLpJxUI6y0yAt05NgfBplQRSPL8ajKB2nRfm4pKtWsH8v6RH6D5ImE9ew&#10;fW0LTui735bm0jmUBggMjQvdHPbz5iS7XWwBIicuZHUHs6ll/7iNomULQa+IsTdEw2uGmQOGstew&#10;1FzCnMidhFEj9ftfnTt7aC9oMdoAO+RYAH1hxF8KeHyOSAZBD8JiEMSqm0toZAzMp6gX4YK2fBBr&#10;Lbu3QFszFwNURFCIlGM7iHPbMxTQHmWzmTdaKd0um/4CUIci9krcKurC+BFSs5WF9+CfyQEVgNJt&#10;gDw8qDuic+z0cO+tDnQ8/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AXKs/D1wAAAAsBAAAPAAAA&#10;AAAAAAEAIAAAACIAAABkcnMvZG93bnJldi54bWxQSwECFAAUAAAACACHTuJA8832OcECAADWBQAA&#10;DgAAAAAAAAABACAAAAAmAQAAZHJzL2Uyb0RvYy54bWxQSwUGAAAAAAYABgBZAQAAWQ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32"/>
                        <w:lang w:eastAsia="zh-CN"/>
                      </w:rPr>
                      <w:fldChar w:fldCharType="begin"/>
                    </w:r>
                    <w:r>
                      <w:rPr>
                        <w:rFonts w:hint="eastAsia" w:ascii="仿宋_GB2312" w:hAnsi="仿宋_GB2312" w:eastAsia="仿宋_GB2312" w:cs="仿宋_GB2312"/>
                        <w:sz w:val="28"/>
                        <w:szCs w:val="32"/>
                        <w:lang w:eastAsia="zh-CN"/>
                      </w:rPr>
                      <w:instrText xml:space="preserve"> PAGE  \* MERGEFORMAT </w:instrText>
                    </w:r>
                    <w:r>
                      <w:rPr>
                        <w:rFonts w:hint="eastAsia" w:ascii="仿宋_GB2312" w:hAnsi="仿宋_GB2312" w:eastAsia="仿宋_GB2312" w:cs="仿宋_GB2312"/>
                        <w:sz w:val="28"/>
                        <w:szCs w:val="32"/>
                        <w:lang w:eastAsia="zh-CN"/>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27"/>
    <w:rsid w:val="000102F9"/>
    <w:rsid w:val="00010C91"/>
    <w:rsid w:val="00027977"/>
    <w:rsid w:val="00042778"/>
    <w:rsid w:val="000557F0"/>
    <w:rsid w:val="000623AF"/>
    <w:rsid w:val="000756BC"/>
    <w:rsid w:val="000845BE"/>
    <w:rsid w:val="000F6008"/>
    <w:rsid w:val="00102362"/>
    <w:rsid w:val="00102881"/>
    <w:rsid w:val="0013225C"/>
    <w:rsid w:val="00163BAD"/>
    <w:rsid w:val="001B7A32"/>
    <w:rsid w:val="001E1B66"/>
    <w:rsid w:val="001E1F03"/>
    <w:rsid w:val="00202227"/>
    <w:rsid w:val="00210578"/>
    <w:rsid w:val="002118B5"/>
    <w:rsid w:val="00216549"/>
    <w:rsid w:val="0022153E"/>
    <w:rsid w:val="00221D70"/>
    <w:rsid w:val="002365DB"/>
    <w:rsid w:val="00291B2D"/>
    <w:rsid w:val="00292F00"/>
    <w:rsid w:val="002A221E"/>
    <w:rsid w:val="002B0470"/>
    <w:rsid w:val="002B7ED3"/>
    <w:rsid w:val="002C240E"/>
    <w:rsid w:val="002D09BD"/>
    <w:rsid w:val="002D248F"/>
    <w:rsid w:val="0031274A"/>
    <w:rsid w:val="00340F1F"/>
    <w:rsid w:val="00342C83"/>
    <w:rsid w:val="00350FCB"/>
    <w:rsid w:val="00355CA7"/>
    <w:rsid w:val="00375146"/>
    <w:rsid w:val="003837D6"/>
    <w:rsid w:val="00383F59"/>
    <w:rsid w:val="003A4688"/>
    <w:rsid w:val="003C49B4"/>
    <w:rsid w:val="003D0DF9"/>
    <w:rsid w:val="003D7A2C"/>
    <w:rsid w:val="003E015D"/>
    <w:rsid w:val="003E2943"/>
    <w:rsid w:val="003F797B"/>
    <w:rsid w:val="00405F0E"/>
    <w:rsid w:val="00435B2D"/>
    <w:rsid w:val="00447ABF"/>
    <w:rsid w:val="00454958"/>
    <w:rsid w:val="004567C4"/>
    <w:rsid w:val="00472326"/>
    <w:rsid w:val="00486BF1"/>
    <w:rsid w:val="004A07E4"/>
    <w:rsid w:val="004C0424"/>
    <w:rsid w:val="004C3703"/>
    <w:rsid w:val="004D7F85"/>
    <w:rsid w:val="004F3537"/>
    <w:rsid w:val="00503CD5"/>
    <w:rsid w:val="005127E4"/>
    <w:rsid w:val="00540EF4"/>
    <w:rsid w:val="0058037B"/>
    <w:rsid w:val="00590B61"/>
    <w:rsid w:val="005A2D32"/>
    <w:rsid w:val="005A6BBC"/>
    <w:rsid w:val="005E15A3"/>
    <w:rsid w:val="006140E5"/>
    <w:rsid w:val="006325C1"/>
    <w:rsid w:val="00673D25"/>
    <w:rsid w:val="006854E5"/>
    <w:rsid w:val="00685628"/>
    <w:rsid w:val="00697CBA"/>
    <w:rsid w:val="006E1A8A"/>
    <w:rsid w:val="006F42BD"/>
    <w:rsid w:val="00723A3F"/>
    <w:rsid w:val="00744A6C"/>
    <w:rsid w:val="00746850"/>
    <w:rsid w:val="007640E8"/>
    <w:rsid w:val="00772BC8"/>
    <w:rsid w:val="007F6BF0"/>
    <w:rsid w:val="008330BA"/>
    <w:rsid w:val="00875A92"/>
    <w:rsid w:val="008A69C4"/>
    <w:rsid w:val="008B06E5"/>
    <w:rsid w:val="008B528A"/>
    <w:rsid w:val="008B6CA1"/>
    <w:rsid w:val="008E1813"/>
    <w:rsid w:val="008E594E"/>
    <w:rsid w:val="008F3CB6"/>
    <w:rsid w:val="00906C19"/>
    <w:rsid w:val="00922096"/>
    <w:rsid w:val="00940DAE"/>
    <w:rsid w:val="0094652D"/>
    <w:rsid w:val="00970585"/>
    <w:rsid w:val="00990AB8"/>
    <w:rsid w:val="00996715"/>
    <w:rsid w:val="009B41A6"/>
    <w:rsid w:val="009D0908"/>
    <w:rsid w:val="009F0786"/>
    <w:rsid w:val="009F5FC7"/>
    <w:rsid w:val="00A11DFA"/>
    <w:rsid w:val="00A13E06"/>
    <w:rsid w:val="00A1552B"/>
    <w:rsid w:val="00A173A5"/>
    <w:rsid w:val="00A175D9"/>
    <w:rsid w:val="00A41D84"/>
    <w:rsid w:val="00A521C8"/>
    <w:rsid w:val="00A6131A"/>
    <w:rsid w:val="00AA5157"/>
    <w:rsid w:val="00AB2000"/>
    <w:rsid w:val="00AC339C"/>
    <w:rsid w:val="00AC49CE"/>
    <w:rsid w:val="00AD27AD"/>
    <w:rsid w:val="00B0710D"/>
    <w:rsid w:val="00B416F0"/>
    <w:rsid w:val="00B43E9E"/>
    <w:rsid w:val="00B61DB7"/>
    <w:rsid w:val="00B82EB1"/>
    <w:rsid w:val="00B878FF"/>
    <w:rsid w:val="00B91B71"/>
    <w:rsid w:val="00BA5B2A"/>
    <w:rsid w:val="00BB2804"/>
    <w:rsid w:val="00BD1F6B"/>
    <w:rsid w:val="00BD2528"/>
    <w:rsid w:val="00BE28C4"/>
    <w:rsid w:val="00BE7454"/>
    <w:rsid w:val="00C32DB2"/>
    <w:rsid w:val="00C35FE8"/>
    <w:rsid w:val="00C62A56"/>
    <w:rsid w:val="00C67EAB"/>
    <w:rsid w:val="00C95936"/>
    <w:rsid w:val="00CC2065"/>
    <w:rsid w:val="00CC7275"/>
    <w:rsid w:val="00CF013B"/>
    <w:rsid w:val="00CF5E33"/>
    <w:rsid w:val="00D4046D"/>
    <w:rsid w:val="00D446B8"/>
    <w:rsid w:val="00D550C0"/>
    <w:rsid w:val="00DA4886"/>
    <w:rsid w:val="00DC0AFC"/>
    <w:rsid w:val="00DC38FD"/>
    <w:rsid w:val="00E0778A"/>
    <w:rsid w:val="00E1698A"/>
    <w:rsid w:val="00E21C8C"/>
    <w:rsid w:val="00E238C3"/>
    <w:rsid w:val="00E24E8B"/>
    <w:rsid w:val="00E46D14"/>
    <w:rsid w:val="00E507F2"/>
    <w:rsid w:val="00E534C8"/>
    <w:rsid w:val="00E56DDB"/>
    <w:rsid w:val="00E66A79"/>
    <w:rsid w:val="00E670CA"/>
    <w:rsid w:val="00E979B2"/>
    <w:rsid w:val="00EC740E"/>
    <w:rsid w:val="00ED3C6A"/>
    <w:rsid w:val="00EE1F46"/>
    <w:rsid w:val="00EE58E7"/>
    <w:rsid w:val="00EE795F"/>
    <w:rsid w:val="00EF7BE2"/>
    <w:rsid w:val="00EF7E17"/>
    <w:rsid w:val="00F110C1"/>
    <w:rsid w:val="00F162DB"/>
    <w:rsid w:val="00F63E18"/>
    <w:rsid w:val="00F953B0"/>
    <w:rsid w:val="00FA0AC4"/>
    <w:rsid w:val="00FA5BC3"/>
    <w:rsid w:val="00FC2759"/>
    <w:rsid w:val="00FE1A36"/>
    <w:rsid w:val="00FF0A18"/>
    <w:rsid w:val="00FF1120"/>
    <w:rsid w:val="21770BB5"/>
    <w:rsid w:val="229C39FC"/>
    <w:rsid w:val="27FF4615"/>
    <w:rsid w:val="29E64E0A"/>
    <w:rsid w:val="2C1A6792"/>
    <w:rsid w:val="40067AC8"/>
    <w:rsid w:val="41FF1A63"/>
    <w:rsid w:val="6C95599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0"/>
    <w:pPr>
      <w:ind w:firstLine="640" w:firstLineChars="200"/>
      <w:jc w:val="left"/>
    </w:pPr>
    <w:rPr>
      <w:rFonts w:ascii="仿宋_GB2312" w:eastAsia="仿宋_GB2312"/>
      <w:sz w:val="32"/>
      <w:szCs w:val="24"/>
    </w:rPr>
  </w:style>
  <w:style w:type="paragraph" w:styleId="3">
    <w:name w:val="Balloon Text"/>
    <w:basedOn w:val="1"/>
    <w:link w:val="14"/>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0">
    <w:name w:val="正文文本缩进 Char"/>
    <w:link w:val="2"/>
    <w:uiPriority w:val="0"/>
    <w:rPr>
      <w:rFonts w:ascii="仿宋_GB2312" w:eastAsia="仿宋_GB2312"/>
      <w:kern w:val="2"/>
      <w:sz w:val="32"/>
      <w:szCs w:val="24"/>
    </w:rPr>
  </w:style>
  <w:style w:type="character" w:customStyle="1" w:styleId="11">
    <w:name w:val="页眉 Char"/>
    <w:link w:val="5"/>
    <w:uiPriority w:val="0"/>
    <w:rPr>
      <w:kern w:val="2"/>
      <w:sz w:val="18"/>
      <w:szCs w:val="18"/>
    </w:rPr>
  </w:style>
  <w:style w:type="character" w:customStyle="1" w:styleId="12">
    <w:name w:val="页脚 Char"/>
    <w:link w:val="4"/>
    <w:uiPriority w:val="0"/>
    <w:rPr>
      <w:kern w:val="2"/>
      <w:sz w:val="18"/>
      <w:szCs w:val="18"/>
    </w:rPr>
  </w:style>
  <w:style w:type="paragraph" w:customStyle="1" w:styleId="13">
    <w:name w:val="主题词"/>
    <w:basedOn w:val="1"/>
    <w:qFormat/>
    <w:uiPriority w:val="0"/>
    <w:pPr>
      <w:spacing w:after="296" w:afterLines="50" w:line="600" w:lineRule="exact"/>
    </w:pPr>
    <w:rPr>
      <w:rFonts w:eastAsia="方正小标宋简体"/>
      <w:sz w:val="30"/>
    </w:rPr>
  </w:style>
  <w:style w:type="character" w:customStyle="1" w:styleId="14">
    <w:name w:val="批注框文本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1080</Words>
  <Characters>197</Characters>
  <Lines>1</Lines>
  <Paragraphs>2</Paragraphs>
  <ScaleCrop>false</ScaleCrop>
  <LinksUpToDate>false</LinksUpToDate>
  <CharactersWithSpaces>1275</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2020-05-25T01:21:00Z</dcterms:created>
  <dc:creator>111</dc:creator>
  <cp:lastModifiedBy>林洁</cp:lastModifiedBy>
  <cp:lastPrinted>2020-07-30T07:34:58Z</cp:lastPrinted>
  <dcterms:modified xsi:type="dcterms:W3CDTF">2020-07-30T07:35:02Z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