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200" w:lineRule="exact"/>
        <w:jc w:val="center"/>
        <w:rPr>
          <w:rFonts w:ascii="方正小标宋_GBK" w:hAnsi="宋体" w:eastAsia="方正小标宋_GBK"/>
          <w:bCs/>
          <w:spacing w:val="51"/>
          <w:w w:val="64"/>
          <w:kern w:val="96"/>
          <w:position w:val="-4"/>
        </w:rPr>
      </w:pPr>
      <w:r>
        <w:rPr>
          <w:rFonts w:hint="eastAsia" w:ascii="方正小标宋_GBK" w:hAnsi="宋体" w:eastAsia="方正小标宋_GBK"/>
          <w:bCs/>
          <w:color w:val="FF0000"/>
          <w:spacing w:val="51"/>
          <w:w w:val="64"/>
          <w:kern w:val="96"/>
          <w:position w:val="-4"/>
          <w:sz w:val="120"/>
          <w:szCs w:val="120"/>
        </w:rPr>
        <w:t>江门市生态环境局文件</w:t>
      </w:r>
    </w:p>
    <w:p>
      <w:pPr>
        <w:spacing w:line="400" w:lineRule="exact"/>
        <w:rPr>
          <w:rFonts w:ascii="方正小标宋_GBK" w:hAnsi="华文中宋" w:eastAsia="方正小标宋_GBK" w:cs="Dotum"/>
          <w:sz w:val="44"/>
          <w:szCs w:val="44"/>
        </w:rPr>
      </w:pPr>
      <w:bookmarkStart w:id="0" w:name="OLE_LINK1"/>
    </w:p>
    <w:p>
      <w:pPr>
        <w:spacing w:line="400" w:lineRule="exact"/>
        <w:rPr>
          <w:rFonts w:ascii="方正小标宋_GBK" w:hAnsi="华文中宋" w:eastAsia="方正小标宋_GBK" w:cs="Dotum"/>
          <w:sz w:val="44"/>
          <w:szCs w:val="44"/>
        </w:rPr>
      </w:pPr>
    </w:p>
    <w:bookmarkEnd w:id="0"/>
    <w:p>
      <w:pPr>
        <w:spacing w:line="400" w:lineRule="exact"/>
        <w:ind w:firstLine="320" w:firstLineChars="100"/>
        <w:jc w:val="center"/>
        <w:rPr>
          <w:rFonts w:ascii="楷体_GB2312" w:hAnsi="华文仿宋" w:eastAsia="楷体_GB2312"/>
          <w:sz w:val="32"/>
          <w:szCs w:val="32"/>
        </w:rPr>
      </w:pPr>
      <w:r>
        <w:rPr>
          <w:rFonts w:hint="eastAsia" w:ascii="仿宋_GB2312" w:hAnsi="华文仿宋" w:eastAsia="仿宋_GB2312"/>
          <w:sz w:val="32"/>
          <w:szCs w:val="32"/>
        </w:rPr>
        <w:t>江蓬环验〔2020〕</w:t>
      </w:r>
      <w:r>
        <w:rPr>
          <w:rFonts w:hint="eastAsia" w:ascii="仿宋_GB2312" w:hAnsi="华文仿宋" w:eastAsia="仿宋_GB2312"/>
          <w:sz w:val="32"/>
          <w:szCs w:val="32"/>
          <w:lang w:val="en-US" w:eastAsia="zh-CN"/>
        </w:rPr>
        <w:t>75</w:t>
      </w:r>
      <w:r>
        <w:rPr>
          <w:rFonts w:hint="eastAsia" w:ascii="仿宋_GB2312" w:hAnsi="华文仿宋" w:eastAsia="仿宋_GB2312"/>
          <w:sz w:val="32"/>
          <w:szCs w:val="32"/>
        </w:rPr>
        <w:t>号</w:t>
      </w:r>
    </w:p>
    <w:p>
      <w:pPr>
        <w:spacing w:line="400" w:lineRule="exact"/>
        <w:ind w:firstLine="320" w:firstLineChars="100"/>
        <w:jc w:val="center"/>
        <w:rPr>
          <w:rFonts w:ascii="楷体_GB2312" w:hAnsi="华文仿宋" w:eastAsia="楷体_GB2312"/>
          <w:sz w:val="32"/>
          <w:szCs w:val="32"/>
        </w:rPr>
      </w:pPr>
      <w:r>
        <w:rPr>
          <w:rFonts w:hint="eastAsia" w:ascii="仿宋_GB2312" w:eastAsia="仿宋_GB2312"/>
          <w:sz w:val="32"/>
          <w:szCs w:val="32"/>
        </w:rPr>
        <mc:AlternateContent>
          <mc:Choice Requires="wps">
            <w:drawing>
              <wp:anchor distT="0" distB="0" distL="114300" distR="114300" simplePos="0" relativeHeight="251658240" behindDoc="1" locked="1" layoutInCell="1" allowOverlap="1">
                <wp:simplePos x="0" y="0"/>
                <wp:positionH relativeFrom="column">
                  <wp:align>center</wp:align>
                </wp:positionH>
                <wp:positionV relativeFrom="paragraph">
                  <wp:posOffset>144145</wp:posOffset>
                </wp:positionV>
                <wp:extent cx="5618480" cy="0"/>
                <wp:effectExtent l="17780" t="20955" r="21590" b="17145"/>
                <wp:wrapNone/>
                <wp:docPr id="1" name="直线 3"/>
                <wp:cNvGraphicFramePr/>
                <a:graphic xmlns:a="http://schemas.openxmlformats.org/drawingml/2006/main">
                  <a:graphicData uri="http://schemas.microsoft.com/office/word/2010/wordprocessingShape">
                    <wps:wsp>
                      <wps:cNvCnPr>
                        <a:cxnSpLocks noChangeShapeType="1"/>
                      </wps:cNvCnPr>
                      <wps:spPr bwMode="auto">
                        <a:xfrm>
                          <a:off x="0" y="0"/>
                          <a:ext cx="5618480" cy="0"/>
                        </a:xfrm>
                        <a:prstGeom prst="line">
                          <a:avLst/>
                        </a:prstGeom>
                        <a:noFill/>
                        <a:ln w="25400" cmpd="sng">
                          <a:solidFill>
                            <a:srgbClr val="FF0000"/>
                          </a:solidFill>
                          <a:round/>
                        </a:ln>
                      </wps:spPr>
                      <wps:bodyPr/>
                    </wps:wsp>
                  </a:graphicData>
                </a:graphic>
              </wp:anchor>
            </w:drawing>
          </mc:Choice>
          <mc:Fallback>
            <w:pict>
              <v:line id="直线 3" o:spid="_x0000_s1026" o:spt="20" style="position:absolute;left:0pt;margin-top:11.35pt;height:0pt;width:442.4pt;mso-position-horizontal:center;z-index:-251658240;mso-width-relative:page;mso-height-relative:page;" filled="f" stroked="t" coordsize="21600,21600" o:gfxdata="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tK8NK1AAAAAYBAAAPAAAAAAAAAAEAIAAAACIAAABkcnMvZG93bnJldi54&#10;bWxQSwECFAAUAAAACACHTuJA/IacUsUBAABfAwAADgAAAAAAAAABACAAAAAjAQAAZHJzL2Uyb0Rv&#10;Yy54bWxQSwUGAAAAAAYABgBZAQAAWgUAAAAA&#10;">
                <v:fill on="f" focussize="0,0"/>
                <v:stroke weight="2pt" color="#FF0000" joinstyle="round"/>
                <v:imagedata o:title=""/>
                <o:lock v:ext="edit" aspectratio="f"/>
                <w10:anchorlock/>
              </v:line>
            </w:pict>
          </mc:Fallback>
        </mc:AlternateContent>
      </w:r>
    </w:p>
    <w:p>
      <w:pPr>
        <w:spacing w:line="600" w:lineRule="exact"/>
        <w:rPr>
          <w:rFonts w:ascii="仿宋_GB2312" w:eastAsia="仿宋_GB2312"/>
          <w:sz w:val="32"/>
          <w:szCs w:val="32"/>
        </w:rPr>
      </w:pPr>
    </w:p>
    <w:p>
      <w:pPr>
        <w:tabs>
          <w:tab w:val="left" w:pos="0"/>
        </w:tabs>
        <w:spacing w:line="600" w:lineRule="exact"/>
        <w:ind w:left="0" w:leftChars="0" w:right="0" w:rightChars="0" w:firstLine="0" w:firstLineChars="0"/>
        <w:jc w:val="center"/>
        <w:rPr>
          <w:rFonts w:hint="eastAsia" w:ascii="方正小标宋_GBK" w:hAnsi="华文中宋" w:eastAsia="方正小标宋_GBK"/>
          <w:spacing w:val="-10"/>
          <w:sz w:val="44"/>
          <w:szCs w:val="44"/>
        </w:rPr>
      </w:pPr>
      <w:r>
        <w:rPr>
          <w:rFonts w:hint="eastAsia" w:ascii="方正小标宋_GBK" w:hAnsi="华文中宋" w:eastAsia="方正小标宋_GBK"/>
          <w:spacing w:val="-10"/>
          <w:sz w:val="44"/>
          <w:szCs w:val="44"/>
        </w:rPr>
        <w:t>关于同意江门市致善实业有限公司年产垃圾桶100万套、智能镜15万套新建项目（固体废</w:t>
      </w:r>
    </w:p>
    <w:p>
      <w:pPr>
        <w:tabs>
          <w:tab w:val="left" w:pos="0"/>
        </w:tabs>
        <w:spacing w:line="600" w:lineRule="exact"/>
        <w:ind w:left="0" w:leftChars="0" w:right="0" w:rightChars="0" w:firstLine="0" w:firstLineChars="0"/>
        <w:jc w:val="center"/>
        <w:rPr>
          <w:rFonts w:ascii="方正小标宋简体" w:hAnsi="华文中宋" w:eastAsia="方正小标宋简体"/>
          <w:spacing w:val="-10"/>
          <w:sz w:val="44"/>
          <w:szCs w:val="44"/>
        </w:rPr>
      </w:pPr>
      <w:r>
        <w:rPr>
          <w:rFonts w:hint="eastAsia" w:ascii="方正小标宋_GBK" w:hAnsi="华文中宋" w:eastAsia="方正小标宋_GBK"/>
          <w:spacing w:val="-10"/>
          <w:sz w:val="44"/>
          <w:szCs w:val="44"/>
        </w:rPr>
        <w:t>物污染防治设施）竣工环境保护验收的函</w:t>
      </w:r>
    </w:p>
    <w:p>
      <w:pPr>
        <w:spacing w:line="600" w:lineRule="exact"/>
        <w:ind w:left="424" w:leftChars="202" w:right="422" w:rightChars="201"/>
        <w:rPr>
          <w:rFonts w:ascii="仿宋_GB2312" w:eastAsia="仿宋_GB2312"/>
          <w:sz w:val="32"/>
          <w:szCs w:val="32"/>
        </w:rPr>
      </w:pPr>
    </w:p>
    <w:p>
      <w:pPr>
        <w:spacing w:line="560" w:lineRule="exact"/>
        <w:ind w:left="4" w:leftChars="0" w:right="422" w:rightChars="201" w:hanging="4" w:firstLineChars="0"/>
        <w:rPr>
          <w:rFonts w:ascii="仿宋_GB2312" w:eastAsia="仿宋_GB2312"/>
          <w:sz w:val="32"/>
          <w:szCs w:val="32"/>
        </w:rPr>
      </w:pPr>
      <w:r>
        <w:rPr>
          <w:rFonts w:hint="eastAsia" w:ascii="仿宋_GB2312" w:eastAsia="仿宋_GB2312"/>
          <w:sz w:val="32"/>
          <w:szCs w:val="32"/>
        </w:rPr>
        <w:t>江门市致善实业有限公司：</w:t>
      </w:r>
    </w:p>
    <w:p>
      <w:pPr>
        <w:wordWrap w:val="0"/>
        <w:spacing w:line="560" w:lineRule="exact"/>
        <w:ind w:right="422" w:rightChars="201" w:firstLine="624" w:firstLineChars="200"/>
        <w:rPr>
          <w:rFonts w:ascii="仿宋_GB2312" w:hAnsi="华文中宋" w:eastAsia="仿宋_GB2312"/>
          <w:spacing w:val="-4"/>
          <w:sz w:val="32"/>
          <w:szCs w:val="32"/>
        </w:rPr>
      </w:pPr>
      <w:r>
        <w:rPr>
          <w:rFonts w:hint="eastAsia" w:ascii="仿宋_GB2312" w:hAnsi="华文中宋" w:eastAsia="仿宋_GB2312"/>
          <w:spacing w:val="-4"/>
          <w:sz w:val="32"/>
          <w:szCs w:val="32"/>
        </w:rPr>
        <w:t>你公司年产垃圾桶100万套、智能镜15万套新建项目（固体废物污染防治设施）竣工环境保护验收申请等有关资料收悉。我局组织对该项目（固体废物污染防治设施）进行了竣工环境保护现场检查，并将该项目环境保护执行</w:t>
      </w:r>
      <w:r>
        <w:rPr>
          <w:rFonts w:hint="eastAsia" w:ascii="仿宋_GB2312" w:hAnsi="华文中宋" w:eastAsia="仿宋_GB2312"/>
          <w:spacing w:val="-6"/>
          <w:sz w:val="32"/>
          <w:szCs w:val="32"/>
        </w:rPr>
        <w:t>情况在江门市生态环境局蓬江分局工作动态</w:t>
      </w:r>
      <w:r>
        <w:rPr>
          <w:rFonts w:hint="eastAsia" w:ascii="仿宋_GB2312" w:hAnsi="华文中宋" w:eastAsia="仿宋_GB2312"/>
          <w:spacing w:val="-4"/>
          <w:sz w:val="32"/>
          <w:szCs w:val="32"/>
        </w:rPr>
        <w:t>（</w:t>
      </w:r>
      <w:r>
        <w:rPr>
          <w:rFonts w:ascii="仿宋_GB2312" w:eastAsia="仿宋_GB2312"/>
          <w:spacing w:val="-4"/>
          <w:sz w:val="32"/>
          <w:szCs w:val="32"/>
        </w:rPr>
        <w:t>http://www.jiangmen.gov.cn/bmpd/jmssthjj/pcfj/pjfj/gzdt/index.html</w:t>
      </w:r>
      <w:r>
        <w:rPr>
          <w:rFonts w:hint="eastAsia" w:ascii="仿宋_GB2312" w:hAnsi="华文中宋" w:eastAsia="仿宋_GB2312"/>
          <w:spacing w:val="-4"/>
          <w:sz w:val="32"/>
          <w:szCs w:val="32"/>
        </w:rPr>
        <w:t>）进行了公示。公示期间没有收到群众投诉和反对意见。经研究，现提出验收意见如下：</w:t>
      </w:r>
    </w:p>
    <w:p>
      <w:pPr>
        <w:spacing w:line="560" w:lineRule="exact"/>
        <w:ind w:right="422" w:rightChars="201" w:firstLine="640" w:firstLineChars="200"/>
        <w:rPr>
          <w:rFonts w:ascii="黑体" w:hAnsi="黑体" w:eastAsia="黑体"/>
          <w:color w:val="000000"/>
          <w:sz w:val="32"/>
          <w:szCs w:val="32"/>
        </w:rPr>
      </w:pPr>
      <w:r>
        <w:rPr>
          <w:rFonts w:hint="eastAsia" w:ascii="黑体" w:hAnsi="黑体" w:eastAsia="黑体"/>
          <w:color w:val="000000"/>
          <w:sz w:val="32"/>
          <w:szCs w:val="32"/>
        </w:rPr>
        <w:t>一、项目基本情况</w:t>
      </w:r>
    </w:p>
    <w:p>
      <w:pPr>
        <w:spacing w:line="560" w:lineRule="exact"/>
        <w:ind w:right="422" w:rightChars="201" w:firstLine="640" w:firstLineChars="200"/>
        <w:rPr>
          <w:rFonts w:ascii="仿宋_GB2312" w:eastAsia="仿宋_GB2312"/>
          <w:sz w:val="32"/>
          <w:szCs w:val="32"/>
        </w:rPr>
      </w:pPr>
      <w:r>
        <w:rPr>
          <w:rFonts w:hint="eastAsia" w:ascii="仿宋_GB2312" w:eastAsia="仿宋_GB2312"/>
          <w:sz w:val="32"/>
          <w:szCs w:val="32"/>
        </w:rPr>
        <w:t>江门市致善实业有限公司位于江门市蓬江区潮连卢边工业路16号，项目占地面积9856.79平方米，</w:t>
      </w:r>
      <w:bookmarkStart w:id="1" w:name="_GoBack"/>
      <w:bookmarkEnd w:id="1"/>
      <w:r>
        <w:rPr>
          <w:rFonts w:hint="eastAsia" w:ascii="仿宋_GB2312" w:eastAsia="仿宋_GB2312"/>
          <w:sz w:val="32"/>
          <w:szCs w:val="32"/>
        </w:rPr>
        <w:t>建筑面积21065.89平方米。主要从事五金制品、塑料制品的生产项目。现场设有注塑机10台、冲床34台、剪床1台、扣骨机4台、油压卷边机4台、油压拉伸机1台、热收缩膜机1台、可调温电烙铁15台。金属桶身的生产工艺流程：板材→机加工（剪角、冲孔、预弯、折边、成型）→折骨→油压卷边→桶身；塑料内桶的生产工艺流程：原料塑料粒→混料→挤出成型→内桶。</w:t>
      </w:r>
    </w:p>
    <w:p>
      <w:pPr>
        <w:adjustRightInd w:val="0"/>
        <w:snapToGrid w:val="0"/>
        <w:spacing w:line="560" w:lineRule="exact"/>
        <w:ind w:right="422" w:rightChars="201" w:firstLine="640" w:firstLineChars="200"/>
        <w:rPr>
          <w:rFonts w:ascii="黑体" w:hAnsi="黑体" w:eastAsia="黑体"/>
          <w:color w:val="000000"/>
          <w:sz w:val="32"/>
          <w:szCs w:val="32"/>
        </w:rPr>
      </w:pPr>
      <w:r>
        <w:rPr>
          <w:rFonts w:hint="eastAsia" w:ascii="黑体" w:hAnsi="黑体" w:eastAsia="黑体"/>
          <w:color w:val="000000"/>
          <w:sz w:val="32"/>
          <w:szCs w:val="32"/>
        </w:rPr>
        <w:t>二、环境保护执行情况</w:t>
      </w:r>
    </w:p>
    <w:p>
      <w:pPr>
        <w:adjustRightInd w:val="0"/>
        <w:snapToGrid w:val="0"/>
        <w:spacing w:line="560" w:lineRule="exact"/>
        <w:ind w:right="422" w:rightChars="201"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该项目执行了环境影响评价制度。建设单位于2019年3月编制《江门市致善实业有限公司年产垃圾桶100万套、智能镜15万套新建项目环境影响报告表》，并于2019年6月18日取得江门市生态环境局（江蓬环审〔2019〕25号）批复。</w:t>
      </w:r>
    </w:p>
    <w:p>
      <w:pPr>
        <w:adjustRightInd w:val="0"/>
        <w:snapToGrid w:val="0"/>
        <w:spacing w:line="560" w:lineRule="exact"/>
        <w:ind w:right="422" w:rightChars="201"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该项目产生的一般工业固体废物为废包装材料、边角料、金属碎屑和不合格产品，均交由回收商回收外运处理。</w:t>
      </w:r>
    </w:p>
    <w:p>
      <w:pPr>
        <w:adjustRightInd w:val="0"/>
        <w:snapToGrid w:val="0"/>
        <w:spacing w:line="560" w:lineRule="exact"/>
        <w:ind w:right="422" w:rightChars="201"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生活垃圾交环卫部门统一清运并进行安全卫生处置。</w:t>
      </w:r>
    </w:p>
    <w:p>
      <w:pPr>
        <w:adjustRightInd w:val="0"/>
        <w:snapToGrid w:val="0"/>
        <w:spacing w:line="560" w:lineRule="exact"/>
        <w:ind w:right="422" w:rightChars="201" w:firstLine="640" w:firstLineChars="200"/>
        <w:rPr>
          <w:rFonts w:ascii="仿宋_GB2312" w:eastAsia="仿宋_GB2312"/>
          <w:color w:val="000000"/>
          <w:sz w:val="32"/>
          <w:szCs w:val="32"/>
        </w:rPr>
      </w:pPr>
      <w:r>
        <w:rPr>
          <w:rFonts w:hint="eastAsia" w:ascii="仿宋_GB2312" w:hAnsi="仿宋" w:eastAsia="仿宋_GB2312" w:cs="仿宋_GB2312"/>
          <w:color w:val="000000"/>
          <w:sz w:val="32"/>
          <w:szCs w:val="32"/>
        </w:rPr>
        <w:t>该项目产生的废润滑油和废活性炭属于危险废物，均交由具有危险废物处理资质的单位统一处理，并签订危废处理协议</w:t>
      </w:r>
      <w:r>
        <w:rPr>
          <w:rFonts w:hint="eastAsia" w:ascii="仿宋_GB2312" w:eastAsia="仿宋_GB2312"/>
          <w:color w:val="000000"/>
          <w:sz w:val="32"/>
          <w:szCs w:val="32"/>
        </w:rPr>
        <w:t>。</w:t>
      </w:r>
    </w:p>
    <w:p>
      <w:pPr>
        <w:pStyle w:val="2"/>
        <w:adjustRightInd w:val="0"/>
        <w:snapToGrid w:val="0"/>
        <w:spacing w:line="560" w:lineRule="exact"/>
        <w:ind w:right="422" w:rightChars="201"/>
        <w:jc w:val="both"/>
        <w:rPr>
          <w:rFonts w:ascii="黑体" w:hAnsi="黑体" w:eastAsia="黑体"/>
          <w:color w:val="000000"/>
          <w:szCs w:val="32"/>
        </w:rPr>
      </w:pPr>
      <w:r>
        <w:rPr>
          <w:rFonts w:hint="eastAsia" w:ascii="黑体" w:hAnsi="黑体" w:eastAsia="黑体"/>
          <w:color w:val="000000"/>
          <w:szCs w:val="32"/>
        </w:rPr>
        <w:t>三、验收结论</w:t>
      </w:r>
    </w:p>
    <w:p>
      <w:pPr>
        <w:spacing w:line="560" w:lineRule="exact"/>
        <w:ind w:right="422" w:rightChars="201" w:firstLine="640" w:firstLineChars="200"/>
        <w:rPr>
          <w:rFonts w:ascii="仿宋_GB2312" w:hAnsi="华文中宋" w:eastAsia="仿宋_GB2312"/>
          <w:sz w:val="32"/>
          <w:szCs w:val="32"/>
        </w:rPr>
      </w:pPr>
      <w:r>
        <w:rPr>
          <w:rFonts w:hint="eastAsia" w:ascii="仿宋_GB2312" w:eastAsia="仿宋_GB2312"/>
          <w:color w:val="000000"/>
          <w:sz w:val="32"/>
          <w:szCs w:val="32"/>
        </w:rPr>
        <w:t>该项目基本落实了环评报告表及其批复文件提出的固体废物污染防治措施和要求，符合《建设项目竣工环境保护验收管理办法》中第十六条竣工环境保护验收条件，根据《建设项目竣工环境保护验收管理办法》中第十七条第一款，我局同意你公司</w:t>
      </w:r>
      <w:r>
        <w:rPr>
          <w:rFonts w:hint="eastAsia" w:ascii="仿宋_GB2312" w:eastAsia="仿宋_GB2312"/>
          <w:sz w:val="32"/>
          <w:szCs w:val="32"/>
        </w:rPr>
        <w:t>年产垃圾桶100万套、智能镜15万套新建</w:t>
      </w:r>
      <w:r>
        <w:rPr>
          <w:rFonts w:hint="eastAsia" w:ascii="仿宋_GB2312" w:eastAsia="仿宋_GB2312"/>
          <w:color w:val="000000"/>
          <w:sz w:val="32"/>
          <w:szCs w:val="32"/>
        </w:rPr>
        <w:t>固体废物污染防治设施通过竣工环境保护验收。</w:t>
      </w:r>
    </w:p>
    <w:p>
      <w:pPr>
        <w:adjustRightInd w:val="0"/>
        <w:snapToGrid w:val="0"/>
        <w:spacing w:line="560" w:lineRule="exact"/>
        <w:ind w:right="422" w:rightChars="201" w:firstLine="640" w:firstLineChars="200"/>
        <w:rPr>
          <w:rFonts w:ascii="黑体" w:hAnsi="黑体" w:eastAsia="黑体"/>
          <w:bCs/>
          <w:color w:val="000000"/>
          <w:sz w:val="32"/>
          <w:szCs w:val="32"/>
        </w:rPr>
      </w:pPr>
      <w:r>
        <w:rPr>
          <w:rFonts w:hint="eastAsia" w:ascii="黑体" w:hAnsi="黑体" w:eastAsia="黑体"/>
          <w:color w:val="000000"/>
          <w:sz w:val="32"/>
          <w:szCs w:val="32"/>
        </w:rPr>
        <w:t>四、项目投运后应做好以下工作：</w:t>
      </w:r>
    </w:p>
    <w:p>
      <w:pPr>
        <w:spacing w:line="560" w:lineRule="exact"/>
        <w:ind w:right="422" w:rightChars="201"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（一）加强环境保护管理及环保设施运维管理，确保各项环保设施处于良好的运行状态，污染物长期稳定达标排放。</w:t>
      </w:r>
    </w:p>
    <w:p>
      <w:pPr>
        <w:spacing w:line="560" w:lineRule="exact"/>
        <w:ind w:right="422" w:rightChars="201"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（二）加强固体废物管理，产生的固体废物须按照有关环保规定进行处理处置，进一步完善环境安全管理体系。</w:t>
      </w:r>
    </w:p>
    <w:p>
      <w:pPr>
        <w:spacing w:line="560" w:lineRule="exact"/>
        <w:ind w:right="422" w:rightChars="201" w:firstLine="640" w:firstLineChars="200"/>
        <w:rPr>
          <w:rFonts w:ascii="仿宋_GB2312" w:hAnsi="华文中宋" w:eastAsia="仿宋_GB2312"/>
          <w:sz w:val="32"/>
          <w:szCs w:val="32"/>
        </w:rPr>
      </w:pPr>
      <w:r>
        <w:rPr>
          <w:rFonts w:hint="eastAsia" w:ascii="仿宋_GB2312" w:hAnsi="华文中宋" w:eastAsia="仿宋_GB2312"/>
          <w:sz w:val="32"/>
          <w:szCs w:val="32"/>
        </w:rPr>
        <w:t>（三）加强危险废物的管理，危险废物必须交由有资质的单位进行处理处置，并严格执行危险废物转移联单制度。</w:t>
      </w:r>
    </w:p>
    <w:p>
      <w:pPr>
        <w:spacing w:line="560" w:lineRule="exact"/>
        <w:ind w:left="424" w:leftChars="202" w:right="422" w:rightChars="201"/>
        <w:rPr>
          <w:rFonts w:ascii="仿宋_GB2312" w:hAnsi="仿宋_GB2312" w:eastAsia="仿宋_GB2312" w:cs="仿宋_GB2312"/>
          <w:color w:val="000000"/>
          <w:sz w:val="32"/>
          <w:szCs w:val="32"/>
        </w:rPr>
      </w:pPr>
    </w:p>
    <w:p>
      <w:pPr>
        <w:spacing w:line="560" w:lineRule="exact"/>
        <w:ind w:left="424" w:leftChars="202" w:right="422" w:rightChars="201"/>
        <w:rPr>
          <w:rFonts w:ascii="仿宋_GB2312" w:hAnsi="华文中宋" w:eastAsia="仿宋_GB2312"/>
          <w:sz w:val="32"/>
          <w:szCs w:val="32"/>
        </w:rPr>
      </w:pPr>
    </w:p>
    <w:p>
      <w:pPr>
        <w:spacing w:line="560" w:lineRule="exact"/>
        <w:ind w:left="424" w:leftChars="202" w:right="422" w:rightChars="201" w:firstLine="454"/>
        <w:jc w:val="center"/>
        <w:rPr>
          <w:rFonts w:ascii="仿宋_GB2312" w:hAnsi="华文中宋" w:eastAsia="仿宋_GB2312"/>
          <w:sz w:val="32"/>
          <w:szCs w:val="32"/>
        </w:rPr>
      </w:pPr>
      <w:r>
        <w:rPr>
          <w:rFonts w:hint="eastAsia" w:ascii="仿宋_GB2312" w:hAnsi="华文中宋" w:eastAsia="仿宋_GB2312"/>
          <w:sz w:val="32"/>
          <w:szCs w:val="32"/>
        </w:rPr>
        <w:t xml:space="preserve">                             江门市生态环境局</w:t>
      </w:r>
    </w:p>
    <w:p>
      <w:pPr>
        <w:spacing w:line="560" w:lineRule="exact"/>
        <w:ind w:left="424" w:leftChars="202" w:right="422" w:rightChars="201" w:firstLine="454"/>
        <w:jc w:val="center"/>
        <w:rPr>
          <w:rFonts w:ascii="仿宋_GB2312" w:hAnsi="仿宋_GB2312" w:eastAsia="仿宋_GB2312" w:cs="仿宋_GB2312"/>
          <w:sz w:val="32"/>
          <w:szCs w:val="32"/>
        </w:rPr>
      </w:pPr>
      <w:r>
        <w:rPr>
          <w:rFonts w:hint="eastAsia"/>
        </w:rPr>
        <w:t xml:space="preserve">            </w:t>
      </w:r>
      <w:r>
        <w:rPr>
          <w:rFonts w:hint="eastAsia" w:ascii="仿宋_GB2312" w:hAnsi="华文中宋" w:eastAsia="仿宋_GB2312"/>
          <w:sz w:val="32"/>
          <w:szCs w:val="32"/>
        </w:rPr>
        <w:t xml:space="preserve">                     </w:t>
      </w:r>
      <w:r>
        <w:rPr>
          <w:rFonts w:ascii="仿宋_GB2312" w:eastAsia="仿宋_GB2312"/>
          <w:sz w:val="32"/>
          <w:szCs w:val="32"/>
        </w:rPr>
        <w:t>2020</w:t>
      </w:r>
      <w:r>
        <w:rPr>
          <w:rFonts w:hint="eastAsia" w:ascii="仿宋_GB2312" w:hAnsi="华文中宋" w:eastAsia="仿宋_GB2312"/>
          <w:sz w:val="32"/>
          <w:szCs w:val="32"/>
        </w:rPr>
        <w:t>年</w:t>
      </w:r>
      <w:r>
        <w:rPr>
          <w:rFonts w:ascii="仿宋_GB2312" w:eastAsia="仿宋_GB2312"/>
          <w:sz w:val="32"/>
          <w:szCs w:val="32"/>
        </w:rPr>
        <w:t>8</w:t>
      </w:r>
      <w:r>
        <w:rPr>
          <w:rFonts w:hint="eastAsia" w:ascii="仿宋_GB2312" w:hAnsi="华文中宋" w:eastAsia="仿宋_GB2312"/>
          <w:sz w:val="32"/>
          <w:szCs w:val="32"/>
        </w:rPr>
        <w:t>月</w:t>
      </w:r>
      <w:r>
        <w:rPr>
          <w:rFonts w:hint="eastAsia" w:ascii="仿宋_GB2312" w:eastAsia="仿宋_GB2312"/>
          <w:sz w:val="32"/>
          <w:szCs w:val="32"/>
          <w:lang w:val="en-US" w:eastAsia="zh-CN"/>
        </w:rPr>
        <w:t>21</w:t>
      </w:r>
      <w:r>
        <w:rPr>
          <w:rFonts w:hint="eastAsia" w:ascii="仿宋_GB2312" w:hAnsi="华文中宋" w:eastAsia="仿宋_GB2312"/>
          <w:sz w:val="32"/>
          <w:szCs w:val="32"/>
        </w:rPr>
        <w:t>日</w:t>
      </w:r>
    </w:p>
    <w:sectPr>
      <w:footerReference r:id="rId3" w:type="default"/>
      <w:pgSz w:w="11906" w:h="16838"/>
      <w:pgMar w:top="1928" w:right="1531" w:bottom="2041" w:left="1531" w:header="851" w:footer="1588"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Arial Unicode MS"/>
    <w:panose1 w:val="00000000000000000000"/>
    <w:charset w:val="86"/>
    <w:family w:val="auto"/>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Dotum">
    <w:panose1 w:val="020B0600000101010101"/>
    <w:charset w:val="81"/>
    <w:family w:val="swiss"/>
    <w:pitch w:val="default"/>
    <w:sig w:usb0="B00002AF" w:usb1="69D77CFB" w:usb2="00000030" w:usb3="00000000" w:csb0="4008009F" w:csb1="DFD70000"/>
  </w:font>
  <w:font w:name="华文仿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Arial Unicode MS">
    <w:panose1 w:val="020B0604020202020204"/>
    <w:charset w:val="86"/>
    <w:family w:val="auto"/>
    <w:pitch w:val="default"/>
    <w:sig w:usb0="FFFFFFFF" w:usb1="E9FFFFFF" w:usb2="0000003F" w:usb3="00000000" w:csb0="603F01FF" w:csb1="FFFF0000"/>
  </w:font>
  <w:font w:name="Tw Cen MT Condensed">
    <w:panose1 w:val="020B0606020104020203"/>
    <w:charset w:val="00"/>
    <w:family w:val="auto"/>
    <w:pitch w:val="default"/>
    <w:sig w:usb0="00000003" w:usb1="00000000" w:usb2="00000000" w:usb3="00000000" w:csb0="20000003" w:csb1="00000000"/>
  </w:font>
  <w:font w:name="Tw Cen MT">
    <w:panose1 w:val="020B0602020104020603"/>
    <w:charset w:val="00"/>
    <w:family w:val="auto"/>
    <w:pitch w:val="default"/>
    <w:sig w:usb0="00000003" w:usb1="00000000" w:usb2="00000000" w:usb3="00000000" w:csb0="20000003" w:csb1="00000000"/>
  </w:font>
  <w:font w:name="Tunga">
    <w:panose1 w:val="020B0502040204020203"/>
    <w:charset w:val="00"/>
    <w:family w:val="auto"/>
    <w:pitch w:val="default"/>
    <w:sig w:usb0="00400003" w:usb1="00000000" w:usb2="00000000" w:usb3="00000000" w:csb0="00000001" w:csb1="00000000"/>
  </w:font>
  <w:font w:name="Trebuchet MS">
    <w:panose1 w:val="020B0603020202020204"/>
    <w:charset w:val="00"/>
    <w:family w:val="auto"/>
    <w:pitch w:val="default"/>
    <w:sig w:usb0="00000287" w:usb1="00000000" w:usb2="00000000" w:usb3="00000000" w:csb0="2000009F" w:csb1="00000000"/>
  </w:font>
  <w:font w:name="Traditional Arabic">
    <w:panose1 w:val="02020603050405020304"/>
    <w:charset w:val="00"/>
    <w:family w:val="auto"/>
    <w:pitch w:val="default"/>
    <w:sig w:usb0="00006003" w:usb1="80000000" w:usb2="00000008" w:usb3="00000000" w:csb0="00000041" w:csb1="20080000"/>
  </w:font>
  <w:font w:name="Times">
    <w:altName w:val="CG Times"/>
    <w:panose1 w:val="00000000000000000000"/>
    <w:charset w:val="00"/>
    <w:family w:val="auto"/>
    <w:pitch w:val="default"/>
    <w:sig w:usb0="00000000" w:usb1="00000000" w:usb2="00000000" w:usb3="00000000" w:csb0="00000000" w:csb1="00000000"/>
  </w:font>
  <w:font w:name="CG Times">
    <w:panose1 w:val="02020603050405020304"/>
    <w:charset w:val="00"/>
    <w:family w:val="auto"/>
    <w:pitch w:val="default"/>
    <w:sig w:usb0="00000007" w:usb1="00000000" w:usb2="00000000" w:usb3="00000000" w:csb0="00000093" w:csb1="00000000"/>
  </w:font>
  <w:font w:name="Tempus Sans ITC">
    <w:panose1 w:val="04020404030D07020202"/>
    <w:charset w:val="00"/>
    <w:family w:val="auto"/>
    <w:pitch w:val="default"/>
    <w:sig w:usb0="00000003" w:usb1="00000000" w:usb2="00000000" w:usb3="00000000" w:csb0="20000001" w:csb1="00000000"/>
  </w:font>
  <w:font w:name="Tahoma">
    <w:panose1 w:val="020B0604030504040204"/>
    <w:charset w:val="00"/>
    <w:family w:val="auto"/>
    <w:pitch w:val="default"/>
    <w:sig w:usb0="E1002EFF" w:usb1="C000605B" w:usb2="00000029" w:usb3="00000000" w:csb0="200101FF" w:csb1="20280000"/>
  </w:font>
  <w:font w:name="SymbolPS">
    <w:panose1 w:val="05050102010607020607"/>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228600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ascii="仿宋_GB2312" w:hAnsi="仿宋_GB2312" w:eastAsia="仿宋_GB2312" w:cs="仿宋_GB2312"/>
                              <w:sz w:val="28"/>
                              <w:szCs w:val="32"/>
                              <w:lang w:eastAsia="zh-CN"/>
                            </w:rPr>
                            <w:fldChar w:fldCharType="begin"/>
                          </w:r>
                          <w:r>
                            <w:rPr>
                              <w:rFonts w:hint="eastAsia" w:ascii="仿宋_GB2312" w:hAnsi="仿宋_GB2312" w:eastAsia="仿宋_GB2312" w:cs="仿宋_GB2312"/>
                              <w:sz w:val="28"/>
                              <w:szCs w:val="32"/>
                              <w:lang w:eastAsia="zh-CN"/>
                            </w:rPr>
                            <w:instrText xml:space="preserve"> PAGE  \* MERGEFORMAT </w:instrText>
                          </w:r>
                          <w:r>
                            <w:rPr>
                              <w:rFonts w:hint="eastAsia" w:ascii="仿宋_GB2312" w:hAnsi="仿宋_GB2312" w:eastAsia="仿宋_GB2312" w:cs="仿宋_GB2312"/>
                              <w:sz w:val="28"/>
                              <w:szCs w:val="32"/>
                              <w:lang w:eastAsia="zh-CN"/>
                            </w:rPr>
                            <w:fldChar w:fldCharType="separate"/>
                          </w:r>
                          <w:r>
                            <w:rPr>
                              <w:rFonts w:hint="eastAsia" w:ascii="仿宋_GB2312" w:hAnsi="仿宋_GB2312" w:eastAsia="仿宋_GB2312" w:cs="仿宋_GB2312"/>
                              <w:sz w:val="28"/>
                              <w:szCs w:val="32"/>
                            </w:rPr>
                            <w:t>1</w:t>
                          </w:r>
                          <w:r>
                            <w:rPr>
                              <w:rFonts w:hint="eastAsia" w:ascii="仿宋_GB2312" w:hAnsi="仿宋_GB2312" w:eastAsia="仿宋_GB2312" w:cs="仿宋_GB2312"/>
                              <w:sz w:val="28"/>
                              <w:szCs w:val="3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8pt;height:144pt;width:144pt;mso-position-horizontal:outside;mso-position-horizontal-relative:margin;mso-wrap-style:none;z-index:251658240;mso-width-relative:page;mso-height-relative:page;" filled="f" stroked="f" coordsize="21600,21600" o:gfxdata="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ascii="仿宋_GB2312" w:hAnsi="仿宋_GB2312" w:eastAsia="仿宋_GB2312" w:cs="仿宋_GB2312"/>
                        <w:sz w:val="28"/>
                        <w:szCs w:val="32"/>
                        <w:lang w:eastAsia="zh-CN"/>
                      </w:rPr>
                      <w:fldChar w:fldCharType="begin"/>
                    </w:r>
                    <w:r>
                      <w:rPr>
                        <w:rFonts w:hint="eastAsia" w:ascii="仿宋_GB2312" w:hAnsi="仿宋_GB2312" w:eastAsia="仿宋_GB2312" w:cs="仿宋_GB2312"/>
                        <w:sz w:val="28"/>
                        <w:szCs w:val="32"/>
                        <w:lang w:eastAsia="zh-CN"/>
                      </w:rPr>
                      <w:instrText xml:space="preserve"> PAGE  \* MERGEFORMAT </w:instrText>
                    </w:r>
                    <w:r>
                      <w:rPr>
                        <w:rFonts w:hint="eastAsia" w:ascii="仿宋_GB2312" w:hAnsi="仿宋_GB2312" w:eastAsia="仿宋_GB2312" w:cs="仿宋_GB2312"/>
                        <w:sz w:val="28"/>
                        <w:szCs w:val="32"/>
                        <w:lang w:eastAsia="zh-CN"/>
                      </w:rPr>
                      <w:fldChar w:fldCharType="separate"/>
                    </w:r>
                    <w:r>
                      <w:rPr>
                        <w:rFonts w:hint="eastAsia" w:ascii="仿宋_GB2312" w:hAnsi="仿宋_GB2312" w:eastAsia="仿宋_GB2312" w:cs="仿宋_GB2312"/>
                        <w:sz w:val="28"/>
                        <w:szCs w:val="32"/>
                      </w:rPr>
                      <w:t>1</w:t>
                    </w:r>
                    <w:r>
                      <w:rPr>
                        <w:rFonts w:hint="eastAsia" w:ascii="仿宋_GB2312" w:hAnsi="仿宋_GB2312" w:eastAsia="仿宋_GB2312" w:cs="仿宋_GB2312"/>
                        <w:sz w:val="28"/>
                        <w:szCs w:val="32"/>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227"/>
    <w:rsid w:val="000102F9"/>
    <w:rsid w:val="00010C91"/>
    <w:rsid w:val="00027977"/>
    <w:rsid w:val="00042778"/>
    <w:rsid w:val="000557F0"/>
    <w:rsid w:val="000623AF"/>
    <w:rsid w:val="000756BC"/>
    <w:rsid w:val="000845BE"/>
    <w:rsid w:val="000A515F"/>
    <w:rsid w:val="000F6008"/>
    <w:rsid w:val="00102362"/>
    <w:rsid w:val="00102881"/>
    <w:rsid w:val="0013225C"/>
    <w:rsid w:val="00163BAD"/>
    <w:rsid w:val="001B7A32"/>
    <w:rsid w:val="001E1B66"/>
    <w:rsid w:val="001E1F03"/>
    <w:rsid w:val="00202227"/>
    <w:rsid w:val="00210578"/>
    <w:rsid w:val="002118B5"/>
    <w:rsid w:val="00216549"/>
    <w:rsid w:val="0022153E"/>
    <w:rsid w:val="00221D70"/>
    <w:rsid w:val="002365DB"/>
    <w:rsid w:val="00291B2D"/>
    <w:rsid w:val="00292F00"/>
    <w:rsid w:val="002A221E"/>
    <w:rsid w:val="002B0470"/>
    <w:rsid w:val="002B7ED3"/>
    <w:rsid w:val="002C240E"/>
    <w:rsid w:val="002D09BD"/>
    <w:rsid w:val="002D248F"/>
    <w:rsid w:val="0031274A"/>
    <w:rsid w:val="00330C00"/>
    <w:rsid w:val="00340F1F"/>
    <w:rsid w:val="00350FCB"/>
    <w:rsid w:val="00355CA7"/>
    <w:rsid w:val="00375146"/>
    <w:rsid w:val="003837D6"/>
    <w:rsid w:val="00383F59"/>
    <w:rsid w:val="003A4688"/>
    <w:rsid w:val="003C49B4"/>
    <w:rsid w:val="003D0DF9"/>
    <w:rsid w:val="003D7A2C"/>
    <w:rsid w:val="003E015D"/>
    <w:rsid w:val="003E2943"/>
    <w:rsid w:val="003F797B"/>
    <w:rsid w:val="00405F0E"/>
    <w:rsid w:val="00435B2D"/>
    <w:rsid w:val="00447ABF"/>
    <w:rsid w:val="00454958"/>
    <w:rsid w:val="004567C4"/>
    <w:rsid w:val="00472326"/>
    <w:rsid w:val="004830CD"/>
    <w:rsid w:val="00486BF1"/>
    <w:rsid w:val="004A07E4"/>
    <w:rsid w:val="004C3703"/>
    <w:rsid w:val="004D7F85"/>
    <w:rsid w:val="00503CD5"/>
    <w:rsid w:val="005127E4"/>
    <w:rsid w:val="00540EF4"/>
    <w:rsid w:val="0058037B"/>
    <w:rsid w:val="00590B61"/>
    <w:rsid w:val="005A150C"/>
    <w:rsid w:val="005A2D32"/>
    <w:rsid w:val="005A6BBC"/>
    <w:rsid w:val="005C3667"/>
    <w:rsid w:val="005E15A3"/>
    <w:rsid w:val="006140E5"/>
    <w:rsid w:val="006325C1"/>
    <w:rsid w:val="00673D25"/>
    <w:rsid w:val="006854E5"/>
    <w:rsid w:val="00685628"/>
    <w:rsid w:val="00697CBA"/>
    <w:rsid w:val="006E1A8A"/>
    <w:rsid w:val="006F42BD"/>
    <w:rsid w:val="00723A3F"/>
    <w:rsid w:val="00744A6C"/>
    <w:rsid w:val="00746850"/>
    <w:rsid w:val="007640E8"/>
    <w:rsid w:val="00772BC8"/>
    <w:rsid w:val="008330BA"/>
    <w:rsid w:val="00875A92"/>
    <w:rsid w:val="008A69C4"/>
    <w:rsid w:val="008B06E5"/>
    <w:rsid w:val="008B528A"/>
    <w:rsid w:val="008B6CA1"/>
    <w:rsid w:val="008E1813"/>
    <w:rsid w:val="008E594E"/>
    <w:rsid w:val="008F3CB6"/>
    <w:rsid w:val="00906C19"/>
    <w:rsid w:val="00922096"/>
    <w:rsid w:val="00940DAE"/>
    <w:rsid w:val="00941AF8"/>
    <w:rsid w:val="0094652D"/>
    <w:rsid w:val="00970585"/>
    <w:rsid w:val="00990AB8"/>
    <w:rsid w:val="00996715"/>
    <w:rsid w:val="009B41A6"/>
    <w:rsid w:val="009D0908"/>
    <w:rsid w:val="009F0786"/>
    <w:rsid w:val="009F5FC7"/>
    <w:rsid w:val="00A11DFA"/>
    <w:rsid w:val="00A13E06"/>
    <w:rsid w:val="00A1552B"/>
    <w:rsid w:val="00A173A5"/>
    <w:rsid w:val="00A175D9"/>
    <w:rsid w:val="00A41D84"/>
    <w:rsid w:val="00A521C8"/>
    <w:rsid w:val="00A6131A"/>
    <w:rsid w:val="00AB2000"/>
    <w:rsid w:val="00AC339C"/>
    <w:rsid w:val="00AD27AD"/>
    <w:rsid w:val="00B0710D"/>
    <w:rsid w:val="00B416F0"/>
    <w:rsid w:val="00B43E9E"/>
    <w:rsid w:val="00B61DB7"/>
    <w:rsid w:val="00B82EB1"/>
    <w:rsid w:val="00B878FF"/>
    <w:rsid w:val="00B91B71"/>
    <w:rsid w:val="00BA5B2A"/>
    <w:rsid w:val="00BB2804"/>
    <w:rsid w:val="00BD1F6B"/>
    <w:rsid w:val="00BE28C4"/>
    <w:rsid w:val="00BE7454"/>
    <w:rsid w:val="00C32DB2"/>
    <w:rsid w:val="00C35FE8"/>
    <w:rsid w:val="00C62A56"/>
    <w:rsid w:val="00C67EAB"/>
    <w:rsid w:val="00C95936"/>
    <w:rsid w:val="00CC2065"/>
    <w:rsid w:val="00CC7275"/>
    <w:rsid w:val="00CF013B"/>
    <w:rsid w:val="00CF5E33"/>
    <w:rsid w:val="00D4046D"/>
    <w:rsid w:val="00D446B8"/>
    <w:rsid w:val="00D550C0"/>
    <w:rsid w:val="00DA4886"/>
    <w:rsid w:val="00DC0AFC"/>
    <w:rsid w:val="00DC38FD"/>
    <w:rsid w:val="00E0778A"/>
    <w:rsid w:val="00E1698A"/>
    <w:rsid w:val="00E21C8C"/>
    <w:rsid w:val="00E238C3"/>
    <w:rsid w:val="00E24E8B"/>
    <w:rsid w:val="00E46D14"/>
    <w:rsid w:val="00E507F2"/>
    <w:rsid w:val="00E534C8"/>
    <w:rsid w:val="00E55C75"/>
    <w:rsid w:val="00E56DDB"/>
    <w:rsid w:val="00E66A79"/>
    <w:rsid w:val="00E670CA"/>
    <w:rsid w:val="00E979B2"/>
    <w:rsid w:val="00EC740E"/>
    <w:rsid w:val="00ED3C6A"/>
    <w:rsid w:val="00EE1F46"/>
    <w:rsid w:val="00EE58E7"/>
    <w:rsid w:val="00EE795F"/>
    <w:rsid w:val="00EF7BE2"/>
    <w:rsid w:val="00EF7E17"/>
    <w:rsid w:val="00F110C1"/>
    <w:rsid w:val="00F162DB"/>
    <w:rsid w:val="00F63E18"/>
    <w:rsid w:val="00F953B0"/>
    <w:rsid w:val="00FA5BC3"/>
    <w:rsid w:val="00FC2759"/>
    <w:rsid w:val="00FE1A36"/>
    <w:rsid w:val="00FF0A18"/>
    <w:rsid w:val="00FF1120"/>
    <w:rsid w:val="0A361950"/>
    <w:rsid w:val="21770BB5"/>
    <w:rsid w:val="229C39FC"/>
    <w:rsid w:val="29E64E0A"/>
    <w:rsid w:val="40067AC8"/>
    <w:rsid w:val="41FF1A63"/>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unhideWhenUsed/>
    <w:uiPriority w:val="1"/>
  </w:style>
  <w:style w:type="table" w:default="1" w:styleId="7">
    <w:name w:val="Normal Table"/>
    <w:unhideWhenUsed/>
    <w:uiPriority w:val="99"/>
    <w:tblPr>
      <w:tblLayout w:type="fixed"/>
      <w:tblCellMar>
        <w:top w:w="0" w:type="dxa"/>
        <w:left w:w="108" w:type="dxa"/>
        <w:bottom w:w="0" w:type="dxa"/>
        <w:right w:w="108" w:type="dxa"/>
      </w:tblCellMar>
    </w:tblPr>
  </w:style>
  <w:style w:type="paragraph" w:styleId="2">
    <w:name w:val="Body Text Indent"/>
    <w:basedOn w:val="1"/>
    <w:link w:val="9"/>
    <w:qFormat/>
    <w:uiPriority w:val="0"/>
    <w:pPr>
      <w:ind w:firstLine="640" w:firstLineChars="200"/>
      <w:jc w:val="left"/>
    </w:pPr>
    <w:rPr>
      <w:rFonts w:ascii="仿宋_GB2312" w:eastAsia="仿宋_GB2312"/>
      <w:sz w:val="32"/>
      <w:szCs w:val="24"/>
    </w:rPr>
  </w:style>
  <w:style w:type="paragraph" w:styleId="3">
    <w:name w:val="footer"/>
    <w:basedOn w:val="1"/>
    <w:link w:val="11"/>
    <w:uiPriority w:val="0"/>
    <w:pPr>
      <w:tabs>
        <w:tab w:val="center" w:pos="4153"/>
        <w:tab w:val="right" w:pos="8306"/>
      </w:tabs>
      <w:snapToGrid w:val="0"/>
      <w:jc w:val="left"/>
    </w:pPr>
    <w:rPr>
      <w:sz w:val="18"/>
      <w:szCs w:val="18"/>
    </w:rPr>
  </w:style>
  <w:style w:type="paragraph" w:styleId="4">
    <w:name w:val="header"/>
    <w:basedOn w:val="1"/>
    <w:link w:val="10"/>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0"/>
  </w:style>
  <w:style w:type="table" w:styleId="8">
    <w:name w:val="Table Grid"/>
    <w:basedOn w:val="7"/>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character" w:customStyle="1" w:styleId="9">
    <w:name w:val="正文文本缩进 Char"/>
    <w:link w:val="2"/>
    <w:uiPriority w:val="0"/>
    <w:rPr>
      <w:rFonts w:ascii="仿宋_GB2312" w:eastAsia="仿宋_GB2312"/>
      <w:kern w:val="2"/>
      <w:sz w:val="32"/>
      <w:szCs w:val="24"/>
    </w:rPr>
  </w:style>
  <w:style w:type="character" w:customStyle="1" w:styleId="10">
    <w:name w:val="页眉 Char"/>
    <w:link w:val="4"/>
    <w:uiPriority w:val="0"/>
    <w:rPr>
      <w:kern w:val="2"/>
      <w:sz w:val="18"/>
      <w:szCs w:val="18"/>
    </w:rPr>
  </w:style>
  <w:style w:type="character" w:customStyle="1" w:styleId="11">
    <w:name w:val="页脚 Char"/>
    <w:link w:val="3"/>
    <w:uiPriority w:val="0"/>
    <w:rPr>
      <w:kern w:val="2"/>
      <w:sz w:val="18"/>
      <w:szCs w:val="18"/>
    </w:rPr>
  </w:style>
  <w:style w:type="paragraph" w:customStyle="1" w:styleId="12">
    <w:name w:val="主题词"/>
    <w:basedOn w:val="1"/>
    <w:uiPriority w:val="0"/>
    <w:pPr>
      <w:spacing w:after="296" w:afterLines="50" w:line="600" w:lineRule="exact"/>
    </w:pPr>
    <w:rPr>
      <w:rFonts w:eastAsia="方正小标宋简体"/>
      <w:sz w:val="3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1017</Words>
  <Characters>205</Characters>
  <Lines>1</Lines>
  <Paragraphs>2</Paragraphs>
  <TotalTime>0</TotalTime>
  <ScaleCrop>false</ScaleCrop>
  <LinksUpToDate>false</LinksUpToDate>
  <CharactersWithSpaces>1220</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2020-05-25T01:21:00Z</dcterms:created>
  <dc:creator>111</dc:creator>
  <cp:lastModifiedBy>林洁</cp:lastModifiedBy>
  <cp:lastPrinted>2016-06-16T01:33:00Z</cp:lastPrinted>
  <dcterms:modified xsi:type="dcterms:W3CDTF">2020-08-21T07:30:40Z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