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方正小标宋_GBK" w:hAnsi="宋体" w:eastAsia="方正小标宋_GBK"/>
          <w:bCs/>
          <w:spacing w:val="51"/>
          <w:w w:val="64"/>
          <w:kern w:val="96"/>
          <w:position w:val="-4"/>
        </w:rPr>
      </w:pPr>
      <w:r>
        <w:rPr>
          <w:rFonts w:hint="eastAsia" w:ascii="方正小标宋_GBK" w:hAnsi="宋体" w:eastAsia="方正小标宋_GBK"/>
          <w:bCs/>
          <w:color w:val="FF0000"/>
          <w:spacing w:val="51"/>
          <w:w w:val="64"/>
          <w:kern w:val="96"/>
          <w:position w:val="-4"/>
          <w:sz w:val="120"/>
          <w:szCs w:val="120"/>
        </w:rPr>
        <w:t>江门市生态环境局文件</w:t>
      </w:r>
    </w:p>
    <w:p>
      <w:pPr>
        <w:spacing w:line="400" w:lineRule="exact"/>
        <w:rPr>
          <w:rFonts w:ascii="方正小标宋_GBK" w:hAnsi="华文中宋" w:eastAsia="方正小标宋_GBK" w:cs="Dotum"/>
          <w:sz w:val="44"/>
          <w:szCs w:val="44"/>
        </w:rPr>
      </w:pPr>
      <w:bookmarkStart w:id="0" w:name="OLE_LINK1"/>
    </w:p>
    <w:p>
      <w:pPr>
        <w:spacing w:line="400" w:lineRule="exact"/>
        <w:rPr>
          <w:rFonts w:ascii="方正小标宋_GBK" w:hAnsi="华文中宋" w:eastAsia="方正小标宋_GBK" w:cs="Dotum"/>
          <w:sz w:val="44"/>
          <w:szCs w:val="44"/>
        </w:rPr>
      </w:pPr>
    </w:p>
    <w:bookmarkEnd w:id="0"/>
    <w:p>
      <w:pPr>
        <w:spacing w:line="400" w:lineRule="exact"/>
        <w:ind w:firstLine="320" w:firstLineChars="100"/>
        <w:jc w:val="center"/>
        <w:rPr>
          <w:rFonts w:ascii="楷体_GB2312" w:hAnsi="华文仿宋" w:eastAsia="楷体_GB2312"/>
          <w:sz w:val="32"/>
          <w:szCs w:val="32"/>
        </w:rPr>
      </w:pPr>
      <w:r>
        <w:rPr>
          <w:rFonts w:hint="eastAsia" w:ascii="仿宋_GB2312" w:hAnsi="华文仿宋" w:eastAsia="仿宋_GB2312"/>
          <w:sz w:val="32"/>
          <w:szCs w:val="32"/>
        </w:rPr>
        <w:t>江蓬环验〔2020〕</w:t>
      </w:r>
      <w:r>
        <w:rPr>
          <w:rFonts w:hint="eastAsia" w:ascii="仿宋_GB2312" w:hAnsi="华文仿宋" w:eastAsia="仿宋_GB2312"/>
          <w:sz w:val="32"/>
          <w:szCs w:val="32"/>
          <w:lang w:val="en-US" w:eastAsia="zh-CN"/>
        </w:rPr>
        <w:t>74</w:t>
      </w:r>
      <w:r>
        <w:rPr>
          <w:rFonts w:hint="eastAsia" w:ascii="仿宋_GB2312" w:hAnsi="华文仿宋" w:eastAsia="仿宋_GB2312"/>
          <w:sz w:val="32"/>
          <w:szCs w:val="32"/>
        </w:rPr>
        <w:t>号</w:t>
      </w:r>
    </w:p>
    <w:p>
      <w:pPr>
        <w:spacing w:line="400" w:lineRule="exact"/>
        <w:ind w:firstLine="320" w:firstLineChars="100"/>
        <w:jc w:val="center"/>
        <w:rPr>
          <w:rFonts w:ascii="楷体_GB2312" w:hAnsi="华文仿宋" w:eastAsia="楷体_GB2312"/>
          <w:sz w:val="32"/>
          <w:szCs w:val="32"/>
        </w:rPr>
      </w:pPr>
      <w:r>
        <w:rPr>
          <w:rFonts w:hint="eastAsia" w:ascii="仿宋_GB2312" w:eastAsia="仿宋_GB2312"/>
          <w:sz w:val="32"/>
          <w:szCs w:val="32"/>
        </w:rPr>
        <mc:AlternateContent>
          <mc:Choice Requires="wps">
            <w:drawing>
              <wp:anchor distT="0" distB="0" distL="114300" distR="114300" simplePos="0" relativeHeight="251658240" behindDoc="1" locked="1" layoutInCell="1" allowOverlap="1">
                <wp:simplePos x="0" y="0"/>
                <wp:positionH relativeFrom="column">
                  <wp:align>center</wp:align>
                </wp:positionH>
                <wp:positionV relativeFrom="paragraph">
                  <wp:posOffset>144145</wp:posOffset>
                </wp:positionV>
                <wp:extent cx="5618480" cy="0"/>
                <wp:effectExtent l="17780" t="20955" r="21590" b="17145"/>
                <wp:wrapNone/>
                <wp:docPr id="1" name="直线 3"/>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5400" cmpd="sng">
                          <a:solidFill>
                            <a:srgbClr val="FF0000"/>
                          </a:solidFill>
                          <a:round/>
                        </a:ln>
                      </wps:spPr>
                      <wps:bodyPr/>
                    </wps:wsp>
                  </a:graphicData>
                </a:graphic>
              </wp:anchor>
            </w:drawing>
          </mc:Choice>
          <mc:Fallback>
            <w:pict>
              <v:line id="直线 3" o:spid="_x0000_s1026" o:spt="20" style="position:absolute;left:0pt;margin-top:11.35pt;height:0pt;width:442.4pt;mso-position-horizontal:center;z-index:-251658240;mso-width-relative:page;mso-height-relative:page;" filled="f" stroked="t" coordsize="21600,21600" o:gfxdata="UEsDBAoAAAAAAIdO4kAAAAAAAAAAAAAAAAAEAAAAZHJzL1BLAwQUAAAACACHTuJArSvDStQAAAAG&#10;AQAADwAAAGRycy9kb3ducmV2LnhtbE2PzU7DMBCE70i8g7VI3KiTCEKUxukBBBLcKBTEzY03cVR7&#10;HcXuD2/PIg5wnJ3VzDfN6uSdOOAcx0AK8kUGAqkLZqRBwdvrw1UFIiZNRrtAqOALI6za87NG1yYc&#10;6QUP6zQIDqFYawU2pamWMnYWvY6LMCGx14fZ68RyHqSZ9ZHDvZNFlpXS65G4weoJ7yx2u/XeK3h6&#10;x43ZfD7f3wRn8v7jsYy9LZW6vMizJYiEp/T3DD/4jA4tM23DnkwUTgEPSQqK4hYEu1V1zUO2vwfZ&#10;NvI/fvsNUEsDBBQAAAAIAIdO4kD8hpxSxQEAAF8DAAAOAAAAZHJzL2Uyb0RvYy54bWytU0tu2zAQ&#10;3RfoHQjua8luEhiC5SwcuJu0NZDkADRFSURJDsGhLfksvUZX3fQ4uUaH9KdpuwviBWFy5j3Oe49a&#10;3I7WsL0KqMHVfDopOVNOQqNdV/Onx/WHOWcYhWuEAadqflDIb5fv3y0GX6kZ9GAaFRiROKwGX/M+&#10;Rl8VBcpeWYET8MpRsYVgRaRt6IomiIHYrSlmZXlTDBAaH0AqRDq9Oxb5MvO3rZLxa9uiiszUnGaL&#10;eQ153aa1WC5E1QXhey1PY4hXTGGFdnTphepORMF2Qf9HZbUMgNDGiQRbQNtqqbIGUjMt/1Hz0Auv&#10;shYyB/3FJnw7WvllvwlMN5QdZ05Yiuj5+4/nn7/Yx+TN4LGilpXbhKROju7B34P8hszBqheuU3nG&#10;x4Mn4DQhir8gaYOebtgOn6GhHrGLkI0a22ATJVnAxpzH4ZKHGiOTdHh9M51fzSk2ea4VojoDfcD4&#10;SYFl6U/NjXbJKlGJ/T3GNIiozi3p2MFaG5PjNo4NNZ9dX5WJ2noSj67LYASjm9SYIBi67coEthf0&#10;eNbrkn5ZIVVetgXYueZ4oXEnA5Lmo3tbaA6bcDaGUsyTnV5ceiYv9xn957tY/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tK8NK1AAAAAYBAAAPAAAAAAAAAAEAIAAAACIAAABkcnMvZG93bnJldi54&#10;bWxQSwECFAAUAAAACACHTuJA/IacUsUBAABfAwAADgAAAAAAAAABACAAAAAjAQAAZHJzL2Uyb0Rv&#10;Yy54bWxQSwUGAAAAAAYABgBZAQAAWgUAAAAA&#10;">
                <v:fill on="f" focussize="0,0"/>
                <v:stroke weight="2pt" color="#FF0000" joinstyle="round"/>
                <v:imagedata o:title=""/>
                <o:lock v:ext="edit" aspectratio="f"/>
                <w10:anchorlock/>
              </v:line>
            </w:pict>
          </mc:Fallback>
        </mc:AlternateContent>
      </w:r>
    </w:p>
    <w:p>
      <w:pPr>
        <w:spacing w:line="600" w:lineRule="exact"/>
        <w:rPr>
          <w:rFonts w:ascii="仿宋_GB2312" w:eastAsia="仿宋_GB2312"/>
          <w:sz w:val="32"/>
          <w:szCs w:val="32"/>
        </w:rPr>
      </w:pPr>
    </w:p>
    <w:p>
      <w:pPr>
        <w:spacing w:line="600" w:lineRule="exact"/>
        <w:ind w:left="0" w:leftChars="0" w:right="0" w:rightChars="0" w:firstLine="0" w:firstLineChars="0"/>
        <w:jc w:val="center"/>
        <w:rPr>
          <w:rFonts w:hint="eastAsia" w:ascii="方正小标宋_GBK" w:hAnsi="华文中宋" w:eastAsia="方正小标宋_GBK"/>
          <w:spacing w:val="-10"/>
          <w:sz w:val="44"/>
          <w:szCs w:val="44"/>
        </w:rPr>
      </w:pPr>
      <w:r>
        <w:rPr>
          <w:rFonts w:hint="eastAsia" w:ascii="方正小标宋_GBK" w:hAnsi="华文中宋" w:eastAsia="方正小标宋_GBK"/>
          <w:spacing w:val="-10"/>
          <w:sz w:val="44"/>
          <w:szCs w:val="44"/>
        </w:rPr>
        <w:t>江门市炬丰科技有限公司年产亚克力板500吨</w:t>
      </w:r>
    </w:p>
    <w:p>
      <w:pPr>
        <w:spacing w:line="600" w:lineRule="exact"/>
        <w:ind w:left="0" w:leftChars="0" w:right="0" w:rightChars="0" w:firstLine="0" w:firstLineChars="0"/>
        <w:jc w:val="center"/>
        <w:rPr>
          <w:rFonts w:hint="eastAsia" w:ascii="方正小标宋_GBK" w:hAnsi="华文中宋" w:eastAsia="方正小标宋_GBK"/>
          <w:spacing w:val="-10"/>
          <w:sz w:val="44"/>
          <w:szCs w:val="44"/>
        </w:rPr>
      </w:pPr>
      <w:r>
        <w:rPr>
          <w:rFonts w:hint="eastAsia" w:ascii="方正小标宋_GBK" w:hAnsi="华文中宋" w:eastAsia="方正小标宋_GBK"/>
          <w:spacing w:val="-10"/>
          <w:sz w:val="44"/>
          <w:szCs w:val="44"/>
        </w:rPr>
        <w:t>新建项目（固体废</w:t>
      </w:r>
      <w:bookmarkStart w:id="1" w:name="_GoBack"/>
      <w:bookmarkEnd w:id="1"/>
      <w:r>
        <w:rPr>
          <w:rFonts w:hint="eastAsia" w:ascii="方正小标宋_GBK" w:hAnsi="华文中宋" w:eastAsia="方正小标宋_GBK"/>
          <w:spacing w:val="-10"/>
          <w:sz w:val="44"/>
          <w:szCs w:val="44"/>
        </w:rPr>
        <w:t>物污染防治设施）</w:t>
      </w:r>
    </w:p>
    <w:p>
      <w:pPr>
        <w:spacing w:line="600" w:lineRule="exact"/>
        <w:ind w:left="0" w:leftChars="0" w:right="0" w:rightChars="0" w:firstLine="0" w:firstLineChars="0"/>
        <w:jc w:val="center"/>
        <w:rPr>
          <w:rFonts w:ascii="方正小标宋_GBK" w:hAnsi="华文中宋" w:eastAsia="方正小标宋_GBK"/>
          <w:spacing w:val="-10"/>
          <w:sz w:val="44"/>
          <w:szCs w:val="44"/>
        </w:rPr>
      </w:pPr>
      <w:r>
        <w:rPr>
          <w:rFonts w:hint="eastAsia" w:ascii="方正小标宋_GBK" w:hAnsi="华文中宋" w:eastAsia="方正小标宋_GBK"/>
          <w:spacing w:val="-10"/>
          <w:sz w:val="44"/>
          <w:szCs w:val="44"/>
        </w:rPr>
        <w:t>竣工环境保护验收的函</w:t>
      </w:r>
    </w:p>
    <w:p>
      <w:pPr>
        <w:spacing w:line="600" w:lineRule="exact"/>
        <w:ind w:left="424" w:leftChars="202" w:right="422" w:rightChars="201"/>
        <w:rPr>
          <w:rFonts w:ascii="仿宋_GB2312" w:eastAsia="仿宋_GB2312"/>
          <w:sz w:val="32"/>
          <w:szCs w:val="32"/>
        </w:rPr>
      </w:pPr>
    </w:p>
    <w:p>
      <w:pPr>
        <w:spacing w:line="560" w:lineRule="exact"/>
        <w:ind w:right="422" w:rightChars="201"/>
        <w:rPr>
          <w:rFonts w:ascii="仿宋_GB2312" w:eastAsia="仿宋_GB2312"/>
          <w:sz w:val="32"/>
          <w:szCs w:val="32"/>
        </w:rPr>
      </w:pPr>
      <w:r>
        <w:rPr>
          <w:rFonts w:hint="eastAsia" w:ascii="仿宋_GB2312" w:eastAsia="仿宋_GB2312"/>
          <w:sz w:val="32"/>
          <w:szCs w:val="32"/>
        </w:rPr>
        <w:t>江门市炬丰科技有限公司：</w:t>
      </w:r>
    </w:p>
    <w:p>
      <w:pPr>
        <w:wordWrap w:val="0"/>
        <w:spacing w:line="560" w:lineRule="exact"/>
        <w:ind w:right="422" w:rightChars="201" w:firstLine="624" w:firstLineChars="200"/>
        <w:rPr>
          <w:rFonts w:ascii="仿宋_GB2312" w:hAnsi="华文中宋" w:eastAsia="仿宋_GB2312"/>
          <w:spacing w:val="-4"/>
          <w:sz w:val="32"/>
          <w:szCs w:val="32"/>
        </w:rPr>
      </w:pPr>
      <w:r>
        <w:rPr>
          <w:rFonts w:hint="eastAsia" w:ascii="仿宋_GB2312" w:hAnsi="华文中宋" w:eastAsia="仿宋_GB2312"/>
          <w:spacing w:val="-4"/>
          <w:sz w:val="32"/>
          <w:szCs w:val="32"/>
        </w:rPr>
        <w:t>你公司年产亚克力板材500吨新建项目（固体废物污染防治设施）竣工环境保护验收申请等有关资料收悉。我局组织对该项目（固体废物污染防治设施）进行了竣工环境保护现场检查，并将该项目环境保护执行</w:t>
      </w:r>
      <w:r>
        <w:rPr>
          <w:rFonts w:hint="eastAsia" w:ascii="仿宋_GB2312" w:hAnsi="华文中宋" w:eastAsia="仿宋_GB2312"/>
          <w:spacing w:val="-6"/>
          <w:sz w:val="32"/>
          <w:szCs w:val="32"/>
        </w:rPr>
        <w:t>情况在江门市生态环境局蓬江分局工作动态</w:t>
      </w:r>
      <w:r>
        <w:rPr>
          <w:rFonts w:hint="eastAsia" w:ascii="仿宋_GB2312" w:hAnsi="华文中宋" w:eastAsia="仿宋_GB2312"/>
          <w:spacing w:val="-4"/>
          <w:sz w:val="32"/>
          <w:szCs w:val="32"/>
        </w:rPr>
        <w:t>（</w:t>
      </w:r>
      <w:r>
        <w:rPr>
          <w:rFonts w:ascii="仿宋_GB2312" w:eastAsia="仿宋_GB2312"/>
          <w:spacing w:val="-4"/>
          <w:sz w:val="32"/>
          <w:szCs w:val="32"/>
        </w:rPr>
        <w:t>http://www.jiangmen.gov.cn/bmpd/jmssthjj/pcfj/pjfj/gzdt/index.html</w:t>
      </w:r>
      <w:r>
        <w:rPr>
          <w:rFonts w:hint="eastAsia" w:ascii="仿宋_GB2312" w:hAnsi="华文中宋" w:eastAsia="仿宋_GB2312"/>
          <w:spacing w:val="-4"/>
          <w:sz w:val="32"/>
          <w:szCs w:val="32"/>
        </w:rPr>
        <w:t>）进行了公示。公示期间没有收到群众投诉和反对意见。经研究，现提出验收意见如下：</w:t>
      </w:r>
    </w:p>
    <w:p>
      <w:pPr>
        <w:spacing w:line="560" w:lineRule="exact"/>
        <w:ind w:right="422" w:rightChars="201" w:firstLine="640" w:firstLineChars="200"/>
        <w:rPr>
          <w:rFonts w:ascii="黑体" w:hAnsi="黑体" w:eastAsia="黑体"/>
          <w:color w:val="000000"/>
          <w:sz w:val="32"/>
          <w:szCs w:val="32"/>
        </w:rPr>
      </w:pPr>
      <w:r>
        <w:rPr>
          <w:rFonts w:hint="eastAsia" w:ascii="黑体" w:hAnsi="黑体" w:eastAsia="黑体"/>
          <w:color w:val="000000"/>
          <w:sz w:val="32"/>
          <w:szCs w:val="32"/>
        </w:rPr>
        <w:t>一、项目基本情况</w:t>
      </w:r>
    </w:p>
    <w:p>
      <w:pPr>
        <w:spacing w:line="560" w:lineRule="exact"/>
        <w:ind w:right="422" w:rightChars="201" w:firstLine="640" w:firstLineChars="200"/>
        <w:rPr>
          <w:rFonts w:ascii="仿宋_GB2312" w:eastAsia="仿宋_GB2312"/>
          <w:sz w:val="32"/>
          <w:szCs w:val="32"/>
        </w:rPr>
      </w:pPr>
      <w:r>
        <w:rPr>
          <w:rFonts w:hint="eastAsia" w:ascii="仿宋_GB2312" w:eastAsia="仿宋_GB2312"/>
          <w:sz w:val="32"/>
          <w:szCs w:val="32"/>
        </w:rPr>
        <w:t>江门市炬丰科技有限公司位于江门市蓬江区荷塘镇康溪上围工业区自编C区6号、7号、8号的厂房，项目占地面积3600平方米。主要从事高性能膜材料、塑料制品、灯饰及配件的生产项目。现场设有挤出机设备2台、自动切割机2台、上料机2台、破碎机2台、冷却塔1个。生产工艺流程：原料塑料粒+色母粒→上料→混料→热熔挤出→冷却定型→切割→检验→成品。</w:t>
      </w:r>
    </w:p>
    <w:p>
      <w:pPr>
        <w:adjustRightInd w:val="0"/>
        <w:snapToGrid w:val="0"/>
        <w:spacing w:line="560" w:lineRule="exact"/>
        <w:ind w:right="422" w:rightChars="201" w:firstLine="640" w:firstLineChars="200"/>
        <w:rPr>
          <w:rFonts w:ascii="黑体" w:hAnsi="黑体" w:eastAsia="黑体"/>
          <w:color w:val="000000"/>
          <w:sz w:val="32"/>
          <w:szCs w:val="32"/>
        </w:rPr>
      </w:pPr>
      <w:r>
        <w:rPr>
          <w:rFonts w:hint="eastAsia" w:ascii="黑体" w:hAnsi="黑体" w:eastAsia="黑体"/>
          <w:color w:val="000000"/>
          <w:sz w:val="32"/>
          <w:szCs w:val="32"/>
        </w:rPr>
        <w:t>二、环境保护执行情况</w:t>
      </w:r>
    </w:p>
    <w:p>
      <w:pPr>
        <w:adjustRightInd w:val="0"/>
        <w:snapToGrid w:val="0"/>
        <w:spacing w:line="560" w:lineRule="exact"/>
        <w:ind w:right="422" w:rightChars="201" w:firstLine="640" w:firstLineChars="20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该项目执行了环境影响评价制度。建设单位于2019年8月编制《江门市炬丰科技有限公司年产亚克力板材500吨新建项目环境影响报告表》，并于2019年12月10日取得江门市生态环境局（江蓬环审〔2019〕252号）批复。</w:t>
      </w:r>
    </w:p>
    <w:p>
      <w:pPr>
        <w:adjustRightInd w:val="0"/>
        <w:snapToGrid w:val="0"/>
        <w:spacing w:line="560" w:lineRule="exact"/>
        <w:ind w:right="422" w:rightChars="201" w:firstLine="640" w:firstLineChars="20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该项目产生的一般工业固体废物为废包装材料，交环卫部门清运处理。</w:t>
      </w:r>
    </w:p>
    <w:p>
      <w:pPr>
        <w:adjustRightInd w:val="0"/>
        <w:snapToGrid w:val="0"/>
        <w:spacing w:line="560" w:lineRule="exact"/>
        <w:ind w:right="422" w:rightChars="201" w:firstLine="640" w:firstLineChars="20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生活垃圾交环卫部门统一清运并进行安全卫生处置。</w:t>
      </w:r>
    </w:p>
    <w:p>
      <w:pPr>
        <w:adjustRightInd w:val="0"/>
        <w:snapToGrid w:val="0"/>
        <w:spacing w:line="560" w:lineRule="exact"/>
        <w:ind w:right="422" w:rightChars="201" w:firstLine="640" w:firstLineChars="200"/>
        <w:rPr>
          <w:rFonts w:ascii="仿宋_GB2312" w:eastAsia="仿宋_GB2312"/>
          <w:color w:val="000000"/>
          <w:sz w:val="32"/>
          <w:szCs w:val="32"/>
        </w:rPr>
      </w:pPr>
      <w:r>
        <w:rPr>
          <w:rFonts w:hint="eastAsia" w:ascii="仿宋_GB2312" w:hAnsi="仿宋" w:eastAsia="仿宋_GB2312" w:cs="仿宋_GB2312"/>
          <w:color w:val="000000"/>
          <w:sz w:val="32"/>
          <w:szCs w:val="32"/>
        </w:rPr>
        <w:t>该项目产生的废活性炭和废矿物油属于危险废物，交由具有危险废物处理资质的单位统一处理，并签订危废处理协议</w:t>
      </w:r>
      <w:r>
        <w:rPr>
          <w:rFonts w:hint="eastAsia" w:ascii="仿宋_GB2312" w:eastAsia="仿宋_GB2312"/>
          <w:color w:val="000000"/>
          <w:sz w:val="32"/>
          <w:szCs w:val="32"/>
        </w:rPr>
        <w:t>。</w:t>
      </w:r>
    </w:p>
    <w:p>
      <w:pPr>
        <w:pStyle w:val="2"/>
        <w:adjustRightInd w:val="0"/>
        <w:snapToGrid w:val="0"/>
        <w:spacing w:line="560" w:lineRule="exact"/>
        <w:ind w:left="0" w:leftChars="0" w:right="422" w:rightChars="201" w:firstLine="640" w:firstLineChars="200"/>
        <w:jc w:val="both"/>
        <w:rPr>
          <w:rFonts w:ascii="黑体" w:hAnsi="黑体" w:eastAsia="黑体"/>
          <w:color w:val="000000"/>
          <w:szCs w:val="32"/>
        </w:rPr>
      </w:pPr>
      <w:r>
        <w:rPr>
          <w:rFonts w:hint="eastAsia" w:ascii="黑体" w:hAnsi="黑体" w:eastAsia="黑体"/>
          <w:color w:val="000000"/>
          <w:szCs w:val="32"/>
        </w:rPr>
        <w:t>三、验收结论</w:t>
      </w:r>
    </w:p>
    <w:p>
      <w:pPr>
        <w:spacing w:line="560" w:lineRule="exact"/>
        <w:ind w:right="422" w:rightChars="201" w:firstLine="640" w:firstLineChars="200"/>
        <w:rPr>
          <w:rFonts w:ascii="仿宋_GB2312" w:eastAsia="仿宋_GB2312"/>
          <w:sz w:val="32"/>
          <w:szCs w:val="32"/>
        </w:rPr>
      </w:pPr>
      <w:r>
        <w:rPr>
          <w:rFonts w:hint="eastAsia" w:ascii="仿宋_GB2312" w:eastAsia="仿宋_GB2312"/>
          <w:color w:val="000000"/>
          <w:sz w:val="32"/>
          <w:szCs w:val="32"/>
        </w:rPr>
        <w:t>该项目基本落实了环评报告表及其批复文件提出的固体废物污染防治措施和要求，符合《建设项目竣工环境保护验收管理办法》中第十六条竣工环境保护验收条件，根据《建设项目竣工环境保护验收管理办法》中第十七条第一款，我局同意你公司</w:t>
      </w:r>
      <w:r>
        <w:rPr>
          <w:rFonts w:hint="eastAsia" w:ascii="仿宋_GB2312" w:eastAsia="仿宋_GB2312"/>
          <w:sz w:val="32"/>
          <w:szCs w:val="32"/>
        </w:rPr>
        <w:t>年产亚克力板材500吨新建</w:t>
      </w:r>
      <w:r>
        <w:rPr>
          <w:rFonts w:hint="eastAsia" w:ascii="仿宋_GB2312" w:eastAsia="仿宋_GB2312"/>
          <w:color w:val="000000"/>
          <w:sz w:val="32"/>
          <w:szCs w:val="32"/>
        </w:rPr>
        <w:t>项目固体废物污染防治设施通过竣工环境保护验收。</w:t>
      </w:r>
    </w:p>
    <w:p>
      <w:pPr>
        <w:adjustRightInd w:val="0"/>
        <w:snapToGrid w:val="0"/>
        <w:spacing w:line="560" w:lineRule="exact"/>
        <w:ind w:right="422" w:rightChars="201" w:firstLine="640" w:firstLineChars="200"/>
        <w:rPr>
          <w:rFonts w:ascii="黑体" w:hAnsi="黑体" w:eastAsia="黑体"/>
          <w:bCs/>
          <w:color w:val="000000"/>
          <w:sz w:val="32"/>
          <w:szCs w:val="32"/>
        </w:rPr>
      </w:pPr>
      <w:r>
        <w:rPr>
          <w:rFonts w:hint="eastAsia" w:ascii="黑体" w:hAnsi="黑体" w:eastAsia="黑体"/>
          <w:color w:val="000000"/>
          <w:sz w:val="32"/>
          <w:szCs w:val="32"/>
        </w:rPr>
        <w:t>四、项目投运后应做好以下工作：</w:t>
      </w:r>
    </w:p>
    <w:p>
      <w:pPr>
        <w:spacing w:line="560" w:lineRule="exact"/>
        <w:ind w:right="422" w:rightChars="201"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（一）加强环境保护管理及环保设施运维管理，确保各项环保设施处于良好的运行状态，污染物长期稳定达标排放。</w:t>
      </w:r>
    </w:p>
    <w:p>
      <w:pPr>
        <w:spacing w:line="560" w:lineRule="exact"/>
        <w:ind w:right="422" w:rightChars="201"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（二）加强固体废物管理，产生的固体废物须按照有关环保规定进行处理处置，进一步完善环境安全管理体系。</w:t>
      </w:r>
    </w:p>
    <w:p>
      <w:pPr>
        <w:spacing w:line="560" w:lineRule="exact"/>
        <w:ind w:right="422" w:rightChars="201" w:firstLine="640" w:firstLineChars="200"/>
        <w:rPr>
          <w:rFonts w:ascii="仿宋_GB2312" w:hAnsi="华文中宋" w:eastAsia="仿宋_GB2312"/>
          <w:sz w:val="32"/>
          <w:szCs w:val="32"/>
        </w:rPr>
      </w:pPr>
      <w:r>
        <w:rPr>
          <w:rFonts w:hint="eastAsia" w:ascii="仿宋_GB2312" w:hAnsi="华文中宋" w:eastAsia="仿宋_GB2312"/>
          <w:sz w:val="32"/>
          <w:szCs w:val="32"/>
        </w:rPr>
        <w:t>（三）加强危险废物的管理，危险废物必须交由有资质的单位进行处理处置，并严格执行危险废物转移联单制度。</w:t>
      </w:r>
    </w:p>
    <w:p>
      <w:pPr>
        <w:spacing w:line="560" w:lineRule="exact"/>
        <w:ind w:left="424" w:leftChars="202" w:right="422" w:rightChars="201"/>
        <w:rPr>
          <w:rFonts w:ascii="仿宋_GB2312" w:hAnsi="仿宋_GB2312" w:eastAsia="仿宋_GB2312" w:cs="仿宋_GB2312"/>
          <w:color w:val="000000"/>
          <w:sz w:val="32"/>
          <w:szCs w:val="32"/>
        </w:rPr>
      </w:pPr>
    </w:p>
    <w:p>
      <w:pPr>
        <w:spacing w:line="560" w:lineRule="exact"/>
        <w:ind w:left="424" w:leftChars="202" w:right="422" w:rightChars="201"/>
        <w:rPr>
          <w:rFonts w:ascii="仿宋_GB2312" w:hAnsi="华文中宋" w:eastAsia="仿宋_GB2312"/>
          <w:sz w:val="32"/>
          <w:szCs w:val="32"/>
        </w:rPr>
      </w:pPr>
    </w:p>
    <w:p>
      <w:pPr>
        <w:spacing w:line="560" w:lineRule="exact"/>
        <w:ind w:left="424" w:leftChars="202" w:right="422" w:rightChars="201" w:firstLine="454"/>
        <w:jc w:val="center"/>
        <w:rPr>
          <w:rFonts w:ascii="仿宋_GB2312" w:hAnsi="华文中宋" w:eastAsia="仿宋_GB2312"/>
          <w:sz w:val="32"/>
          <w:szCs w:val="32"/>
        </w:rPr>
      </w:pPr>
      <w:r>
        <w:rPr>
          <w:rFonts w:hint="eastAsia" w:ascii="仿宋_GB2312" w:hAnsi="华文中宋" w:eastAsia="仿宋_GB2312"/>
          <w:sz w:val="32"/>
          <w:szCs w:val="32"/>
        </w:rPr>
        <w:t xml:space="preserve">                             江门市生态环境局</w:t>
      </w:r>
    </w:p>
    <w:p>
      <w:pPr>
        <w:spacing w:line="560" w:lineRule="exact"/>
        <w:ind w:left="424" w:leftChars="202" w:right="422" w:rightChars="201" w:firstLine="454"/>
        <w:jc w:val="center"/>
        <w:rPr>
          <w:rFonts w:ascii="仿宋_GB2312" w:hAnsi="仿宋_GB2312" w:eastAsia="仿宋_GB2312" w:cs="仿宋_GB2312"/>
          <w:sz w:val="32"/>
          <w:szCs w:val="32"/>
        </w:rPr>
      </w:pPr>
      <w:r>
        <w:rPr>
          <w:rFonts w:hint="eastAsia"/>
        </w:rPr>
        <w:t xml:space="preserve">            </w:t>
      </w:r>
      <w:r>
        <w:rPr>
          <w:rFonts w:hint="eastAsia" w:ascii="仿宋_GB2312" w:hAnsi="华文中宋" w:eastAsia="仿宋_GB2312"/>
          <w:sz w:val="32"/>
          <w:szCs w:val="32"/>
        </w:rPr>
        <w:t xml:space="preserve">                     </w:t>
      </w:r>
      <w:r>
        <w:rPr>
          <w:rFonts w:ascii="仿宋_GB2312" w:eastAsia="仿宋_GB2312"/>
          <w:sz w:val="32"/>
          <w:szCs w:val="32"/>
        </w:rPr>
        <w:t>2020</w:t>
      </w:r>
      <w:r>
        <w:rPr>
          <w:rFonts w:hint="eastAsia" w:ascii="仿宋_GB2312" w:hAnsi="华文中宋" w:eastAsia="仿宋_GB2312"/>
          <w:sz w:val="32"/>
          <w:szCs w:val="32"/>
        </w:rPr>
        <w:t>年</w:t>
      </w:r>
      <w:r>
        <w:rPr>
          <w:rFonts w:ascii="仿宋_GB2312" w:eastAsia="仿宋_GB2312"/>
          <w:sz w:val="32"/>
          <w:szCs w:val="32"/>
        </w:rPr>
        <w:t>8</w:t>
      </w:r>
      <w:r>
        <w:rPr>
          <w:rFonts w:hint="eastAsia" w:ascii="仿宋_GB2312" w:hAnsi="华文中宋" w:eastAsia="仿宋_GB2312"/>
          <w:sz w:val="32"/>
          <w:szCs w:val="32"/>
        </w:rPr>
        <w:t>月</w:t>
      </w:r>
      <w:r>
        <w:rPr>
          <w:rFonts w:hint="eastAsia" w:ascii="仿宋_GB2312" w:eastAsia="仿宋_GB2312"/>
          <w:sz w:val="32"/>
          <w:szCs w:val="32"/>
          <w:lang w:val="en-US" w:eastAsia="zh-CN"/>
        </w:rPr>
        <w:t>21</w:t>
      </w:r>
      <w:r>
        <w:rPr>
          <w:rFonts w:hint="eastAsia" w:ascii="仿宋_GB2312" w:hAnsi="华文中宋" w:eastAsia="仿宋_GB2312"/>
          <w:sz w:val="32"/>
          <w:szCs w:val="32"/>
        </w:rPr>
        <w:t>日</w:t>
      </w:r>
    </w:p>
    <w:sectPr>
      <w:footerReference r:id="rId3" w:type="default"/>
      <w:pgSz w:w="11906" w:h="16838"/>
      <w:pgMar w:top="1928" w:right="1531" w:bottom="2041" w:left="1531"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otum">
    <w:panose1 w:val="020B0600000101010101"/>
    <w:charset w:val="81"/>
    <w:family w:val="swiss"/>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285750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仿宋_GB2312" w:hAnsi="仿宋_GB2312" w:eastAsia="仿宋_GB2312" w:cs="仿宋_GB2312"/>
                              <w:sz w:val="28"/>
                              <w:szCs w:val="32"/>
                              <w:lang w:eastAsia="zh-CN"/>
                            </w:rPr>
                            <w:fldChar w:fldCharType="begin"/>
                          </w:r>
                          <w:r>
                            <w:rPr>
                              <w:rFonts w:hint="eastAsia" w:ascii="仿宋_GB2312" w:hAnsi="仿宋_GB2312" w:eastAsia="仿宋_GB2312" w:cs="仿宋_GB2312"/>
                              <w:sz w:val="28"/>
                              <w:szCs w:val="32"/>
                              <w:lang w:eastAsia="zh-CN"/>
                            </w:rPr>
                            <w:instrText xml:space="preserve"> PAGE  \* MERGEFORMAT </w:instrText>
                          </w:r>
                          <w:r>
                            <w:rPr>
                              <w:rFonts w:hint="eastAsia" w:ascii="仿宋_GB2312" w:hAnsi="仿宋_GB2312" w:eastAsia="仿宋_GB2312" w:cs="仿宋_GB2312"/>
                              <w:sz w:val="28"/>
                              <w:szCs w:val="32"/>
                              <w:lang w:eastAsia="zh-CN"/>
                            </w:rPr>
                            <w:fldChar w:fldCharType="separate"/>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251658240;mso-width-relative:page;mso-height-relative:page;" filled="f" stroked="f" coordsize="21600,21600" o:gfxdata="UEsDBAoAAAAAAIdO4kAAAAAAAAAAAAAAAAAEAAAAZHJzL1BLAwQUAAAACACHTuJA0MxDJ9cAAAAL&#10;AQAADwAAAGRycy9kb3ducmV2LnhtbE2Py07DMBBF90j8gzVI7KhtHFAV4lSiIiyRaLpg6cZDktaP&#10;yHbT8Pe4K1jOzNGdc6vNYg2ZMcTROwl8xYCg67weXS9h3zYPayAxKaeV8Q4l/GCETX17U6lS+4v7&#10;xHmXepJDXCyVhCGlqaQ0dgNaFVd+Qpdv3z5YlfIYeqqDuuRwa+gjY8/UqtHlD4OacDtgd9qdrYRt&#10;07ZhxhjMF7434vjxWuDbIuX9HWcvQBIu6Q+Gq35Whzo7HfzZ6UiMhDUXRUYlFE+50xXgjOfNQYIQ&#10;ggGtK/q/Q/0LUEsDBBQAAAAIAIdO4kDzzfY5wQIAANYFAAAOAAAAZHJzL2Uyb0RvYy54bWytVM1u&#10;1DAQviPxDpbvaX6abrOrZqvtpkFIFa1UEGev42wiHNuyvT8FcYU34MSFO8/V52DsbHbbghACcnDG&#10;nvH8fDP+zs63HUdrpk0rRY7jowgjJqisWrHM8ZvXZZBhZCwRFeFSsBzfMYPPp8+fnW3UhCWykbxi&#10;GoETYSYblePGWjUJQ0Mb1hFzJBUToKyl7oiFrV6GlSYb8N7xMImiUbiRulJaUmYMnBa9Ek+9/7pm&#10;1F7XtWEW8RxDbtav2q8Lt4bTMzJZaqKalu7SIH+RRUdaAUH3rgpiCVrp9idXXUu1NLK2R1R2oazr&#10;ljJfA1QTR0+quW2IYr4WAMeoPUzm/7mlr9Y3GrVVjhOMBOmgRfdfPt9//X7/7RNKHDwbZSZgdavA&#10;zm4v5BbaPJwbOHRVb2vduT/Ug0APQN/twWVbi6i7lCVZFoGKgm7YgP/wcF1pY18w2SEn5FhD9zyo&#10;ZH1lbG86mLhoQpYt576DXKBNjkfHJ5G/sNeAcy6cLWQBPnZS35kP42h8mV1maZAmo8sgjYoimJXz&#10;NBiV8elJcVzM50X80fmL00nTVhUTLt4wJXH6Z13YzWvf3/2cGMnbyrlzKRm9XMy5RmsCU1r6zyEM&#10;yT8wCx+n4dVQ1ZOS4iSNLpJxUI6y0yAt05NgfBplQRSPL8ajKB2nRfm4pKtWsH8v6RH6D5ImE9ew&#10;fW0LTui735bm0jmUBggMjQvdHPbz5iS7XWwBIicuZHUHs6ll/7iNomULQa+IsTdEw2uGmQOGstew&#10;1FzCnMidhFEj9ftfnTt7aC9oMdoAO+RYAH1hxF8KeHyOSAZBD8JiEMSqm0toZAzMp6gX4YK2fBBr&#10;Lbu3QFszFwNURFCIlGM7iHPbMxTQHmWzmTdaKd0um/4CUIci9krcKurC+BFSs5WF9+CfyQEVgNJt&#10;gDw8qDuic+z0cO+tDnQ8/Q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DQzEMn1wAAAAsBAAAPAAAA&#10;AAAAAAEAIAAAACIAAABkcnMvZG93bnJldi54bWxQSwECFAAUAAAACACHTuJA8832OcECAADWBQAA&#10;DgAAAAAAAAABACAAAAAmAQAAZHJzL2Uyb0RvYy54bWxQSwUGAAAAAAYABgBZAQAAWQ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32"/>
                        <w:lang w:eastAsia="zh-CN"/>
                      </w:rPr>
                      <w:fldChar w:fldCharType="begin"/>
                    </w:r>
                    <w:r>
                      <w:rPr>
                        <w:rFonts w:hint="eastAsia" w:ascii="仿宋_GB2312" w:hAnsi="仿宋_GB2312" w:eastAsia="仿宋_GB2312" w:cs="仿宋_GB2312"/>
                        <w:sz w:val="28"/>
                        <w:szCs w:val="32"/>
                        <w:lang w:eastAsia="zh-CN"/>
                      </w:rPr>
                      <w:instrText xml:space="preserve"> PAGE  \* MERGEFORMAT </w:instrText>
                    </w:r>
                    <w:r>
                      <w:rPr>
                        <w:rFonts w:hint="eastAsia" w:ascii="仿宋_GB2312" w:hAnsi="仿宋_GB2312" w:eastAsia="仿宋_GB2312" w:cs="仿宋_GB2312"/>
                        <w:sz w:val="28"/>
                        <w:szCs w:val="32"/>
                        <w:lang w:eastAsia="zh-CN"/>
                      </w:rPr>
                      <w:fldChar w:fldCharType="separate"/>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27"/>
    <w:rsid w:val="000102F9"/>
    <w:rsid w:val="00010C91"/>
    <w:rsid w:val="00027977"/>
    <w:rsid w:val="00042778"/>
    <w:rsid w:val="000557F0"/>
    <w:rsid w:val="000623AF"/>
    <w:rsid w:val="000756BC"/>
    <w:rsid w:val="000845BE"/>
    <w:rsid w:val="00086811"/>
    <w:rsid w:val="000F6008"/>
    <w:rsid w:val="00102362"/>
    <w:rsid w:val="00102881"/>
    <w:rsid w:val="0013225C"/>
    <w:rsid w:val="00163BAD"/>
    <w:rsid w:val="001B7A32"/>
    <w:rsid w:val="001E1B66"/>
    <w:rsid w:val="001E1F03"/>
    <w:rsid w:val="00202227"/>
    <w:rsid w:val="00210578"/>
    <w:rsid w:val="002118B5"/>
    <w:rsid w:val="00216549"/>
    <w:rsid w:val="0022153E"/>
    <w:rsid w:val="00221D70"/>
    <w:rsid w:val="002365DB"/>
    <w:rsid w:val="00291B2D"/>
    <w:rsid w:val="00292F00"/>
    <w:rsid w:val="002A221E"/>
    <w:rsid w:val="002B0470"/>
    <w:rsid w:val="002B7ED3"/>
    <w:rsid w:val="002C240E"/>
    <w:rsid w:val="002D09BD"/>
    <w:rsid w:val="002D248F"/>
    <w:rsid w:val="0031274A"/>
    <w:rsid w:val="00340F1F"/>
    <w:rsid w:val="00350FCB"/>
    <w:rsid w:val="00355CA7"/>
    <w:rsid w:val="00375146"/>
    <w:rsid w:val="003837D6"/>
    <w:rsid w:val="00383F59"/>
    <w:rsid w:val="003A4688"/>
    <w:rsid w:val="003C49B4"/>
    <w:rsid w:val="003D0DF9"/>
    <w:rsid w:val="003D7A2C"/>
    <w:rsid w:val="003E015D"/>
    <w:rsid w:val="003E2943"/>
    <w:rsid w:val="003F797B"/>
    <w:rsid w:val="00405F0E"/>
    <w:rsid w:val="00435B2D"/>
    <w:rsid w:val="00447ABF"/>
    <w:rsid w:val="00454958"/>
    <w:rsid w:val="004567C4"/>
    <w:rsid w:val="00472326"/>
    <w:rsid w:val="00486BF1"/>
    <w:rsid w:val="004A07E4"/>
    <w:rsid w:val="004C3703"/>
    <w:rsid w:val="004D7F85"/>
    <w:rsid w:val="00503CD5"/>
    <w:rsid w:val="005127E4"/>
    <w:rsid w:val="00540EF4"/>
    <w:rsid w:val="0058037B"/>
    <w:rsid w:val="00590B61"/>
    <w:rsid w:val="005A150C"/>
    <w:rsid w:val="005A2D32"/>
    <w:rsid w:val="005A6BBC"/>
    <w:rsid w:val="005E15A3"/>
    <w:rsid w:val="006140E5"/>
    <w:rsid w:val="006325C1"/>
    <w:rsid w:val="00673D25"/>
    <w:rsid w:val="006854E5"/>
    <w:rsid w:val="00685628"/>
    <w:rsid w:val="00697CBA"/>
    <w:rsid w:val="006E1A8A"/>
    <w:rsid w:val="006F42BD"/>
    <w:rsid w:val="00723A3F"/>
    <w:rsid w:val="00744A6C"/>
    <w:rsid w:val="00746850"/>
    <w:rsid w:val="007640E8"/>
    <w:rsid w:val="00772BC8"/>
    <w:rsid w:val="008330BA"/>
    <w:rsid w:val="00875A92"/>
    <w:rsid w:val="008A69C4"/>
    <w:rsid w:val="008B06E5"/>
    <w:rsid w:val="008B528A"/>
    <w:rsid w:val="008B6CA1"/>
    <w:rsid w:val="008E1813"/>
    <w:rsid w:val="008E594E"/>
    <w:rsid w:val="008F3CB6"/>
    <w:rsid w:val="00906C19"/>
    <w:rsid w:val="00922096"/>
    <w:rsid w:val="00940DAE"/>
    <w:rsid w:val="0094652D"/>
    <w:rsid w:val="00970585"/>
    <w:rsid w:val="00990AB8"/>
    <w:rsid w:val="00996715"/>
    <w:rsid w:val="009B41A6"/>
    <w:rsid w:val="009D0908"/>
    <w:rsid w:val="009F0786"/>
    <w:rsid w:val="009F5FC7"/>
    <w:rsid w:val="00A11DFA"/>
    <w:rsid w:val="00A13E06"/>
    <w:rsid w:val="00A1552B"/>
    <w:rsid w:val="00A173A5"/>
    <w:rsid w:val="00A175D9"/>
    <w:rsid w:val="00A41D84"/>
    <w:rsid w:val="00A521C8"/>
    <w:rsid w:val="00A6131A"/>
    <w:rsid w:val="00AB2000"/>
    <w:rsid w:val="00AC339C"/>
    <w:rsid w:val="00AD27AD"/>
    <w:rsid w:val="00B0710D"/>
    <w:rsid w:val="00B416F0"/>
    <w:rsid w:val="00B43E9E"/>
    <w:rsid w:val="00B61DB7"/>
    <w:rsid w:val="00B82EB1"/>
    <w:rsid w:val="00B878FF"/>
    <w:rsid w:val="00B91B71"/>
    <w:rsid w:val="00BA5B2A"/>
    <w:rsid w:val="00BB2804"/>
    <w:rsid w:val="00BD1F6B"/>
    <w:rsid w:val="00BE28C4"/>
    <w:rsid w:val="00BE7454"/>
    <w:rsid w:val="00C32DB2"/>
    <w:rsid w:val="00C35FE8"/>
    <w:rsid w:val="00C62A56"/>
    <w:rsid w:val="00C67EAB"/>
    <w:rsid w:val="00C95936"/>
    <w:rsid w:val="00CC2065"/>
    <w:rsid w:val="00CC7275"/>
    <w:rsid w:val="00CF013B"/>
    <w:rsid w:val="00CF5E33"/>
    <w:rsid w:val="00D4046D"/>
    <w:rsid w:val="00D446B8"/>
    <w:rsid w:val="00D550C0"/>
    <w:rsid w:val="00DA4886"/>
    <w:rsid w:val="00DC0AFC"/>
    <w:rsid w:val="00DC38FD"/>
    <w:rsid w:val="00E0778A"/>
    <w:rsid w:val="00E1698A"/>
    <w:rsid w:val="00E21C8C"/>
    <w:rsid w:val="00E238C3"/>
    <w:rsid w:val="00E24E8B"/>
    <w:rsid w:val="00E46D14"/>
    <w:rsid w:val="00E507F2"/>
    <w:rsid w:val="00E534C8"/>
    <w:rsid w:val="00E55C75"/>
    <w:rsid w:val="00E56DDB"/>
    <w:rsid w:val="00E66A79"/>
    <w:rsid w:val="00E670CA"/>
    <w:rsid w:val="00E979B2"/>
    <w:rsid w:val="00EC740E"/>
    <w:rsid w:val="00ED3C6A"/>
    <w:rsid w:val="00EE1F46"/>
    <w:rsid w:val="00EE58E7"/>
    <w:rsid w:val="00EE795F"/>
    <w:rsid w:val="00EF7BE2"/>
    <w:rsid w:val="00EF7E17"/>
    <w:rsid w:val="00F110C1"/>
    <w:rsid w:val="00F162DB"/>
    <w:rsid w:val="00F63E18"/>
    <w:rsid w:val="00F953B0"/>
    <w:rsid w:val="00FA5BC3"/>
    <w:rsid w:val="00FC2759"/>
    <w:rsid w:val="00FE1A36"/>
    <w:rsid w:val="00FF0A18"/>
    <w:rsid w:val="00FF1120"/>
    <w:rsid w:val="0C21499F"/>
    <w:rsid w:val="206844B9"/>
    <w:rsid w:val="21770BB5"/>
    <w:rsid w:val="229C39FC"/>
    <w:rsid w:val="29E64E0A"/>
    <w:rsid w:val="40067AC8"/>
    <w:rsid w:val="41FF1A6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ody Text Indent"/>
    <w:basedOn w:val="1"/>
    <w:link w:val="10"/>
    <w:qFormat/>
    <w:uiPriority w:val="0"/>
    <w:pPr>
      <w:ind w:firstLine="640" w:firstLineChars="200"/>
      <w:jc w:val="left"/>
    </w:pPr>
    <w:rPr>
      <w:rFonts w:ascii="仿宋_GB2312" w:eastAsia="仿宋_GB2312"/>
      <w:sz w:val="32"/>
      <w:szCs w:val="24"/>
    </w:rPr>
  </w:style>
  <w:style w:type="paragraph" w:styleId="3">
    <w:name w:val="Balloon Text"/>
    <w:basedOn w:val="1"/>
    <w:link w:val="14"/>
    <w:uiPriority w:val="0"/>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0">
    <w:name w:val="正文文本缩进 Char"/>
    <w:link w:val="2"/>
    <w:uiPriority w:val="0"/>
    <w:rPr>
      <w:rFonts w:ascii="仿宋_GB2312" w:eastAsia="仿宋_GB2312"/>
      <w:kern w:val="2"/>
      <w:sz w:val="32"/>
      <w:szCs w:val="24"/>
    </w:rPr>
  </w:style>
  <w:style w:type="character" w:customStyle="1" w:styleId="11">
    <w:name w:val="页眉 Char"/>
    <w:link w:val="5"/>
    <w:uiPriority w:val="0"/>
    <w:rPr>
      <w:kern w:val="2"/>
      <w:sz w:val="18"/>
      <w:szCs w:val="18"/>
    </w:rPr>
  </w:style>
  <w:style w:type="character" w:customStyle="1" w:styleId="12">
    <w:name w:val="页脚 Char"/>
    <w:link w:val="4"/>
    <w:uiPriority w:val="0"/>
    <w:rPr>
      <w:kern w:val="2"/>
      <w:sz w:val="18"/>
      <w:szCs w:val="18"/>
    </w:rPr>
  </w:style>
  <w:style w:type="paragraph" w:customStyle="1" w:styleId="13">
    <w:name w:val="主题词"/>
    <w:basedOn w:val="1"/>
    <w:uiPriority w:val="0"/>
    <w:pPr>
      <w:spacing w:after="296" w:afterLines="50" w:line="600" w:lineRule="exact"/>
    </w:pPr>
    <w:rPr>
      <w:rFonts w:eastAsia="方正小标宋简体"/>
      <w:sz w:val="30"/>
    </w:rPr>
  </w:style>
  <w:style w:type="character" w:customStyle="1" w:styleId="14">
    <w:name w:val="批注框文本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933</Words>
  <Characters>190</Characters>
  <Lines>1</Lines>
  <Paragraphs>2</Paragraphs>
  <TotalTime>0</TotalTime>
  <ScaleCrop>false</ScaleCrop>
  <LinksUpToDate>false</LinksUpToDate>
  <CharactersWithSpaces>1121</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2020-05-25T01:21:00Z</dcterms:created>
  <dc:creator>111</dc:creator>
  <cp:lastModifiedBy>林洁</cp:lastModifiedBy>
  <cp:lastPrinted>2020-08-21T01:11:49Z</cp:lastPrinted>
  <dcterms:modified xsi:type="dcterms:W3CDTF">2020-08-21T01:11:55Z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