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color w:val="000000"/>
          <w:sz w:val="32"/>
          <w:szCs w:val="32"/>
        </w:rPr>
      </w:pPr>
      <w:r>
        <w:rPr>
          <w:color w:val="000000"/>
        </w:rPr>
        <mc:AlternateContent>
          <mc:Choice Requires="wps">
            <w:drawing>
              <wp:anchor distT="0" distB="0" distL="114300" distR="114300" simplePos="0" relativeHeight="251658240" behindDoc="0" locked="0" layoutInCell="1" allowOverlap="1">
                <wp:simplePos x="0" y="0"/>
                <wp:positionH relativeFrom="column">
                  <wp:posOffset>3041650</wp:posOffset>
                </wp:positionH>
                <wp:positionV relativeFrom="paragraph">
                  <wp:posOffset>-67945</wp:posOffset>
                </wp:positionV>
                <wp:extent cx="2099945" cy="1772285"/>
                <wp:effectExtent l="5080" t="4445" r="9525" b="13970"/>
                <wp:wrapNone/>
                <wp:docPr id="1" name="文本框 1"/>
                <wp:cNvGraphicFramePr/>
                <a:graphic xmlns:a="http://schemas.openxmlformats.org/drawingml/2006/main">
                  <a:graphicData uri="http://schemas.microsoft.com/office/word/2010/wordprocessingShape">
                    <wps:wsp>
                      <wps:cNvSpPr txBox="1"/>
                      <wps:spPr>
                        <a:xfrm>
                          <a:off x="0" y="0"/>
                          <a:ext cx="2235835" cy="497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hint="eastAsia" w:ascii="仿宋_GB2312" w:eastAsia="仿宋_GB2312"/>
                                <w:b/>
                                <w:sz w:val="28"/>
                                <w:szCs w:val="28"/>
                                <w:lang w:eastAsia="zh-CN"/>
                              </w:rPr>
                            </w:pPr>
                            <w:r>
                              <w:rPr>
                                <w:rFonts w:hint="eastAsia" w:ascii="仿宋_GB2312" w:eastAsia="仿宋_GB2312"/>
                                <w:b/>
                                <w:sz w:val="28"/>
                                <w:szCs w:val="28"/>
                              </w:rPr>
                              <w:t>编号：JM202001</w:t>
                            </w:r>
                            <w:r>
                              <w:rPr>
                                <w:rFonts w:hint="eastAsia" w:ascii="仿宋_GB2312" w:eastAsia="仿宋_GB2312"/>
                                <w:b/>
                                <w:sz w:val="28"/>
                                <w:szCs w:val="28"/>
                                <w:lang w:val="en-US" w:eastAsia="zh-CN"/>
                              </w:rPr>
                              <w:t>0</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139.55pt;width:165.35pt;z-index:251658240;mso-width-relative:margin;mso-height-relative:margin;mso-width-percent:400;mso-height-percent:200;" fillcolor="#FFFFFF" filled="t" stroked="t" coordsize="21600,21600" o:gfxdata="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b0Sk9oAAAALAQAADwAAAAAAAAABACAAAAAiAAAAZHJzL2Rvd25y&#10;ZXYueG1sUEsBAhQAFAAAAAgAh07iQLzSV+X8AQAAEAQAAA4AAAAAAAAAAQAgAAAAKQEAAGRycy9l&#10;Mm9Eb2MueG1sUEsFBgAAAAAGAAYAWQEAAJc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hint="eastAsia" w:ascii="仿宋_GB2312" w:eastAsia="仿宋_GB2312"/>
                          <w:b/>
                          <w:sz w:val="28"/>
                          <w:szCs w:val="28"/>
                          <w:lang w:eastAsia="zh-CN"/>
                        </w:rPr>
                      </w:pPr>
                      <w:r>
                        <w:rPr>
                          <w:rFonts w:hint="eastAsia" w:ascii="仿宋_GB2312" w:eastAsia="仿宋_GB2312"/>
                          <w:b/>
                          <w:sz w:val="28"/>
                          <w:szCs w:val="28"/>
                        </w:rPr>
                        <w:t>编号：JM202001</w:t>
                      </w:r>
                      <w:r>
                        <w:rPr>
                          <w:rFonts w:hint="eastAsia" w:ascii="仿宋_GB2312" w:eastAsia="仿宋_GB2312"/>
                          <w:b/>
                          <w:sz w:val="28"/>
                          <w:szCs w:val="28"/>
                          <w:lang w:val="en-US" w:eastAsia="zh-CN"/>
                        </w:rPr>
                        <w:t>0</w:t>
                      </w:r>
                    </w:p>
                  </w:txbxContent>
                </v:textbox>
              </v:shape>
            </w:pict>
          </mc:Fallback>
        </mc:AlternateConten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bookmarkStart w:id="3" w:name="_GoBack"/>
      <w:bookmarkEnd w:id="3"/>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hint="eastAsia" w:ascii="华文中宋" w:hAnsi="华文中宋" w:eastAsia="华文中宋" w:cs="华文中宋"/>
          <w:sz w:val="36"/>
          <w:szCs w:val="36"/>
          <w:u w:val="single"/>
        </w:rPr>
        <w:t>木质传统家具制作</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1440" w:firstLineChars="400"/>
        <w:rPr>
          <w:rFonts w:hint="eastAsia" w:ascii="华文中宋" w:hAnsi="华文中宋" w:eastAsia="华文中宋" w:cs="华文中宋"/>
          <w:sz w:val="36"/>
          <w:szCs w:val="36"/>
        </w:rPr>
      </w:pPr>
      <w:r>
        <w:rPr>
          <w:rFonts w:hint="eastAsia" w:ascii="华文中宋" w:hAnsi="华文中宋" w:eastAsia="华文中宋" w:cs="华文中宋"/>
          <w:sz w:val="36"/>
          <w:szCs w:val="36"/>
        </w:rPr>
        <w:t>送审日期：2</w:t>
      </w:r>
      <w:r>
        <w:rPr>
          <w:rFonts w:ascii="华文中宋" w:hAnsi="华文中宋" w:eastAsia="华文中宋" w:cs="华文中宋"/>
          <w:sz w:val="36"/>
          <w:szCs w:val="36"/>
        </w:rPr>
        <w:t>020</w:t>
      </w:r>
      <w:r>
        <w:rPr>
          <w:rFonts w:hint="eastAsia" w:ascii="华文中宋" w:hAnsi="华文中宋" w:eastAsia="华文中宋" w:cs="华文中宋"/>
          <w:sz w:val="36"/>
          <w:szCs w:val="36"/>
        </w:rPr>
        <w:t>年4月</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开发负责人：翁金凌</w:t>
      </w:r>
      <w:r>
        <w:rPr>
          <w:rFonts w:ascii="华文中宋" w:hAnsi="华文中宋" w:eastAsia="华文中宋" w:cs="华文中宋"/>
          <w:sz w:val="36"/>
          <w:szCs w:val="36"/>
        </w:rPr>
        <w:t>13536133102</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开发专家组：郑海锋、肖丽红</w:t>
      </w:r>
    </w:p>
    <w:p>
      <w:pPr>
        <w:ind w:firstLine="1440" w:firstLineChars="400"/>
        <w:rPr>
          <w:rFonts w:ascii="华文中宋" w:hAnsi="华文中宋" w:eastAsia="华文中宋" w:cs="华文中宋"/>
          <w:sz w:val="36"/>
          <w:szCs w:val="36"/>
        </w:rPr>
      </w:pPr>
      <w:r>
        <w:rPr>
          <w:rFonts w:hint="eastAsia" w:ascii="华文中宋" w:hAnsi="华文中宋" w:eastAsia="华文中宋" w:cs="华文中宋"/>
          <w:sz w:val="36"/>
          <w:szCs w:val="36"/>
        </w:rPr>
        <w:t>开发单位</w:t>
      </w:r>
      <w:r>
        <w:rPr>
          <w:rFonts w:ascii="华文中宋" w:hAnsi="华文中宋" w:eastAsia="华文中宋" w:cs="华文中宋"/>
          <w:sz w:val="36"/>
          <w:szCs w:val="36"/>
        </w:rPr>
        <w:t>(盖章)：</w:t>
      </w:r>
      <w:r>
        <w:rPr>
          <w:rFonts w:hint="eastAsia" w:ascii="华文中宋" w:hAnsi="华文中宋" w:eastAsia="华文中宋" w:cs="华文中宋"/>
          <w:sz w:val="36"/>
          <w:szCs w:val="36"/>
        </w:rPr>
        <w:t>江门市新会技师学院</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jc w:val="left"/>
        <w:rPr>
          <w:rFonts w:ascii="Times New Roman" w:hAnsi="Times New Roman" w:eastAsia="仿宋_GB2312"/>
          <w:bCs/>
          <w:color w:val="000000"/>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color w:val="000000"/>
          <w:kern w:val="0"/>
          <w:sz w:val="32"/>
          <w:szCs w:val="32"/>
        </w:rPr>
        <w:t>以A4纸打印一式</w:t>
      </w:r>
      <w:r>
        <w:rPr>
          <w:rFonts w:hint="eastAsia" w:ascii="Times New Roman" w:hAnsi="Times New Roman" w:eastAsia="仿宋_GB2312"/>
          <w:bCs/>
          <w:color w:val="000000"/>
          <w:kern w:val="0"/>
          <w:sz w:val="32"/>
          <w:szCs w:val="32"/>
        </w:rPr>
        <w:t>2份，在规定时间内提交人力资源社会保障部门</w:t>
      </w:r>
      <w:r>
        <w:rPr>
          <w:rFonts w:hint="eastAsia" w:ascii="Times New Roman" w:hAnsi="Times New Roman" w:eastAsia="仿宋_GB2312"/>
          <w:color w:val="000000"/>
          <w:kern w:val="0"/>
          <w:sz w:val="32"/>
          <w:szCs w:val="32"/>
        </w:rPr>
        <w:t>审核</w:t>
      </w:r>
      <w:r>
        <w:rPr>
          <w:rFonts w:hint="eastAsia" w:ascii="Times New Roman" w:hAnsi="Times New Roman" w:eastAsia="仿宋_GB2312"/>
          <w:bCs/>
          <w:color w:val="000000"/>
          <w:kern w:val="0"/>
          <w:sz w:val="32"/>
          <w:szCs w:val="32"/>
        </w:rPr>
        <w:t>。</w:t>
      </w:r>
      <w:r>
        <w:rPr>
          <w:rFonts w:hint="eastAsia" w:ascii="Times New Roman" w:hAnsi="Times New Roman" w:eastAsia="仿宋_GB2312"/>
          <w:color w:val="000000"/>
          <w:kern w:val="0"/>
          <w:sz w:val="32"/>
          <w:szCs w:val="32"/>
        </w:rPr>
        <w:t>封面上方的编号由</w:t>
      </w:r>
      <w:r>
        <w:rPr>
          <w:rFonts w:hint="eastAsia" w:ascii="Times New Roman" w:hAnsi="Times New Roman" w:eastAsia="仿宋_GB2312"/>
          <w:bCs/>
          <w:color w:val="000000"/>
          <w:kern w:val="0"/>
          <w:sz w:val="32"/>
          <w:szCs w:val="32"/>
        </w:rPr>
        <w:t>人力资源社会保障部门</w:t>
      </w:r>
      <w:r>
        <w:rPr>
          <w:rFonts w:hint="eastAsia" w:ascii="Times New Roman" w:hAnsi="Times New Roman" w:eastAsia="仿宋_GB2312"/>
          <w:color w:val="000000"/>
          <w:kern w:val="0"/>
          <w:sz w:val="32"/>
          <w:szCs w:val="32"/>
        </w:rPr>
        <w:t>填写。</w:t>
      </w:r>
    </w:p>
    <w:p>
      <w:pPr>
        <w:ind w:firstLine="640" w:firstLineChars="200"/>
        <w:rPr>
          <w:rFonts w:ascii="仿宋" w:hAnsi="仿宋" w:eastAsia="仿宋"/>
          <w:color w:val="000000"/>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color w:val="000000"/>
          <w:sz w:val="32"/>
          <w:szCs w:val="32"/>
        </w:rPr>
        <w:t>《中华人民共和国职业分类大典</w:t>
      </w:r>
      <w:r>
        <w:rPr>
          <w:rFonts w:ascii="仿宋" w:hAnsi="仿宋" w:eastAsia="仿宋"/>
          <w:color w:val="000000"/>
          <w:sz w:val="32"/>
          <w:szCs w:val="32"/>
        </w:rPr>
        <w:t>(2015年版)》中技能类职业(工种)、新职业、专项职业能力（含培训合格证）或技能单元等</w:t>
      </w:r>
      <w:r>
        <w:rPr>
          <w:rFonts w:hint="eastAsia" w:ascii="仿宋" w:hAnsi="仿宋" w:eastAsia="仿宋"/>
          <w:color w:val="000000"/>
          <w:sz w:val="32"/>
          <w:szCs w:val="32"/>
        </w:rPr>
        <w:t>基础上进行细分。如涂装工（化工涂料）。</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color w:val="000000"/>
          <w:sz w:val="32"/>
          <w:szCs w:val="32"/>
        </w:rPr>
        <w:sectPr>
          <w:pgSz w:w="11906" w:h="16838"/>
          <w:pgMar w:top="2098" w:right="1474" w:bottom="1985" w:left="1588" w:header="851" w:footer="992" w:gutter="0"/>
          <w:cols w:space="425" w:num="1"/>
          <w:docGrid w:type="lines" w:linePitch="312" w:charSpace="0"/>
        </w:sectPr>
      </w:pPr>
      <w:r>
        <w:rPr>
          <w:rFonts w:hint="eastAsia" w:ascii="仿宋" w:hAnsi="仿宋" w:eastAsia="仿宋"/>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木质传统家具制作</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bookmarkStart w:id="0" w:name="_Hlk39327756"/>
      <w:r>
        <w:rPr>
          <w:rFonts w:hint="eastAsia" w:ascii="仿宋_GB2312" w:hAnsi="仿宋_GB2312" w:eastAsia="仿宋_GB2312" w:cs="仿宋_GB2312"/>
          <w:sz w:val="32"/>
          <w:szCs w:val="32"/>
          <w:u w:val="single"/>
        </w:rPr>
        <w:t xml:space="preserve"> 《中华人民共和国职业分类大典（2015年版）》</w:t>
      </w:r>
      <w:bookmarkEnd w:id="0"/>
      <w:r>
        <w:rPr>
          <w:rFonts w:hint="eastAsia" w:ascii="仿宋_GB2312" w:hAnsi="仿宋_GB2312" w:eastAsia="仿宋_GB2312" w:cs="仿宋_GB2312"/>
          <w:sz w:val="32"/>
          <w:szCs w:val="32"/>
          <w:u w:val="single"/>
        </w:rPr>
        <w:t>6-06-04-00家具制作工</w:t>
      </w:r>
      <w:r>
        <w:rPr>
          <w:rFonts w:ascii="仿宋_GB2312" w:hAnsi="仿宋_GB2312" w:eastAsia="仿宋_GB2312" w:cs="仿宋_GB2312"/>
          <w:sz w:val="32"/>
          <w:szCs w:val="32"/>
        </w:rPr>
        <w:t>职业技能标准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适用受训对象：有一定家具制作的基础，从事或准备从事家具制作的技术人员。</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1.4 培训师要求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培训家具（传统家具）制作工的教师应具有手工木工高级工以上职业资格证书或本专业中级以上专业技术职务任职资格。</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1.5 培训场地设备要求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理论知识培训场地应为容纳30名以上学员的标准教室；技能操作培训场地应具有与实际技能操作相适应的家具制作工具、设备，并且安全设施完善。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理论标准教室有8</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平方米，有多媒体设备一套。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技能操作培训场地要求面积2</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平方米，应具有照度，以及必要的木工机械设备、辅助设备和相应的工装、工具等。</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7考核方式：</w:t>
      </w:r>
    </w:p>
    <w:p>
      <w:pPr>
        <w:ind w:firstLine="640" w:firstLineChars="200"/>
        <w:rPr>
          <w:rFonts w:ascii="仿宋_GB2312" w:hAnsi="仿宋_GB2312" w:eastAsia="仿宋_GB2312" w:cs="仿宋_GB2312"/>
          <w:sz w:val="32"/>
          <w:szCs w:val="32"/>
        </w:rPr>
      </w:pPr>
      <w:bookmarkStart w:id="1" w:name="_Hlk39329215"/>
      <w:bookmarkStart w:id="2" w:name="_Hlk39330083"/>
      <w:r>
        <w:rPr>
          <w:rFonts w:hint="eastAsia" w:ascii="仿宋_GB2312" w:hAnsi="仿宋_GB2312" w:eastAsia="仿宋_GB2312" w:cs="仿宋_GB2312"/>
          <w:sz w:val="32"/>
          <w:szCs w:val="32"/>
        </w:rPr>
        <w:t>总成绩=笔试（理论知识考核）+实操（操作技能考核）</w:t>
      </w:r>
    </w:p>
    <w:bookmarkEnd w:id="1"/>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笔试（理论知识考核）：满分100分，60分合格，占总成绩30%。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实操（操作技能考核）：满分100分，60分合格，占总成绩70%。</w:t>
      </w:r>
    </w:p>
    <w:bookmarkEnd w:id="2"/>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1.8考核标准：</w:t>
      </w:r>
    </w:p>
    <w:p>
      <w:pPr>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应知（理论知识考核）内容：</w:t>
      </w:r>
    </w:p>
    <w:tbl>
      <w:tblPr>
        <w:tblStyle w:val="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134"/>
        <w:gridCol w:w="4284"/>
        <w:gridCol w:w="1276"/>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Align w:val="center"/>
          </w:tcPr>
          <w:p>
            <w:pPr>
              <w:jc w:val="center"/>
              <w:rPr>
                <w:rFonts w:ascii="黑体" w:hAnsi="黑体" w:eastAsia="黑体" w:cs="Arial"/>
                <w:szCs w:val="21"/>
              </w:rPr>
            </w:pPr>
            <w:r>
              <w:rPr>
                <w:rFonts w:ascii="黑体" w:hAnsi="黑体" w:eastAsia="黑体" w:cs="Arial"/>
                <w:szCs w:val="21"/>
              </w:rPr>
              <w:t>项目</w:t>
            </w:r>
          </w:p>
        </w:tc>
        <w:tc>
          <w:tcPr>
            <w:tcW w:w="2127" w:type="dxa"/>
            <w:gridSpan w:val="2"/>
            <w:vAlign w:val="center"/>
          </w:tcPr>
          <w:p>
            <w:pPr>
              <w:jc w:val="center"/>
              <w:rPr>
                <w:rFonts w:ascii="黑体" w:hAnsi="黑体" w:eastAsia="黑体" w:cs="Arial"/>
                <w:szCs w:val="21"/>
              </w:rPr>
            </w:pPr>
            <w:r>
              <w:rPr>
                <w:rFonts w:ascii="黑体" w:hAnsi="黑体" w:eastAsia="黑体" w:cs="Arial"/>
                <w:szCs w:val="21"/>
              </w:rPr>
              <w:t>考试范围</w:t>
            </w:r>
          </w:p>
        </w:tc>
        <w:tc>
          <w:tcPr>
            <w:tcW w:w="4284" w:type="dxa"/>
            <w:vAlign w:val="center"/>
          </w:tcPr>
          <w:p>
            <w:pPr>
              <w:jc w:val="center"/>
              <w:rPr>
                <w:rFonts w:ascii="黑体" w:hAnsi="黑体" w:eastAsia="黑体" w:cs="Arial"/>
                <w:szCs w:val="21"/>
              </w:rPr>
            </w:pPr>
            <w:r>
              <w:rPr>
                <w:rFonts w:ascii="黑体" w:hAnsi="黑体" w:eastAsia="黑体" w:cs="Arial"/>
                <w:szCs w:val="21"/>
              </w:rPr>
              <w:t>考试内容</w:t>
            </w:r>
          </w:p>
        </w:tc>
        <w:tc>
          <w:tcPr>
            <w:tcW w:w="1276" w:type="dxa"/>
            <w:vAlign w:val="center"/>
          </w:tcPr>
          <w:p>
            <w:pPr>
              <w:jc w:val="center"/>
              <w:rPr>
                <w:rFonts w:ascii="黑体" w:hAnsi="黑体" w:eastAsia="黑体" w:cs="Arial"/>
                <w:szCs w:val="21"/>
              </w:rPr>
            </w:pPr>
            <w:r>
              <w:rPr>
                <w:rFonts w:ascii="黑体" w:hAnsi="黑体" w:eastAsia="黑体" w:cs="Arial"/>
                <w:szCs w:val="21"/>
              </w:rPr>
              <w:t>考试比重（%）</w:t>
            </w:r>
          </w:p>
        </w:tc>
        <w:tc>
          <w:tcPr>
            <w:tcW w:w="818" w:type="dxa"/>
            <w:vAlign w:val="center"/>
          </w:tcPr>
          <w:p>
            <w:pPr>
              <w:jc w:val="center"/>
              <w:rPr>
                <w:rFonts w:ascii="黑体" w:hAnsi="黑体" w:eastAsia="黑体" w:cs="Arial"/>
                <w:szCs w:val="21"/>
              </w:rPr>
            </w:pPr>
            <w:r>
              <w:rPr>
                <w:rFonts w:ascii="黑体" w:hAnsi="黑体" w:eastAsia="黑体" w:cs="Arial"/>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 xml:space="preserve"> 基础知识</w:t>
            </w:r>
          </w:p>
        </w:tc>
        <w:tc>
          <w:tcPr>
            <w:tcW w:w="6411" w:type="dxa"/>
            <w:gridSpan w:val="3"/>
            <w:vAlign w:val="center"/>
          </w:tcPr>
          <w:p>
            <w:pPr>
              <w:spacing w:line="300" w:lineRule="exact"/>
              <w:jc w:val="left"/>
              <w:rPr>
                <w:rFonts w:ascii="仿宋" w:hAnsi="仿宋" w:eastAsia="仿宋" w:cs="Arial"/>
                <w:szCs w:val="21"/>
              </w:rPr>
            </w:pPr>
            <w:r>
              <w:rPr>
                <w:rFonts w:ascii="仿宋" w:hAnsi="仿宋" w:eastAsia="仿宋" w:cs="Arial"/>
                <w:szCs w:val="21"/>
              </w:rPr>
              <w:t>职业道德</w:t>
            </w:r>
            <w:r>
              <w:rPr>
                <w:rFonts w:hint="eastAsia" w:ascii="仿宋" w:hAnsi="仿宋" w:eastAsia="仿宋" w:cs="Arial"/>
                <w:szCs w:val="21"/>
              </w:rPr>
              <w:t>、法律法规常识</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6411" w:type="dxa"/>
            <w:gridSpan w:val="3"/>
            <w:vAlign w:val="center"/>
          </w:tcPr>
          <w:p>
            <w:pPr>
              <w:spacing w:line="300" w:lineRule="exact"/>
              <w:jc w:val="left"/>
              <w:rPr>
                <w:rFonts w:ascii="仿宋" w:hAnsi="仿宋" w:eastAsia="仿宋" w:cs="Arial"/>
                <w:szCs w:val="21"/>
              </w:rPr>
            </w:pPr>
            <w:r>
              <w:rPr>
                <w:rFonts w:hint="eastAsia" w:ascii="仿宋" w:hAnsi="仿宋" w:eastAsia="仿宋" w:cs="Arial"/>
                <w:szCs w:val="21"/>
              </w:rPr>
              <w:t>家具基础知识、机械安全操作知识、</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Align w:val="center"/>
          </w:tcPr>
          <w:p>
            <w:pPr>
              <w:spacing w:line="300" w:lineRule="exact"/>
              <w:jc w:val="left"/>
              <w:rPr>
                <w:rFonts w:ascii="仿宋" w:hAnsi="仿宋" w:eastAsia="仿宋" w:cs="Arial"/>
                <w:szCs w:val="21"/>
              </w:rPr>
            </w:pPr>
            <w:r>
              <w:rPr>
                <w:rFonts w:hint="eastAsia" w:ascii="仿宋" w:hAnsi="仿宋" w:eastAsia="仿宋" w:cs="Arial"/>
                <w:szCs w:val="21"/>
              </w:rPr>
              <w:t>机械加工工艺基础</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加工基准、精度、表面粗糙度、生产与工艺</w:t>
            </w:r>
          </w:p>
        </w:tc>
        <w:tc>
          <w:tcPr>
            <w:tcW w:w="4284" w:type="dxa"/>
            <w:vAlign w:val="center"/>
          </w:tcPr>
          <w:p>
            <w:pPr>
              <w:pStyle w:val="20"/>
              <w:numPr>
                <w:ilvl w:val="0"/>
                <w:numId w:val="1"/>
              </w:numPr>
              <w:spacing w:line="300" w:lineRule="exact"/>
              <w:ind w:firstLineChars="0"/>
              <w:jc w:val="left"/>
              <w:rPr>
                <w:rFonts w:ascii="仿宋" w:hAnsi="仿宋" w:eastAsia="仿宋" w:cs="Arial"/>
                <w:color w:val="000000"/>
                <w:szCs w:val="21"/>
              </w:rPr>
            </w:pPr>
            <w:r>
              <w:rPr>
                <w:rFonts w:hint="eastAsia" w:ascii="仿宋" w:hAnsi="仿宋" w:eastAsia="仿宋" w:cs="Arial"/>
                <w:color w:val="000000"/>
                <w:szCs w:val="21"/>
              </w:rPr>
              <w:t>基准定位</w:t>
            </w:r>
          </w:p>
          <w:p>
            <w:pPr>
              <w:pStyle w:val="20"/>
              <w:numPr>
                <w:ilvl w:val="0"/>
                <w:numId w:val="1"/>
              </w:numPr>
              <w:spacing w:line="300" w:lineRule="exact"/>
              <w:ind w:firstLineChars="0"/>
              <w:jc w:val="left"/>
              <w:rPr>
                <w:rFonts w:ascii="仿宋" w:hAnsi="仿宋" w:eastAsia="仿宋" w:cs="Arial"/>
                <w:color w:val="000000"/>
                <w:szCs w:val="21"/>
              </w:rPr>
            </w:pPr>
            <w:r>
              <w:rPr>
                <w:rFonts w:hint="eastAsia" w:ascii="仿宋" w:hAnsi="仿宋" w:eastAsia="仿宋" w:cs="Arial"/>
                <w:color w:val="000000"/>
                <w:szCs w:val="21"/>
              </w:rPr>
              <w:t>加工精度</w:t>
            </w:r>
          </w:p>
          <w:p>
            <w:pPr>
              <w:pStyle w:val="20"/>
              <w:numPr>
                <w:ilvl w:val="0"/>
                <w:numId w:val="1"/>
              </w:numPr>
              <w:spacing w:line="300" w:lineRule="exact"/>
              <w:ind w:firstLineChars="0"/>
              <w:jc w:val="left"/>
              <w:rPr>
                <w:rFonts w:ascii="仿宋" w:hAnsi="仿宋" w:eastAsia="仿宋" w:cs="Arial"/>
                <w:color w:val="000000"/>
                <w:szCs w:val="21"/>
              </w:rPr>
            </w:pPr>
            <w:r>
              <w:rPr>
                <w:rFonts w:hint="eastAsia" w:ascii="仿宋" w:hAnsi="仿宋" w:eastAsia="仿宋" w:cs="Arial"/>
                <w:color w:val="000000"/>
                <w:szCs w:val="21"/>
              </w:rPr>
              <w:t>表面粗糙度的标准与评定</w:t>
            </w:r>
          </w:p>
          <w:p>
            <w:pPr>
              <w:pStyle w:val="20"/>
              <w:numPr>
                <w:ilvl w:val="0"/>
                <w:numId w:val="1"/>
              </w:numPr>
              <w:spacing w:line="300" w:lineRule="exact"/>
              <w:ind w:firstLineChars="0"/>
              <w:jc w:val="left"/>
              <w:rPr>
                <w:rFonts w:ascii="仿宋" w:hAnsi="仿宋" w:eastAsia="仿宋" w:cs="Arial"/>
                <w:color w:val="000000"/>
                <w:szCs w:val="21"/>
              </w:rPr>
            </w:pPr>
            <w:r>
              <w:rPr>
                <w:rFonts w:hint="eastAsia" w:ascii="仿宋" w:hAnsi="仿宋" w:eastAsia="仿宋" w:cs="Arial"/>
                <w:color w:val="000000"/>
                <w:szCs w:val="21"/>
              </w:rPr>
              <w:t>生产过程及生产流水线</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restart"/>
            <w:vAlign w:val="center"/>
          </w:tcPr>
          <w:p>
            <w:pPr>
              <w:spacing w:line="300" w:lineRule="exact"/>
              <w:jc w:val="left"/>
              <w:rPr>
                <w:rFonts w:ascii="仿宋" w:hAnsi="仿宋" w:eastAsia="仿宋" w:cs="Arial"/>
                <w:szCs w:val="21"/>
              </w:rPr>
            </w:pPr>
            <w:r>
              <w:rPr>
                <w:rFonts w:ascii="仿宋" w:hAnsi="仿宋" w:eastAsia="仿宋" w:cs="Arial"/>
                <w:szCs w:val="21"/>
              </w:rPr>
              <w:t>材料知识</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木质人造板、涂料</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1. 人造板材及其它材料应用</w:t>
            </w:r>
          </w:p>
          <w:p>
            <w:pPr>
              <w:spacing w:line="300" w:lineRule="exact"/>
              <w:jc w:val="left"/>
              <w:rPr>
                <w:rFonts w:ascii="仿宋" w:hAnsi="仿宋" w:eastAsia="仿宋" w:cs="Arial"/>
                <w:szCs w:val="21"/>
              </w:rPr>
            </w:pPr>
            <w:r>
              <w:rPr>
                <w:rFonts w:hint="eastAsia" w:ascii="仿宋" w:hAnsi="仿宋" w:eastAsia="仿宋" w:cs="Arial"/>
                <w:szCs w:val="21"/>
              </w:rPr>
              <w:t>2．涂料的组成与种类</w:t>
            </w:r>
          </w:p>
          <w:p>
            <w:pPr>
              <w:spacing w:line="300" w:lineRule="exact"/>
              <w:jc w:val="left"/>
              <w:rPr>
                <w:rFonts w:ascii="仿宋" w:hAnsi="仿宋" w:eastAsia="仿宋" w:cs="Arial"/>
                <w:szCs w:val="21"/>
              </w:rPr>
            </w:pPr>
            <w:r>
              <w:rPr>
                <w:rFonts w:hint="eastAsia" w:ascii="仿宋" w:hAnsi="仿宋" w:eastAsia="仿宋" w:cs="Arial"/>
                <w:szCs w:val="21"/>
              </w:rPr>
              <w:t>3. 涂料的性能与选用原则</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五金配件</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常用五金配件的连接及安装方法</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2127" w:type="dxa"/>
            <w:gridSpan w:val="2"/>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木材切削</w:t>
            </w:r>
            <w:r>
              <w:rPr>
                <w:rFonts w:ascii="仿宋" w:hAnsi="仿宋" w:eastAsia="仿宋" w:cs="Arial"/>
                <w:color w:val="000000"/>
                <w:szCs w:val="21"/>
              </w:rPr>
              <w:t>基本理论</w:t>
            </w:r>
          </w:p>
        </w:tc>
        <w:tc>
          <w:tcPr>
            <w:tcW w:w="4284" w:type="dxa"/>
            <w:vAlign w:val="center"/>
          </w:tcPr>
          <w:p>
            <w:pPr>
              <w:numPr>
                <w:ilvl w:val="0"/>
                <w:numId w:val="2"/>
              </w:numPr>
              <w:spacing w:line="300" w:lineRule="exact"/>
              <w:jc w:val="left"/>
              <w:rPr>
                <w:rFonts w:ascii="仿宋" w:hAnsi="仿宋" w:eastAsia="仿宋" w:cs="Arial"/>
                <w:color w:val="000000"/>
                <w:szCs w:val="21"/>
              </w:rPr>
            </w:pPr>
            <w:r>
              <w:rPr>
                <w:rFonts w:hint="eastAsia" w:ascii="仿宋" w:hAnsi="仿宋" w:eastAsia="仿宋" w:cs="Arial"/>
                <w:color w:val="000000"/>
                <w:szCs w:val="21"/>
              </w:rPr>
              <w:t>切削层尺寸参数</w:t>
            </w:r>
          </w:p>
          <w:p>
            <w:pPr>
              <w:numPr>
                <w:ilvl w:val="0"/>
                <w:numId w:val="2"/>
              </w:numPr>
              <w:spacing w:line="300" w:lineRule="exact"/>
              <w:jc w:val="left"/>
              <w:rPr>
                <w:rFonts w:ascii="仿宋" w:hAnsi="仿宋" w:eastAsia="仿宋" w:cs="Arial"/>
                <w:color w:val="FF0000"/>
                <w:szCs w:val="21"/>
              </w:rPr>
            </w:pPr>
            <w:r>
              <w:rPr>
                <w:rFonts w:hint="eastAsia" w:ascii="仿宋" w:hAnsi="仿宋" w:eastAsia="仿宋" w:cs="Arial"/>
                <w:color w:val="000000"/>
                <w:szCs w:val="21"/>
              </w:rPr>
              <w:t>各类切削刀具加工原理</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10</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Align w:val="center"/>
          </w:tcPr>
          <w:p>
            <w:pPr>
              <w:spacing w:line="300" w:lineRule="exact"/>
              <w:jc w:val="left"/>
              <w:rPr>
                <w:rFonts w:ascii="仿宋" w:hAnsi="仿宋" w:eastAsia="仿宋" w:cs="Arial"/>
                <w:szCs w:val="21"/>
              </w:rPr>
            </w:pPr>
            <w:r>
              <w:rPr>
                <w:rFonts w:ascii="仿宋" w:hAnsi="仿宋" w:eastAsia="仿宋" w:cs="Arial"/>
                <w:szCs w:val="21"/>
              </w:rPr>
              <w:t>木</w:t>
            </w:r>
            <w:r>
              <w:rPr>
                <w:rFonts w:hint="eastAsia" w:ascii="仿宋" w:hAnsi="仿宋" w:eastAsia="仿宋" w:cs="Arial"/>
                <w:szCs w:val="21"/>
              </w:rPr>
              <w:t>制品结构</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传</w:t>
            </w:r>
            <w:r>
              <w:rPr>
                <w:rFonts w:ascii="仿宋" w:hAnsi="仿宋" w:eastAsia="仿宋" w:cs="Arial"/>
                <w:szCs w:val="21"/>
              </w:rPr>
              <w:t>统家具的接合方式</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胶接合</w:t>
            </w:r>
          </w:p>
          <w:p>
            <w:pPr>
              <w:spacing w:line="300" w:lineRule="exact"/>
              <w:jc w:val="left"/>
              <w:rPr>
                <w:rFonts w:ascii="仿宋" w:hAnsi="仿宋" w:eastAsia="仿宋" w:cs="Arial"/>
                <w:szCs w:val="21"/>
              </w:rPr>
            </w:pPr>
            <w:r>
              <w:rPr>
                <w:rFonts w:hint="eastAsia" w:ascii="仿宋" w:hAnsi="仿宋" w:eastAsia="仿宋" w:cs="Arial"/>
                <w:color w:val="000000"/>
                <w:szCs w:val="21"/>
              </w:rPr>
              <w:t>2. 各种传统榫接合</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专业知识</w:t>
            </w:r>
          </w:p>
        </w:tc>
        <w:tc>
          <w:tcPr>
            <w:tcW w:w="993" w:type="dxa"/>
            <w:vMerge w:val="restart"/>
            <w:vAlign w:val="center"/>
          </w:tcPr>
          <w:p>
            <w:pPr>
              <w:rPr>
                <w:rFonts w:ascii="仿宋" w:hAnsi="仿宋" w:eastAsia="仿宋" w:cs="Arial"/>
                <w:szCs w:val="21"/>
              </w:rPr>
            </w:pPr>
            <w:r>
              <w:rPr>
                <w:rFonts w:hint="eastAsia" w:ascii="仿宋" w:hAnsi="仿宋" w:eastAsia="仿宋" w:cs="Arial"/>
                <w:szCs w:val="21"/>
              </w:rPr>
              <w:t>工前准备</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施工场地准备</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 xml:space="preserve">1. </w:t>
            </w:r>
            <w:r>
              <w:rPr>
                <w:rFonts w:ascii="仿宋" w:hAnsi="仿宋" w:eastAsia="仿宋" w:cs="Arial"/>
                <w:color w:val="000000"/>
                <w:szCs w:val="21"/>
              </w:rPr>
              <w:t>操作场</w:t>
            </w:r>
            <w:r>
              <w:rPr>
                <w:rFonts w:hint="eastAsia" w:ascii="仿宋" w:hAnsi="仿宋" w:eastAsia="仿宋" w:cs="Arial"/>
                <w:color w:val="000000"/>
                <w:szCs w:val="21"/>
              </w:rPr>
              <w:t>地布置</w:t>
            </w:r>
            <w:r>
              <w:rPr>
                <w:rFonts w:ascii="仿宋" w:hAnsi="仿宋" w:eastAsia="仿宋" w:cs="Arial"/>
                <w:color w:val="000000"/>
                <w:szCs w:val="21"/>
              </w:rPr>
              <w:t>的依据</w:t>
            </w:r>
          </w:p>
          <w:p>
            <w:pPr>
              <w:spacing w:line="300" w:lineRule="exact"/>
              <w:jc w:val="left"/>
              <w:rPr>
                <w:rFonts w:ascii="仿宋" w:hAnsi="仿宋" w:eastAsia="仿宋" w:cs="Arial"/>
                <w:szCs w:val="21"/>
              </w:rPr>
            </w:pPr>
            <w:r>
              <w:rPr>
                <w:rFonts w:hint="eastAsia" w:ascii="仿宋" w:hAnsi="仿宋" w:eastAsia="仿宋" w:cs="Arial"/>
                <w:color w:val="000000"/>
                <w:szCs w:val="21"/>
              </w:rPr>
              <w:t xml:space="preserve">2. </w:t>
            </w:r>
            <w:r>
              <w:rPr>
                <w:rFonts w:ascii="仿宋" w:hAnsi="仿宋" w:eastAsia="仿宋" w:cs="Arial"/>
                <w:color w:val="000000"/>
                <w:szCs w:val="21"/>
              </w:rPr>
              <w:t>操作场</w:t>
            </w:r>
            <w:r>
              <w:rPr>
                <w:rFonts w:hint="eastAsia" w:ascii="仿宋" w:hAnsi="仿宋" w:eastAsia="仿宋" w:cs="Arial"/>
                <w:color w:val="000000"/>
                <w:szCs w:val="21"/>
              </w:rPr>
              <w:t>地</w:t>
            </w:r>
            <w:r>
              <w:rPr>
                <w:rFonts w:ascii="仿宋" w:hAnsi="仿宋" w:eastAsia="仿宋" w:cs="Arial"/>
                <w:color w:val="000000"/>
                <w:szCs w:val="21"/>
              </w:rPr>
              <w:t>的</w:t>
            </w:r>
            <w:r>
              <w:rPr>
                <w:rFonts w:hint="eastAsia" w:ascii="仿宋" w:hAnsi="仿宋" w:eastAsia="仿宋" w:cs="Arial"/>
                <w:color w:val="000000"/>
                <w:szCs w:val="21"/>
              </w:rPr>
              <w:t>布局</w:t>
            </w:r>
          </w:p>
        </w:tc>
        <w:tc>
          <w:tcPr>
            <w:tcW w:w="1276" w:type="dxa"/>
            <w:vAlign w:val="center"/>
          </w:tcPr>
          <w:p>
            <w:pPr>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rPr>
                <w:rFonts w:ascii="仿宋" w:hAnsi="仿宋" w:eastAsia="仿宋" w:cs="Arial"/>
                <w:szCs w:val="21"/>
              </w:rPr>
            </w:pPr>
          </w:p>
        </w:tc>
        <w:tc>
          <w:tcPr>
            <w:tcW w:w="1134" w:type="dxa"/>
            <w:vAlign w:val="center"/>
          </w:tcPr>
          <w:p>
            <w:pPr>
              <w:spacing w:line="300" w:lineRule="exact"/>
              <w:rPr>
                <w:rFonts w:ascii="仿宋" w:hAnsi="仿宋" w:eastAsia="仿宋" w:cs="Arial"/>
                <w:szCs w:val="21"/>
              </w:rPr>
            </w:pPr>
            <w:r>
              <w:rPr>
                <w:rFonts w:ascii="仿宋" w:hAnsi="仿宋" w:eastAsia="仿宋" w:cs="Arial"/>
                <w:szCs w:val="21"/>
              </w:rPr>
              <w:t>工具设备及制作材料的准备</w:t>
            </w:r>
          </w:p>
        </w:tc>
        <w:tc>
          <w:tcPr>
            <w:tcW w:w="4284" w:type="dxa"/>
          </w:tcPr>
          <w:p>
            <w:pPr>
              <w:spacing w:line="300" w:lineRule="exact"/>
              <w:jc w:val="left"/>
              <w:rPr>
                <w:rFonts w:ascii="仿宋" w:hAnsi="仿宋" w:eastAsia="仿宋" w:cs="Arial"/>
                <w:color w:val="000000"/>
                <w:szCs w:val="21"/>
              </w:rPr>
            </w:pPr>
            <w:r>
              <w:rPr>
                <w:rFonts w:hint="eastAsia" w:ascii="仿宋" w:hAnsi="仿宋" w:eastAsia="仿宋" w:cs="Arial"/>
                <w:szCs w:val="21"/>
              </w:rPr>
              <w:t>1</w:t>
            </w:r>
            <w:r>
              <w:rPr>
                <w:rFonts w:hint="eastAsia" w:ascii="仿宋" w:hAnsi="仿宋" w:eastAsia="仿宋" w:cs="Arial"/>
                <w:color w:val="000000"/>
                <w:szCs w:val="21"/>
              </w:rPr>
              <w:t xml:space="preserve">. </w:t>
            </w:r>
            <w:r>
              <w:rPr>
                <w:rFonts w:ascii="仿宋" w:hAnsi="仿宋" w:eastAsia="仿宋" w:cs="Arial"/>
                <w:color w:val="000000"/>
                <w:szCs w:val="21"/>
              </w:rPr>
              <w:t>材料堆放储存的确定</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 xml:space="preserve">2. </w:t>
            </w:r>
            <w:r>
              <w:rPr>
                <w:rFonts w:ascii="仿宋" w:hAnsi="仿宋" w:eastAsia="仿宋" w:cs="Arial"/>
                <w:color w:val="000000"/>
                <w:szCs w:val="21"/>
              </w:rPr>
              <w:t>施工机械的</w:t>
            </w:r>
            <w:r>
              <w:rPr>
                <w:rFonts w:hint="eastAsia" w:ascii="仿宋" w:hAnsi="仿宋" w:eastAsia="仿宋" w:cs="Arial"/>
                <w:color w:val="000000"/>
                <w:szCs w:val="21"/>
              </w:rPr>
              <w:t>相关工具</w:t>
            </w:r>
            <w:r>
              <w:rPr>
                <w:rFonts w:ascii="仿宋" w:hAnsi="仿宋" w:eastAsia="仿宋" w:cs="Arial"/>
                <w:color w:val="000000"/>
                <w:szCs w:val="21"/>
              </w:rPr>
              <w:t>安置</w:t>
            </w:r>
          </w:p>
          <w:p>
            <w:pPr>
              <w:spacing w:line="300" w:lineRule="exact"/>
              <w:jc w:val="left"/>
              <w:rPr>
                <w:rFonts w:ascii="仿宋" w:hAnsi="仿宋" w:eastAsia="仿宋" w:cs="Arial"/>
                <w:szCs w:val="21"/>
              </w:rPr>
            </w:pPr>
            <w:r>
              <w:rPr>
                <w:rFonts w:hint="eastAsia" w:ascii="仿宋" w:hAnsi="仿宋" w:eastAsia="仿宋" w:cs="Arial"/>
                <w:color w:val="000000"/>
                <w:szCs w:val="21"/>
              </w:rPr>
              <w:t xml:space="preserve">3. </w:t>
            </w:r>
            <w:r>
              <w:rPr>
                <w:rFonts w:ascii="仿宋" w:hAnsi="仿宋" w:eastAsia="仿宋" w:cs="Arial"/>
                <w:color w:val="000000"/>
                <w:szCs w:val="21"/>
              </w:rPr>
              <w:t>施工现场</w:t>
            </w:r>
            <w:r>
              <w:rPr>
                <w:rFonts w:hint="eastAsia" w:ascii="仿宋" w:hAnsi="仿宋" w:eastAsia="仿宋" w:cs="Arial"/>
                <w:color w:val="000000"/>
                <w:szCs w:val="21"/>
              </w:rPr>
              <w:t>材料</w:t>
            </w:r>
            <w:r>
              <w:rPr>
                <w:rFonts w:ascii="仿宋" w:hAnsi="仿宋" w:eastAsia="仿宋" w:cs="Arial"/>
                <w:color w:val="000000"/>
                <w:szCs w:val="21"/>
              </w:rPr>
              <w:t>等级的确认</w:t>
            </w:r>
          </w:p>
        </w:tc>
        <w:tc>
          <w:tcPr>
            <w:tcW w:w="1276" w:type="dxa"/>
            <w:vAlign w:val="center"/>
          </w:tcPr>
          <w:p>
            <w:pPr>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施工技术准备</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1. 材料的计算</w:t>
            </w:r>
          </w:p>
          <w:p>
            <w:pPr>
              <w:spacing w:line="300" w:lineRule="exact"/>
              <w:jc w:val="left"/>
              <w:rPr>
                <w:rFonts w:ascii="仿宋" w:hAnsi="仿宋" w:eastAsia="仿宋" w:cs="Arial"/>
                <w:szCs w:val="21"/>
              </w:rPr>
            </w:pPr>
            <w:r>
              <w:rPr>
                <w:rFonts w:hint="eastAsia" w:ascii="仿宋" w:hAnsi="仿宋" w:eastAsia="仿宋" w:cs="Arial"/>
                <w:szCs w:val="21"/>
              </w:rPr>
              <w:t>2. 机床设备的选择和计算</w:t>
            </w:r>
          </w:p>
        </w:tc>
        <w:tc>
          <w:tcPr>
            <w:tcW w:w="1276" w:type="dxa"/>
            <w:vAlign w:val="center"/>
          </w:tcPr>
          <w:p>
            <w:pPr>
              <w:jc w:val="center"/>
              <w:rPr>
                <w:rFonts w:ascii="仿宋" w:hAnsi="仿宋" w:eastAsia="仿宋" w:cs="Arial"/>
                <w:szCs w:val="21"/>
              </w:rPr>
            </w:pPr>
            <w:r>
              <w:rPr>
                <w:rFonts w:hint="eastAsia" w:ascii="仿宋" w:hAnsi="仿宋" w:eastAsia="仿宋" w:cs="Arial"/>
                <w:szCs w:val="21"/>
              </w:rPr>
              <w:t>10</w:t>
            </w:r>
          </w:p>
        </w:tc>
        <w:tc>
          <w:tcPr>
            <w:tcW w:w="818" w:type="dxa"/>
            <w:vAlign w:val="center"/>
          </w:tcPr>
          <w:p>
            <w:pPr>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Align w:val="center"/>
          </w:tcPr>
          <w:p>
            <w:pPr>
              <w:spacing w:line="300" w:lineRule="exact"/>
              <w:jc w:val="left"/>
              <w:rPr>
                <w:rFonts w:ascii="仿宋" w:hAnsi="仿宋" w:eastAsia="仿宋" w:cs="Arial"/>
                <w:szCs w:val="21"/>
              </w:rPr>
            </w:pPr>
            <w:r>
              <w:rPr>
                <w:rFonts w:hint="eastAsia" w:ascii="仿宋" w:hAnsi="仿宋" w:eastAsia="仿宋" w:cs="Arial"/>
                <w:szCs w:val="21"/>
              </w:rPr>
              <w:t>施工制作</w:t>
            </w:r>
          </w:p>
        </w:tc>
        <w:tc>
          <w:tcPr>
            <w:tcW w:w="113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生产工艺</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掌握常用数控机床的操作及编程方法，熟悉生产流程各环节的工艺</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15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restart"/>
            <w:vAlign w:val="center"/>
          </w:tcPr>
          <w:p>
            <w:pPr>
              <w:spacing w:line="300" w:lineRule="exact"/>
              <w:jc w:val="left"/>
              <w:rPr>
                <w:rFonts w:ascii="仿宋" w:hAnsi="仿宋" w:eastAsia="仿宋" w:cs="Arial"/>
                <w:szCs w:val="21"/>
              </w:rPr>
            </w:pPr>
            <w:r>
              <w:rPr>
                <w:rFonts w:ascii="仿宋" w:hAnsi="仿宋" w:eastAsia="仿宋" w:cs="Arial"/>
                <w:szCs w:val="21"/>
              </w:rPr>
              <w:t>工后处理</w:t>
            </w:r>
          </w:p>
        </w:tc>
        <w:tc>
          <w:tcPr>
            <w:tcW w:w="1134" w:type="dxa"/>
            <w:vAlign w:val="center"/>
          </w:tcPr>
          <w:p>
            <w:pPr>
              <w:spacing w:line="300" w:lineRule="exact"/>
              <w:jc w:val="left"/>
              <w:rPr>
                <w:rFonts w:ascii="仿宋" w:hAnsi="仿宋" w:eastAsia="仿宋" w:cs="Arial"/>
                <w:szCs w:val="21"/>
              </w:rPr>
            </w:pPr>
            <w:r>
              <w:rPr>
                <w:rFonts w:ascii="仿宋" w:hAnsi="仿宋" w:eastAsia="仿宋" w:cs="Arial"/>
                <w:szCs w:val="21"/>
              </w:rPr>
              <w:t>质量检查</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1.</w:t>
            </w:r>
            <w:r>
              <w:rPr>
                <w:rFonts w:ascii="仿宋" w:hAnsi="仿宋" w:eastAsia="仿宋" w:cs="Arial"/>
                <w:szCs w:val="21"/>
              </w:rPr>
              <w:t xml:space="preserve"> </w:t>
            </w:r>
            <w:r>
              <w:rPr>
                <w:rFonts w:hint="eastAsia" w:ascii="仿宋" w:hAnsi="仿宋" w:eastAsia="仿宋" w:cs="Arial"/>
                <w:szCs w:val="21"/>
              </w:rPr>
              <w:t>质量检查的标准</w:t>
            </w:r>
          </w:p>
          <w:p>
            <w:pPr>
              <w:spacing w:line="300" w:lineRule="exact"/>
              <w:jc w:val="left"/>
              <w:rPr>
                <w:rFonts w:ascii="仿宋" w:hAnsi="仿宋" w:eastAsia="仿宋" w:cs="Arial"/>
                <w:szCs w:val="21"/>
              </w:rPr>
            </w:pPr>
            <w:r>
              <w:rPr>
                <w:rFonts w:hint="eastAsia" w:ascii="仿宋" w:hAnsi="仿宋" w:eastAsia="仿宋" w:cs="Arial"/>
                <w:szCs w:val="21"/>
              </w:rPr>
              <w:t xml:space="preserve">2. </w:t>
            </w:r>
            <w:r>
              <w:rPr>
                <w:rFonts w:ascii="仿宋" w:hAnsi="仿宋" w:eastAsia="仿宋" w:cs="Arial"/>
                <w:szCs w:val="21"/>
              </w:rPr>
              <w:t>上道下道工序不连贯的影响</w:t>
            </w:r>
          </w:p>
          <w:p>
            <w:pPr>
              <w:spacing w:line="300" w:lineRule="exact"/>
              <w:jc w:val="left"/>
              <w:rPr>
                <w:rFonts w:ascii="仿宋" w:hAnsi="仿宋" w:eastAsia="仿宋" w:cs="Arial"/>
                <w:szCs w:val="21"/>
              </w:rPr>
            </w:pPr>
            <w:r>
              <w:rPr>
                <w:rFonts w:hint="eastAsia" w:ascii="仿宋" w:hAnsi="仿宋" w:eastAsia="仿宋" w:cs="Arial"/>
                <w:szCs w:val="21"/>
              </w:rPr>
              <w:t xml:space="preserve">3. </w:t>
            </w:r>
            <w:r>
              <w:rPr>
                <w:rFonts w:ascii="仿宋" w:hAnsi="仿宋" w:eastAsia="仿宋" w:cs="Arial"/>
                <w:szCs w:val="21"/>
              </w:rPr>
              <w:t>尺寸不准确对安装的影响</w:t>
            </w:r>
          </w:p>
          <w:p>
            <w:pPr>
              <w:spacing w:line="300" w:lineRule="exact"/>
              <w:jc w:val="left"/>
              <w:rPr>
                <w:rFonts w:ascii="仿宋" w:hAnsi="仿宋" w:eastAsia="仿宋" w:cs="Arial"/>
                <w:szCs w:val="21"/>
              </w:rPr>
            </w:pPr>
            <w:r>
              <w:rPr>
                <w:rFonts w:hint="eastAsia" w:ascii="仿宋" w:hAnsi="仿宋" w:eastAsia="仿宋" w:cs="Arial"/>
                <w:szCs w:val="21"/>
              </w:rPr>
              <w:t xml:space="preserve">4. </w:t>
            </w:r>
            <w:r>
              <w:rPr>
                <w:rFonts w:ascii="仿宋" w:hAnsi="仿宋" w:eastAsia="仿宋" w:cs="Arial"/>
                <w:szCs w:val="21"/>
              </w:rPr>
              <w:t>产品质量标准执行的重要性</w:t>
            </w:r>
          </w:p>
        </w:tc>
        <w:tc>
          <w:tcPr>
            <w:tcW w:w="1276"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Merge w:val="restart"/>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缺陷处理</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1. 家</w:t>
            </w:r>
            <w:r>
              <w:rPr>
                <w:rFonts w:ascii="仿宋" w:hAnsi="仿宋" w:eastAsia="仿宋" w:cs="Arial"/>
                <w:szCs w:val="21"/>
              </w:rPr>
              <w:t>具缺陷</w:t>
            </w:r>
            <w:r>
              <w:rPr>
                <w:rFonts w:hint="eastAsia" w:ascii="仿宋" w:hAnsi="仿宋" w:eastAsia="仿宋" w:cs="Arial"/>
                <w:szCs w:val="21"/>
              </w:rPr>
              <w:t>的类型、性质及</w:t>
            </w:r>
            <w:r>
              <w:rPr>
                <w:rFonts w:ascii="仿宋" w:hAnsi="仿宋" w:eastAsia="仿宋" w:cs="Arial"/>
                <w:szCs w:val="21"/>
              </w:rPr>
              <w:t>处理步骤</w:t>
            </w:r>
          </w:p>
          <w:p>
            <w:pPr>
              <w:spacing w:line="300" w:lineRule="exact"/>
              <w:jc w:val="left"/>
              <w:rPr>
                <w:rFonts w:ascii="仿宋" w:hAnsi="仿宋" w:eastAsia="仿宋" w:cs="Arial"/>
                <w:szCs w:val="21"/>
              </w:rPr>
            </w:pPr>
            <w:r>
              <w:rPr>
                <w:rFonts w:hint="eastAsia" w:ascii="仿宋" w:hAnsi="仿宋" w:eastAsia="仿宋" w:cs="Arial"/>
                <w:szCs w:val="21"/>
              </w:rPr>
              <w:t xml:space="preserve">2. </w:t>
            </w:r>
            <w:r>
              <w:rPr>
                <w:rFonts w:ascii="仿宋" w:hAnsi="仿宋" w:eastAsia="仿宋" w:cs="Arial"/>
                <w:szCs w:val="21"/>
              </w:rPr>
              <w:t>产生缺陷原因分析</w:t>
            </w:r>
          </w:p>
          <w:p>
            <w:pPr>
              <w:spacing w:line="300" w:lineRule="exact"/>
              <w:jc w:val="left"/>
              <w:rPr>
                <w:rFonts w:ascii="仿宋" w:hAnsi="仿宋" w:eastAsia="仿宋" w:cs="Arial"/>
                <w:szCs w:val="21"/>
              </w:rPr>
            </w:pPr>
            <w:r>
              <w:rPr>
                <w:rFonts w:hint="eastAsia" w:ascii="仿宋" w:hAnsi="仿宋" w:eastAsia="仿宋" w:cs="Arial"/>
                <w:szCs w:val="21"/>
              </w:rPr>
              <w:t xml:space="preserve">3. </w:t>
            </w:r>
            <w:r>
              <w:rPr>
                <w:rFonts w:ascii="仿宋" w:hAnsi="仿宋" w:eastAsia="仿宋" w:cs="Arial"/>
                <w:szCs w:val="21"/>
              </w:rPr>
              <w:t>重大</w:t>
            </w:r>
            <w:r>
              <w:rPr>
                <w:rFonts w:hint="eastAsia" w:ascii="仿宋" w:hAnsi="仿宋" w:eastAsia="仿宋" w:cs="Arial"/>
                <w:szCs w:val="21"/>
              </w:rPr>
              <w:t>缺陷</w:t>
            </w:r>
            <w:r>
              <w:rPr>
                <w:rFonts w:ascii="仿宋" w:hAnsi="仿宋" w:eastAsia="仿宋" w:cs="Arial"/>
                <w:szCs w:val="21"/>
              </w:rPr>
              <w:t>的处理方案的确定</w:t>
            </w:r>
          </w:p>
        </w:tc>
        <w:tc>
          <w:tcPr>
            <w:tcW w:w="1276" w:type="dxa"/>
            <w:vMerge w:val="continue"/>
            <w:vAlign w:val="center"/>
          </w:tcPr>
          <w:p>
            <w:pPr>
              <w:spacing w:line="300" w:lineRule="exact"/>
              <w:jc w:val="center"/>
              <w:rPr>
                <w:rFonts w:ascii="仿宋" w:hAnsi="仿宋" w:eastAsia="仿宋" w:cs="Arial"/>
                <w:szCs w:val="21"/>
              </w:rPr>
            </w:pPr>
          </w:p>
        </w:tc>
        <w:tc>
          <w:tcPr>
            <w:tcW w:w="818" w:type="dxa"/>
            <w:vMerge w:val="continue"/>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质量评定</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 xml:space="preserve">1. </w:t>
            </w:r>
            <w:r>
              <w:rPr>
                <w:rFonts w:ascii="仿宋" w:hAnsi="仿宋" w:eastAsia="仿宋" w:cs="Arial"/>
                <w:szCs w:val="21"/>
              </w:rPr>
              <w:t>质量评定的步骤</w:t>
            </w:r>
          </w:p>
          <w:p>
            <w:pPr>
              <w:spacing w:line="300" w:lineRule="exact"/>
              <w:jc w:val="left"/>
              <w:rPr>
                <w:rFonts w:ascii="仿宋" w:hAnsi="仿宋" w:eastAsia="仿宋" w:cs="Arial"/>
                <w:szCs w:val="21"/>
              </w:rPr>
            </w:pPr>
            <w:r>
              <w:rPr>
                <w:rFonts w:hint="eastAsia" w:ascii="仿宋" w:hAnsi="仿宋" w:eastAsia="仿宋" w:cs="Arial"/>
                <w:szCs w:val="21"/>
              </w:rPr>
              <w:t xml:space="preserve">2. </w:t>
            </w:r>
            <w:r>
              <w:rPr>
                <w:rFonts w:ascii="仿宋" w:hAnsi="仿宋" w:eastAsia="仿宋" w:cs="Arial"/>
                <w:szCs w:val="21"/>
              </w:rPr>
              <w:t>质量评定资料的阅读</w:t>
            </w:r>
          </w:p>
          <w:p>
            <w:pPr>
              <w:spacing w:line="300" w:lineRule="exact"/>
              <w:jc w:val="left"/>
              <w:rPr>
                <w:rFonts w:ascii="仿宋" w:hAnsi="仿宋" w:eastAsia="仿宋" w:cs="Arial"/>
                <w:szCs w:val="21"/>
              </w:rPr>
            </w:pPr>
            <w:r>
              <w:rPr>
                <w:rFonts w:hint="eastAsia" w:ascii="仿宋" w:hAnsi="仿宋" w:eastAsia="仿宋" w:cs="Arial"/>
                <w:szCs w:val="21"/>
              </w:rPr>
              <w:t xml:space="preserve">3. </w:t>
            </w:r>
            <w:r>
              <w:rPr>
                <w:rFonts w:ascii="仿宋" w:hAnsi="仿宋" w:eastAsia="仿宋" w:cs="Arial"/>
                <w:szCs w:val="21"/>
              </w:rPr>
              <w:t>测量仪具的准备</w:t>
            </w:r>
          </w:p>
          <w:p>
            <w:pPr>
              <w:spacing w:line="300" w:lineRule="exact"/>
              <w:jc w:val="left"/>
              <w:rPr>
                <w:rFonts w:ascii="仿宋" w:hAnsi="仿宋" w:eastAsia="仿宋" w:cs="Arial"/>
                <w:szCs w:val="21"/>
              </w:rPr>
            </w:pPr>
            <w:r>
              <w:rPr>
                <w:rFonts w:hint="eastAsia" w:ascii="仿宋" w:hAnsi="仿宋" w:eastAsia="仿宋" w:cs="Arial"/>
                <w:szCs w:val="21"/>
              </w:rPr>
              <w:t xml:space="preserve">4. </w:t>
            </w:r>
            <w:r>
              <w:rPr>
                <w:rFonts w:ascii="仿宋" w:hAnsi="仿宋" w:eastAsia="仿宋" w:cs="Arial"/>
                <w:szCs w:val="21"/>
              </w:rPr>
              <w:t>质量水平的评定</w:t>
            </w:r>
          </w:p>
          <w:p>
            <w:pPr>
              <w:spacing w:line="300" w:lineRule="exact"/>
              <w:jc w:val="left"/>
              <w:rPr>
                <w:rFonts w:ascii="仿宋" w:hAnsi="仿宋" w:eastAsia="仿宋" w:cs="Arial"/>
                <w:szCs w:val="21"/>
              </w:rPr>
            </w:pPr>
            <w:r>
              <w:rPr>
                <w:rFonts w:hint="eastAsia" w:ascii="仿宋" w:hAnsi="仿宋" w:eastAsia="仿宋" w:cs="Arial"/>
                <w:szCs w:val="21"/>
              </w:rPr>
              <w:t>5. 家</w:t>
            </w:r>
            <w:r>
              <w:rPr>
                <w:rFonts w:ascii="仿宋" w:hAnsi="仿宋" w:eastAsia="仿宋" w:cs="Arial"/>
                <w:szCs w:val="21"/>
              </w:rPr>
              <w:t>具质量水平的控制</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2127" w:type="dxa"/>
            <w:gridSpan w:val="2"/>
            <w:vAlign w:val="center"/>
          </w:tcPr>
          <w:p>
            <w:pPr>
              <w:spacing w:line="300" w:lineRule="exact"/>
              <w:jc w:val="left"/>
              <w:rPr>
                <w:rFonts w:ascii="仿宋" w:hAnsi="仿宋" w:eastAsia="仿宋" w:cs="Arial"/>
                <w:szCs w:val="21"/>
              </w:rPr>
            </w:pPr>
            <w:r>
              <w:rPr>
                <w:rFonts w:hint="eastAsia" w:ascii="仿宋" w:hAnsi="仿宋" w:eastAsia="仿宋" w:cs="Arial"/>
                <w:szCs w:val="21"/>
              </w:rPr>
              <w:t>班组管理</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班组管理</w:t>
            </w:r>
            <w:r>
              <w:rPr>
                <w:rFonts w:ascii="仿宋" w:hAnsi="仿宋" w:eastAsia="仿宋" w:cs="Arial"/>
                <w:color w:val="000000"/>
                <w:szCs w:val="21"/>
              </w:rPr>
              <w:t>的作用</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 xml:space="preserve">2. </w:t>
            </w:r>
            <w:r>
              <w:rPr>
                <w:rFonts w:ascii="仿宋" w:hAnsi="仿宋" w:eastAsia="仿宋" w:cs="Arial"/>
                <w:color w:val="000000"/>
                <w:szCs w:val="21"/>
              </w:rPr>
              <w:t>班组管理的内容</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 xml:space="preserve">3. </w:t>
            </w:r>
            <w:r>
              <w:rPr>
                <w:rFonts w:ascii="仿宋" w:hAnsi="仿宋" w:eastAsia="仿宋" w:cs="Arial"/>
                <w:color w:val="000000"/>
                <w:szCs w:val="21"/>
              </w:rPr>
              <w:t>加强班组管理的方法</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restart"/>
            <w:vAlign w:val="center"/>
          </w:tcPr>
          <w:p>
            <w:pPr>
              <w:spacing w:line="300" w:lineRule="exact"/>
              <w:jc w:val="left"/>
              <w:rPr>
                <w:rFonts w:ascii="仿宋" w:hAnsi="仿宋" w:eastAsia="仿宋" w:cs="Arial"/>
                <w:szCs w:val="21"/>
              </w:rPr>
            </w:pPr>
            <w:r>
              <w:rPr>
                <w:rFonts w:hint="eastAsia" w:ascii="仿宋" w:hAnsi="仿宋" w:eastAsia="仿宋" w:cs="Arial"/>
                <w:szCs w:val="21"/>
              </w:rPr>
              <w:t>新材料、新技术应用</w:t>
            </w:r>
          </w:p>
        </w:tc>
        <w:tc>
          <w:tcPr>
            <w:tcW w:w="1134" w:type="dxa"/>
            <w:vAlign w:val="center"/>
          </w:tcPr>
          <w:p>
            <w:pPr>
              <w:ind w:left="105" w:leftChars="50"/>
              <w:rPr>
                <w:rFonts w:ascii="仿宋" w:hAnsi="仿宋" w:eastAsia="仿宋" w:cs="Arial"/>
                <w:szCs w:val="21"/>
              </w:rPr>
            </w:pPr>
            <w:r>
              <w:rPr>
                <w:rFonts w:hint="eastAsia" w:ascii="仿宋" w:hAnsi="仿宋" w:eastAsia="仿宋" w:cs="Arial"/>
                <w:szCs w:val="21"/>
              </w:rPr>
              <w:t>新材料应用</w:t>
            </w:r>
          </w:p>
        </w:tc>
        <w:tc>
          <w:tcPr>
            <w:tcW w:w="4284" w:type="dxa"/>
            <w:vAlign w:val="center"/>
          </w:tcPr>
          <w:p>
            <w:pPr>
              <w:rPr>
                <w:rFonts w:ascii="仿宋" w:hAnsi="仿宋" w:eastAsia="仿宋" w:cs="Arial"/>
                <w:color w:val="000000"/>
                <w:szCs w:val="21"/>
              </w:rPr>
            </w:pPr>
            <w:r>
              <w:rPr>
                <w:rFonts w:hint="eastAsia" w:ascii="仿宋" w:hAnsi="仿宋" w:eastAsia="仿宋" w:cs="Arial"/>
                <w:color w:val="000000"/>
                <w:szCs w:val="21"/>
              </w:rPr>
              <w:t>1.新材料的性能、用途及加工工艺与评定方法</w:t>
            </w:r>
          </w:p>
        </w:tc>
        <w:tc>
          <w:tcPr>
            <w:tcW w:w="1276"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10</w:t>
            </w:r>
          </w:p>
        </w:tc>
        <w:tc>
          <w:tcPr>
            <w:tcW w:w="818" w:type="dxa"/>
            <w:vMerge w:val="restart"/>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ind w:left="105" w:leftChars="50"/>
              <w:rPr>
                <w:rFonts w:ascii="仿宋" w:hAnsi="仿宋" w:eastAsia="仿宋" w:cs="Arial"/>
                <w:szCs w:val="21"/>
              </w:rPr>
            </w:pPr>
            <w:r>
              <w:rPr>
                <w:rFonts w:hint="eastAsia" w:ascii="仿宋" w:hAnsi="仿宋" w:eastAsia="仿宋" w:cs="Arial"/>
                <w:szCs w:val="21"/>
              </w:rPr>
              <w:t>新技术研究及应用</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工艺技术发展动态</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2. 新技术、新工艺的应用知识</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3．企业现代化生产流程</w:t>
            </w:r>
          </w:p>
        </w:tc>
        <w:tc>
          <w:tcPr>
            <w:tcW w:w="1276" w:type="dxa"/>
            <w:vMerge w:val="continue"/>
            <w:vAlign w:val="center"/>
          </w:tcPr>
          <w:p>
            <w:pPr>
              <w:spacing w:line="300" w:lineRule="exact"/>
              <w:jc w:val="center"/>
              <w:rPr>
                <w:rFonts w:ascii="仿宋" w:hAnsi="仿宋" w:eastAsia="仿宋" w:cs="Arial"/>
                <w:szCs w:val="21"/>
              </w:rPr>
            </w:pPr>
          </w:p>
        </w:tc>
        <w:tc>
          <w:tcPr>
            <w:tcW w:w="818" w:type="dxa"/>
            <w:vMerge w:val="continue"/>
            <w:vAlign w:val="center"/>
          </w:tcPr>
          <w:p>
            <w:pPr>
              <w:spacing w:line="300" w:lineRule="exact"/>
              <w:jc w:val="center"/>
              <w:rPr>
                <w:rFonts w:ascii="仿宋" w:hAnsi="仿宋" w:eastAsia="仿宋" w:cs="Arial"/>
                <w:szCs w:val="21"/>
              </w:rPr>
            </w:pPr>
          </w:p>
        </w:tc>
      </w:tr>
    </w:tbl>
    <w:p>
      <w:pPr>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应会（操作技能考核）：</w:t>
      </w:r>
    </w:p>
    <w:tbl>
      <w:tblPr>
        <w:tblStyle w:val="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134"/>
        <w:gridCol w:w="4284"/>
        <w:gridCol w:w="1276"/>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Align w:val="center"/>
          </w:tcPr>
          <w:p>
            <w:pPr>
              <w:jc w:val="center"/>
              <w:rPr>
                <w:rFonts w:ascii="黑体" w:hAnsi="黑体" w:eastAsia="黑体" w:cs="Arial"/>
                <w:szCs w:val="21"/>
              </w:rPr>
            </w:pPr>
            <w:r>
              <w:rPr>
                <w:rFonts w:ascii="黑体" w:hAnsi="黑体" w:eastAsia="黑体" w:cs="Arial"/>
                <w:szCs w:val="21"/>
              </w:rPr>
              <w:t>项目</w:t>
            </w:r>
          </w:p>
        </w:tc>
        <w:tc>
          <w:tcPr>
            <w:tcW w:w="2127" w:type="dxa"/>
            <w:gridSpan w:val="2"/>
            <w:vAlign w:val="center"/>
          </w:tcPr>
          <w:p>
            <w:pPr>
              <w:jc w:val="center"/>
              <w:rPr>
                <w:rFonts w:ascii="黑体" w:hAnsi="黑体" w:eastAsia="黑体" w:cs="Arial"/>
                <w:szCs w:val="21"/>
              </w:rPr>
            </w:pPr>
            <w:r>
              <w:rPr>
                <w:rFonts w:ascii="黑体" w:hAnsi="黑体" w:eastAsia="黑体" w:cs="Arial"/>
                <w:szCs w:val="21"/>
              </w:rPr>
              <w:t>考试范围</w:t>
            </w:r>
          </w:p>
        </w:tc>
        <w:tc>
          <w:tcPr>
            <w:tcW w:w="4284" w:type="dxa"/>
            <w:vAlign w:val="center"/>
          </w:tcPr>
          <w:p>
            <w:pPr>
              <w:jc w:val="center"/>
              <w:rPr>
                <w:rFonts w:ascii="黑体" w:hAnsi="黑体" w:eastAsia="黑体" w:cs="Arial"/>
                <w:szCs w:val="21"/>
              </w:rPr>
            </w:pPr>
            <w:r>
              <w:rPr>
                <w:rFonts w:ascii="黑体" w:hAnsi="黑体" w:eastAsia="黑体" w:cs="Arial"/>
                <w:szCs w:val="21"/>
              </w:rPr>
              <w:t>考试内容</w:t>
            </w:r>
          </w:p>
        </w:tc>
        <w:tc>
          <w:tcPr>
            <w:tcW w:w="1276" w:type="dxa"/>
            <w:vAlign w:val="center"/>
          </w:tcPr>
          <w:p>
            <w:pPr>
              <w:jc w:val="center"/>
              <w:rPr>
                <w:rFonts w:ascii="黑体" w:hAnsi="黑体" w:eastAsia="黑体" w:cs="Arial"/>
                <w:szCs w:val="21"/>
              </w:rPr>
            </w:pPr>
            <w:r>
              <w:rPr>
                <w:rFonts w:ascii="黑体" w:hAnsi="黑体" w:eastAsia="黑体" w:cs="Arial"/>
                <w:szCs w:val="21"/>
              </w:rPr>
              <w:t>考试比重</w:t>
            </w:r>
          </w:p>
        </w:tc>
        <w:tc>
          <w:tcPr>
            <w:tcW w:w="818" w:type="dxa"/>
            <w:vAlign w:val="center"/>
          </w:tcPr>
          <w:p>
            <w:pPr>
              <w:jc w:val="center"/>
              <w:rPr>
                <w:rFonts w:ascii="黑体" w:hAnsi="黑体" w:eastAsia="黑体" w:cs="Arial"/>
                <w:szCs w:val="21"/>
              </w:rPr>
            </w:pPr>
            <w:r>
              <w:rPr>
                <w:rFonts w:ascii="黑体" w:hAnsi="黑体" w:eastAsia="黑体" w:cs="Arial"/>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基础知识</w:t>
            </w:r>
          </w:p>
        </w:tc>
        <w:tc>
          <w:tcPr>
            <w:tcW w:w="993" w:type="dxa"/>
            <w:vAlign w:val="center"/>
          </w:tcPr>
          <w:p>
            <w:pPr>
              <w:spacing w:line="300" w:lineRule="exact"/>
              <w:jc w:val="left"/>
              <w:rPr>
                <w:rFonts w:ascii="仿宋" w:hAnsi="仿宋" w:eastAsia="仿宋" w:cs="Arial"/>
                <w:szCs w:val="21"/>
              </w:rPr>
            </w:pPr>
            <w:r>
              <w:rPr>
                <w:rFonts w:hint="eastAsia" w:ascii="仿宋" w:hAnsi="仿宋" w:eastAsia="仿宋" w:cs="Arial"/>
                <w:szCs w:val="21"/>
              </w:rPr>
              <w:t>材料知识</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五金配件</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常用五金配件的连接及安装方法</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Align w:val="center"/>
          </w:tcPr>
          <w:p>
            <w:pPr>
              <w:spacing w:line="300" w:lineRule="exact"/>
              <w:jc w:val="left"/>
              <w:rPr>
                <w:rFonts w:ascii="仿宋" w:hAnsi="仿宋" w:eastAsia="仿宋" w:cs="Arial"/>
                <w:szCs w:val="21"/>
              </w:rPr>
            </w:pPr>
            <w:r>
              <w:rPr>
                <w:rFonts w:hint="eastAsia" w:ascii="仿宋" w:hAnsi="仿宋" w:eastAsia="仿宋" w:cs="Arial"/>
                <w:szCs w:val="21"/>
              </w:rPr>
              <w:t>木工机械基础知识</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加工基准、精度、表面粗糙度、生产与工艺</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1．基准定位</w:t>
            </w:r>
          </w:p>
          <w:p>
            <w:pPr>
              <w:spacing w:line="300" w:lineRule="exact"/>
              <w:ind w:left="33"/>
              <w:jc w:val="left"/>
              <w:rPr>
                <w:rFonts w:ascii="仿宋" w:hAnsi="仿宋" w:eastAsia="仿宋" w:cs="Arial"/>
                <w:color w:val="000000"/>
                <w:szCs w:val="21"/>
              </w:rPr>
            </w:pPr>
            <w:r>
              <w:rPr>
                <w:rFonts w:hint="eastAsia" w:ascii="仿宋" w:hAnsi="仿宋" w:eastAsia="仿宋" w:cs="Arial"/>
                <w:color w:val="000000"/>
                <w:szCs w:val="21"/>
              </w:rPr>
              <w:t>2．加工精度</w:t>
            </w:r>
          </w:p>
          <w:p>
            <w:pPr>
              <w:spacing w:line="300" w:lineRule="exact"/>
              <w:ind w:left="33"/>
              <w:jc w:val="left"/>
              <w:rPr>
                <w:rFonts w:ascii="仿宋" w:hAnsi="仿宋" w:eastAsia="仿宋" w:cs="Arial"/>
                <w:color w:val="000000"/>
                <w:szCs w:val="21"/>
              </w:rPr>
            </w:pPr>
            <w:r>
              <w:rPr>
                <w:rFonts w:hint="eastAsia" w:ascii="仿宋" w:hAnsi="仿宋" w:eastAsia="仿宋" w:cs="Arial"/>
                <w:color w:val="000000"/>
                <w:szCs w:val="21"/>
              </w:rPr>
              <w:t>3．表面粗糙度的控制</w:t>
            </w:r>
          </w:p>
          <w:p>
            <w:pPr>
              <w:spacing w:line="300" w:lineRule="exact"/>
              <w:ind w:left="33"/>
              <w:jc w:val="left"/>
              <w:rPr>
                <w:rFonts w:ascii="仿宋" w:hAnsi="仿宋" w:eastAsia="仿宋" w:cs="Arial"/>
                <w:color w:val="000000"/>
                <w:szCs w:val="21"/>
              </w:rPr>
            </w:pPr>
            <w:r>
              <w:rPr>
                <w:rFonts w:hint="eastAsia" w:ascii="仿宋" w:hAnsi="仿宋" w:eastAsia="仿宋" w:cs="Arial"/>
                <w:color w:val="000000"/>
                <w:szCs w:val="21"/>
              </w:rPr>
              <w:t>4．生产过程</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10</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Align w:val="center"/>
          </w:tcPr>
          <w:p>
            <w:pPr>
              <w:spacing w:line="300" w:lineRule="exact"/>
              <w:jc w:val="left"/>
              <w:rPr>
                <w:rFonts w:ascii="仿宋" w:hAnsi="仿宋" w:eastAsia="仿宋" w:cs="Arial"/>
                <w:szCs w:val="21"/>
              </w:rPr>
            </w:pPr>
            <w:r>
              <w:rPr>
                <w:rFonts w:ascii="仿宋" w:hAnsi="仿宋" w:eastAsia="仿宋" w:cs="Arial"/>
                <w:szCs w:val="21"/>
              </w:rPr>
              <w:t>木</w:t>
            </w:r>
            <w:r>
              <w:rPr>
                <w:rFonts w:hint="eastAsia" w:ascii="仿宋" w:hAnsi="仿宋" w:eastAsia="仿宋" w:cs="Arial"/>
                <w:szCs w:val="21"/>
              </w:rPr>
              <w:t>制品结构</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传</w:t>
            </w:r>
            <w:r>
              <w:rPr>
                <w:rFonts w:ascii="仿宋" w:hAnsi="仿宋" w:eastAsia="仿宋" w:cs="Arial"/>
                <w:szCs w:val="21"/>
              </w:rPr>
              <w:t>统家具的接合方式</w:t>
            </w:r>
          </w:p>
        </w:tc>
        <w:tc>
          <w:tcPr>
            <w:tcW w:w="4284" w:type="dxa"/>
            <w:vAlign w:val="center"/>
          </w:tcPr>
          <w:p>
            <w:pPr>
              <w:spacing w:line="300" w:lineRule="exact"/>
              <w:jc w:val="left"/>
              <w:rPr>
                <w:rFonts w:ascii="仿宋" w:hAnsi="仿宋" w:eastAsia="仿宋" w:cs="Arial"/>
                <w:szCs w:val="21"/>
              </w:rPr>
            </w:pPr>
            <w:r>
              <w:rPr>
                <w:rFonts w:hint="eastAsia" w:ascii="仿宋" w:hAnsi="仿宋" w:eastAsia="仿宋" w:cs="Arial"/>
                <w:szCs w:val="21"/>
              </w:rPr>
              <w:t>能够识读产品结构图，并按图施工</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10</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专业知识</w:t>
            </w:r>
          </w:p>
        </w:tc>
        <w:tc>
          <w:tcPr>
            <w:tcW w:w="993" w:type="dxa"/>
            <w:vMerge w:val="restart"/>
            <w:vAlign w:val="center"/>
          </w:tcPr>
          <w:p>
            <w:pPr>
              <w:rPr>
                <w:rFonts w:ascii="仿宋" w:hAnsi="仿宋" w:eastAsia="仿宋" w:cs="Arial"/>
                <w:szCs w:val="21"/>
              </w:rPr>
            </w:pPr>
            <w:r>
              <w:rPr>
                <w:rFonts w:hint="eastAsia" w:ascii="仿宋" w:hAnsi="仿宋" w:eastAsia="仿宋" w:cs="Arial"/>
                <w:szCs w:val="21"/>
              </w:rPr>
              <w:t>工前准备</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施工场地准备</w:t>
            </w:r>
          </w:p>
        </w:tc>
        <w:tc>
          <w:tcPr>
            <w:tcW w:w="4284" w:type="dxa"/>
            <w:vAlign w:val="center"/>
          </w:tcPr>
          <w:p>
            <w:pPr>
              <w:spacing w:line="300" w:lineRule="exact"/>
              <w:jc w:val="left"/>
              <w:rPr>
                <w:rFonts w:ascii="仿宋" w:hAnsi="仿宋" w:eastAsia="仿宋" w:cs="Arial"/>
                <w:szCs w:val="21"/>
              </w:rPr>
            </w:pPr>
            <w:r>
              <w:rPr>
                <w:rFonts w:ascii="仿宋" w:hAnsi="仿宋" w:eastAsia="仿宋" w:cs="Arial"/>
                <w:szCs w:val="21"/>
              </w:rPr>
              <w:t>操作场布图的布置</w:t>
            </w:r>
            <w:r>
              <w:rPr>
                <w:rFonts w:hint="eastAsia" w:ascii="仿宋" w:hAnsi="仿宋" w:eastAsia="仿宋" w:cs="Arial"/>
                <w:szCs w:val="21"/>
              </w:rPr>
              <w:t>和检查</w:t>
            </w:r>
          </w:p>
        </w:tc>
        <w:tc>
          <w:tcPr>
            <w:tcW w:w="1276" w:type="dxa"/>
            <w:vAlign w:val="center"/>
          </w:tcPr>
          <w:p>
            <w:pPr>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rPr>
                <w:rFonts w:ascii="仿宋" w:hAnsi="仿宋" w:eastAsia="仿宋" w:cs="Arial"/>
                <w:szCs w:val="21"/>
              </w:rPr>
            </w:pPr>
          </w:p>
        </w:tc>
        <w:tc>
          <w:tcPr>
            <w:tcW w:w="1134" w:type="dxa"/>
            <w:vAlign w:val="center"/>
          </w:tcPr>
          <w:p>
            <w:pPr>
              <w:spacing w:line="300" w:lineRule="exact"/>
              <w:rPr>
                <w:rFonts w:ascii="仿宋" w:hAnsi="仿宋" w:eastAsia="仿宋" w:cs="Arial"/>
                <w:szCs w:val="21"/>
              </w:rPr>
            </w:pPr>
            <w:r>
              <w:rPr>
                <w:rFonts w:ascii="仿宋" w:hAnsi="仿宋" w:eastAsia="仿宋" w:cs="Arial"/>
                <w:szCs w:val="21"/>
              </w:rPr>
              <w:t>工具设备及制作材料的准备</w:t>
            </w:r>
          </w:p>
        </w:tc>
        <w:tc>
          <w:tcPr>
            <w:tcW w:w="4284" w:type="dxa"/>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能够根据施工进度和内容安排生产进度表和加工工艺单</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2.根据特殊施工需要，选择和准备相关工具</w:t>
            </w:r>
          </w:p>
        </w:tc>
        <w:tc>
          <w:tcPr>
            <w:tcW w:w="1276" w:type="dxa"/>
            <w:vAlign w:val="center"/>
          </w:tcPr>
          <w:p>
            <w:pPr>
              <w:jc w:val="center"/>
              <w:rPr>
                <w:rFonts w:ascii="仿宋" w:hAnsi="仿宋" w:eastAsia="仿宋" w:cs="Arial"/>
                <w:szCs w:val="21"/>
              </w:rPr>
            </w:pPr>
            <w:r>
              <w:rPr>
                <w:rFonts w:ascii="仿宋" w:hAnsi="仿宋" w:eastAsia="仿宋" w:cs="Arial"/>
                <w:szCs w:val="21"/>
              </w:rPr>
              <w:t>10</w:t>
            </w:r>
          </w:p>
        </w:tc>
        <w:tc>
          <w:tcPr>
            <w:tcW w:w="818" w:type="dxa"/>
            <w:vAlign w:val="center"/>
          </w:tcPr>
          <w:p>
            <w:pPr>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施工技术准备</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工作量计算</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2. 工料分析</w:t>
            </w:r>
          </w:p>
        </w:tc>
        <w:tc>
          <w:tcPr>
            <w:tcW w:w="1276" w:type="dxa"/>
            <w:vAlign w:val="center"/>
          </w:tcPr>
          <w:p>
            <w:pPr>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Align w:val="center"/>
          </w:tcPr>
          <w:p>
            <w:pPr>
              <w:spacing w:line="300" w:lineRule="exact"/>
              <w:jc w:val="left"/>
              <w:rPr>
                <w:rFonts w:ascii="仿宋" w:hAnsi="仿宋" w:eastAsia="仿宋" w:cs="Arial"/>
                <w:szCs w:val="21"/>
              </w:rPr>
            </w:pPr>
            <w:r>
              <w:rPr>
                <w:rFonts w:hint="eastAsia" w:ascii="仿宋" w:hAnsi="仿宋" w:eastAsia="仿宋" w:cs="Arial"/>
                <w:szCs w:val="21"/>
              </w:rPr>
              <w:t>施工制作</w:t>
            </w: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生产工艺</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能够运用数控机床进行零部件加工，能全生产流程制作传统家具</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1</w:t>
            </w:r>
            <w:r>
              <w:rPr>
                <w:rFonts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restart"/>
            <w:vAlign w:val="center"/>
          </w:tcPr>
          <w:p>
            <w:pPr>
              <w:spacing w:line="300" w:lineRule="exact"/>
              <w:jc w:val="left"/>
              <w:rPr>
                <w:rFonts w:ascii="仿宋" w:hAnsi="仿宋" w:eastAsia="仿宋" w:cs="Arial"/>
                <w:szCs w:val="21"/>
              </w:rPr>
            </w:pPr>
            <w:r>
              <w:rPr>
                <w:rFonts w:ascii="仿宋" w:hAnsi="仿宋" w:eastAsia="仿宋" w:cs="Arial"/>
                <w:szCs w:val="21"/>
              </w:rPr>
              <w:t>工后处理</w:t>
            </w:r>
          </w:p>
        </w:tc>
        <w:tc>
          <w:tcPr>
            <w:tcW w:w="1134" w:type="dxa"/>
            <w:vAlign w:val="center"/>
          </w:tcPr>
          <w:p>
            <w:pPr>
              <w:spacing w:line="300" w:lineRule="exact"/>
              <w:jc w:val="left"/>
              <w:rPr>
                <w:rFonts w:ascii="仿宋" w:hAnsi="仿宋" w:eastAsia="仿宋" w:cs="Arial"/>
                <w:szCs w:val="21"/>
              </w:rPr>
            </w:pPr>
            <w:r>
              <w:rPr>
                <w:rFonts w:ascii="仿宋" w:hAnsi="仿宋" w:eastAsia="仿宋" w:cs="Arial"/>
                <w:szCs w:val="21"/>
              </w:rPr>
              <w:t>质量检查</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w:t>
            </w:r>
            <w:r>
              <w:rPr>
                <w:rFonts w:ascii="仿宋" w:hAnsi="仿宋" w:eastAsia="仿宋" w:cs="Arial"/>
                <w:color w:val="000000"/>
                <w:szCs w:val="21"/>
              </w:rPr>
              <w:t xml:space="preserve"> </w:t>
            </w:r>
            <w:r>
              <w:rPr>
                <w:rFonts w:hint="eastAsia" w:ascii="仿宋" w:hAnsi="仿宋" w:eastAsia="仿宋" w:cs="Arial"/>
                <w:color w:val="000000"/>
                <w:szCs w:val="21"/>
              </w:rPr>
              <w:t>按照标准进行产品质量自查</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2. 统计分析质量问题</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Merge w:val="restart"/>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缺陷处理</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缺陷</w:t>
            </w:r>
            <w:r>
              <w:rPr>
                <w:rFonts w:ascii="仿宋" w:hAnsi="仿宋" w:eastAsia="仿宋" w:cs="Arial"/>
                <w:color w:val="000000"/>
                <w:szCs w:val="21"/>
              </w:rPr>
              <w:t>的处理方案</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Merge w:val="continue"/>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spacing w:line="300" w:lineRule="exact"/>
              <w:jc w:val="left"/>
              <w:rPr>
                <w:rFonts w:ascii="仿宋" w:hAnsi="仿宋" w:eastAsia="仿宋" w:cs="Arial"/>
                <w:szCs w:val="21"/>
              </w:rPr>
            </w:pPr>
            <w:r>
              <w:rPr>
                <w:rFonts w:hint="eastAsia" w:ascii="仿宋" w:hAnsi="仿宋" w:eastAsia="仿宋" w:cs="Arial"/>
                <w:szCs w:val="21"/>
              </w:rPr>
              <w:t>质量评定</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能够运用评定方法对产品质量进行评定</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5</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color w:val="000000"/>
                <w:szCs w:val="21"/>
              </w:rPr>
            </w:pPr>
          </w:p>
        </w:tc>
        <w:tc>
          <w:tcPr>
            <w:tcW w:w="2127" w:type="dxa"/>
            <w:gridSpan w:val="2"/>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工序管理</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能够根据要求制定工序管理计划</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2. 质量管理</w:t>
            </w:r>
          </w:p>
        </w:tc>
        <w:tc>
          <w:tcPr>
            <w:tcW w:w="1276" w:type="dxa"/>
            <w:vAlign w:val="center"/>
          </w:tcPr>
          <w:p>
            <w:pPr>
              <w:spacing w:line="300" w:lineRule="exact"/>
              <w:jc w:val="center"/>
              <w:rPr>
                <w:rFonts w:ascii="仿宋" w:hAnsi="仿宋" w:eastAsia="仿宋" w:cs="Arial"/>
                <w:szCs w:val="21"/>
              </w:rPr>
            </w:pPr>
            <w:r>
              <w:rPr>
                <w:rFonts w:hint="eastAsia" w:ascii="仿宋" w:hAnsi="仿宋" w:eastAsia="仿宋" w:cs="Arial"/>
                <w:szCs w:val="21"/>
              </w:rPr>
              <w:t>1</w:t>
            </w:r>
            <w:r>
              <w:rPr>
                <w:rFonts w:ascii="仿宋" w:hAnsi="仿宋" w:eastAsia="仿宋" w:cs="Arial"/>
                <w:szCs w:val="21"/>
              </w:rPr>
              <w:t>0</w:t>
            </w:r>
          </w:p>
        </w:tc>
        <w:tc>
          <w:tcPr>
            <w:tcW w:w="818" w:type="dxa"/>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restart"/>
            <w:vAlign w:val="center"/>
          </w:tcPr>
          <w:p>
            <w:pPr>
              <w:spacing w:line="300" w:lineRule="exact"/>
              <w:jc w:val="left"/>
              <w:rPr>
                <w:rFonts w:ascii="仿宋" w:hAnsi="仿宋" w:eastAsia="仿宋" w:cs="Arial"/>
                <w:szCs w:val="21"/>
              </w:rPr>
            </w:pPr>
            <w:r>
              <w:rPr>
                <w:rFonts w:hint="eastAsia" w:ascii="仿宋" w:hAnsi="仿宋" w:eastAsia="仿宋" w:cs="Arial"/>
                <w:szCs w:val="21"/>
              </w:rPr>
              <w:t>新材料、新技术应用</w:t>
            </w:r>
          </w:p>
        </w:tc>
        <w:tc>
          <w:tcPr>
            <w:tcW w:w="1134" w:type="dxa"/>
            <w:vAlign w:val="center"/>
          </w:tcPr>
          <w:p>
            <w:pPr>
              <w:ind w:left="105" w:leftChars="50"/>
              <w:rPr>
                <w:rFonts w:ascii="仿宋" w:hAnsi="仿宋" w:eastAsia="仿宋" w:cs="Arial"/>
                <w:szCs w:val="21"/>
              </w:rPr>
            </w:pPr>
            <w:r>
              <w:rPr>
                <w:rFonts w:hint="eastAsia" w:ascii="仿宋" w:hAnsi="仿宋" w:eastAsia="仿宋" w:cs="Arial"/>
                <w:szCs w:val="21"/>
              </w:rPr>
              <w:t>新材料应用</w:t>
            </w:r>
          </w:p>
        </w:tc>
        <w:tc>
          <w:tcPr>
            <w:tcW w:w="4284" w:type="dxa"/>
            <w:vAlign w:val="center"/>
          </w:tcPr>
          <w:p>
            <w:pPr>
              <w:rPr>
                <w:rFonts w:ascii="仿宋" w:hAnsi="仿宋" w:eastAsia="仿宋" w:cs="Arial"/>
                <w:color w:val="000000"/>
                <w:szCs w:val="21"/>
              </w:rPr>
            </w:pPr>
            <w:r>
              <w:rPr>
                <w:rFonts w:hint="eastAsia" w:ascii="仿宋" w:hAnsi="仿宋" w:eastAsia="仿宋" w:cs="Arial"/>
                <w:color w:val="000000"/>
                <w:szCs w:val="21"/>
              </w:rPr>
              <w:t>1.新材料的性能、用途及加工工艺与评定方法</w:t>
            </w:r>
          </w:p>
        </w:tc>
        <w:tc>
          <w:tcPr>
            <w:tcW w:w="1276" w:type="dxa"/>
            <w:vMerge w:val="restart"/>
            <w:vAlign w:val="center"/>
          </w:tcPr>
          <w:p>
            <w:pPr>
              <w:spacing w:line="300" w:lineRule="exact"/>
              <w:jc w:val="center"/>
              <w:rPr>
                <w:rFonts w:ascii="仿宋" w:hAnsi="仿宋" w:eastAsia="仿宋" w:cs="Arial"/>
                <w:szCs w:val="21"/>
              </w:rPr>
            </w:pPr>
            <w:r>
              <w:rPr>
                <w:rFonts w:hint="eastAsia" w:ascii="仿宋" w:hAnsi="仿宋" w:eastAsia="仿宋" w:cs="Arial"/>
                <w:szCs w:val="21"/>
              </w:rPr>
              <w:t>10</w:t>
            </w:r>
          </w:p>
        </w:tc>
        <w:tc>
          <w:tcPr>
            <w:tcW w:w="818" w:type="dxa"/>
            <w:vMerge w:val="restart"/>
            <w:vAlign w:val="center"/>
          </w:tcPr>
          <w:p>
            <w:pPr>
              <w:spacing w:line="300" w:lineRule="exact"/>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75" w:type="dxa"/>
            <w:vMerge w:val="continue"/>
            <w:vAlign w:val="center"/>
          </w:tcPr>
          <w:p>
            <w:pPr>
              <w:spacing w:line="300" w:lineRule="exact"/>
              <w:jc w:val="center"/>
              <w:rPr>
                <w:rFonts w:ascii="仿宋" w:hAnsi="仿宋" w:eastAsia="仿宋" w:cs="Arial"/>
                <w:szCs w:val="21"/>
              </w:rPr>
            </w:pPr>
          </w:p>
        </w:tc>
        <w:tc>
          <w:tcPr>
            <w:tcW w:w="993" w:type="dxa"/>
            <w:vMerge w:val="continue"/>
            <w:vAlign w:val="center"/>
          </w:tcPr>
          <w:p>
            <w:pPr>
              <w:spacing w:line="300" w:lineRule="exact"/>
              <w:jc w:val="left"/>
              <w:rPr>
                <w:rFonts w:ascii="仿宋" w:hAnsi="仿宋" w:eastAsia="仿宋" w:cs="Arial"/>
                <w:szCs w:val="21"/>
              </w:rPr>
            </w:pPr>
          </w:p>
        </w:tc>
        <w:tc>
          <w:tcPr>
            <w:tcW w:w="1134" w:type="dxa"/>
            <w:vAlign w:val="center"/>
          </w:tcPr>
          <w:p>
            <w:pPr>
              <w:ind w:left="105" w:leftChars="50"/>
              <w:rPr>
                <w:rFonts w:ascii="仿宋" w:hAnsi="仿宋" w:eastAsia="仿宋" w:cs="Arial"/>
                <w:szCs w:val="21"/>
              </w:rPr>
            </w:pPr>
            <w:r>
              <w:rPr>
                <w:rFonts w:hint="eastAsia" w:ascii="仿宋" w:hAnsi="仿宋" w:eastAsia="仿宋" w:cs="Arial"/>
                <w:szCs w:val="21"/>
              </w:rPr>
              <w:t>新技术研究及应用</w:t>
            </w:r>
          </w:p>
        </w:tc>
        <w:tc>
          <w:tcPr>
            <w:tcW w:w="4284" w:type="dxa"/>
            <w:vAlign w:val="center"/>
          </w:tcPr>
          <w:p>
            <w:pPr>
              <w:spacing w:line="300" w:lineRule="exact"/>
              <w:jc w:val="left"/>
              <w:rPr>
                <w:rFonts w:ascii="仿宋" w:hAnsi="仿宋" w:eastAsia="仿宋" w:cs="Arial"/>
                <w:color w:val="000000"/>
                <w:szCs w:val="21"/>
              </w:rPr>
            </w:pPr>
            <w:r>
              <w:rPr>
                <w:rFonts w:hint="eastAsia" w:ascii="仿宋" w:hAnsi="仿宋" w:eastAsia="仿宋" w:cs="Arial"/>
                <w:color w:val="000000"/>
                <w:szCs w:val="21"/>
              </w:rPr>
              <w:t>1. 工艺技术发展动态</w:t>
            </w:r>
          </w:p>
          <w:p>
            <w:pPr>
              <w:spacing w:line="300" w:lineRule="exact"/>
              <w:jc w:val="left"/>
              <w:rPr>
                <w:rFonts w:ascii="仿宋" w:hAnsi="仿宋" w:eastAsia="仿宋" w:cs="Arial"/>
                <w:color w:val="000000"/>
                <w:szCs w:val="21"/>
              </w:rPr>
            </w:pPr>
            <w:r>
              <w:rPr>
                <w:rFonts w:hint="eastAsia" w:ascii="仿宋" w:hAnsi="仿宋" w:eastAsia="仿宋" w:cs="Arial"/>
                <w:color w:val="000000"/>
                <w:szCs w:val="21"/>
              </w:rPr>
              <w:t>2. 新技术、新工艺的应用知识</w:t>
            </w:r>
          </w:p>
        </w:tc>
        <w:tc>
          <w:tcPr>
            <w:tcW w:w="1276" w:type="dxa"/>
            <w:vMerge w:val="continue"/>
            <w:vAlign w:val="center"/>
          </w:tcPr>
          <w:p>
            <w:pPr>
              <w:spacing w:line="300" w:lineRule="exact"/>
              <w:jc w:val="center"/>
              <w:rPr>
                <w:rFonts w:ascii="仿宋" w:hAnsi="仿宋" w:eastAsia="仿宋" w:cs="Arial"/>
                <w:szCs w:val="21"/>
              </w:rPr>
            </w:pPr>
          </w:p>
        </w:tc>
        <w:tc>
          <w:tcPr>
            <w:tcW w:w="818" w:type="dxa"/>
            <w:vMerge w:val="continue"/>
            <w:vAlign w:val="center"/>
          </w:tcPr>
          <w:p>
            <w:pPr>
              <w:spacing w:line="300" w:lineRule="exact"/>
              <w:jc w:val="center"/>
              <w:rPr>
                <w:rFonts w:ascii="仿宋" w:hAnsi="仿宋" w:eastAsia="仿宋" w:cs="Arial"/>
                <w:szCs w:val="21"/>
              </w:rPr>
            </w:pPr>
          </w:p>
        </w:tc>
      </w:tr>
    </w:tbl>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r>
        <w:rPr>
          <w:rFonts w:ascii="仿宋_GB2312" w:hAnsi="仿宋_GB2312" w:eastAsia="仿宋_GB2312" w:cs="仿宋_GB2312"/>
          <w:sz w:val="32"/>
          <w:szCs w:val="32"/>
        </w:rPr>
        <w:t xml:space="preserve"> </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通过本职业能力理论知识学习和操作技能训练，培训对象能够具备手</w:t>
      </w:r>
      <w:r>
        <w:rPr>
          <w:rFonts w:ascii="仿宋_GB2312" w:hAnsi="仿宋_GB2312" w:eastAsia="仿宋_GB2312" w:cs="仿宋_GB2312"/>
          <w:sz w:val="32"/>
          <w:szCs w:val="32"/>
        </w:rPr>
        <w:t>工木工高级</w:t>
      </w:r>
      <w:r>
        <w:rPr>
          <w:rFonts w:hint="eastAsia" w:ascii="仿宋_GB2312" w:hAnsi="仿宋_GB2312" w:eastAsia="仿宋_GB2312" w:cs="仿宋_GB2312"/>
          <w:sz w:val="32"/>
          <w:szCs w:val="32"/>
        </w:rPr>
        <w:t>职业能力所要求的理论知识和实际操作技能；能胜任传</w:t>
      </w:r>
      <w:r>
        <w:rPr>
          <w:rFonts w:ascii="仿宋_GB2312" w:hAnsi="仿宋_GB2312" w:eastAsia="仿宋_GB2312" w:cs="仿宋_GB2312"/>
          <w:sz w:val="32"/>
          <w:szCs w:val="32"/>
        </w:rPr>
        <w:t>统家具制作生产及管理</w:t>
      </w:r>
      <w:r>
        <w:rPr>
          <w:rFonts w:hint="eastAsia" w:ascii="仿宋_GB2312" w:hAnsi="仿宋_GB2312" w:eastAsia="仿宋_GB2312" w:cs="仿宋_GB2312"/>
          <w:sz w:val="32"/>
          <w:szCs w:val="32"/>
        </w:rPr>
        <w:t>岗位。</w:t>
      </w:r>
      <w:r>
        <w:rPr>
          <w:rFonts w:ascii="仿宋_GB2312" w:hAnsi="仿宋_GB2312" w:eastAsia="仿宋_GB2312" w:cs="仿宋_GB2312"/>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r>
        <w:rPr>
          <w:rFonts w:ascii="黑体" w:hAnsi="黑体" w:eastAsia="黑体" w:cs="黑体"/>
          <w:sz w:val="32"/>
          <w:szCs w:val="32"/>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969"/>
        <w:gridCol w:w="1842"/>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88" w:type="dxa"/>
            <w:vAlign w:val="center"/>
          </w:tcPr>
          <w:p>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序号</w:t>
            </w:r>
          </w:p>
        </w:tc>
        <w:tc>
          <w:tcPr>
            <w:tcW w:w="3969" w:type="dxa"/>
            <w:vAlign w:val="center"/>
          </w:tcPr>
          <w:p>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课程单元名称</w:t>
            </w:r>
          </w:p>
        </w:tc>
        <w:tc>
          <w:tcPr>
            <w:tcW w:w="1842" w:type="dxa"/>
            <w:vAlign w:val="center"/>
          </w:tcPr>
          <w:p>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所需课时数</w:t>
            </w:r>
          </w:p>
        </w:tc>
        <w:tc>
          <w:tcPr>
            <w:tcW w:w="1723" w:type="dxa"/>
            <w:vAlign w:val="center"/>
          </w:tcPr>
          <w:p>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88"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969"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传统家具制作基础知识</w:t>
            </w:r>
          </w:p>
        </w:tc>
        <w:tc>
          <w:tcPr>
            <w:tcW w:w="1842" w:type="dxa"/>
            <w:vAlign w:val="center"/>
          </w:tcPr>
          <w:p>
            <w:pPr>
              <w:jc w:val="center"/>
              <w:rPr>
                <w:rFonts w:ascii="仿宋_GB2312" w:hAnsi="仿宋_GB2312" w:eastAsia="仿宋_GB2312" w:cs="仿宋_GB2312"/>
                <w:sz w:val="30"/>
                <w:szCs w:val="30"/>
              </w:rPr>
            </w:pPr>
            <w:r>
              <w:rPr>
                <w:rFonts w:ascii="仿宋_GB2312" w:hAnsi="仿宋_GB2312" w:eastAsia="仿宋_GB2312" w:cs="仿宋_GB2312"/>
                <w:sz w:val="30"/>
                <w:szCs w:val="30"/>
              </w:rPr>
              <w:t>1</w:t>
            </w:r>
            <w:r>
              <w:rPr>
                <w:rFonts w:hint="eastAsia" w:ascii="仿宋_GB2312" w:hAnsi="仿宋_GB2312" w:eastAsia="仿宋_GB2312" w:cs="仿宋_GB2312"/>
                <w:sz w:val="30"/>
                <w:szCs w:val="30"/>
              </w:rPr>
              <w:t>8</w:t>
            </w:r>
          </w:p>
        </w:tc>
        <w:tc>
          <w:tcPr>
            <w:tcW w:w="1723"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可按实际情况适当调整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988"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2</w:t>
            </w:r>
          </w:p>
        </w:tc>
        <w:tc>
          <w:tcPr>
            <w:tcW w:w="3969"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传统家具制作工前准备</w:t>
            </w:r>
          </w:p>
        </w:tc>
        <w:tc>
          <w:tcPr>
            <w:tcW w:w="1842" w:type="dxa"/>
            <w:vAlign w:val="center"/>
          </w:tcPr>
          <w:p>
            <w:pPr>
              <w:jc w:val="center"/>
              <w:rPr>
                <w:rFonts w:ascii="仿宋_GB2312" w:hAnsi="仿宋_GB2312" w:eastAsia="仿宋_GB2312" w:cs="仿宋_GB2312"/>
                <w:sz w:val="30"/>
                <w:szCs w:val="30"/>
              </w:rPr>
            </w:pPr>
            <w:r>
              <w:rPr>
                <w:rFonts w:ascii="仿宋_GB2312" w:hAnsi="仿宋_GB2312" w:eastAsia="仿宋_GB2312" w:cs="仿宋_GB2312"/>
                <w:sz w:val="30"/>
                <w:szCs w:val="30"/>
              </w:rPr>
              <w:t>4</w:t>
            </w:r>
          </w:p>
        </w:tc>
        <w:tc>
          <w:tcPr>
            <w:tcW w:w="1723" w:type="dxa"/>
            <w:vAlign w:val="center"/>
          </w:tcPr>
          <w:p>
            <w:pPr>
              <w:jc w:val="center"/>
              <w:rPr>
                <w:sz w:val="24"/>
                <w:szCs w:val="24"/>
              </w:rPr>
            </w:pPr>
            <w:r>
              <w:rPr>
                <w:rFonts w:hint="eastAsia" w:ascii="仿宋_GB2312" w:hAnsi="仿宋_GB2312" w:eastAsia="仿宋_GB2312" w:cs="仿宋_GB2312"/>
                <w:sz w:val="24"/>
                <w:szCs w:val="24"/>
              </w:rPr>
              <w:t>可按实际情况适当调整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3969"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传统家具制作生产工艺</w:t>
            </w:r>
          </w:p>
        </w:tc>
        <w:tc>
          <w:tcPr>
            <w:tcW w:w="1842" w:type="dxa"/>
            <w:vAlign w:val="center"/>
          </w:tcPr>
          <w:p>
            <w:pPr>
              <w:jc w:val="center"/>
              <w:rPr>
                <w:rFonts w:ascii="仿宋_GB2312" w:hAnsi="仿宋_GB2312" w:eastAsia="仿宋_GB2312" w:cs="仿宋_GB2312"/>
                <w:sz w:val="30"/>
                <w:szCs w:val="30"/>
              </w:rPr>
            </w:pPr>
            <w:r>
              <w:rPr>
                <w:rFonts w:ascii="仿宋_GB2312" w:hAnsi="仿宋_GB2312" w:eastAsia="仿宋_GB2312" w:cs="仿宋_GB2312"/>
                <w:sz w:val="30"/>
                <w:szCs w:val="30"/>
              </w:rPr>
              <w:t>30</w:t>
            </w:r>
          </w:p>
        </w:tc>
        <w:tc>
          <w:tcPr>
            <w:tcW w:w="1723" w:type="dxa"/>
            <w:vAlign w:val="center"/>
          </w:tcPr>
          <w:p>
            <w:pPr>
              <w:jc w:val="center"/>
              <w:rPr>
                <w:sz w:val="24"/>
                <w:szCs w:val="24"/>
              </w:rPr>
            </w:pPr>
            <w:r>
              <w:rPr>
                <w:rFonts w:hint="eastAsia" w:ascii="仿宋_GB2312" w:hAnsi="仿宋_GB2312" w:eastAsia="仿宋_GB2312" w:cs="仿宋_GB2312"/>
                <w:sz w:val="24"/>
                <w:szCs w:val="24"/>
              </w:rPr>
              <w:t>可按实际情况适当调整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88"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3969"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传统家具制作质量控制</w:t>
            </w:r>
          </w:p>
        </w:tc>
        <w:tc>
          <w:tcPr>
            <w:tcW w:w="1842" w:type="dxa"/>
            <w:vAlign w:val="center"/>
          </w:tcPr>
          <w:p>
            <w:pPr>
              <w:jc w:val="center"/>
              <w:rPr>
                <w:rFonts w:ascii="仿宋_GB2312" w:hAnsi="仿宋_GB2312" w:eastAsia="仿宋_GB2312" w:cs="仿宋_GB2312"/>
                <w:sz w:val="30"/>
                <w:szCs w:val="30"/>
              </w:rPr>
            </w:pPr>
            <w:r>
              <w:rPr>
                <w:rFonts w:ascii="仿宋_GB2312" w:hAnsi="仿宋_GB2312" w:eastAsia="仿宋_GB2312" w:cs="仿宋_GB2312"/>
                <w:sz w:val="30"/>
                <w:szCs w:val="30"/>
              </w:rPr>
              <w:t>4</w:t>
            </w:r>
          </w:p>
        </w:tc>
        <w:tc>
          <w:tcPr>
            <w:tcW w:w="1723" w:type="dxa"/>
            <w:vAlign w:val="center"/>
          </w:tcPr>
          <w:p>
            <w:pPr>
              <w:jc w:val="center"/>
              <w:rPr>
                <w:sz w:val="24"/>
                <w:szCs w:val="24"/>
              </w:rPr>
            </w:pPr>
            <w:r>
              <w:rPr>
                <w:rFonts w:hint="eastAsia" w:ascii="仿宋_GB2312" w:hAnsi="仿宋_GB2312" w:eastAsia="仿宋_GB2312" w:cs="仿宋_GB2312"/>
                <w:sz w:val="24"/>
                <w:szCs w:val="24"/>
              </w:rPr>
              <w:t>可按实际情况适当调整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3969"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传统家具制作班组管理</w:t>
            </w:r>
          </w:p>
        </w:tc>
        <w:tc>
          <w:tcPr>
            <w:tcW w:w="1842" w:type="dxa"/>
            <w:vAlign w:val="center"/>
          </w:tcPr>
          <w:p>
            <w:pPr>
              <w:jc w:val="center"/>
              <w:rPr>
                <w:rFonts w:ascii="仿宋_GB2312" w:hAnsi="仿宋_GB2312" w:eastAsia="仿宋_GB2312" w:cs="仿宋_GB2312"/>
                <w:sz w:val="30"/>
                <w:szCs w:val="30"/>
              </w:rPr>
            </w:pPr>
            <w:r>
              <w:rPr>
                <w:rFonts w:ascii="仿宋_GB2312" w:hAnsi="仿宋_GB2312" w:eastAsia="仿宋_GB2312" w:cs="仿宋_GB2312"/>
                <w:sz w:val="30"/>
                <w:szCs w:val="30"/>
              </w:rPr>
              <w:t>4</w:t>
            </w:r>
          </w:p>
        </w:tc>
        <w:tc>
          <w:tcPr>
            <w:tcW w:w="1723" w:type="dxa"/>
            <w:vAlign w:val="center"/>
          </w:tcPr>
          <w:p>
            <w:pPr>
              <w:jc w:val="center"/>
              <w:rPr>
                <w:sz w:val="24"/>
                <w:szCs w:val="24"/>
              </w:rPr>
            </w:pPr>
            <w:r>
              <w:rPr>
                <w:rFonts w:hint="eastAsia" w:ascii="仿宋_GB2312" w:hAnsi="仿宋_GB2312" w:eastAsia="仿宋_GB2312" w:cs="仿宋_GB2312"/>
                <w:sz w:val="24"/>
                <w:szCs w:val="24"/>
              </w:rPr>
              <w:t>可按实际情况适当调整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6</w:t>
            </w:r>
          </w:p>
        </w:tc>
        <w:tc>
          <w:tcPr>
            <w:tcW w:w="3969"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新材料、新技术应用</w:t>
            </w:r>
          </w:p>
        </w:tc>
        <w:tc>
          <w:tcPr>
            <w:tcW w:w="1842" w:type="dxa"/>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20</w:t>
            </w:r>
          </w:p>
        </w:tc>
        <w:tc>
          <w:tcPr>
            <w:tcW w:w="1723" w:type="dxa"/>
            <w:vAlign w:val="center"/>
          </w:tcPr>
          <w:p>
            <w:pPr>
              <w:jc w:val="center"/>
              <w:rPr>
                <w:sz w:val="24"/>
                <w:szCs w:val="24"/>
              </w:rPr>
            </w:pPr>
            <w:r>
              <w:rPr>
                <w:rFonts w:hint="eastAsia" w:ascii="仿宋_GB2312" w:hAnsi="仿宋_GB2312" w:eastAsia="仿宋_GB2312" w:cs="仿宋_GB2312"/>
                <w:sz w:val="24"/>
                <w:szCs w:val="24"/>
              </w:rPr>
              <w:t>可按实际情况适当调整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957" w:type="dxa"/>
            <w:gridSpan w:val="2"/>
            <w:vAlign w:val="center"/>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总课时数</w:t>
            </w:r>
          </w:p>
        </w:tc>
        <w:tc>
          <w:tcPr>
            <w:tcW w:w="1842" w:type="dxa"/>
            <w:vAlign w:val="center"/>
          </w:tcPr>
          <w:p>
            <w:pPr>
              <w:jc w:val="center"/>
              <w:rPr>
                <w:rFonts w:ascii="仿宋_GB2312" w:hAnsi="仿宋_GB2312" w:eastAsia="仿宋_GB2312" w:cs="仿宋_GB2312"/>
                <w:sz w:val="30"/>
                <w:szCs w:val="30"/>
              </w:rPr>
            </w:pPr>
            <w:r>
              <w:rPr>
                <w:rFonts w:ascii="仿宋_GB2312" w:hAnsi="仿宋_GB2312" w:eastAsia="仿宋_GB2312" w:cs="仿宋_GB2312"/>
                <w:sz w:val="30"/>
                <w:szCs w:val="30"/>
              </w:rPr>
              <w:t>80</w:t>
            </w:r>
          </w:p>
        </w:tc>
        <w:tc>
          <w:tcPr>
            <w:tcW w:w="1723" w:type="dxa"/>
            <w:vAlign w:val="center"/>
          </w:tcPr>
          <w:p>
            <w:pPr>
              <w:jc w:val="center"/>
              <w:rPr>
                <w:rFonts w:ascii="仿宋_GB2312" w:hAnsi="仿宋_GB2312" w:eastAsia="仿宋_GB2312" w:cs="仿宋_GB2312"/>
                <w:color w:val="FF0000"/>
                <w:sz w:val="24"/>
                <w:szCs w:val="24"/>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45分钟。</w:t>
      </w:r>
    </w:p>
    <w:p>
      <w:pPr>
        <w:rPr>
          <w:rFonts w:ascii="仿宋_GB2312" w:hAnsi="仿宋_GB2312" w:eastAsia="仿宋_GB2312" w:cs="仿宋_GB2312"/>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楷体_GB2312" w:hAnsi="楷体_GB2312" w:eastAsia="楷体_GB2312" w:cs="楷体_GB2312"/>
          <w:b/>
          <w:bCs/>
          <w:sz w:val="32"/>
          <w:szCs w:val="32"/>
        </w:rPr>
      </w:pPr>
      <w:r>
        <w:rPr>
          <w:rFonts w:ascii="仿宋" w:hAnsi="仿宋" w:eastAsia="仿宋" w:cs="楷体_GB2312"/>
          <w:b/>
          <w:bCs/>
          <w:sz w:val="32"/>
          <w:szCs w:val="32"/>
        </w:rPr>
        <w:t xml:space="preserve">4.1 </w:t>
      </w:r>
      <w:r>
        <w:rPr>
          <w:rFonts w:hint="eastAsia" w:ascii="楷体_GB2312" w:hAnsi="楷体_GB2312" w:eastAsia="楷体_GB2312" w:cs="楷体_GB2312"/>
          <w:b/>
          <w:bCs/>
          <w:sz w:val="32"/>
          <w:szCs w:val="32"/>
        </w:rPr>
        <w:t xml:space="preserve">课程单元一 </w:t>
      </w:r>
      <w:r>
        <w:rPr>
          <w:rFonts w:ascii="楷体_GB2312" w:hAnsi="楷体_GB2312" w:eastAsia="楷体_GB2312" w:cs="楷体_GB2312"/>
          <w:b/>
          <w:bCs/>
          <w:sz w:val="32"/>
          <w:szCs w:val="32"/>
        </w:rPr>
        <w:t xml:space="preserve"> </w:t>
      </w:r>
      <w:r>
        <w:rPr>
          <w:rFonts w:hint="eastAsia" w:ascii="仿宋_GB2312" w:hAnsi="仿宋_GB2312" w:eastAsia="仿宋_GB2312" w:cs="仿宋_GB2312"/>
          <w:sz w:val="32"/>
          <w:szCs w:val="32"/>
        </w:rPr>
        <w:t>传统家具制作基础知识</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通过本单元培训，使培训对象能够掌握法律法规常识、机械操作安全知识、传统家具常用材料及木材加工、传统家具结构等基础知识和具体加工制作方法。</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4.1.2培训内容 </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4.1.2.1</w:t>
      </w:r>
      <w:r>
        <w:rPr>
          <w:rFonts w:hint="eastAsia" w:ascii="仿宋_GB2312" w:hAnsi="仿宋_GB2312" w:eastAsia="仿宋_GB2312" w:cs="仿宋_GB2312"/>
          <w:b/>
          <w:bCs/>
          <w:sz w:val="32"/>
          <w:szCs w:val="32"/>
        </w:rPr>
        <w:t>理论教学内容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掌握机械加工工艺基础，加工基准及加工精度，如表面粗糙度：表面粗糙度的标准与数值，表面粗糙度的测量；材料知识如涂料的组成与种类、涂料的性能与选用原则、常用五金配件的连接及安装方法等；木材切削基本理论如切削层尺寸参数、各类切削刀具加工原理等；传统家具的各种传统的榫接合方式、特有结构和传统型制。</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4.1.2.2</w:t>
      </w:r>
      <w:r>
        <w:rPr>
          <w:rFonts w:hint="eastAsia" w:ascii="仿宋_GB2312" w:hAnsi="仿宋_GB2312" w:eastAsia="仿宋_GB2312" w:cs="仿宋_GB2312"/>
          <w:b/>
          <w:bCs/>
          <w:sz w:val="32"/>
          <w:szCs w:val="32"/>
        </w:rPr>
        <w:t>技能实训内容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材料知识如常用五金配件的连接及安装方法</w:t>
      </w:r>
      <w:r>
        <w:rPr>
          <w:rFonts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传统家具的各种特色榫接合方式,够识读产品结构图并按图施工。</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4.1.3培训方式建议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一体化的教学方式</w:t>
      </w:r>
    </w:p>
    <w:p>
      <w:pPr>
        <w:ind w:firstLine="643" w:firstLineChars="200"/>
        <w:rPr>
          <w:rFonts w:ascii="楷体_GB2312" w:hAnsi="楷体_GB2312" w:eastAsia="楷体_GB2312" w:cs="楷体_GB2312"/>
          <w:b/>
          <w:bCs/>
          <w:sz w:val="32"/>
          <w:szCs w:val="32"/>
        </w:rPr>
      </w:pPr>
      <w:r>
        <w:rPr>
          <w:rFonts w:ascii="仿宋" w:hAnsi="仿宋" w:eastAsia="仿宋" w:cs="楷体_GB2312"/>
          <w:b/>
          <w:bCs/>
          <w:sz w:val="32"/>
          <w:szCs w:val="32"/>
        </w:rPr>
        <w:t xml:space="preserve">4.2 </w:t>
      </w:r>
      <w:r>
        <w:rPr>
          <w:rFonts w:hint="eastAsia" w:ascii="楷体_GB2312" w:hAnsi="楷体_GB2312" w:eastAsia="楷体_GB2312" w:cs="楷体_GB2312"/>
          <w:b/>
          <w:bCs/>
          <w:sz w:val="32"/>
          <w:szCs w:val="32"/>
        </w:rPr>
        <w:t xml:space="preserve">课程单元二 </w:t>
      </w:r>
      <w:r>
        <w:rPr>
          <w:rFonts w:ascii="楷体_GB2312" w:hAnsi="楷体_GB2312" w:eastAsia="楷体_GB2312" w:cs="楷体_GB2312"/>
          <w:b/>
          <w:bCs/>
          <w:sz w:val="32"/>
          <w:szCs w:val="32"/>
        </w:rPr>
        <w:t xml:space="preserve"> </w:t>
      </w:r>
      <w:r>
        <w:rPr>
          <w:rFonts w:hint="eastAsia" w:ascii="仿宋_GB2312" w:hAnsi="仿宋_GB2312" w:eastAsia="仿宋_GB2312" w:cs="仿宋_GB2312"/>
          <w:sz w:val="32"/>
          <w:szCs w:val="32"/>
        </w:rPr>
        <w:t>传统家具制作工前准备</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通过本单元培训，使培训对象能够掌握：按</w:t>
      </w:r>
      <w:r>
        <w:rPr>
          <w:rFonts w:ascii="仿宋_GB2312" w:hAnsi="仿宋_GB2312" w:eastAsia="仿宋_GB2312" w:cs="仿宋_GB2312"/>
          <w:sz w:val="32"/>
          <w:szCs w:val="32"/>
        </w:rPr>
        <w:t>生产制作任务进行场地布置，材料</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设备的准备，工艺流程计划及工艺卡的制作。</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4.2.2.1</w:t>
      </w:r>
      <w:r>
        <w:rPr>
          <w:rFonts w:hint="eastAsia" w:ascii="仿宋_GB2312" w:hAnsi="仿宋_GB2312" w:eastAsia="仿宋_GB2312" w:cs="仿宋_GB2312"/>
          <w:b/>
          <w:bCs/>
          <w:sz w:val="32"/>
          <w:szCs w:val="32"/>
        </w:rPr>
        <w:t>理论教学内容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场地准备如操作场地布置的依据和操作场地的布局；工具设备及制作材料的准备如材料堆放储存的确定、施工机械的相关工具安置、施工现场材料等级的确认等；施工技术准备如材料的计算、机床设备的选择和计算等。</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4.2.2.2</w:t>
      </w:r>
      <w:r>
        <w:rPr>
          <w:rFonts w:hint="eastAsia" w:ascii="仿宋_GB2312" w:hAnsi="仿宋_GB2312" w:eastAsia="仿宋_GB2312" w:cs="仿宋_GB2312"/>
          <w:b/>
          <w:bCs/>
          <w:sz w:val="32"/>
          <w:szCs w:val="32"/>
        </w:rPr>
        <w:t>技能实训内容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场地准备如操作场布图的布置和检查；工具设备及制作材料的准备要能够根据施工进度和内容安排生产进度表和加工工艺单，根据特殊施工需要，选择和准备相关工具；施工技术准备会工作量计算和工料分析。</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一体化的教学方式</w:t>
      </w:r>
    </w:p>
    <w:p>
      <w:pPr>
        <w:ind w:firstLine="643" w:firstLineChars="200"/>
        <w:rPr>
          <w:rFonts w:ascii="楷体_GB2312" w:hAnsi="楷体_GB2312" w:eastAsia="楷体_GB2312" w:cs="楷体_GB2312"/>
          <w:b/>
          <w:bCs/>
          <w:sz w:val="32"/>
          <w:szCs w:val="32"/>
        </w:rPr>
      </w:pPr>
      <w:r>
        <w:rPr>
          <w:rFonts w:ascii="仿宋" w:hAnsi="仿宋" w:eastAsia="仿宋" w:cs="楷体_GB2312"/>
          <w:b/>
          <w:bCs/>
          <w:sz w:val="32"/>
          <w:szCs w:val="32"/>
        </w:rPr>
        <w:t>4.3</w:t>
      </w: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 xml:space="preserve">课程单元三 </w:t>
      </w:r>
      <w:r>
        <w:rPr>
          <w:rFonts w:hint="eastAsia" w:ascii="仿宋_GB2312" w:hAnsi="仿宋_GB2312" w:eastAsia="仿宋_GB2312" w:cs="仿宋_GB2312"/>
          <w:sz w:val="32"/>
          <w:szCs w:val="32"/>
        </w:rPr>
        <w:t>传统家具制作生产工艺</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4.3.1培训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4.3.2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4.3.2.1</w:t>
      </w:r>
      <w:r>
        <w:rPr>
          <w:rFonts w:hint="eastAsia" w:ascii="仿宋_GB2312" w:hAnsi="仿宋_GB2312" w:eastAsia="仿宋_GB2312" w:cs="仿宋_GB2312"/>
          <w:b/>
          <w:bCs/>
          <w:sz w:val="32"/>
          <w:szCs w:val="32"/>
        </w:rPr>
        <w:t>理论教学内容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熟悉常用数控机床的操作及编程方法。掌握传统家具生产流程各环节的传统工艺。</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4.3.2.2</w:t>
      </w:r>
      <w:r>
        <w:rPr>
          <w:rFonts w:hint="eastAsia" w:ascii="仿宋_GB2312" w:hAnsi="仿宋_GB2312" w:eastAsia="仿宋_GB2312" w:cs="仿宋_GB2312"/>
          <w:b/>
          <w:bCs/>
          <w:sz w:val="32"/>
          <w:szCs w:val="32"/>
        </w:rPr>
        <w:t>技能实训内容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能够运用数控机床进行零部件加工。使用机械、工装和工具，对木材、等原材料进行干燥、切割、蒸煮等制件处理;使用机械和工具，进行划线，锯割原木和板材、方材，将木材毛料加工成净料;使用机械和工具，加工家具零部件，进行构件的刨光、打眼、开榫、凿槽、裁口;装配家具，并进行砂光、雕刻、抛光、修饰；进行工件或成品表面涂饰;进行质量检验、成品组装;保管、维修工具和机具。</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4.3.3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一体化的教学方式</w:t>
      </w:r>
    </w:p>
    <w:p>
      <w:pPr>
        <w:ind w:firstLine="643" w:firstLineChars="200"/>
        <w:rPr>
          <w:rFonts w:ascii="楷体_GB2312" w:hAnsi="楷体_GB2312" w:eastAsia="楷体_GB2312" w:cs="楷体_GB2312"/>
          <w:b/>
          <w:bCs/>
          <w:sz w:val="32"/>
          <w:szCs w:val="32"/>
        </w:rPr>
      </w:pPr>
      <w:r>
        <w:rPr>
          <w:rFonts w:ascii="仿宋" w:hAnsi="仿宋" w:eastAsia="仿宋" w:cs="楷体_GB2312"/>
          <w:b/>
          <w:bCs/>
          <w:sz w:val="32"/>
          <w:szCs w:val="32"/>
        </w:rPr>
        <w:t xml:space="preserve">4.4 </w:t>
      </w:r>
      <w:r>
        <w:rPr>
          <w:rFonts w:hint="eastAsia" w:ascii="楷体_GB2312" w:hAnsi="楷体_GB2312" w:eastAsia="楷体_GB2312" w:cs="楷体_GB2312"/>
          <w:b/>
          <w:bCs/>
          <w:sz w:val="32"/>
          <w:szCs w:val="32"/>
        </w:rPr>
        <w:t xml:space="preserve">课程单元四 </w:t>
      </w:r>
      <w:r>
        <w:rPr>
          <w:rFonts w:ascii="楷体_GB2312" w:hAnsi="楷体_GB2312" w:eastAsia="楷体_GB2312" w:cs="楷体_GB2312"/>
          <w:b/>
          <w:bCs/>
          <w:sz w:val="32"/>
          <w:szCs w:val="32"/>
        </w:rPr>
        <w:t xml:space="preserve"> </w:t>
      </w:r>
      <w:r>
        <w:rPr>
          <w:rFonts w:hint="eastAsia" w:ascii="仿宋_GB2312" w:hAnsi="仿宋_GB2312" w:eastAsia="仿宋_GB2312" w:cs="仿宋_GB2312"/>
          <w:sz w:val="32"/>
          <w:szCs w:val="32"/>
        </w:rPr>
        <w:t>传统家具制作质量控制</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4.4.1培训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通过本单元培训，使培训对象能够对传统家具制作质量的管理和控制，掌握产品缺陷的处理方法。</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4.4.2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4.4.2.1</w:t>
      </w:r>
      <w:r>
        <w:rPr>
          <w:rFonts w:hint="eastAsia" w:ascii="仿宋_GB2312" w:hAnsi="仿宋_GB2312" w:eastAsia="仿宋_GB2312" w:cs="仿宋_GB2312"/>
          <w:b/>
          <w:bCs/>
          <w:sz w:val="32"/>
          <w:szCs w:val="32"/>
        </w:rPr>
        <w:t>理论教学内容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质量检查如质量检查的标准，上道下道工序不连贯的影响，尺寸不准确对安装的影响，产品质量标准执行的重要性等。缺陷处理如木制品缺陷的类型、性质及处理步骤，产生缺陷原因分析，重大缺陷的处理方案的确定等。质量评定如质量评定的步骤，质量评定资料的阅读，测量仪具的准备，质量水平的评定，木制品质量水平的控制等。</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4.4.2.2</w:t>
      </w:r>
      <w:r>
        <w:rPr>
          <w:rFonts w:hint="eastAsia" w:ascii="仿宋_GB2312" w:hAnsi="仿宋_GB2312" w:eastAsia="仿宋_GB2312" w:cs="仿宋_GB2312"/>
          <w:b/>
          <w:bCs/>
          <w:sz w:val="32"/>
          <w:szCs w:val="32"/>
        </w:rPr>
        <w:t>技能实训内容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质量检查如按照标准进行产品质量自查，统计分析质量问题。缺陷处理如缺陷的处理方案。质量评定如能够运用评定方法对产品质量进行评定。</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4.4.3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一体化的教学方式</w:t>
      </w:r>
    </w:p>
    <w:p>
      <w:pPr>
        <w:ind w:firstLine="643" w:firstLineChars="200"/>
        <w:rPr>
          <w:rFonts w:ascii="楷体_GB2312" w:hAnsi="楷体_GB2312" w:eastAsia="楷体_GB2312" w:cs="楷体_GB2312"/>
          <w:b/>
          <w:bCs/>
          <w:sz w:val="32"/>
          <w:szCs w:val="32"/>
        </w:rPr>
      </w:pPr>
      <w:r>
        <w:rPr>
          <w:rFonts w:hint="eastAsia" w:ascii="仿宋_GB2312" w:hAnsi="楷体_GB2312" w:eastAsia="仿宋_GB2312" w:cs="楷体_GB2312"/>
          <w:b/>
          <w:bCs/>
          <w:sz w:val="32"/>
          <w:szCs w:val="32"/>
        </w:rPr>
        <w:t>4.5</w:t>
      </w: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课程单元</w:t>
      </w: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 xml:space="preserve"> </w:t>
      </w:r>
      <w:r>
        <w:rPr>
          <w:rFonts w:ascii="楷体_GB2312" w:hAnsi="楷体_GB2312" w:eastAsia="楷体_GB2312" w:cs="楷体_GB2312"/>
          <w:b/>
          <w:bCs/>
          <w:sz w:val="32"/>
          <w:szCs w:val="32"/>
        </w:rPr>
        <w:t xml:space="preserve"> </w:t>
      </w:r>
      <w:r>
        <w:rPr>
          <w:rFonts w:hint="eastAsia" w:ascii="仿宋_GB2312" w:hAnsi="仿宋_GB2312" w:eastAsia="仿宋_GB2312" w:cs="仿宋_GB2312"/>
          <w:sz w:val="32"/>
          <w:szCs w:val="32"/>
        </w:rPr>
        <w:t>传统家具制作班组管理</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通过本单元培训，使培训对象能够掌握传统家具制作班组管理常识并灵活运用于具体生产中。</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.2.1</w:t>
      </w:r>
      <w:r>
        <w:rPr>
          <w:rFonts w:hint="eastAsia" w:ascii="仿宋_GB2312" w:hAnsi="仿宋_GB2312" w:eastAsia="仿宋_GB2312" w:cs="仿宋_GB2312"/>
          <w:b/>
          <w:bCs/>
          <w:sz w:val="32"/>
          <w:szCs w:val="32"/>
        </w:rPr>
        <w:t>理论教学内容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班组管理的作用，班组管理的内容，加强班组管理的方法。</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.2.2</w:t>
      </w:r>
      <w:r>
        <w:rPr>
          <w:rFonts w:hint="eastAsia" w:ascii="仿宋_GB2312" w:hAnsi="仿宋_GB2312" w:eastAsia="仿宋_GB2312" w:cs="仿宋_GB2312"/>
          <w:b/>
          <w:bCs/>
          <w:sz w:val="32"/>
          <w:szCs w:val="32"/>
        </w:rPr>
        <w:t>技能实训内容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工序管理如能够根据要求制定工序管理计划和质量管理。</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一体化的教学方式</w:t>
      </w:r>
    </w:p>
    <w:p>
      <w:pPr>
        <w:ind w:firstLine="643" w:firstLineChars="200"/>
        <w:rPr>
          <w:rFonts w:ascii="楷体_GB2312" w:hAnsi="楷体_GB2312" w:eastAsia="楷体_GB2312" w:cs="楷体_GB2312"/>
          <w:b/>
          <w:bCs/>
          <w:sz w:val="32"/>
          <w:szCs w:val="32"/>
        </w:rPr>
      </w:pPr>
      <w:r>
        <w:rPr>
          <w:rFonts w:ascii="仿宋" w:hAnsi="仿宋" w:eastAsia="仿宋" w:cs="楷体_GB2312"/>
          <w:b/>
          <w:bCs/>
          <w:sz w:val="32"/>
          <w:szCs w:val="32"/>
        </w:rPr>
        <w:t>4.</w:t>
      </w:r>
      <w:r>
        <w:rPr>
          <w:rFonts w:hint="eastAsia" w:ascii="仿宋" w:hAnsi="仿宋" w:eastAsia="仿宋" w:cs="楷体_GB2312"/>
          <w:b/>
          <w:bCs/>
          <w:sz w:val="32"/>
          <w:szCs w:val="32"/>
        </w:rPr>
        <w:t>6</w:t>
      </w:r>
      <w:r>
        <w:rPr>
          <w:rFonts w:ascii="仿宋" w:hAnsi="仿宋" w:eastAsia="仿宋" w:cs="楷体_GB2312"/>
          <w:b/>
          <w:bCs/>
          <w:sz w:val="32"/>
          <w:szCs w:val="32"/>
        </w:rPr>
        <w:t xml:space="preserve"> </w:t>
      </w:r>
      <w:r>
        <w:rPr>
          <w:rFonts w:hint="eastAsia" w:ascii="楷体_GB2312" w:hAnsi="楷体_GB2312" w:eastAsia="楷体_GB2312" w:cs="楷体_GB2312"/>
          <w:b/>
          <w:bCs/>
          <w:sz w:val="32"/>
          <w:szCs w:val="32"/>
        </w:rPr>
        <w:t>课程单元</w:t>
      </w:r>
      <w:r>
        <w:rPr>
          <w:rFonts w:hint="eastAsia" w:ascii="楷体_GB2312" w:hAnsi="楷体_GB2312" w:eastAsia="楷体_GB2312" w:cs="楷体_GB2312"/>
          <w:b/>
          <w:bCs/>
          <w:sz w:val="32"/>
          <w:szCs w:val="32"/>
          <w:lang w:eastAsia="zh-CN"/>
        </w:rPr>
        <w:t>六</w:t>
      </w:r>
      <w:r>
        <w:rPr>
          <w:rFonts w:hint="eastAsia" w:ascii="楷体_GB2312" w:hAnsi="楷体_GB2312" w:eastAsia="楷体_GB2312" w:cs="楷体_GB2312"/>
          <w:b/>
          <w:bCs/>
          <w:sz w:val="32"/>
          <w:szCs w:val="32"/>
        </w:rPr>
        <w:t xml:space="preserve"> </w:t>
      </w:r>
      <w:r>
        <w:rPr>
          <w:rFonts w:ascii="楷体_GB2312" w:hAnsi="楷体_GB2312" w:eastAsia="楷体_GB2312" w:cs="楷体_GB2312"/>
          <w:b/>
          <w:bCs/>
          <w:sz w:val="32"/>
          <w:szCs w:val="32"/>
        </w:rPr>
        <w:t xml:space="preserve"> </w:t>
      </w:r>
      <w:r>
        <w:rPr>
          <w:rFonts w:hint="eastAsia" w:ascii="仿宋_GB2312" w:hAnsi="仿宋_GB2312" w:eastAsia="仿宋_GB2312" w:cs="仿宋_GB2312"/>
          <w:sz w:val="32"/>
          <w:szCs w:val="32"/>
        </w:rPr>
        <w:t>新材料、新技术应用</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通过本单元培训，使培训对象能够掌握传统家具行业中的新材料应用以及新技术研究和应用。</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.2.1</w:t>
      </w:r>
      <w:r>
        <w:rPr>
          <w:rFonts w:hint="eastAsia" w:ascii="仿宋_GB2312" w:hAnsi="仿宋_GB2312" w:eastAsia="仿宋_GB2312" w:cs="仿宋_GB2312"/>
          <w:b/>
          <w:bCs/>
          <w:sz w:val="32"/>
          <w:szCs w:val="32"/>
        </w:rPr>
        <w:t>理论教学内容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合企业实际需要，适当增加新材料应用如新材料的性能、用途及加工工艺与评定方法。新技术研究及应用如工艺技术发展动态，新技术、新工艺的应用知识。在机械加工工艺及后处理方面，全面认识新工艺要求！</w:t>
      </w:r>
    </w:p>
    <w:p>
      <w:pPr>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.2.2</w:t>
      </w:r>
      <w:r>
        <w:rPr>
          <w:rFonts w:hint="eastAsia" w:ascii="仿宋_GB2312" w:hAnsi="仿宋_GB2312" w:eastAsia="仿宋_GB2312" w:cs="仿宋_GB2312"/>
          <w:b/>
          <w:bCs/>
          <w:sz w:val="32"/>
          <w:szCs w:val="32"/>
        </w:rPr>
        <w:t>技能实训内容</w:t>
      </w:r>
      <w:r>
        <w:rPr>
          <w:rFonts w:ascii="仿宋_GB2312" w:hAnsi="仿宋_GB2312" w:eastAsia="仿宋_GB2312" w:cs="仿宋_GB2312"/>
          <w:b/>
          <w:bCs/>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结合企业实际需要，增加新材料应用如新材料的性能、用途及加工工艺与评定方法。新技术研究及应用如工艺技术发展动态，新技术、新工艺的应用知识。</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一体化的教学方式</w:t>
      </w:r>
    </w:p>
    <w:p>
      <w:pPr>
        <w:pStyle w:val="20"/>
        <w:ind w:firstLine="640"/>
        <w:rPr>
          <w:rFonts w:ascii="黑体" w:hAnsi="黑体" w:eastAsia="黑体" w:cs="黑体"/>
          <w:sz w:val="32"/>
          <w:szCs w:val="32"/>
        </w:rPr>
      </w:pPr>
      <w:r>
        <w:rPr>
          <w:rFonts w:hint="eastAsia" w:ascii="黑体" w:hAnsi="黑体" w:eastAsia="黑体" w:cs="黑体"/>
          <w:sz w:val="32"/>
          <w:szCs w:val="32"/>
        </w:rPr>
        <w:t>五、推荐教材</w:t>
      </w:r>
      <w:r>
        <w:rPr>
          <w:rFonts w:ascii="黑体" w:hAnsi="黑体" w:eastAsia="黑体" w:cs="黑体"/>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1.《家具结构设计》，中国水利水电出版社，2018年2月第1版ISBN：9787517062011（学习内容：第一、二、三、五、七章）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2.《实木家具制造技术》，中国轻工业出版社， 2018年8月第1版ISBN：9787518416639（学习内容：第二、三、四、五、七、八、九章）</w:t>
      </w:r>
    </w:p>
    <w:sectPr>
      <w:footerReference r:id="rId3"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E317B"/>
    <w:multiLevelType w:val="multilevel"/>
    <w:tmpl w:val="466E317B"/>
    <w:lvl w:ilvl="0" w:tentative="0">
      <w:start w:val="1"/>
      <w:numFmt w:val="decimal"/>
      <w:lvlText w:val="%1."/>
      <w:lvlJc w:val="left"/>
      <w:pPr>
        <w:ind w:left="393"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21408E"/>
    <w:multiLevelType w:val="multilevel"/>
    <w:tmpl w:val="5821408E"/>
    <w:lvl w:ilvl="0" w:tentative="0">
      <w:start w:val="1"/>
      <w:numFmt w:val="decimal"/>
      <w:lvlText w:val="%1."/>
      <w:lvlJc w:val="left"/>
      <w:pPr>
        <w:tabs>
          <w:tab w:val="left" w:pos="360"/>
        </w:tabs>
        <w:ind w:left="360" w:hanging="36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A2"/>
    <w:rsid w:val="000269A8"/>
    <w:rsid w:val="00047CF7"/>
    <w:rsid w:val="00063B00"/>
    <w:rsid w:val="000C148B"/>
    <w:rsid w:val="000C30F1"/>
    <w:rsid w:val="000C5EDA"/>
    <w:rsid w:val="000D2CCB"/>
    <w:rsid w:val="000D5C11"/>
    <w:rsid w:val="000E4564"/>
    <w:rsid w:val="000F1C10"/>
    <w:rsid w:val="000F3233"/>
    <w:rsid w:val="001142BD"/>
    <w:rsid w:val="0011681B"/>
    <w:rsid w:val="00120FB7"/>
    <w:rsid w:val="0012492D"/>
    <w:rsid w:val="0013615B"/>
    <w:rsid w:val="001433D3"/>
    <w:rsid w:val="00143D54"/>
    <w:rsid w:val="00155F03"/>
    <w:rsid w:val="0016244B"/>
    <w:rsid w:val="00172A27"/>
    <w:rsid w:val="0018183B"/>
    <w:rsid w:val="00194EC6"/>
    <w:rsid w:val="001C0A89"/>
    <w:rsid w:val="001C77BA"/>
    <w:rsid w:val="001D6570"/>
    <w:rsid w:val="001F33C5"/>
    <w:rsid w:val="001F3865"/>
    <w:rsid w:val="0020370B"/>
    <w:rsid w:val="0021452F"/>
    <w:rsid w:val="00222497"/>
    <w:rsid w:val="00247532"/>
    <w:rsid w:val="00247A6E"/>
    <w:rsid w:val="002522D0"/>
    <w:rsid w:val="002572DA"/>
    <w:rsid w:val="002818C1"/>
    <w:rsid w:val="00286B94"/>
    <w:rsid w:val="002B25E9"/>
    <w:rsid w:val="002B44F4"/>
    <w:rsid w:val="002C79AB"/>
    <w:rsid w:val="002E3DC3"/>
    <w:rsid w:val="002E6313"/>
    <w:rsid w:val="002F77D8"/>
    <w:rsid w:val="00305D1D"/>
    <w:rsid w:val="00316523"/>
    <w:rsid w:val="00321937"/>
    <w:rsid w:val="00323600"/>
    <w:rsid w:val="003320F3"/>
    <w:rsid w:val="00346ACD"/>
    <w:rsid w:val="003473A7"/>
    <w:rsid w:val="003536BD"/>
    <w:rsid w:val="003539B8"/>
    <w:rsid w:val="003635D6"/>
    <w:rsid w:val="003648A1"/>
    <w:rsid w:val="003701C8"/>
    <w:rsid w:val="00373ADC"/>
    <w:rsid w:val="00376E5A"/>
    <w:rsid w:val="00391B8B"/>
    <w:rsid w:val="00396B32"/>
    <w:rsid w:val="003A5CF9"/>
    <w:rsid w:val="003B3188"/>
    <w:rsid w:val="003D7D6E"/>
    <w:rsid w:val="003E6EB7"/>
    <w:rsid w:val="003F736C"/>
    <w:rsid w:val="00421FDA"/>
    <w:rsid w:val="00423BC7"/>
    <w:rsid w:val="0042460D"/>
    <w:rsid w:val="004249B5"/>
    <w:rsid w:val="004369A3"/>
    <w:rsid w:val="00447602"/>
    <w:rsid w:val="0045007E"/>
    <w:rsid w:val="00454B7A"/>
    <w:rsid w:val="00455A43"/>
    <w:rsid w:val="00456BAA"/>
    <w:rsid w:val="00457D21"/>
    <w:rsid w:val="0046042E"/>
    <w:rsid w:val="004618DF"/>
    <w:rsid w:val="00484A1F"/>
    <w:rsid w:val="004903B0"/>
    <w:rsid w:val="0049353F"/>
    <w:rsid w:val="00493B32"/>
    <w:rsid w:val="00495379"/>
    <w:rsid w:val="004E335D"/>
    <w:rsid w:val="004E61BB"/>
    <w:rsid w:val="00500C23"/>
    <w:rsid w:val="0050584C"/>
    <w:rsid w:val="0051765E"/>
    <w:rsid w:val="00527051"/>
    <w:rsid w:val="00531BA2"/>
    <w:rsid w:val="005321C6"/>
    <w:rsid w:val="005359C3"/>
    <w:rsid w:val="005713B5"/>
    <w:rsid w:val="005727D8"/>
    <w:rsid w:val="00582152"/>
    <w:rsid w:val="00592028"/>
    <w:rsid w:val="005B0497"/>
    <w:rsid w:val="005B1D9B"/>
    <w:rsid w:val="005B7610"/>
    <w:rsid w:val="005C50C6"/>
    <w:rsid w:val="005D079B"/>
    <w:rsid w:val="005D2640"/>
    <w:rsid w:val="005E0117"/>
    <w:rsid w:val="005E3FB4"/>
    <w:rsid w:val="005E4FF9"/>
    <w:rsid w:val="0060451E"/>
    <w:rsid w:val="00614170"/>
    <w:rsid w:val="006329EB"/>
    <w:rsid w:val="006414AC"/>
    <w:rsid w:val="0065570A"/>
    <w:rsid w:val="0068537A"/>
    <w:rsid w:val="00691020"/>
    <w:rsid w:val="00694E59"/>
    <w:rsid w:val="00696ED5"/>
    <w:rsid w:val="006A6E6C"/>
    <w:rsid w:val="006B30E9"/>
    <w:rsid w:val="006B4CBF"/>
    <w:rsid w:val="006B4FA0"/>
    <w:rsid w:val="006B6D87"/>
    <w:rsid w:val="006C3052"/>
    <w:rsid w:val="006D2F70"/>
    <w:rsid w:val="006F2E31"/>
    <w:rsid w:val="006F497E"/>
    <w:rsid w:val="006F6D9E"/>
    <w:rsid w:val="0070648D"/>
    <w:rsid w:val="00715D3F"/>
    <w:rsid w:val="00716CE3"/>
    <w:rsid w:val="00727182"/>
    <w:rsid w:val="007414A5"/>
    <w:rsid w:val="0076061D"/>
    <w:rsid w:val="007707F5"/>
    <w:rsid w:val="007927EC"/>
    <w:rsid w:val="0079582C"/>
    <w:rsid w:val="007A0E15"/>
    <w:rsid w:val="007B0D11"/>
    <w:rsid w:val="007C25BE"/>
    <w:rsid w:val="007C2F8A"/>
    <w:rsid w:val="007F6DE2"/>
    <w:rsid w:val="00800FE4"/>
    <w:rsid w:val="00804B33"/>
    <w:rsid w:val="00807B54"/>
    <w:rsid w:val="00843113"/>
    <w:rsid w:val="00867B4B"/>
    <w:rsid w:val="00872C81"/>
    <w:rsid w:val="00893D89"/>
    <w:rsid w:val="008A407E"/>
    <w:rsid w:val="008B0B33"/>
    <w:rsid w:val="008B1B74"/>
    <w:rsid w:val="008B3D97"/>
    <w:rsid w:val="008C077E"/>
    <w:rsid w:val="008C4569"/>
    <w:rsid w:val="008D58B1"/>
    <w:rsid w:val="008D733B"/>
    <w:rsid w:val="008D7734"/>
    <w:rsid w:val="008E4159"/>
    <w:rsid w:val="008E480B"/>
    <w:rsid w:val="008F0060"/>
    <w:rsid w:val="008F2559"/>
    <w:rsid w:val="008F2936"/>
    <w:rsid w:val="008F560C"/>
    <w:rsid w:val="00900057"/>
    <w:rsid w:val="009032B5"/>
    <w:rsid w:val="009157C4"/>
    <w:rsid w:val="00926F8F"/>
    <w:rsid w:val="009451F8"/>
    <w:rsid w:val="00981A2B"/>
    <w:rsid w:val="00991C61"/>
    <w:rsid w:val="009B4D73"/>
    <w:rsid w:val="009D501D"/>
    <w:rsid w:val="009E0270"/>
    <w:rsid w:val="009E7BB5"/>
    <w:rsid w:val="00A06B7E"/>
    <w:rsid w:val="00A106E3"/>
    <w:rsid w:val="00A16784"/>
    <w:rsid w:val="00A3331F"/>
    <w:rsid w:val="00A42247"/>
    <w:rsid w:val="00A42C97"/>
    <w:rsid w:val="00A465BB"/>
    <w:rsid w:val="00A5076D"/>
    <w:rsid w:val="00A6063C"/>
    <w:rsid w:val="00A66541"/>
    <w:rsid w:val="00A80BA4"/>
    <w:rsid w:val="00A834A8"/>
    <w:rsid w:val="00A84E84"/>
    <w:rsid w:val="00A85160"/>
    <w:rsid w:val="00A86B9A"/>
    <w:rsid w:val="00A973CC"/>
    <w:rsid w:val="00A97954"/>
    <w:rsid w:val="00AA6E0A"/>
    <w:rsid w:val="00AB5900"/>
    <w:rsid w:val="00AC4194"/>
    <w:rsid w:val="00AE72F8"/>
    <w:rsid w:val="00B11705"/>
    <w:rsid w:val="00B641DD"/>
    <w:rsid w:val="00B71C36"/>
    <w:rsid w:val="00B813B8"/>
    <w:rsid w:val="00B816E6"/>
    <w:rsid w:val="00B919ED"/>
    <w:rsid w:val="00BC1AF7"/>
    <w:rsid w:val="00BE27E3"/>
    <w:rsid w:val="00BF0851"/>
    <w:rsid w:val="00C11ABB"/>
    <w:rsid w:val="00C23E8A"/>
    <w:rsid w:val="00C25A00"/>
    <w:rsid w:val="00C33E38"/>
    <w:rsid w:val="00C444AC"/>
    <w:rsid w:val="00C46CE1"/>
    <w:rsid w:val="00C876C6"/>
    <w:rsid w:val="00CB436A"/>
    <w:rsid w:val="00CB47CD"/>
    <w:rsid w:val="00D125FC"/>
    <w:rsid w:val="00D160EB"/>
    <w:rsid w:val="00D34A51"/>
    <w:rsid w:val="00D357B1"/>
    <w:rsid w:val="00D358CC"/>
    <w:rsid w:val="00D52990"/>
    <w:rsid w:val="00D53833"/>
    <w:rsid w:val="00D605DC"/>
    <w:rsid w:val="00D87EE5"/>
    <w:rsid w:val="00DB48BC"/>
    <w:rsid w:val="00DB4E2D"/>
    <w:rsid w:val="00DC298E"/>
    <w:rsid w:val="00DC5110"/>
    <w:rsid w:val="00DD7A04"/>
    <w:rsid w:val="00DE10AC"/>
    <w:rsid w:val="00DE5E7C"/>
    <w:rsid w:val="00DF0178"/>
    <w:rsid w:val="00DF39A1"/>
    <w:rsid w:val="00DF3D83"/>
    <w:rsid w:val="00DF6E0C"/>
    <w:rsid w:val="00E127E1"/>
    <w:rsid w:val="00E15AA5"/>
    <w:rsid w:val="00E24DE2"/>
    <w:rsid w:val="00E350F9"/>
    <w:rsid w:val="00E3656D"/>
    <w:rsid w:val="00E47348"/>
    <w:rsid w:val="00E60B2C"/>
    <w:rsid w:val="00E719AE"/>
    <w:rsid w:val="00E740CC"/>
    <w:rsid w:val="00E97A54"/>
    <w:rsid w:val="00EA09DB"/>
    <w:rsid w:val="00EA1ED2"/>
    <w:rsid w:val="00EA5170"/>
    <w:rsid w:val="00EB768B"/>
    <w:rsid w:val="00EE2834"/>
    <w:rsid w:val="00EE34C8"/>
    <w:rsid w:val="00EE4A79"/>
    <w:rsid w:val="00EE6D35"/>
    <w:rsid w:val="00EF371A"/>
    <w:rsid w:val="00EF6F39"/>
    <w:rsid w:val="00F0650A"/>
    <w:rsid w:val="00F25A91"/>
    <w:rsid w:val="00F31572"/>
    <w:rsid w:val="00F36EF2"/>
    <w:rsid w:val="00F43460"/>
    <w:rsid w:val="00F46051"/>
    <w:rsid w:val="00F61EA6"/>
    <w:rsid w:val="00F677B2"/>
    <w:rsid w:val="00FA5060"/>
    <w:rsid w:val="00FB3BC8"/>
    <w:rsid w:val="00FB4FEE"/>
    <w:rsid w:val="00FD1442"/>
    <w:rsid w:val="00FE6BE8"/>
    <w:rsid w:val="00FF76ED"/>
    <w:rsid w:val="01B74A41"/>
    <w:rsid w:val="033D0E15"/>
    <w:rsid w:val="038E41DC"/>
    <w:rsid w:val="03D41EED"/>
    <w:rsid w:val="066B3D02"/>
    <w:rsid w:val="078D4C9A"/>
    <w:rsid w:val="07C91F51"/>
    <w:rsid w:val="094B2427"/>
    <w:rsid w:val="09AB71CA"/>
    <w:rsid w:val="09BB1019"/>
    <w:rsid w:val="0C866F8B"/>
    <w:rsid w:val="0D1C40E9"/>
    <w:rsid w:val="0D597F39"/>
    <w:rsid w:val="0DB07429"/>
    <w:rsid w:val="0E207178"/>
    <w:rsid w:val="0E2303E2"/>
    <w:rsid w:val="0ECD065C"/>
    <w:rsid w:val="0EED37BB"/>
    <w:rsid w:val="108C1248"/>
    <w:rsid w:val="11340CC8"/>
    <w:rsid w:val="113E0BA0"/>
    <w:rsid w:val="13150595"/>
    <w:rsid w:val="134F0F31"/>
    <w:rsid w:val="13836DC8"/>
    <w:rsid w:val="14AB0B7A"/>
    <w:rsid w:val="15904A68"/>
    <w:rsid w:val="159E6F28"/>
    <w:rsid w:val="170912A3"/>
    <w:rsid w:val="181162A3"/>
    <w:rsid w:val="1820033D"/>
    <w:rsid w:val="193C3FBC"/>
    <w:rsid w:val="19F36C43"/>
    <w:rsid w:val="1A356E43"/>
    <w:rsid w:val="1B4A5CE2"/>
    <w:rsid w:val="1B5B5721"/>
    <w:rsid w:val="1B65702E"/>
    <w:rsid w:val="1B8B2568"/>
    <w:rsid w:val="1B9D09AF"/>
    <w:rsid w:val="1C8240BB"/>
    <w:rsid w:val="1D39112F"/>
    <w:rsid w:val="1D432407"/>
    <w:rsid w:val="1D7729B6"/>
    <w:rsid w:val="1D8D66F6"/>
    <w:rsid w:val="1E6830F4"/>
    <w:rsid w:val="21813F7F"/>
    <w:rsid w:val="22BC52DD"/>
    <w:rsid w:val="232B47AA"/>
    <w:rsid w:val="23467790"/>
    <w:rsid w:val="239E2612"/>
    <w:rsid w:val="23CD4E9B"/>
    <w:rsid w:val="24DC63BE"/>
    <w:rsid w:val="270866A0"/>
    <w:rsid w:val="27B35AAB"/>
    <w:rsid w:val="287D4FAE"/>
    <w:rsid w:val="28D5209B"/>
    <w:rsid w:val="291E18BA"/>
    <w:rsid w:val="294C43D1"/>
    <w:rsid w:val="2A5627FD"/>
    <w:rsid w:val="2A691770"/>
    <w:rsid w:val="2B9032E6"/>
    <w:rsid w:val="2BB16C8C"/>
    <w:rsid w:val="2CF95EF3"/>
    <w:rsid w:val="2D897CE2"/>
    <w:rsid w:val="31087267"/>
    <w:rsid w:val="316E613E"/>
    <w:rsid w:val="31F57290"/>
    <w:rsid w:val="32284449"/>
    <w:rsid w:val="32C404CC"/>
    <w:rsid w:val="32DD20EF"/>
    <w:rsid w:val="34163629"/>
    <w:rsid w:val="34A40D5D"/>
    <w:rsid w:val="36626141"/>
    <w:rsid w:val="36A950FE"/>
    <w:rsid w:val="37266088"/>
    <w:rsid w:val="37F87943"/>
    <w:rsid w:val="37FA1570"/>
    <w:rsid w:val="3A1F4F4B"/>
    <w:rsid w:val="3CCD200D"/>
    <w:rsid w:val="3CFB0B6C"/>
    <w:rsid w:val="3D4C3E03"/>
    <w:rsid w:val="3DCE20C0"/>
    <w:rsid w:val="3F0A5C4A"/>
    <w:rsid w:val="3FAF1B50"/>
    <w:rsid w:val="40134315"/>
    <w:rsid w:val="40431A43"/>
    <w:rsid w:val="41D563D4"/>
    <w:rsid w:val="421B1192"/>
    <w:rsid w:val="422007DB"/>
    <w:rsid w:val="42573C3F"/>
    <w:rsid w:val="42EE5F04"/>
    <w:rsid w:val="43800213"/>
    <w:rsid w:val="441C680A"/>
    <w:rsid w:val="447E2D69"/>
    <w:rsid w:val="44EF4943"/>
    <w:rsid w:val="44F32FA0"/>
    <w:rsid w:val="4535226F"/>
    <w:rsid w:val="458C163F"/>
    <w:rsid w:val="45BD7748"/>
    <w:rsid w:val="45E110D1"/>
    <w:rsid w:val="48F70998"/>
    <w:rsid w:val="491C620A"/>
    <w:rsid w:val="49513F78"/>
    <w:rsid w:val="496E314C"/>
    <w:rsid w:val="49CB352E"/>
    <w:rsid w:val="4B4B3988"/>
    <w:rsid w:val="4B95219B"/>
    <w:rsid w:val="4CA93E09"/>
    <w:rsid w:val="4CE82464"/>
    <w:rsid w:val="4D0905CD"/>
    <w:rsid w:val="4EA314E9"/>
    <w:rsid w:val="4FA37927"/>
    <w:rsid w:val="500177B5"/>
    <w:rsid w:val="50805044"/>
    <w:rsid w:val="516C3D29"/>
    <w:rsid w:val="52AD08EC"/>
    <w:rsid w:val="558D16BB"/>
    <w:rsid w:val="563B2144"/>
    <w:rsid w:val="569D24D1"/>
    <w:rsid w:val="57F70540"/>
    <w:rsid w:val="58006282"/>
    <w:rsid w:val="58095648"/>
    <w:rsid w:val="580D4459"/>
    <w:rsid w:val="58492675"/>
    <w:rsid w:val="5A5E78CD"/>
    <w:rsid w:val="5B4700B1"/>
    <w:rsid w:val="5B9277C4"/>
    <w:rsid w:val="5BB17082"/>
    <w:rsid w:val="5BFD3144"/>
    <w:rsid w:val="5CB90027"/>
    <w:rsid w:val="5CCE1BAA"/>
    <w:rsid w:val="5F322F1C"/>
    <w:rsid w:val="60C47748"/>
    <w:rsid w:val="60FC34EC"/>
    <w:rsid w:val="61AA722C"/>
    <w:rsid w:val="61E7472F"/>
    <w:rsid w:val="62400627"/>
    <w:rsid w:val="62765BE7"/>
    <w:rsid w:val="633F3A9C"/>
    <w:rsid w:val="651641C9"/>
    <w:rsid w:val="65AE2943"/>
    <w:rsid w:val="65FD43DF"/>
    <w:rsid w:val="663E498D"/>
    <w:rsid w:val="67B4300E"/>
    <w:rsid w:val="681A53DC"/>
    <w:rsid w:val="690178B3"/>
    <w:rsid w:val="69DF7FFE"/>
    <w:rsid w:val="6C401B2D"/>
    <w:rsid w:val="6D4F2C25"/>
    <w:rsid w:val="6D6A223F"/>
    <w:rsid w:val="6E4B4817"/>
    <w:rsid w:val="6ED511E3"/>
    <w:rsid w:val="6F3377BC"/>
    <w:rsid w:val="6FDC6D17"/>
    <w:rsid w:val="72B9389A"/>
    <w:rsid w:val="73992850"/>
    <w:rsid w:val="752B127C"/>
    <w:rsid w:val="75917F0B"/>
    <w:rsid w:val="75FB045E"/>
    <w:rsid w:val="764B0DDE"/>
    <w:rsid w:val="788567E7"/>
    <w:rsid w:val="79416E88"/>
    <w:rsid w:val="79540EE0"/>
    <w:rsid w:val="795C37F1"/>
    <w:rsid w:val="79C86BAE"/>
    <w:rsid w:val="7CFA012E"/>
    <w:rsid w:val="7DBD6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E1DCB3-2795-4956-A90B-B78AC76CFA74}">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12</Pages>
  <Words>737</Words>
  <Characters>4204</Characters>
  <Lines>35</Lines>
  <Paragraphs>9</Paragraphs>
  <TotalTime>113</TotalTime>
  <ScaleCrop>false</ScaleCrop>
  <LinksUpToDate>false</LinksUpToDate>
  <CharactersWithSpaces>4932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2020-05-14T22:58:00Z</dcterms:created>
  <dc:creator>李锦红</dc:creator>
  <cp:lastModifiedBy>叶丽莎</cp:lastModifiedBy>
  <cp:lastPrinted>2020-02-13T08:14:00Z</cp:lastPrinted>
  <dcterms:modified xsi:type="dcterms:W3CDTF">2020-10-10T02:26:52Z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