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Times New Roman" w:hAnsi="Times New Roman" w:eastAsia="黑体"/>
          <w:sz w:val="32"/>
          <w:szCs w:val="32"/>
        </w:rPr>
      </w:pPr>
      <w:r>
        <mc:AlternateContent>
          <mc:Choice Requires="wps">
            <w:drawing>
              <wp:anchor distT="0" distB="0" distL="114300" distR="114300" simplePos="0" relativeHeight="251658240" behindDoc="0" locked="0" layoutInCell="1" allowOverlap="1">
                <wp:simplePos x="0" y="0"/>
                <wp:positionH relativeFrom="column">
                  <wp:posOffset>3041650</wp:posOffset>
                </wp:positionH>
                <wp:positionV relativeFrom="paragraph">
                  <wp:posOffset>-67945</wp:posOffset>
                </wp:positionV>
                <wp:extent cx="2236470" cy="1607185"/>
                <wp:effectExtent l="4445" t="4445" r="6985" b="762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jc w:val="right"/>
                              <w:rPr>
                                <w:rFonts w:ascii="仿宋_GB2312" w:eastAsia="仿宋_GB2312"/>
                                <w:b/>
                                <w:sz w:val="28"/>
                                <w:szCs w:val="28"/>
                              </w:rPr>
                            </w:pPr>
                            <w:r>
                              <w:rPr>
                                <w:rFonts w:hint="eastAsia" w:ascii="仿宋_GB2312" w:eastAsia="仿宋_GB2312"/>
                                <w:b/>
                                <w:sz w:val="28"/>
                                <w:szCs w:val="28"/>
                              </w:rPr>
                              <w:t>编号：</w:t>
                            </w:r>
                            <w:r>
                              <w:rPr>
                                <w:rFonts w:ascii="仿宋_GB2312" w:eastAsia="仿宋_GB2312"/>
                                <w:b/>
                                <w:sz w:val="28"/>
                                <w:szCs w:val="28"/>
                              </w:rPr>
                              <w:t>JM20200</w:t>
                            </w:r>
                            <w:r>
                              <w:rPr>
                                <w:rFonts w:hint="eastAsia" w:ascii="仿宋_GB2312" w:eastAsia="仿宋_GB2312"/>
                                <w:b/>
                                <w:sz w:val="28"/>
                                <w:szCs w:val="28"/>
                              </w:rPr>
                              <w:t>11</w:t>
                            </w:r>
                          </w:p>
                        </w:txbxContent>
                      </wps:txbx>
                      <wps:bodyPr wrap="square"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126.55pt;width:176.1pt;z-index:251658240;mso-width-relative:margin;mso-height-relative:margin;mso-width-percent:400;mso-height-percent:200;" fillcolor="#FFFFFF" filled="t" stroked="t" coordsize="21600,21600" o:gfxdata="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fXczdkAAAALAQAADwAAAAAAAAABACAAAAAiAAAA&#10;ZHJzL2Rvd25yZXYueG1sUEsBAhQAFAAAAAgAh07iQBwNLRoGAgAAHgQAAA4AAAAAAAAAAQAgAAAA&#10;KAEAAGRycy9lMm9Eb2MueG1sUEsFBgAAAAAGAAYAWQEAAKAFAAAA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jc w:val="right"/>
                        <w:rPr>
                          <w:rFonts w:ascii="仿宋_GB2312" w:eastAsia="仿宋_GB2312"/>
                          <w:b/>
                          <w:sz w:val="28"/>
                          <w:szCs w:val="28"/>
                        </w:rPr>
                      </w:pPr>
                      <w:r>
                        <w:rPr>
                          <w:rFonts w:hint="eastAsia" w:ascii="仿宋_GB2312" w:eastAsia="仿宋_GB2312"/>
                          <w:b/>
                          <w:sz w:val="28"/>
                          <w:szCs w:val="28"/>
                        </w:rPr>
                        <w:t>编号：</w:t>
                      </w:r>
                      <w:r>
                        <w:rPr>
                          <w:rFonts w:ascii="仿宋_GB2312" w:eastAsia="仿宋_GB2312"/>
                          <w:b/>
                          <w:sz w:val="28"/>
                          <w:szCs w:val="28"/>
                        </w:rPr>
                        <w:t>JM20200</w:t>
                      </w:r>
                      <w:r>
                        <w:rPr>
                          <w:rFonts w:hint="eastAsia" w:ascii="仿宋_GB2312" w:eastAsia="仿宋_GB2312"/>
                          <w:b/>
                          <w:sz w:val="28"/>
                          <w:szCs w:val="28"/>
                        </w:rPr>
                        <w:t>11</w:t>
                      </w:r>
                    </w:p>
                  </w:txbxContent>
                </v:textbox>
              </v:shape>
            </w:pict>
          </mc:Fallback>
        </mc:AlternateConten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ascii="华文中宋" w:hAnsi="华文中宋" w:eastAsia="华文中宋" w:cs="华文中宋"/>
          <w:sz w:val="36"/>
          <w:szCs w:val="36"/>
          <w:u w:val="single"/>
        </w:rPr>
        <w:t xml:space="preserve">  </w:t>
      </w:r>
      <w:r>
        <w:rPr>
          <w:rFonts w:hint="eastAsia" w:ascii="华文中宋" w:hAnsi="华文中宋" w:eastAsia="华文中宋" w:cs="华文中宋"/>
          <w:sz w:val="36"/>
          <w:szCs w:val="36"/>
          <w:u w:val="single"/>
        </w:rPr>
        <w:t>汽车车身涂装</w:t>
      </w:r>
      <w:r>
        <w:rPr>
          <w:rFonts w:ascii="华文中宋" w:hAnsi="华文中宋" w:eastAsia="华文中宋" w:cs="华文中宋"/>
          <w:sz w:val="36"/>
          <w:szCs w:val="36"/>
          <w:u w:val="single"/>
        </w:rPr>
        <w:t xml:space="preserve"> </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ind w:firstLine="1080" w:firstLineChars="300"/>
        <w:rPr>
          <w:rFonts w:ascii="华文中宋" w:hAnsi="华文中宋" w:eastAsia="华文中宋" w:cs="华文中宋"/>
          <w:sz w:val="36"/>
          <w:szCs w:val="36"/>
        </w:rPr>
      </w:pPr>
      <w:r>
        <w:rPr>
          <w:rFonts w:hint="eastAsia" w:ascii="华文中宋" w:hAnsi="华文中宋" w:eastAsia="华文中宋" w:cs="华文中宋"/>
          <w:sz w:val="36"/>
          <w:szCs w:val="36"/>
        </w:rPr>
        <w:t>送审日期：2020年4月</w:t>
      </w:r>
    </w:p>
    <w:p>
      <w:pPr>
        <w:ind w:firstLine="1080" w:firstLineChars="300"/>
        <w:rPr>
          <w:rFonts w:ascii="华文中宋" w:hAnsi="华文中宋" w:eastAsia="华文中宋" w:cs="华文中宋"/>
          <w:sz w:val="36"/>
          <w:szCs w:val="36"/>
          <w:u w:val="single"/>
        </w:rPr>
      </w:pPr>
      <w:r>
        <w:rPr>
          <w:rFonts w:hint="eastAsia" w:ascii="华文中宋" w:hAnsi="华文中宋" w:eastAsia="华文中宋" w:cs="华文中宋"/>
          <w:sz w:val="36"/>
          <w:szCs w:val="36"/>
        </w:rPr>
        <w:t>开发负责人：麦炎东  13356589905</w:t>
      </w:r>
    </w:p>
    <w:p>
      <w:pPr>
        <w:ind w:firstLine="1080" w:firstLineChars="300"/>
        <w:rPr>
          <w:rFonts w:ascii="华文中宋" w:hAnsi="华文中宋" w:eastAsia="华文中宋" w:cs="华文中宋"/>
          <w:sz w:val="36"/>
          <w:szCs w:val="36"/>
        </w:rPr>
      </w:pPr>
      <w:r>
        <w:rPr>
          <w:rFonts w:hint="eastAsia" w:ascii="华文中宋" w:hAnsi="华文中宋" w:eastAsia="华文中宋" w:cs="华文中宋"/>
          <w:sz w:val="36"/>
          <w:szCs w:val="36"/>
        </w:rPr>
        <w:t>开发专家组：麦炎东、胡德荣、谭富杨、苏卓明</w:t>
      </w:r>
    </w:p>
    <w:p>
      <w:pPr>
        <w:ind w:firstLine="1080" w:firstLineChars="300"/>
        <w:rPr>
          <w:rFonts w:ascii="华文中宋" w:hAnsi="华文中宋" w:eastAsia="华文中宋" w:cs="华文中宋"/>
          <w:sz w:val="36"/>
          <w:szCs w:val="36"/>
        </w:rPr>
      </w:pPr>
      <w:r>
        <w:rPr>
          <w:rFonts w:hint="eastAsia" w:ascii="华文中宋" w:hAnsi="华文中宋" w:eastAsia="华文中宋" w:cs="华文中宋"/>
          <w:sz w:val="36"/>
          <w:szCs w:val="36"/>
        </w:rPr>
        <w:t>开发单位</w:t>
      </w:r>
      <w:r>
        <w:rPr>
          <w:rFonts w:ascii="华文中宋" w:hAnsi="华文中宋" w:eastAsia="华文中宋" w:cs="华文中宋"/>
          <w:sz w:val="36"/>
          <w:szCs w:val="36"/>
        </w:rPr>
        <w:t>(盖章)：</w:t>
      </w:r>
      <w:r>
        <w:rPr>
          <w:rFonts w:hint="eastAsia" w:ascii="华文中宋" w:hAnsi="华文中宋" w:eastAsia="华文中宋" w:cs="华文中宋"/>
          <w:sz w:val="36"/>
          <w:szCs w:val="36"/>
        </w:rPr>
        <w:t>开平市小拇指汽车贸易有限公司</w: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sectPr>
          <w:pgSz w:w="11906" w:h="16838"/>
          <w:pgMar w:top="2098" w:right="1474" w:bottom="1985" w:left="1588" w:header="851" w:footer="992" w:gutter="0"/>
          <w:cols w:space="720" w:num="1"/>
          <w:docGrid w:type="lines" w:linePitch="312" w:charSpace="0"/>
        </w:sect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填写说明</w:t>
      </w:r>
    </w:p>
    <w:p>
      <w:pPr>
        <w:widowControl/>
        <w:spacing w:line="600" w:lineRule="atLeast"/>
        <w:ind w:firstLine="640"/>
        <w:jc w:val="left"/>
        <w:rPr>
          <w:rFonts w:ascii="Times New Roman" w:hAnsi="Times New Roman" w:eastAsia="仿宋_GB2312"/>
          <w:bCs/>
          <w:kern w:val="0"/>
          <w:sz w:val="32"/>
          <w:szCs w:val="32"/>
        </w:rPr>
      </w:pPr>
      <w:r>
        <w:rPr>
          <w:rFonts w:hint="eastAsia" w:ascii="仿宋_GB2312" w:hAnsi="仿宋_GB2312" w:eastAsia="仿宋_GB2312" w:cs="仿宋_GB2312"/>
          <w:sz w:val="32"/>
          <w:szCs w:val="32"/>
        </w:rPr>
        <w:t>一、</w:t>
      </w:r>
      <w:r>
        <w:rPr>
          <w:rFonts w:hint="eastAsia" w:ascii="Times New Roman" w:hAnsi="Times New Roman" w:eastAsia="仿宋_GB2312"/>
          <w:kern w:val="0"/>
          <w:sz w:val="32"/>
          <w:szCs w:val="32"/>
        </w:rPr>
        <w:t>以A4纸打印一式</w:t>
      </w:r>
      <w:r>
        <w:rPr>
          <w:rFonts w:hint="eastAsia" w:ascii="Times New Roman" w:hAnsi="Times New Roman" w:eastAsia="仿宋_GB2312"/>
          <w:bCs/>
          <w:kern w:val="0"/>
          <w:sz w:val="32"/>
          <w:szCs w:val="32"/>
        </w:rPr>
        <w:t>2份，在规定时间内提交人力资源社会保障部门</w:t>
      </w:r>
      <w:r>
        <w:rPr>
          <w:rFonts w:hint="eastAsia" w:ascii="Times New Roman" w:hAnsi="Times New Roman" w:eastAsia="仿宋_GB2312"/>
          <w:kern w:val="0"/>
          <w:sz w:val="32"/>
          <w:szCs w:val="32"/>
        </w:rPr>
        <w:t>审核</w:t>
      </w:r>
      <w:r>
        <w:rPr>
          <w:rFonts w:hint="eastAsia" w:ascii="Times New Roman" w:hAnsi="Times New Roman" w:eastAsia="仿宋_GB2312"/>
          <w:bCs/>
          <w:kern w:val="0"/>
          <w:sz w:val="32"/>
          <w:szCs w:val="32"/>
        </w:rPr>
        <w:t>。</w:t>
      </w:r>
      <w:r>
        <w:rPr>
          <w:rFonts w:hint="eastAsia" w:ascii="Times New Roman" w:hAnsi="Times New Roman" w:eastAsia="仿宋_GB2312"/>
          <w:kern w:val="0"/>
          <w:sz w:val="32"/>
          <w:szCs w:val="32"/>
        </w:rPr>
        <w:t>封面上方的编号由</w:t>
      </w:r>
      <w:r>
        <w:rPr>
          <w:rFonts w:hint="eastAsia" w:ascii="Times New Roman" w:hAnsi="Times New Roman" w:eastAsia="仿宋_GB2312"/>
          <w:bCs/>
          <w:kern w:val="0"/>
          <w:sz w:val="32"/>
          <w:szCs w:val="32"/>
        </w:rPr>
        <w:t>人力资源社会保障部门</w:t>
      </w:r>
      <w:r>
        <w:rPr>
          <w:rFonts w:hint="eastAsia" w:ascii="Times New Roman" w:hAnsi="Times New Roman" w:eastAsia="仿宋_GB2312"/>
          <w:kern w:val="0"/>
          <w:sz w:val="32"/>
          <w:szCs w:val="32"/>
        </w:rPr>
        <w:t>填写。</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二、培训课程标准工种名称需在</w:t>
      </w:r>
      <w:r>
        <w:rPr>
          <w:rFonts w:hint="eastAsia" w:ascii="仿宋" w:hAnsi="仿宋" w:eastAsia="仿宋"/>
          <w:sz w:val="32"/>
          <w:szCs w:val="32"/>
        </w:rPr>
        <w:t>《中华人民共和国职业分类大典</w:t>
      </w:r>
      <w:r>
        <w:rPr>
          <w:rFonts w:ascii="仿宋" w:hAnsi="仿宋" w:eastAsia="仿宋"/>
          <w:sz w:val="32"/>
          <w:szCs w:val="32"/>
        </w:rPr>
        <w:t>(2015年版)》中技能类职业(工种)、新职业、专项职业能力（含培训合格证）或技能单元等</w:t>
      </w:r>
      <w:r>
        <w:rPr>
          <w:rFonts w:hint="eastAsia" w:ascii="仿宋" w:hAnsi="仿宋" w:eastAsia="仿宋"/>
          <w:sz w:val="32"/>
          <w:szCs w:val="32"/>
        </w:rPr>
        <w:t>基础上进行细分。如涂装工（化工涂料）。</w:t>
      </w:r>
    </w:p>
    <w:p>
      <w:pPr>
        <w:ind w:firstLine="640" w:firstLineChars="200"/>
        <w:rPr>
          <w:rFonts w:ascii="仿宋" w:hAnsi="仿宋" w:eastAsia="仿宋"/>
          <w:sz w:val="32"/>
          <w:szCs w:val="32"/>
        </w:rPr>
      </w:pPr>
      <w:r>
        <w:rPr>
          <w:rFonts w:hint="eastAsia" w:ascii="仿宋" w:hAnsi="仿宋" w:eastAsia="仿宋"/>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Pr>
        <w:sectPr>
          <w:footerReference r:id="rId3" w:type="default"/>
          <w:pgSz w:w="11906" w:h="16838"/>
          <w:pgMar w:top="1985" w:right="1474" w:bottom="1814" w:left="1588" w:header="851" w:footer="992" w:gutter="0"/>
          <w:pgNumType w:start="1"/>
          <w:cols w:space="720" w:num="1"/>
          <w:docGrid w:type="linesAndChars" w:linePitch="312" w:charSpace="0"/>
        </w:sectPr>
      </w:pP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课标名称：江门市</w:t>
      </w:r>
      <w:r>
        <w:rPr>
          <w:rFonts w:hint="eastAsia" w:ascii="仿宋_GB2312" w:hAnsi="仿宋_GB2312" w:eastAsia="仿宋_GB2312" w:cs="仿宋_GB2312"/>
          <w:sz w:val="32"/>
          <w:szCs w:val="32"/>
          <w:u w:val="single"/>
        </w:rPr>
        <w:t>汽车车身涂装</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编制依据：本培训课程标准参考</w:t>
      </w:r>
      <w:r>
        <w:rPr>
          <w:rFonts w:hint="eastAsia" w:ascii="仿宋_GB2312" w:hAnsi="仿宋_GB2312" w:eastAsia="仿宋_GB2312" w:cs="仿宋_GB2312"/>
          <w:sz w:val="32"/>
          <w:szCs w:val="32"/>
          <w:u w:val="single"/>
        </w:rPr>
        <w:t xml:space="preserve"> 《中华人民共和国职业分类大典（2015年版）》6-18-03-03涂装工</w:t>
      </w:r>
      <w:r>
        <w:rPr>
          <w:rFonts w:ascii="仿宋_GB2312" w:hAnsi="仿宋_GB2312" w:eastAsia="仿宋_GB2312" w:cs="仿宋_GB2312"/>
          <w:sz w:val="32"/>
          <w:szCs w:val="32"/>
        </w:rPr>
        <w:t>职业技能标准</w:t>
      </w:r>
      <w:r>
        <w:rPr>
          <w:rFonts w:hint="eastAsia" w:ascii="仿宋_GB2312" w:hAnsi="仿宋_GB2312" w:eastAsia="仿宋_GB2312" w:cs="仿宋_GB2312"/>
          <w:sz w:val="32"/>
          <w:szCs w:val="32"/>
        </w:rPr>
        <w:t>编制。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适用受训对象：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（填受训对象）汽车维修行业进行岗前培训及就业人员</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1.4 培训师要求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1.具有大学专科以上学历、汽车维修漆工三级职业资格或取得汽车维修相关专业中级或以上专业技术资格的技术人员。</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2.具有汽车维修相关专业企业特聘兼职培训讲师。</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1.5  培训场地设备要求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（填</w:t>
      </w:r>
      <w:r>
        <w:rPr>
          <w:rFonts w:ascii="仿宋_GB2312" w:hAnsi="仿宋_GB2312" w:eastAsia="仿宋_GB2312" w:cs="仿宋_GB2312"/>
          <w:sz w:val="32"/>
          <w:szCs w:val="32"/>
        </w:rPr>
        <w:t>培训场地设备要求</w:t>
      </w:r>
      <w:r>
        <w:rPr>
          <w:rFonts w:hint="eastAsia" w:ascii="仿宋_GB2312" w:hAnsi="仿宋_GB2312" w:eastAsia="仿宋_GB2312" w:cs="仿宋_GB2312"/>
          <w:sz w:val="32"/>
          <w:szCs w:val="32"/>
        </w:rPr>
        <w:t>）有300平方米独立的实训车间，并配备烤漆房，喷涂设备等。</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其他：</w:t>
      </w:r>
      <w:r>
        <w:rPr>
          <w:rFonts w:hint="eastAsia" w:ascii="仿宋_GB2312" w:hAnsi="仿宋_GB2312" w:eastAsia="仿宋_GB2312" w:cs="仿宋_GB2312"/>
          <w:sz w:val="32"/>
          <w:szCs w:val="32"/>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7考核方式：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笔试：满分100分，60分合格，占总成绩30%。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实操：满分100分，60分合格，占总成绩70%。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1.8考核标准：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笔试考试内容：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汽车喷涂的相关理论知识。</w:t>
      </w:r>
    </w:p>
    <w:p>
      <w:pPr>
        <w:tabs>
          <w:tab w:val="left" w:pos="851"/>
          <w:tab w:val="left" w:pos="1276"/>
        </w:tabs>
        <w:spacing w:line="560" w:lineRule="exact"/>
        <w:ind w:left="648"/>
        <w:rPr>
          <w:rFonts w:ascii="仿宋_GB2312" w:hAnsi="宋体" w:eastAsia="仿宋_GB2312"/>
          <w:sz w:val="28"/>
          <w:szCs w:val="28"/>
        </w:rPr>
      </w:pPr>
      <w:r>
        <w:rPr>
          <w:rFonts w:hint="eastAsia" w:ascii="仿宋_GB2312" w:hAnsi="仿宋_GB2312" w:eastAsia="仿宋_GB2312" w:cs="仿宋_GB2312"/>
          <w:sz w:val="32"/>
          <w:szCs w:val="32"/>
        </w:rPr>
        <w:t>实操考核内容：</w:t>
      </w:r>
    </w:p>
    <w:p>
      <w:pPr>
        <w:numPr>
          <w:ilvl w:val="0"/>
          <w:numId w:val="1"/>
        </w:numPr>
        <w:tabs>
          <w:tab w:val="left" w:pos="851"/>
          <w:tab w:val="left" w:pos="1276"/>
        </w:tabs>
        <w:spacing w:line="560" w:lineRule="exact"/>
        <w:ind w:left="-2" w:leftChars="-1" w:firstLine="568" w:firstLineChars="203"/>
        <w:rPr>
          <w:rFonts w:ascii="仿宋_GB2312" w:hAnsi="宋体" w:eastAsia="仿宋_GB2312"/>
          <w:sz w:val="28"/>
          <w:szCs w:val="28"/>
        </w:rPr>
      </w:pPr>
      <w:r>
        <w:rPr>
          <w:rFonts w:hint="eastAsia" w:ascii="仿宋_GB2312" w:hAnsi="宋体" w:eastAsia="仿宋_GB2312"/>
          <w:sz w:val="28"/>
          <w:szCs w:val="28"/>
        </w:rPr>
        <w:t xml:space="preserve">损伤区处理 </w:t>
      </w:r>
    </w:p>
    <w:p>
      <w:pPr>
        <w:numPr>
          <w:ilvl w:val="0"/>
          <w:numId w:val="1"/>
        </w:numPr>
        <w:tabs>
          <w:tab w:val="left" w:pos="851"/>
          <w:tab w:val="left" w:pos="1276"/>
        </w:tabs>
        <w:spacing w:line="560" w:lineRule="exact"/>
        <w:ind w:left="-2" w:leftChars="-1" w:firstLine="568" w:firstLineChars="203"/>
        <w:rPr>
          <w:rFonts w:ascii="仿宋_GB2312" w:hAnsi="宋体" w:eastAsia="仿宋_GB2312"/>
          <w:sz w:val="28"/>
          <w:szCs w:val="28"/>
        </w:rPr>
      </w:pPr>
      <w:r>
        <w:rPr>
          <w:rFonts w:hint="eastAsia" w:ascii="仿宋_GB2312" w:hAnsi="宋体" w:eastAsia="仿宋_GB2312"/>
          <w:sz w:val="28"/>
          <w:szCs w:val="28"/>
        </w:rPr>
        <w:t>喷中涂底漆</w:t>
      </w:r>
    </w:p>
    <w:p>
      <w:pPr>
        <w:numPr>
          <w:ilvl w:val="0"/>
          <w:numId w:val="1"/>
        </w:numPr>
        <w:tabs>
          <w:tab w:val="left" w:pos="851"/>
          <w:tab w:val="left" w:pos="1276"/>
        </w:tabs>
        <w:spacing w:line="560" w:lineRule="exact"/>
        <w:ind w:left="-2" w:leftChars="-1" w:firstLine="568" w:firstLineChars="203"/>
        <w:rPr>
          <w:rFonts w:ascii="仿宋_GB2312" w:hAnsi="宋体" w:eastAsia="仿宋_GB2312"/>
          <w:sz w:val="28"/>
          <w:szCs w:val="28"/>
        </w:rPr>
      </w:pPr>
      <w:r>
        <w:rPr>
          <w:rFonts w:hint="eastAsia" w:ascii="仿宋_GB2312" w:hAnsi="宋体" w:eastAsia="仿宋_GB2312"/>
          <w:sz w:val="28"/>
          <w:szCs w:val="28"/>
        </w:rPr>
        <w:t>面漆前处理</w:t>
      </w:r>
    </w:p>
    <w:p>
      <w:pPr>
        <w:numPr>
          <w:ilvl w:val="0"/>
          <w:numId w:val="1"/>
        </w:numPr>
        <w:tabs>
          <w:tab w:val="left" w:pos="851"/>
          <w:tab w:val="left" w:pos="1276"/>
        </w:tabs>
        <w:spacing w:line="560" w:lineRule="exact"/>
        <w:ind w:left="-2" w:leftChars="-1" w:firstLine="568" w:firstLineChars="203"/>
        <w:rPr>
          <w:rFonts w:ascii="仿宋_GB2312" w:hAnsi="宋体" w:eastAsia="仿宋_GB2312"/>
          <w:sz w:val="28"/>
          <w:szCs w:val="28"/>
        </w:rPr>
      </w:pPr>
      <w:r>
        <w:rPr>
          <w:rFonts w:hint="eastAsia" w:ascii="仿宋_GB2312" w:hAnsi="宋体" w:eastAsia="仿宋_GB2312"/>
          <w:sz w:val="28"/>
          <w:szCs w:val="28"/>
        </w:rPr>
        <w:t>水性底色漆微调</w:t>
      </w:r>
    </w:p>
    <w:p>
      <w:pPr>
        <w:numPr>
          <w:ilvl w:val="0"/>
          <w:numId w:val="1"/>
        </w:numPr>
        <w:tabs>
          <w:tab w:val="left" w:pos="851"/>
          <w:tab w:val="left" w:pos="1276"/>
        </w:tabs>
        <w:spacing w:line="560" w:lineRule="exact"/>
        <w:ind w:left="-2" w:leftChars="-1" w:firstLine="568" w:firstLineChars="203"/>
        <w:rPr>
          <w:rFonts w:ascii="仿宋_GB2312" w:hAnsi="宋体" w:eastAsia="仿宋_GB2312"/>
          <w:sz w:val="28"/>
          <w:szCs w:val="28"/>
        </w:rPr>
      </w:pPr>
      <w:r>
        <w:rPr>
          <w:rFonts w:hint="eastAsia" w:ascii="仿宋_GB2312" w:hAnsi="宋体" w:eastAsia="仿宋_GB2312"/>
          <w:sz w:val="28"/>
          <w:szCs w:val="28"/>
        </w:rPr>
        <w:t>水性底色漆、清漆喷涂</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二、培训目标</w:t>
      </w:r>
      <w:r>
        <w:rPr>
          <w:rFonts w:ascii="仿宋_GB2312" w:hAnsi="仿宋_GB2312" w:eastAsia="仿宋_GB2312" w:cs="仿宋_GB2312"/>
          <w:sz w:val="32"/>
          <w:szCs w:val="32"/>
        </w:rPr>
        <w:t xml:space="preserve"> </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通过本职业能力理论知识学习和操作技能训练，培训对象能够具备汽车涂装职业能力所要求的理论知识和实际操作技能；能胜任汽车喷漆岗位。</w:t>
      </w:r>
      <w:r>
        <w:rPr>
          <w:rFonts w:ascii="仿宋_GB2312" w:hAnsi="仿宋_GB2312" w:eastAsia="仿宋_GB2312" w:cs="仿宋_GB2312"/>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r>
        <w:rPr>
          <w:rFonts w:ascii="黑体" w:hAnsi="黑体" w:eastAsia="黑体" w:cs="黑体"/>
          <w:sz w:val="32"/>
          <w:szCs w:val="32"/>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530"/>
        <w:gridCol w:w="2268"/>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课程单元名称</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所需课时数</w:t>
            </w:r>
          </w:p>
        </w:tc>
        <w:tc>
          <w:tcPr>
            <w:tcW w:w="14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防护用品的正确穿戴</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Cs w:val="21"/>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底材的处理</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腻子的刮涂与打磨</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喷枪的清洗与维护</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中涂底漆的喷涂</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中涂底漆的打磨</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7</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面漆的调配与喷涂</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8</w:t>
            </w:r>
          </w:p>
        </w:tc>
        <w:tc>
          <w:tcPr>
            <w:tcW w:w="3530"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板块内过渡的喷涂方法</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7课时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gridSpan w:val="2"/>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总课时数</w:t>
            </w:r>
          </w:p>
        </w:tc>
        <w:tc>
          <w:tcPr>
            <w:tcW w:w="2268" w:type="dxa"/>
            <w:noWrap w:val="0"/>
            <w:vAlign w:val="top"/>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27课时</w:t>
            </w:r>
          </w:p>
        </w:tc>
        <w:tc>
          <w:tcPr>
            <w:tcW w:w="1468" w:type="dxa"/>
            <w:noWrap w:val="0"/>
            <w:vAlign w:val="top"/>
          </w:tcPr>
          <w:p>
            <w:pPr>
              <w:jc w:val="center"/>
              <w:rPr>
                <w:rFonts w:ascii="仿宋_GB2312" w:hAnsi="仿宋_GB2312" w:eastAsia="仿宋_GB2312" w:cs="仿宋_GB2312"/>
                <w:szCs w:val="21"/>
              </w:rPr>
            </w:pPr>
            <w:r>
              <w:rPr>
                <w:rFonts w:hint="eastAsia" w:ascii="仿宋_GB2312" w:hAnsi="仿宋_GB2312" w:eastAsia="仿宋_GB2312" w:cs="仿宋_GB2312"/>
                <w:szCs w:val="21"/>
              </w:rPr>
              <w:t>每课时</w:t>
            </w:r>
          </w:p>
          <w:p>
            <w:pPr>
              <w:jc w:val="center"/>
              <w:rPr>
                <w:rFonts w:ascii="仿宋_GB2312" w:hAnsi="仿宋_GB2312" w:eastAsia="仿宋_GB2312" w:cs="仿宋_GB2312"/>
                <w:sz w:val="32"/>
                <w:szCs w:val="32"/>
              </w:rPr>
            </w:pPr>
            <w:r>
              <w:rPr>
                <w:rFonts w:hint="eastAsia" w:ascii="仿宋_GB2312" w:hAnsi="仿宋_GB2312" w:eastAsia="仿宋_GB2312" w:cs="仿宋_GB2312"/>
                <w:szCs w:val="21"/>
              </w:rPr>
              <w:t>45分钟</w:t>
            </w: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w:t>
      </w:r>
      <w:r>
        <w:rPr>
          <w:rFonts w:ascii="仿宋_GB2312" w:hAnsi="仿宋_GB2312" w:eastAsia="仿宋_GB2312" w:cs="仿宋_GB2312"/>
          <w:sz w:val="32"/>
          <w:szCs w:val="32"/>
        </w:rPr>
        <w:t>45分钟。</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spacing w:line="600" w:lineRule="exact"/>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4.1 </w:t>
      </w:r>
      <w:r>
        <w:rPr>
          <w:rFonts w:hint="eastAsia" w:ascii="楷体_GB2312" w:hAnsi="楷体_GB2312" w:eastAsia="楷体_GB2312" w:cs="楷体_GB2312"/>
          <w:b/>
          <w:bCs/>
          <w:sz w:val="32"/>
          <w:szCs w:val="32"/>
        </w:rPr>
        <w:t>课程单元一名称:防护用品的正确穿戴</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4.1.1</w:t>
      </w:r>
      <w:r>
        <w:rPr>
          <w:rFonts w:hint="eastAsia" w:ascii="仿宋_GB2312" w:hAnsi="仿宋_GB2312" w:eastAsia="仿宋_GB2312" w:cs="仿宋_GB2312"/>
          <w:b/>
          <w:bCs/>
          <w:sz w:val="32"/>
          <w:szCs w:val="32"/>
        </w:rPr>
        <w:t>培训目标</w:t>
      </w:r>
      <w:r>
        <w:rPr>
          <w:rFonts w:ascii="仿宋_GB2312" w:hAnsi="仿宋_GB2312" w:eastAsia="仿宋_GB2312" w:cs="仿宋_GB2312"/>
          <w:sz w:val="32"/>
          <w:szCs w:val="32"/>
        </w:rPr>
        <w:t xml:space="preserve"> </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通过本单元培训，使培训对象能够掌握：1.防护用品穿戴方法正确；2.各种作业的防护用品选择正确；3.防毒口罩的活性炭过滤器应密封保存。</w:t>
      </w:r>
    </w:p>
    <w:p>
      <w:pPr>
        <w:spacing w:line="600" w:lineRule="exact"/>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4.1.2培训内容 </w:t>
      </w:r>
    </w:p>
    <w:p>
      <w:pPr>
        <w:spacing w:line="600" w:lineRule="exact"/>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理论教学内容</w:t>
      </w:r>
      <w:r>
        <w:rPr>
          <w:rFonts w:ascii="仿宋_GB2312" w:hAnsi="仿宋_GB2312" w:eastAsia="仿宋_GB2312" w:cs="仿宋_GB2312"/>
          <w:sz w:val="32"/>
          <w:szCs w:val="32"/>
        </w:rPr>
        <w:t xml:space="preserve"> </w:t>
      </w:r>
    </w:p>
    <w:p>
      <w:pPr>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1．认识油漆的危害；</w:t>
      </w:r>
    </w:p>
    <w:p>
      <w:pPr>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2.认识各种防护用品的作用。</w:t>
      </w:r>
    </w:p>
    <w:p>
      <w:pPr>
        <w:spacing w:line="600" w:lineRule="exact"/>
        <w:ind w:firstLine="1280" w:firstLineChars="400"/>
        <w:rPr>
          <w:rFonts w:ascii="仿宋_GB2312" w:hAnsi="仿宋_GB2312" w:eastAsia="仿宋_GB2312" w:cs="仿宋_GB2312"/>
          <w:sz w:val="32"/>
          <w:szCs w:val="32"/>
        </w:rPr>
      </w:pPr>
      <w:r>
        <w:rPr>
          <w:rFonts w:ascii="仿宋_GB2312" w:hAnsi="仿宋_GB2312" w:eastAsia="仿宋_GB2312" w:cs="仿宋_GB2312"/>
          <w:sz w:val="32"/>
          <w:szCs w:val="32"/>
        </w:rPr>
        <w:t>4.1.2.2</w:t>
      </w:r>
      <w:r>
        <w:rPr>
          <w:rFonts w:hint="eastAsia" w:ascii="仿宋_GB2312" w:hAnsi="仿宋_GB2312" w:eastAsia="仿宋_GB2312" w:cs="仿宋_GB2312"/>
          <w:sz w:val="32"/>
          <w:szCs w:val="32"/>
        </w:rPr>
        <w:t>技能实训内容</w:t>
      </w:r>
      <w:r>
        <w:rPr>
          <w:rFonts w:ascii="仿宋_GB2312" w:hAnsi="仿宋_GB2312" w:eastAsia="仿宋_GB2312" w:cs="仿宋_GB2312"/>
          <w:sz w:val="32"/>
          <w:szCs w:val="32"/>
        </w:rPr>
        <w:t xml:space="preserve"> </w:t>
      </w:r>
    </w:p>
    <w:p>
      <w:pPr>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1.掌握各种防护用品正确的佩戴方法；</w:t>
      </w:r>
    </w:p>
    <w:p>
      <w:pPr>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2.在各种作业中能正确选择防护用品。</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4.1.3培训方式建议</w:t>
      </w:r>
      <w:r>
        <w:rPr>
          <w:rFonts w:ascii="仿宋_GB2312" w:hAnsi="仿宋_GB2312" w:eastAsia="仿宋_GB2312" w:cs="仿宋_GB2312"/>
          <w:sz w:val="32"/>
          <w:szCs w:val="32"/>
        </w:rPr>
        <w:t xml:space="preserve"> </w:t>
      </w:r>
    </w:p>
    <w:p>
      <w:pPr>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4.2 </w:t>
      </w:r>
      <w:r>
        <w:rPr>
          <w:rFonts w:hint="eastAsia" w:ascii="楷体_GB2312" w:hAnsi="楷体_GB2312" w:eastAsia="楷体_GB2312" w:cs="楷体_GB2312"/>
          <w:b/>
          <w:bCs/>
          <w:sz w:val="32"/>
          <w:szCs w:val="32"/>
        </w:rPr>
        <w:t>课程单元二名称:底材的处理</w:t>
      </w:r>
    </w:p>
    <w:p>
      <w:pPr>
        <w:spacing w:line="600" w:lineRule="exact"/>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4.2.1培训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通过本单元培训，使培训对象能够掌握：1.打磨机的正确使用；2.采用合理的方法评估损伤区域；3.羽状边打磨、羽状边平滑过度；4.废弃物正确放置。</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4.2.2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1.理解羽状边打磨的重要性；2.巩固各种防护用品的使用知识；3.掌握漆面类型、损伤的评估、羽状边打磨的技能。</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4.2.2.1</w:t>
      </w:r>
      <w:r>
        <w:rPr>
          <w:rFonts w:hint="eastAsia" w:ascii="仿宋_GB2312" w:hAnsi="仿宋_GB2312" w:eastAsia="仿宋_GB2312" w:cs="仿宋_GB2312"/>
          <w:sz w:val="32"/>
          <w:szCs w:val="32"/>
        </w:rPr>
        <w:t>理论教学内容</w:t>
      </w:r>
      <w:r>
        <w:rPr>
          <w:rFonts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1.理解羽状边打磨的重要性；2.巩固各种防护用品的使用知识。</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4.2.2.2</w:t>
      </w:r>
      <w:r>
        <w:rPr>
          <w:rFonts w:hint="eastAsia" w:ascii="仿宋_GB2312" w:hAnsi="仿宋_GB2312" w:eastAsia="仿宋_GB2312" w:cs="仿宋_GB2312"/>
          <w:sz w:val="32"/>
          <w:szCs w:val="32"/>
        </w:rPr>
        <w:t>技能实训内容</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掌握漆面类型、损伤的评估、羽状边打磨的技能。</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4.3</w:t>
      </w:r>
      <w:r>
        <w:rPr>
          <w:rFonts w:hint="eastAsia" w:ascii="楷体_GB2312" w:hAnsi="楷体_GB2312" w:eastAsia="楷体_GB2312" w:cs="楷体_GB2312"/>
          <w:b/>
          <w:bCs/>
          <w:sz w:val="32"/>
          <w:szCs w:val="32"/>
        </w:rPr>
        <w:t>课程单元三名称: 腻子的刮涂与打磨</w:t>
      </w:r>
    </w:p>
    <w:p>
      <w:pPr>
        <w:spacing w:line="600" w:lineRule="exact"/>
        <w:ind w:firstLine="964" w:firstLineChars="300"/>
        <w:rPr>
          <w:rFonts w:hint="eastAsia"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通过本单元培训，使培训对象能够掌握：1.防护用品穿戴正确；2.打磨工具损伤规范；3.固化剂与腻子的比例；4、涂刮方法合理；5、干砂纸使用合理；6、打磨后，腻子无划痕、无沙眼，恢复损伤前形状。</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1.巩固防护用品的穿戴知识；2.了解腻子的种类，作用； 3.掌握腻子涂刮的方法、流程； 4. 掌握腻子打磨（干磨）的方法；5、掌握腻子打磨时干砂纸的选择。</w:t>
      </w:r>
    </w:p>
    <w:p>
      <w:pPr>
        <w:spacing w:line="600" w:lineRule="exact"/>
        <w:ind w:firstLine="960" w:firstLineChars="300"/>
        <w:rPr>
          <w:rFonts w:hint="eastAsia"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1.了解腻子的种类，作用； 2.掌握腻子涂刮的方法、流程；</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1.掌握腻子涂刮的方法、流程；2. 掌握腻子打磨（干磨）的方法；3.掌握腻子打磨时干砂纸的选择的技能。</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5"/>
        <w:rPr>
          <w:rFonts w:hint="eastAsia" w:ascii="仿宋_GB2312" w:hAnsi="仿宋_GB2312" w:eastAsia="仿宋_GB2312" w:cs="仿宋_GB2312"/>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4课程单元四名称:</w:t>
      </w:r>
      <w:bookmarkStart w:id="0" w:name="_GoBack"/>
      <w:r>
        <w:rPr>
          <w:rFonts w:hint="eastAsia" w:ascii="楷体_GB2312" w:hAnsi="楷体_GB2312" w:eastAsia="楷体_GB2312" w:cs="楷体_GB2312"/>
          <w:b/>
          <w:bCs/>
          <w:sz w:val="32"/>
          <w:szCs w:val="32"/>
        </w:rPr>
        <w:t xml:space="preserve"> 喷枪的清洗与维护</w:t>
      </w:r>
      <w:bookmarkEnd w:id="0"/>
    </w:p>
    <w:p>
      <w:pPr>
        <w:spacing w:line="600" w:lineRule="exact"/>
        <w:ind w:firstLine="964" w:firstLineChars="300"/>
        <w:rPr>
          <w:rFonts w:hint="eastAsia"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4</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通过本单元培训，使培训对象能够掌握：1.防护用品穿戴正确；2拆卸、安装喷枪方法正确。 </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4</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1.巩固防护用品的穿戴知识；2.了解喷枪的结构及种类； 3.掌握喷枪清洗与维护的方法。</w:t>
      </w:r>
    </w:p>
    <w:p>
      <w:pPr>
        <w:spacing w:line="600" w:lineRule="exact"/>
        <w:ind w:firstLine="960" w:firstLineChars="300"/>
        <w:rPr>
          <w:rFonts w:hint="eastAsia"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了解喷枪的结构及种类； 2.掌握喷枪清洗与维护的方法。</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掌握喷枪清洗与维护的方法的技能。</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4</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5"/>
        <w:rPr>
          <w:rFonts w:hint="eastAsia" w:ascii="仿宋_GB2312" w:hAnsi="仿宋_GB2312" w:eastAsia="仿宋_GB2312" w:cs="仿宋_GB2312"/>
          <w:b/>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5课程单元五名称: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中涂底漆的喷涂</w:t>
      </w:r>
    </w:p>
    <w:p>
      <w:pPr>
        <w:spacing w:line="600" w:lineRule="exact"/>
        <w:ind w:firstLine="964" w:firstLineChars="300"/>
        <w:rPr>
          <w:rFonts w:hint="eastAsia"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通过本单元培训，使培训对象能够掌握：1.干磨机的正确使用；2中涂前打磨砂纸与打磨头正确选用；3 .中涂底漆调配方法正确，比例合理；4. 中涂底漆喷涂方法正确，喷涂2个湿层；5.正确使用底漆喷枪喷涂中涂底漆。</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1.巩固防护用品的穿戴知识；2.了解中涂底漆的作用； 3.掌握喷枪的调节方法；4. 掌握中涂底漆调配、喷涂、干澡的技能。</w:t>
      </w:r>
    </w:p>
    <w:p>
      <w:pPr>
        <w:spacing w:line="600" w:lineRule="exact"/>
        <w:ind w:firstLine="960" w:firstLineChars="300"/>
        <w:rPr>
          <w:rFonts w:hint="eastAsia"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1.了解中涂底漆的作用； 2.掌握喷枪的调节方法；</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掌握中涂底漆调配、喷涂、干澡的技能。</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3" w:firstLineChars="200"/>
        <w:rPr>
          <w:rFonts w:hint="eastAsia" w:ascii="仿宋_GB2312" w:hAnsi="仿宋_GB2312" w:eastAsia="仿宋_GB2312" w:cs="仿宋_GB2312"/>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6课程单元六名称: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中涂底漆的打磨</w:t>
      </w:r>
    </w:p>
    <w:p>
      <w:pPr>
        <w:spacing w:line="600" w:lineRule="exact"/>
        <w:ind w:firstLine="964" w:firstLineChars="300"/>
        <w:rPr>
          <w:rFonts w:hint="eastAsia"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通过本单元培训，使培训对象能够掌握：1.干磨机的正确使用；2.打磨砂纸与打磨头正确选用打磨中涂底漆；3 . 用灰色菜瓜布打磨边角部位。</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1.巩固防护用品的穿戴知识；2.干磨机的正确使用；3.打磨砂纸与打磨头正确选用打磨中涂底漆；4 . 用灰色菜瓜布打磨边角部位。</w:t>
      </w:r>
    </w:p>
    <w:p>
      <w:pPr>
        <w:spacing w:line="600" w:lineRule="exact"/>
        <w:ind w:firstLine="960" w:firstLineChars="300"/>
        <w:rPr>
          <w:rFonts w:hint="eastAsia"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1.掌握干磨机的正确使用；2.打磨砂纸与打磨头正确选用打磨中涂底漆； 3. 用灰色菜瓜布打磨边角部位.</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掌握1.打磨砂纸与打磨头正确选用打磨中涂底漆； 2. 用灰色菜瓜布打磨边角部位的技能。</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5"/>
        <w:rPr>
          <w:rFonts w:hint="eastAsia" w:ascii="仿宋_GB2312" w:hAnsi="仿宋_GB2312" w:eastAsia="仿宋_GB2312" w:cs="仿宋_GB2312"/>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7课程单元七名称: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面漆的调配与喷涂</w:t>
      </w:r>
    </w:p>
    <w:p>
      <w:pPr>
        <w:spacing w:line="600" w:lineRule="exact"/>
        <w:ind w:firstLine="964" w:firstLineChars="300"/>
        <w:rPr>
          <w:rFonts w:hint="eastAsia"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7</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通过本单元培训，使培训对象能够掌握：1.正确选用和使用口径为1.3mm喷枪；2.底色漆调配比例为2:1清漆的调配比例为2:1；3 . 正确选用稀释剂；4.喷涂后，底色不发花，清漆光滑无流挂、无失光、饱满、纹理漂亮</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7</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1.正确选用和使用口径为1.3mm喷枪；2.底色漆调配比例为2:1清漆的调配比例为2:1；3 . 正确选用稀释剂；4.喷涂后，底色不发花，清漆光滑无流挂、无失光、饱满、纹理漂亮。</w:t>
      </w:r>
    </w:p>
    <w:p>
      <w:pPr>
        <w:spacing w:line="600" w:lineRule="exact"/>
        <w:ind w:firstLine="960" w:firstLineChars="300"/>
        <w:rPr>
          <w:rFonts w:hint="eastAsia"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1.正确选用和使用口径为1.3mm喷枪；2.底色漆调配比例为2:1清漆的调配比例为2:1；3 . 正确选用稀释剂。</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掌握喷涂后，底色不发花，清漆光滑无流挂、无失光、饱满、纹理漂亮的技能。</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7</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3" w:firstLineChars="200"/>
        <w:rPr>
          <w:rFonts w:hint="eastAsia" w:ascii="仿宋_GB2312" w:hAnsi="仿宋_GB2312" w:eastAsia="仿宋_GB2312" w:cs="仿宋_GB2312"/>
          <w:sz w:val="32"/>
          <w:szCs w:val="32"/>
        </w:rPr>
      </w:pPr>
      <w:r>
        <w:rPr>
          <w:rFonts w:ascii="楷体_GB2312" w:hAnsi="楷体_GB2312" w:eastAsia="楷体_GB2312" w:cs="楷体_GB2312"/>
          <w:b/>
          <w:bCs/>
          <w:sz w:val="32"/>
          <w:szCs w:val="32"/>
        </w:rPr>
        <w:t>4.</w:t>
      </w:r>
      <w:r>
        <w:rPr>
          <w:rFonts w:hint="eastAsia" w:ascii="楷体_GB2312" w:hAnsi="楷体_GB2312" w:eastAsia="楷体_GB2312" w:cs="楷体_GB2312"/>
          <w:b/>
          <w:bCs/>
          <w:sz w:val="32"/>
          <w:szCs w:val="32"/>
        </w:rPr>
        <w:t>8课程单元八名称:</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板块内过渡的喷涂方法</w:t>
      </w:r>
    </w:p>
    <w:p>
      <w:pPr>
        <w:spacing w:line="600" w:lineRule="exact"/>
        <w:ind w:firstLine="964" w:firstLineChars="300"/>
        <w:rPr>
          <w:rFonts w:hint="eastAsia"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8</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通过本单元培训，使培训对象能够掌握：1.正确选用和使用口径为1.3mm喷枪；2.正确使用除油剂、水溶性接口蜡、驳口清漆、底色漆、清漆。 </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8</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1.正确选用和使用口径为1.3mm喷枪；2.正确使用除油剂、水溶性接口蜡、驳口清漆、底色漆、清漆。。</w:t>
      </w:r>
    </w:p>
    <w:p>
      <w:pPr>
        <w:spacing w:line="600" w:lineRule="exact"/>
        <w:ind w:firstLine="960" w:firstLineChars="300"/>
        <w:rPr>
          <w:rFonts w:hint="eastAsia"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理论教学内容</w:t>
      </w:r>
    </w:p>
    <w:p>
      <w:pPr>
        <w:spacing w:line="60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1.正确选用和使用口径为1.3mm喷枪；2.正确使用除油剂、水溶性接口蜡、驳口清漆、底色漆、清漆。。</w:t>
      </w:r>
    </w:p>
    <w:p>
      <w:pPr>
        <w:spacing w:line="60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技能实训内容</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掌握正确选用和使用口径为1.3mm喷枪和正确使用除油剂、水溶性接口蜡、驳口清漆、底色漆、清漆的技能。</w:t>
      </w:r>
    </w:p>
    <w:p>
      <w:pPr>
        <w:spacing w:line="600" w:lineRule="exact"/>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8</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现场直观教学、一体化教学。</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五、推荐教材</w:t>
      </w:r>
      <w:r>
        <w:rPr>
          <w:rFonts w:ascii="黑体" w:hAnsi="黑体" w:eastAsia="黑体" w:cs="黑体"/>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《汽车喷漆常见维修项目实训教材》，出版社名称：人民交通出版社，2014年1月第3</w:t>
      </w:r>
      <w:r>
        <w:rPr>
          <w:rFonts w:ascii="仿宋_GB2312" w:hAnsi="仿宋_GB2312" w:eastAsia="仿宋_GB2312" w:cs="仿宋_GB2312"/>
          <w:sz w:val="32"/>
          <w:szCs w:val="32"/>
        </w:rPr>
        <w:t>版</w:t>
      </w:r>
    </w:p>
    <w:p>
      <w:pPr>
        <w:spacing w:line="600" w:lineRule="exact"/>
        <w:ind w:firstLine="640" w:firstLineChars="200"/>
        <w:rPr>
          <w:rFonts w:ascii="仿宋" w:hAnsi="仿宋" w:eastAsia="仿宋"/>
          <w:sz w:val="32"/>
          <w:szCs w:val="32"/>
        </w:rPr>
      </w:pPr>
    </w:p>
    <w:sectPr>
      <w:footerReference r:id="rId4" w:type="default"/>
      <w:pgSz w:w="11906" w:h="16838"/>
      <w:pgMar w:top="2098" w:right="1474" w:bottom="1701"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6pebnPAAAABQEAAA8AAAAA&#10;AAAAAQAgAAAAIgAAAGRycy9kb3ducmV2LnhtbFBLAQIUABQAAAAIAIdO4kBN7bTBqwEAAE0DAAAO&#10;AAAAAAAAAAEAIAAAAB4BAABkcnMvZTJvRG9jLnhtbFBLBQYAAAAABgAGAFkBAAA7BQ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3078A"/>
    <w:multiLevelType w:val="multilevel"/>
    <w:tmpl w:val="7B43078A"/>
    <w:lvl w:ilvl="0" w:tentative="0">
      <w:start w:val="1"/>
      <w:numFmt w:val="decimal"/>
      <w:lvlText w:val="（%1）"/>
      <w:lvlJc w:val="left"/>
      <w:pPr>
        <w:ind w:left="980" w:hanging="420"/>
      </w:pPr>
      <w:rPr>
        <w:rFonts w:hint="default" w:ascii="黑体" w:eastAsia="黑体"/>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69A8"/>
    <w:rsid w:val="00047CF7"/>
    <w:rsid w:val="00063B00"/>
    <w:rsid w:val="00097C63"/>
    <w:rsid w:val="000C148B"/>
    <w:rsid w:val="000C1748"/>
    <w:rsid w:val="000C30F1"/>
    <w:rsid w:val="000D5C11"/>
    <w:rsid w:val="000D6A44"/>
    <w:rsid w:val="000E4564"/>
    <w:rsid w:val="001142BD"/>
    <w:rsid w:val="0011681B"/>
    <w:rsid w:val="0012492D"/>
    <w:rsid w:val="00143D54"/>
    <w:rsid w:val="00166188"/>
    <w:rsid w:val="00172A27"/>
    <w:rsid w:val="0018183B"/>
    <w:rsid w:val="001C0A89"/>
    <w:rsid w:val="001C0F32"/>
    <w:rsid w:val="001C40DD"/>
    <w:rsid w:val="001C6A14"/>
    <w:rsid w:val="001C77BA"/>
    <w:rsid w:val="001D6570"/>
    <w:rsid w:val="001F33C5"/>
    <w:rsid w:val="001F3865"/>
    <w:rsid w:val="001F5C23"/>
    <w:rsid w:val="0020370B"/>
    <w:rsid w:val="002522D0"/>
    <w:rsid w:val="002575C5"/>
    <w:rsid w:val="002C79AB"/>
    <w:rsid w:val="002D2323"/>
    <w:rsid w:val="002D6237"/>
    <w:rsid w:val="00316523"/>
    <w:rsid w:val="00323600"/>
    <w:rsid w:val="003320F3"/>
    <w:rsid w:val="00334F95"/>
    <w:rsid w:val="0033564E"/>
    <w:rsid w:val="00346ACD"/>
    <w:rsid w:val="003473A7"/>
    <w:rsid w:val="003539B8"/>
    <w:rsid w:val="003701C8"/>
    <w:rsid w:val="00373ADC"/>
    <w:rsid w:val="00396B32"/>
    <w:rsid w:val="003A5CF9"/>
    <w:rsid w:val="003B18B0"/>
    <w:rsid w:val="003D7D6E"/>
    <w:rsid w:val="003E6EB7"/>
    <w:rsid w:val="004174EC"/>
    <w:rsid w:val="00423BC7"/>
    <w:rsid w:val="0042460D"/>
    <w:rsid w:val="004249B5"/>
    <w:rsid w:val="004311BC"/>
    <w:rsid w:val="004369A3"/>
    <w:rsid w:val="00456BAA"/>
    <w:rsid w:val="004618DF"/>
    <w:rsid w:val="00484A1F"/>
    <w:rsid w:val="0049353F"/>
    <w:rsid w:val="00495379"/>
    <w:rsid w:val="0049754C"/>
    <w:rsid w:val="004E335D"/>
    <w:rsid w:val="004E61BB"/>
    <w:rsid w:val="00505108"/>
    <w:rsid w:val="0050584C"/>
    <w:rsid w:val="00527051"/>
    <w:rsid w:val="00531BA2"/>
    <w:rsid w:val="005321C6"/>
    <w:rsid w:val="005408B1"/>
    <w:rsid w:val="005713B5"/>
    <w:rsid w:val="005727D8"/>
    <w:rsid w:val="00582152"/>
    <w:rsid w:val="00595C99"/>
    <w:rsid w:val="005B7610"/>
    <w:rsid w:val="005F3436"/>
    <w:rsid w:val="006331CC"/>
    <w:rsid w:val="006414AC"/>
    <w:rsid w:val="00655F45"/>
    <w:rsid w:val="0068537A"/>
    <w:rsid w:val="00691020"/>
    <w:rsid w:val="006A6E6C"/>
    <w:rsid w:val="006B4CBF"/>
    <w:rsid w:val="006C3052"/>
    <w:rsid w:val="006F2E31"/>
    <w:rsid w:val="006F6D9E"/>
    <w:rsid w:val="0070648D"/>
    <w:rsid w:val="00727182"/>
    <w:rsid w:val="007414A5"/>
    <w:rsid w:val="007707F5"/>
    <w:rsid w:val="00777B77"/>
    <w:rsid w:val="00780B28"/>
    <w:rsid w:val="0079582C"/>
    <w:rsid w:val="00800FE4"/>
    <w:rsid w:val="00804B33"/>
    <w:rsid w:val="00807B54"/>
    <w:rsid w:val="00842A3C"/>
    <w:rsid w:val="00843113"/>
    <w:rsid w:val="00893D89"/>
    <w:rsid w:val="008D7734"/>
    <w:rsid w:val="008E4159"/>
    <w:rsid w:val="008F0060"/>
    <w:rsid w:val="00900057"/>
    <w:rsid w:val="009032B5"/>
    <w:rsid w:val="00926CB9"/>
    <w:rsid w:val="00926F8F"/>
    <w:rsid w:val="00940551"/>
    <w:rsid w:val="00947DA7"/>
    <w:rsid w:val="009D501D"/>
    <w:rsid w:val="009E0270"/>
    <w:rsid w:val="009F62AC"/>
    <w:rsid w:val="00A106E3"/>
    <w:rsid w:val="00A16784"/>
    <w:rsid w:val="00A465BB"/>
    <w:rsid w:val="00A6063C"/>
    <w:rsid w:val="00A7040A"/>
    <w:rsid w:val="00A86B9A"/>
    <w:rsid w:val="00A97954"/>
    <w:rsid w:val="00AA21EE"/>
    <w:rsid w:val="00AB0647"/>
    <w:rsid w:val="00AE72F8"/>
    <w:rsid w:val="00AF029F"/>
    <w:rsid w:val="00B11705"/>
    <w:rsid w:val="00B1716B"/>
    <w:rsid w:val="00B641DD"/>
    <w:rsid w:val="00B71C36"/>
    <w:rsid w:val="00B919ED"/>
    <w:rsid w:val="00BC1AF7"/>
    <w:rsid w:val="00BC286F"/>
    <w:rsid w:val="00C130AF"/>
    <w:rsid w:val="00C33E38"/>
    <w:rsid w:val="00C444AC"/>
    <w:rsid w:val="00C46CE1"/>
    <w:rsid w:val="00C812B9"/>
    <w:rsid w:val="00C876C6"/>
    <w:rsid w:val="00CA231D"/>
    <w:rsid w:val="00CB436A"/>
    <w:rsid w:val="00CC4A02"/>
    <w:rsid w:val="00CF3A4D"/>
    <w:rsid w:val="00CF6A56"/>
    <w:rsid w:val="00D125FC"/>
    <w:rsid w:val="00D358CC"/>
    <w:rsid w:val="00D52990"/>
    <w:rsid w:val="00D53833"/>
    <w:rsid w:val="00D605DC"/>
    <w:rsid w:val="00D87EE5"/>
    <w:rsid w:val="00DB48BC"/>
    <w:rsid w:val="00DB4E2D"/>
    <w:rsid w:val="00DE10AC"/>
    <w:rsid w:val="00DE5E7C"/>
    <w:rsid w:val="00DF0178"/>
    <w:rsid w:val="00DF6E0C"/>
    <w:rsid w:val="00E127E1"/>
    <w:rsid w:val="00E17203"/>
    <w:rsid w:val="00E47348"/>
    <w:rsid w:val="00E97A54"/>
    <w:rsid w:val="00EA1E48"/>
    <w:rsid w:val="00EA5170"/>
    <w:rsid w:val="00EA7C78"/>
    <w:rsid w:val="00EE2834"/>
    <w:rsid w:val="00EE6D35"/>
    <w:rsid w:val="00EF371A"/>
    <w:rsid w:val="00EF6F39"/>
    <w:rsid w:val="00F43460"/>
    <w:rsid w:val="00F61EA6"/>
    <w:rsid w:val="00F63332"/>
    <w:rsid w:val="00F677B2"/>
    <w:rsid w:val="00F96C8A"/>
    <w:rsid w:val="00FB3BC8"/>
    <w:rsid w:val="00FB4FEE"/>
    <w:rsid w:val="00FD1442"/>
    <w:rsid w:val="00FD610D"/>
    <w:rsid w:val="00FF5741"/>
    <w:rsid w:val="00FF76ED"/>
    <w:rsid w:val="01B74A41"/>
    <w:rsid w:val="033D0E15"/>
    <w:rsid w:val="038E41DC"/>
    <w:rsid w:val="03D41EED"/>
    <w:rsid w:val="078D4C9A"/>
    <w:rsid w:val="07C91F51"/>
    <w:rsid w:val="094B2427"/>
    <w:rsid w:val="09AB71CA"/>
    <w:rsid w:val="09BB1019"/>
    <w:rsid w:val="0C866F8B"/>
    <w:rsid w:val="0D1C40E9"/>
    <w:rsid w:val="0D597F39"/>
    <w:rsid w:val="0E207178"/>
    <w:rsid w:val="0E2303E2"/>
    <w:rsid w:val="0ECD065C"/>
    <w:rsid w:val="0EED37BB"/>
    <w:rsid w:val="0F7C2CE3"/>
    <w:rsid w:val="108C1248"/>
    <w:rsid w:val="13150595"/>
    <w:rsid w:val="131732F5"/>
    <w:rsid w:val="134F0F31"/>
    <w:rsid w:val="13836DC8"/>
    <w:rsid w:val="14AB0B7A"/>
    <w:rsid w:val="15904A68"/>
    <w:rsid w:val="165A37B9"/>
    <w:rsid w:val="170912A3"/>
    <w:rsid w:val="181162A3"/>
    <w:rsid w:val="1820033D"/>
    <w:rsid w:val="19F36C43"/>
    <w:rsid w:val="1A356E43"/>
    <w:rsid w:val="1B4A5CE2"/>
    <w:rsid w:val="1B5B5721"/>
    <w:rsid w:val="1B65702E"/>
    <w:rsid w:val="1B9D09AF"/>
    <w:rsid w:val="1C8240BB"/>
    <w:rsid w:val="1D39112F"/>
    <w:rsid w:val="1D432407"/>
    <w:rsid w:val="1D7729B6"/>
    <w:rsid w:val="1D8D66F6"/>
    <w:rsid w:val="1E6830F4"/>
    <w:rsid w:val="20CF56BA"/>
    <w:rsid w:val="21392824"/>
    <w:rsid w:val="21813F7F"/>
    <w:rsid w:val="22BC52DD"/>
    <w:rsid w:val="232B47AA"/>
    <w:rsid w:val="23467790"/>
    <w:rsid w:val="239E2612"/>
    <w:rsid w:val="23CD4E9B"/>
    <w:rsid w:val="246838A3"/>
    <w:rsid w:val="270866A0"/>
    <w:rsid w:val="27B35AAB"/>
    <w:rsid w:val="291E18BA"/>
    <w:rsid w:val="29F07E94"/>
    <w:rsid w:val="2A5627FD"/>
    <w:rsid w:val="2A691770"/>
    <w:rsid w:val="2B9032E6"/>
    <w:rsid w:val="2BB16C8C"/>
    <w:rsid w:val="2CF95EF3"/>
    <w:rsid w:val="2F6704D6"/>
    <w:rsid w:val="31087267"/>
    <w:rsid w:val="316E613E"/>
    <w:rsid w:val="31F57290"/>
    <w:rsid w:val="32284449"/>
    <w:rsid w:val="32C404CC"/>
    <w:rsid w:val="32DD20EF"/>
    <w:rsid w:val="34163629"/>
    <w:rsid w:val="34A40D5D"/>
    <w:rsid w:val="35C32B42"/>
    <w:rsid w:val="36626141"/>
    <w:rsid w:val="36A950FE"/>
    <w:rsid w:val="37266088"/>
    <w:rsid w:val="37F87943"/>
    <w:rsid w:val="37FA1570"/>
    <w:rsid w:val="3A1F4F4B"/>
    <w:rsid w:val="3B7B4FCD"/>
    <w:rsid w:val="3CCD200D"/>
    <w:rsid w:val="3CFB0B6C"/>
    <w:rsid w:val="3D4C3E03"/>
    <w:rsid w:val="3D8B43AB"/>
    <w:rsid w:val="3DCE20C0"/>
    <w:rsid w:val="3F0A5C4A"/>
    <w:rsid w:val="3FAF1B50"/>
    <w:rsid w:val="40134315"/>
    <w:rsid w:val="40431A43"/>
    <w:rsid w:val="40DD5851"/>
    <w:rsid w:val="41D563D4"/>
    <w:rsid w:val="421B1192"/>
    <w:rsid w:val="422007DB"/>
    <w:rsid w:val="42573C3F"/>
    <w:rsid w:val="42EE5F04"/>
    <w:rsid w:val="43800213"/>
    <w:rsid w:val="441C680A"/>
    <w:rsid w:val="447E2D69"/>
    <w:rsid w:val="44F32FA0"/>
    <w:rsid w:val="4535226F"/>
    <w:rsid w:val="458C163F"/>
    <w:rsid w:val="45B5329B"/>
    <w:rsid w:val="45E110D1"/>
    <w:rsid w:val="47AD17AA"/>
    <w:rsid w:val="48F70998"/>
    <w:rsid w:val="491C620A"/>
    <w:rsid w:val="49513F78"/>
    <w:rsid w:val="496E314C"/>
    <w:rsid w:val="49CB352E"/>
    <w:rsid w:val="4B4B3988"/>
    <w:rsid w:val="4B95219B"/>
    <w:rsid w:val="4CA93E09"/>
    <w:rsid w:val="4CE82464"/>
    <w:rsid w:val="4D0905CD"/>
    <w:rsid w:val="4EA314E9"/>
    <w:rsid w:val="4FA37927"/>
    <w:rsid w:val="50805044"/>
    <w:rsid w:val="51577480"/>
    <w:rsid w:val="516C3D29"/>
    <w:rsid w:val="52AD08EC"/>
    <w:rsid w:val="558D16BB"/>
    <w:rsid w:val="563B2144"/>
    <w:rsid w:val="57F70540"/>
    <w:rsid w:val="58095648"/>
    <w:rsid w:val="580D4459"/>
    <w:rsid w:val="58492675"/>
    <w:rsid w:val="59BE14D6"/>
    <w:rsid w:val="5A5E78CD"/>
    <w:rsid w:val="5B4700B1"/>
    <w:rsid w:val="5B9277C4"/>
    <w:rsid w:val="5BB17082"/>
    <w:rsid w:val="5BFD3144"/>
    <w:rsid w:val="5CB90027"/>
    <w:rsid w:val="5CCE1BAA"/>
    <w:rsid w:val="5F322F1C"/>
    <w:rsid w:val="5F66584B"/>
    <w:rsid w:val="60C47748"/>
    <w:rsid w:val="61873ED1"/>
    <w:rsid w:val="61AA722C"/>
    <w:rsid w:val="61E7472F"/>
    <w:rsid w:val="62400627"/>
    <w:rsid w:val="62765BE7"/>
    <w:rsid w:val="62A663A9"/>
    <w:rsid w:val="633F3A9C"/>
    <w:rsid w:val="651641C9"/>
    <w:rsid w:val="65AE2943"/>
    <w:rsid w:val="65FD43DF"/>
    <w:rsid w:val="663E498D"/>
    <w:rsid w:val="67B4300E"/>
    <w:rsid w:val="690178B3"/>
    <w:rsid w:val="69DF7FFE"/>
    <w:rsid w:val="6B591D1F"/>
    <w:rsid w:val="6C401B2D"/>
    <w:rsid w:val="6D4F2C25"/>
    <w:rsid w:val="6D6A223F"/>
    <w:rsid w:val="6ED511E3"/>
    <w:rsid w:val="6F3377BC"/>
    <w:rsid w:val="72B9389A"/>
    <w:rsid w:val="73992850"/>
    <w:rsid w:val="75917F0B"/>
    <w:rsid w:val="79540EE0"/>
    <w:rsid w:val="795C37F1"/>
    <w:rsid w:val="7A175C01"/>
    <w:rsid w:val="7CFA0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kern w:val="44"/>
      <w:sz w:val="32"/>
      <w:szCs w:val="44"/>
    </w:rPr>
  </w:style>
  <w:style w:type="paragraph" w:styleId="3">
    <w:name w:val="heading 2"/>
    <w:basedOn w:val="1"/>
    <w:next w:val="1"/>
    <w:qFormat/>
    <w:uiPriority w:val="9"/>
    <w:pPr>
      <w:keepNext/>
      <w:keepLines/>
      <w:spacing w:line="560" w:lineRule="exact"/>
      <w:ind w:firstLine="200" w:firstLineChars="200"/>
      <w:outlineLvl w:val="1"/>
    </w:pPr>
    <w:rPr>
      <w:rFonts w:ascii="楷体_GB2312" w:hAnsi="Cambria" w:eastAsia="楷体_GB2312" w:cs="Times New Roman"/>
      <w:bCs/>
      <w:sz w:val="32"/>
      <w:szCs w:val="32"/>
    </w:rPr>
  </w:style>
  <w:style w:type="paragraph" w:styleId="4">
    <w:name w:val="heading 3"/>
    <w:basedOn w:val="1"/>
    <w:next w:val="1"/>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qFormat/>
    <w:uiPriority w:val="9"/>
    <w:pPr>
      <w:keepNext/>
      <w:keepLines/>
      <w:spacing w:line="560" w:lineRule="exact"/>
      <w:ind w:firstLine="200" w:firstLineChars="200"/>
      <w:outlineLvl w:val="3"/>
    </w:pPr>
    <w:rPr>
      <w:rFonts w:ascii="仿宋" w:hAnsi="仿宋" w:eastAsia="仿宋" w:cs="Times New Roman"/>
      <w:bCs/>
      <w:sz w:val="32"/>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unhideWhenUsed/>
    <w:qFormat/>
    <w:uiPriority w:val="99"/>
    <w:rPr>
      <w:rFonts w:hint="eastAsia" w:ascii="宋体" w:hAnsi="宋体" w:eastAsia="宋体" w:cs="宋体"/>
      <w:color w:val="800080"/>
      <w:u w:val="none"/>
    </w:rPr>
  </w:style>
  <w:style w:type="character" w:styleId="13">
    <w:name w:val="Hyperlink"/>
    <w:unhideWhenUsed/>
    <w:qFormat/>
    <w:uiPriority w:val="99"/>
    <w:rPr>
      <w:rFonts w:hint="eastAsia" w:ascii="宋体" w:hAnsi="宋体" w:eastAsia="宋体" w:cs="宋体"/>
      <w:color w:val="0000FF"/>
      <w:u w:val="none"/>
    </w:rPr>
  </w:style>
  <w:style w:type="character" w:customStyle="1" w:styleId="14">
    <w:name w:val="tmpztreemove_arrow"/>
    <w:basedOn w:val="11"/>
    <w:qFormat/>
    <w:uiPriority w:val="0"/>
  </w:style>
  <w:style w:type="character" w:customStyle="1" w:styleId="15">
    <w:name w:val="button"/>
    <w:basedOn w:val="11"/>
    <w:qFormat/>
    <w:uiPriority w:val="0"/>
  </w:style>
  <w:style w:type="character" w:customStyle="1" w:styleId="16">
    <w:name w:val="页眉 Char"/>
    <w:link w:val="8"/>
    <w:qFormat/>
    <w:uiPriority w:val="99"/>
    <w:rPr>
      <w:sz w:val="18"/>
      <w:szCs w:val="18"/>
    </w:rPr>
  </w:style>
  <w:style w:type="character" w:customStyle="1" w:styleId="17">
    <w:name w:val="页脚 Char"/>
    <w:link w:val="7"/>
    <w:qFormat/>
    <w:uiPriority w:val="99"/>
    <w:rPr>
      <w:sz w:val="18"/>
      <w:szCs w:val="18"/>
    </w:rPr>
  </w:style>
  <w:style w:type="character" w:customStyle="1" w:styleId="18">
    <w:name w:val="批注框文本 Char"/>
    <w:link w:val="6"/>
    <w:semiHidden/>
    <w:qFormat/>
    <w:uiPriority w:val="99"/>
    <w:rPr>
      <w:sz w:val="18"/>
      <w:szCs w:val="18"/>
    </w:rPr>
  </w:style>
  <w:style w:type="character" w:customStyle="1" w:styleId="19">
    <w:name w:val="validate-error"/>
    <w:qFormat/>
    <w:uiPriority w:val="0"/>
    <w:rPr>
      <w:b/>
      <w:color w:val="EA52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11</Pages>
  <Words>602</Words>
  <Characters>3437</Characters>
  <Lines>28</Lines>
  <Paragraphs>8</Paragraphs>
  <TotalTime>0</TotalTime>
  <ScaleCrop>false</ScaleCrop>
  <LinksUpToDate>false</LinksUpToDate>
  <CharactersWithSpaces>4031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2020-10-10T08:06:00Z</dcterms:created>
  <dc:creator>李锦红</dc:creator>
  <cp:lastModifiedBy>叶丽莎</cp:lastModifiedBy>
  <cp:lastPrinted>2020-06-02T14:57:00Z</cp:lastPrinted>
  <dcterms:modified xsi:type="dcterms:W3CDTF">2020-10-10T08:25:02Z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