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jc w:val="both"/>
        <w:rPr>
          <w:rFonts w:hint="eastAsia" w:ascii="Times New Roman" w:hAnsi="Times New Roman" w:eastAsia="宋体" w:cs="Times New Roman"/>
          <w:b/>
          <w:sz w:val="52"/>
          <w:lang w:eastAsia="zh-CN"/>
        </w:rPr>
      </w:pPr>
      <w:r>
        <w:rPr>
          <w:rFonts w:hint="eastAsia" w:ascii="Times New Roman" w:hAnsi="Times New Roman" w:eastAsia="宋体" w:cs="Times New Roman"/>
          <w:b/>
          <w:sz w:val="52"/>
          <w:lang w:eastAsia="zh-CN"/>
        </w:rPr>
        <w:drawing>
          <wp:inline distT="0" distB="0" distL="114300" distR="114300">
            <wp:extent cx="6191250" cy="8132445"/>
            <wp:effectExtent l="0" t="0" r="0" b="1905"/>
            <wp:docPr id="3" name="图片 3" descr="七彩装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七彩装订_1"/>
                    <pic:cNvPicPr>
                      <a:picLocks noChangeAspect="1"/>
                    </pic:cNvPicPr>
                  </pic:nvPicPr>
                  <pic:blipFill>
                    <a:blip r:embed="rId7"/>
                    <a:stretch>
                      <a:fillRect/>
                    </a:stretch>
                  </pic:blipFill>
                  <pic:spPr>
                    <a:xfrm>
                      <a:off x="0" y="0"/>
                      <a:ext cx="6191250" cy="8132445"/>
                    </a:xfrm>
                    <a:prstGeom prst="rect">
                      <a:avLst/>
                    </a:prstGeom>
                  </pic:spPr>
                </pic:pic>
              </a:graphicData>
            </a:graphic>
          </wp:inline>
        </w:drawing>
      </w:r>
    </w:p>
    <w:p>
      <w:pPr>
        <w:ind w:firstLine="1044"/>
        <w:jc w:val="center"/>
        <w:rPr>
          <w:rFonts w:hint="default" w:ascii="Times New Roman" w:hAnsi="Times New Roman" w:eastAsia="宋体" w:cs="Times New Roman"/>
          <w:b/>
          <w:sz w:val="52"/>
        </w:rPr>
      </w:pPr>
    </w:p>
    <w:p>
      <w:pPr>
        <w:ind w:firstLine="723"/>
        <w:jc w:val="center"/>
        <w:outlineLvl w:val="0"/>
        <w:rPr>
          <w:rFonts w:hint="default" w:ascii="Times New Roman" w:hAnsi="Times New Roman" w:eastAsia="宋体" w:cs="Times New Roman"/>
          <w:b/>
          <w:bCs/>
          <w:sz w:val="36"/>
          <w:szCs w:val="28"/>
        </w:rPr>
      </w:pPr>
      <w:bookmarkStart w:id="0" w:name="_Toc24022"/>
      <w:bookmarkStart w:id="1" w:name="_Toc18450"/>
      <w:bookmarkStart w:id="2" w:name="_Toc15210"/>
      <w:r>
        <w:rPr>
          <w:rFonts w:hint="default" w:ascii="Times New Roman" w:hAnsi="Times New Roman" w:eastAsia="宋体" w:cs="Times New Roman"/>
          <w:b/>
          <w:bCs/>
          <w:sz w:val="36"/>
          <w:szCs w:val="28"/>
        </w:rPr>
        <w:t>《建设项目环境影响报告表》编制说明</w:t>
      </w:r>
      <w:bookmarkEnd w:id="0"/>
      <w:bookmarkEnd w:id="1"/>
      <w:bookmarkEnd w:id="2"/>
    </w:p>
    <w:p>
      <w:pPr>
        <w:spacing w:line="480" w:lineRule="auto"/>
        <w:ind w:firstLine="482"/>
        <w:jc w:val="center"/>
        <w:rPr>
          <w:rFonts w:hint="default" w:ascii="Times New Roman" w:hAnsi="Times New Roman" w:eastAsia="宋体" w:cs="Times New Roman"/>
          <w:b/>
          <w:bCs/>
        </w:rPr>
      </w:pPr>
    </w:p>
    <w:p>
      <w:pPr>
        <w:pStyle w:val="14"/>
        <w:adjustRightInd w:val="0"/>
        <w:snapToGrid w:val="0"/>
        <w:spacing w:line="480" w:lineRule="auto"/>
        <w:ind w:firstLine="56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《建设项目环境影响报告表》由具有从事环境影响评价工作资质的单位编制。</w:t>
      </w:r>
    </w:p>
    <w:p>
      <w:pPr>
        <w:adjustRightInd w:val="0"/>
        <w:snapToGrid w:val="0"/>
        <w:spacing w:line="480" w:lineRule="auto"/>
        <w:ind w:firstLine="56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1.项目名称——指项目立项批复时的名称，应不超过30个字(两个英文字段作一个汉字)。</w:t>
      </w:r>
    </w:p>
    <w:p>
      <w:pPr>
        <w:adjustRightInd w:val="0"/>
        <w:snapToGrid w:val="0"/>
        <w:spacing w:line="480" w:lineRule="auto"/>
        <w:ind w:firstLine="56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2.建设地点——指项目所在地详细地址，公路、铁路应填写起止地点。</w:t>
      </w:r>
    </w:p>
    <w:p>
      <w:pPr>
        <w:adjustRightInd w:val="0"/>
        <w:snapToGrid w:val="0"/>
        <w:spacing w:line="480" w:lineRule="auto"/>
        <w:ind w:firstLine="56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3.行业类别——按国标填写。</w:t>
      </w:r>
    </w:p>
    <w:p>
      <w:pPr>
        <w:adjustRightInd w:val="0"/>
        <w:snapToGrid w:val="0"/>
        <w:spacing w:line="480" w:lineRule="auto"/>
        <w:ind w:firstLine="56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4.总投资——指项目投资总额。</w:t>
      </w:r>
    </w:p>
    <w:p>
      <w:pPr>
        <w:adjustRightInd w:val="0"/>
        <w:snapToGrid w:val="0"/>
        <w:spacing w:line="480" w:lineRule="auto"/>
        <w:ind w:firstLine="56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5.主要环境保护目标——指项目周围一定范围内集中居民住宅区、学校、医院、保护文物、风景名胜区、水源地和生态敏感点等，应尽可能给出保护目标、性质、规模和距厂界距离等。</w:t>
      </w:r>
    </w:p>
    <w:p>
      <w:pPr>
        <w:adjustRightInd w:val="0"/>
        <w:snapToGrid w:val="0"/>
        <w:spacing w:line="480" w:lineRule="auto"/>
        <w:ind w:firstLine="56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6.结论与建议——给出本项目清洁生产、达标排放和总量控制的分析结论，确定污染防止措施的有效性，说明本项目对环境造成的影响，给出建设项目环境可行性的明确结论。同时提出减少环境影响的其它建议。</w:t>
      </w:r>
    </w:p>
    <w:p>
      <w:pPr>
        <w:adjustRightInd w:val="0"/>
        <w:snapToGrid w:val="0"/>
        <w:spacing w:line="480" w:lineRule="auto"/>
        <w:ind w:firstLine="56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7.预审意见——由行业主管部门填写答复意见,无主管部门项目,可不填。</w:t>
      </w:r>
    </w:p>
    <w:p>
      <w:pPr>
        <w:pStyle w:val="28"/>
        <w:rPr>
          <w:rFonts w:hint="default"/>
        </w:rPr>
        <w:sectPr>
          <w:headerReference r:id="rId3" w:type="default"/>
          <w:footerReference r:id="rId4" w:type="default"/>
          <w:pgSz w:w="11905" w:h="16838"/>
          <w:pgMar w:top="1417" w:right="1417" w:bottom="1417" w:left="1417" w:header="850" w:footer="992" w:gutter="0"/>
          <w:pgNumType w:fmt="upperRoman" w:start="3"/>
          <w:cols w:space="0" w:num="1"/>
          <w:docGrid w:type="lines" w:linePitch="333" w:charSpace="0"/>
        </w:sectPr>
      </w:pPr>
      <w:r>
        <w:rPr>
          <w:rFonts w:hint="default" w:ascii="Times New Roman" w:hAnsi="Times New Roman" w:eastAsia="宋体" w:cs="Times New Roman"/>
          <w:sz w:val="28"/>
          <w:szCs w:val="28"/>
        </w:rPr>
        <w:t>8.审批意见——由负责审批该项目的环境保护行政主管部门批复。</w:t>
      </w:r>
    </w:p>
    <w:p>
      <w:pPr>
        <w:ind w:left="0" w:leftChars="0" w:firstLine="0" w:firstLineChars="0"/>
        <w:sectPr>
          <w:pgSz w:w="11905" w:h="16838"/>
          <w:pgMar w:top="1417" w:right="1417" w:bottom="1417" w:left="1417" w:header="850" w:footer="992" w:gutter="0"/>
          <w:pgNumType w:fmt="upperRoman" w:start="3"/>
          <w:cols w:space="0" w:num="1"/>
          <w:docGrid w:type="lines" w:linePitch="333" w:charSpace="0"/>
        </w:sectPr>
      </w:pPr>
      <w:r>
        <w:rPr>
          <w:sz w:val="24"/>
        </w:rPr>
        <mc:AlternateContent>
          <mc:Choice Requires="wps">
            <w:drawing>
              <wp:anchor distT="0" distB="0" distL="114300" distR="114300" simplePos="0" relativeHeight="251658240" behindDoc="0" locked="0" layoutInCell="1" allowOverlap="1">
                <wp:simplePos x="0" y="0"/>
                <wp:positionH relativeFrom="column">
                  <wp:posOffset>2012950</wp:posOffset>
                </wp:positionH>
                <wp:positionV relativeFrom="paragraph">
                  <wp:posOffset>2980690</wp:posOffset>
                </wp:positionV>
                <wp:extent cx="1002665" cy="901700"/>
                <wp:effectExtent l="6350" t="6350" r="19685" b="6350"/>
                <wp:wrapNone/>
                <wp:docPr id="42" name="矩形 42"/>
                <wp:cNvGraphicFramePr/>
                <a:graphic xmlns:a="http://schemas.openxmlformats.org/drawingml/2006/main">
                  <a:graphicData uri="http://schemas.microsoft.com/office/word/2010/wordprocessingShape">
                    <wps:wsp>
                      <wps:cNvSpPr/>
                      <wps:spPr>
                        <a:xfrm>
                          <a:off x="3236595" y="3739515"/>
                          <a:ext cx="1002665" cy="901700"/>
                        </a:xfrm>
                        <a:prstGeom prst="rect">
                          <a:avLst/>
                        </a:prstGeom>
                      </wps:spPr>
                      <wps:style>
                        <a:lnRef idx="2">
                          <a:schemeClr val="accent6"/>
                        </a:lnRef>
                        <a:fillRef idx="1">
                          <a:schemeClr val="lt1"/>
                        </a:fillRef>
                        <a:effectRef idx="0">
                          <a:schemeClr val="accent6"/>
                        </a:effectRef>
                        <a:fontRef idx="minor">
                          <a:schemeClr val="dk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8.5pt;margin-top:234.7pt;height:71pt;width:78.95pt;z-index:251658240;v-text-anchor:middle;mso-width-relative:page;mso-height-relative:page;" fillcolor="#FFFFFF [3201]" filled="t" stroked="t" coordsize="21600,21600" o:gfxdata="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eojnKdsAAAALAQAA&#10;DwAAAAAAAAABACAAAAAiAAAAZHJzL2Rvd25yZXYueG1sUEsBAhQAFAAAAAgAh07iQIiu4ceIAgAA&#10;DQUAAA4AAAAAAAAAAQAgAAAAKgEAAGRycy9lMm9Eb2MueG1sUEsFBgAAAAAGAAYAWQEAACQGAAAA&#10;AA==&#10;">
                <v:fill on="t" focussize="0,0"/>
                <v:stroke weight="1pt" color="#70AD47 [3209]" miterlimit="8" joinstyle="miter"/>
                <v:imagedata o:title=""/>
                <o:lock v:ext="edit" aspectratio="f"/>
                <v:textbox>
                  <w:txbxContent>
                    <w:p>
                      <w:pPr>
                        <w:jc w:val="center"/>
                      </w:pPr>
                    </w:p>
                  </w:txbxContent>
                </v:textbox>
              </v:rect>
            </w:pict>
          </mc:Fallback>
        </mc:AlternateContent>
      </w:r>
      <w:r>
        <w:rPr>
          <w:sz w:val="24"/>
        </w:rPr>
        <w:drawing>
          <wp:inline distT="0" distB="0" distL="114300" distR="114300">
            <wp:extent cx="5756275" cy="8132445"/>
            <wp:effectExtent l="0" t="0" r="15875" b="1905"/>
            <wp:docPr id="6" name="图片 6" descr="七彩装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七彩装订_2"/>
                    <pic:cNvPicPr>
                      <a:picLocks noChangeAspect="1"/>
                    </pic:cNvPicPr>
                  </pic:nvPicPr>
                  <pic:blipFill>
                    <a:blip r:embed="rId8"/>
                    <a:stretch>
                      <a:fillRect/>
                    </a:stretch>
                  </pic:blipFill>
                  <pic:spPr>
                    <a:xfrm>
                      <a:off x="0" y="0"/>
                      <a:ext cx="5756275" cy="8132445"/>
                    </a:xfrm>
                    <a:prstGeom prst="rect">
                      <a:avLst/>
                    </a:prstGeom>
                  </pic:spPr>
                </pic:pic>
              </a:graphicData>
            </a:graphic>
          </wp:inline>
        </w:drawing>
      </w:r>
    </w:p>
    <w:p>
      <w:pPr>
        <w:pStyle w:val="28"/>
        <w:ind w:left="0" w:leftChars="0" w:firstLine="0" w:firstLineChars="0"/>
        <w:rPr>
          <w:rFonts w:hint="eastAsia" w:eastAsia="宋体"/>
          <w:lang w:eastAsia="zh-CN"/>
        </w:rPr>
        <w:sectPr>
          <w:pgSz w:w="11905" w:h="16838"/>
          <w:pgMar w:top="1417" w:right="1417" w:bottom="1417" w:left="1417" w:header="850" w:footer="992" w:gutter="0"/>
          <w:pgNumType w:fmt="upperRoman" w:start="3"/>
          <w:cols w:space="0" w:num="1"/>
          <w:docGrid w:type="lines" w:linePitch="333" w:charSpace="0"/>
        </w:sectPr>
      </w:pPr>
      <w:r>
        <w:rPr>
          <w:rFonts w:hint="eastAsia" w:eastAsia="宋体"/>
          <w:lang w:eastAsia="zh-CN"/>
        </w:rPr>
        <w:drawing>
          <wp:inline distT="0" distB="0" distL="114300" distR="114300">
            <wp:extent cx="5756275" cy="8132445"/>
            <wp:effectExtent l="0" t="0" r="15875" b="1905"/>
            <wp:docPr id="7" name="图片 7" descr="七彩装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七彩装订_3"/>
                    <pic:cNvPicPr>
                      <a:picLocks noChangeAspect="1"/>
                    </pic:cNvPicPr>
                  </pic:nvPicPr>
                  <pic:blipFill>
                    <a:blip r:embed="rId9"/>
                    <a:stretch>
                      <a:fillRect/>
                    </a:stretch>
                  </pic:blipFill>
                  <pic:spPr>
                    <a:xfrm>
                      <a:off x="0" y="0"/>
                      <a:ext cx="5756275" cy="8132445"/>
                    </a:xfrm>
                    <a:prstGeom prst="rect">
                      <a:avLst/>
                    </a:prstGeom>
                  </pic:spPr>
                </pic:pic>
              </a:graphicData>
            </a:graphic>
          </wp:inline>
        </w:drawing>
      </w:r>
    </w:p>
    <w:p>
      <w:pPr>
        <w:ind w:left="0" w:leftChars="0" w:firstLine="0" w:firstLineChars="0"/>
        <w:rPr>
          <w:rFonts w:hint="eastAsia" w:eastAsia="宋体"/>
          <w:lang w:eastAsia="zh-CN"/>
        </w:rPr>
        <w:sectPr>
          <w:pgSz w:w="11905" w:h="16838"/>
          <w:pgMar w:top="1417" w:right="1417" w:bottom="1417" w:left="1417" w:header="850" w:footer="992" w:gutter="0"/>
          <w:pgNumType w:fmt="upperRoman" w:start="3"/>
          <w:cols w:space="0" w:num="1"/>
          <w:docGrid w:type="lines" w:linePitch="333" w:charSpace="0"/>
        </w:sectPr>
      </w:pPr>
      <w:r>
        <w:rPr>
          <w:rFonts w:hint="eastAsia" w:eastAsia="宋体"/>
          <w:lang w:eastAsia="zh-CN"/>
        </w:rPr>
        <w:drawing>
          <wp:inline distT="0" distB="0" distL="114300" distR="114300">
            <wp:extent cx="5756275" cy="8132445"/>
            <wp:effectExtent l="0" t="0" r="15875" b="1905"/>
            <wp:docPr id="8" name="图片 8" descr="七彩装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七彩装订_4"/>
                    <pic:cNvPicPr>
                      <a:picLocks noChangeAspect="1"/>
                    </pic:cNvPicPr>
                  </pic:nvPicPr>
                  <pic:blipFill>
                    <a:blip r:embed="rId10"/>
                    <a:stretch>
                      <a:fillRect/>
                    </a:stretch>
                  </pic:blipFill>
                  <pic:spPr>
                    <a:xfrm>
                      <a:off x="0" y="0"/>
                      <a:ext cx="5756275" cy="8132445"/>
                    </a:xfrm>
                    <a:prstGeom prst="rect">
                      <a:avLst/>
                    </a:prstGeom>
                  </pic:spPr>
                </pic:pic>
              </a:graphicData>
            </a:graphic>
          </wp:inline>
        </w:drawing>
      </w:r>
    </w:p>
    <w:p>
      <w:pPr>
        <w:pStyle w:val="28"/>
        <w:ind w:left="0" w:leftChars="0" w:firstLine="0" w:firstLineChars="0"/>
        <w:rPr>
          <w:rFonts w:hint="eastAsia" w:eastAsia="宋体"/>
          <w:lang w:eastAsia="zh-CN"/>
        </w:rPr>
        <w:sectPr>
          <w:pgSz w:w="11905" w:h="16838"/>
          <w:pgMar w:top="1417" w:right="1417" w:bottom="1417" w:left="1417" w:header="850" w:footer="992" w:gutter="0"/>
          <w:pgNumType w:fmt="upperRoman" w:start="3"/>
          <w:cols w:space="0" w:num="1"/>
          <w:docGrid w:type="lines" w:linePitch="333" w:charSpace="0"/>
        </w:sectPr>
      </w:pPr>
      <w:r>
        <w:rPr>
          <w:rFonts w:hint="eastAsia" w:eastAsia="宋体"/>
          <w:lang w:eastAsia="zh-CN"/>
        </w:rPr>
        <w:drawing>
          <wp:inline distT="0" distB="0" distL="114300" distR="114300">
            <wp:extent cx="5756275" cy="8132445"/>
            <wp:effectExtent l="0" t="0" r="15875" b="1905"/>
            <wp:docPr id="9" name="图片 9" descr="七彩装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七彩装订_5"/>
                    <pic:cNvPicPr>
                      <a:picLocks noChangeAspect="1"/>
                    </pic:cNvPicPr>
                  </pic:nvPicPr>
                  <pic:blipFill>
                    <a:blip r:embed="rId11"/>
                    <a:stretch>
                      <a:fillRect/>
                    </a:stretch>
                  </pic:blipFill>
                  <pic:spPr>
                    <a:xfrm>
                      <a:off x="0" y="0"/>
                      <a:ext cx="5756275" cy="8132445"/>
                    </a:xfrm>
                    <a:prstGeom prst="rect">
                      <a:avLst/>
                    </a:prstGeom>
                  </pic:spPr>
                </pic:pic>
              </a:graphicData>
            </a:graphic>
          </wp:inline>
        </w:drawing>
      </w:r>
    </w:p>
    <w:p>
      <w:pPr>
        <w:ind w:left="0" w:leftChars="0" w:firstLine="0" w:firstLineChars="0"/>
        <w:rPr>
          <w:rFonts w:hint="eastAsia" w:eastAsia="宋体"/>
          <w:lang w:eastAsia="zh-CN"/>
        </w:rPr>
        <w:sectPr>
          <w:pgSz w:w="11905" w:h="16838"/>
          <w:pgMar w:top="1417" w:right="1417" w:bottom="1417" w:left="1417" w:header="850" w:footer="992" w:gutter="0"/>
          <w:pgNumType w:fmt="upperRoman" w:start="3"/>
          <w:cols w:space="0" w:num="1"/>
          <w:docGrid w:type="lines" w:linePitch="333" w:charSpace="0"/>
        </w:sectPr>
      </w:pPr>
      <w:r>
        <w:rPr>
          <w:rFonts w:hint="eastAsia" w:eastAsia="宋体"/>
          <w:lang w:eastAsia="zh-CN"/>
        </w:rPr>
        <w:drawing>
          <wp:inline distT="0" distB="0" distL="114300" distR="114300">
            <wp:extent cx="5756275" cy="8132445"/>
            <wp:effectExtent l="0" t="0" r="15875" b="1905"/>
            <wp:docPr id="13" name="图片 13" descr="七彩装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七彩装订_6"/>
                    <pic:cNvPicPr>
                      <a:picLocks noChangeAspect="1"/>
                    </pic:cNvPicPr>
                  </pic:nvPicPr>
                  <pic:blipFill>
                    <a:blip r:embed="rId12"/>
                    <a:stretch>
                      <a:fillRect/>
                    </a:stretch>
                  </pic:blipFill>
                  <pic:spPr>
                    <a:xfrm>
                      <a:off x="0" y="0"/>
                      <a:ext cx="5756275" cy="8132445"/>
                    </a:xfrm>
                    <a:prstGeom prst="rect">
                      <a:avLst/>
                    </a:prstGeom>
                  </pic:spPr>
                </pic:pic>
              </a:graphicData>
            </a:graphic>
          </wp:inline>
        </w:drawing>
      </w:r>
    </w:p>
    <w:p>
      <w:pPr>
        <w:pStyle w:val="28"/>
        <w:ind w:left="0" w:leftChars="0" w:firstLine="0" w:firstLineChars="0"/>
        <w:rPr>
          <w:rFonts w:hint="default"/>
        </w:rPr>
        <w:sectPr>
          <w:pgSz w:w="11905" w:h="16838"/>
          <w:pgMar w:top="1417" w:right="1417" w:bottom="1417" w:left="1417" w:header="850" w:footer="992" w:gutter="0"/>
          <w:pgNumType w:fmt="upperRoman" w:start="3"/>
          <w:cols w:space="0" w:num="1"/>
          <w:docGrid w:type="lines" w:linePitch="333" w:charSpace="0"/>
        </w:sectPr>
      </w:pPr>
      <w:r>
        <w:rPr>
          <w:sz w:val="24"/>
        </w:rPr>
        <mc:AlternateContent>
          <mc:Choice Requires="wps">
            <w:drawing>
              <wp:anchor distT="0" distB="0" distL="114300" distR="114300" simplePos="0" relativeHeight="251659264" behindDoc="0" locked="0" layoutInCell="1" allowOverlap="1">
                <wp:simplePos x="0" y="0"/>
                <wp:positionH relativeFrom="column">
                  <wp:posOffset>2025015</wp:posOffset>
                </wp:positionH>
                <wp:positionV relativeFrom="paragraph">
                  <wp:posOffset>5120005</wp:posOffset>
                </wp:positionV>
                <wp:extent cx="1012825" cy="770255"/>
                <wp:effectExtent l="6350" t="6350" r="9525" b="23495"/>
                <wp:wrapNone/>
                <wp:docPr id="43" name="矩形 43"/>
                <wp:cNvGraphicFramePr/>
                <a:graphic xmlns:a="http://schemas.openxmlformats.org/drawingml/2006/main">
                  <a:graphicData uri="http://schemas.microsoft.com/office/word/2010/wordprocessingShape">
                    <wps:wsp>
                      <wps:cNvSpPr/>
                      <wps:spPr>
                        <a:xfrm>
                          <a:off x="3087370" y="6162040"/>
                          <a:ext cx="1012825" cy="770255"/>
                        </a:xfrm>
                        <a:prstGeom prst="rect">
                          <a:avLst/>
                        </a:prstGeom>
                      </wps:spPr>
                      <wps:style>
                        <a:lnRef idx="2">
                          <a:schemeClr val="accent6"/>
                        </a:lnRef>
                        <a:fillRef idx="1">
                          <a:schemeClr val="lt1"/>
                        </a:fillRef>
                        <a:effectRef idx="0">
                          <a:schemeClr val="accent6"/>
                        </a:effectRef>
                        <a:fontRef idx="minor">
                          <a:schemeClr val="dk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9.45pt;margin-top:403.15pt;height:60.65pt;width:79.75pt;z-index:251659264;v-text-anchor:middle;mso-width-relative:page;mso-height-relative:page;" fillcolor="#FFFFFF [3201]" filled="t" stroked="t" coordsize="21600,21600" o:gfxdata="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pHZmwdsAAAALAQAA&#10;DwAAAAAAAAABACAAAAAiAAAAZHJzL2Rvd25yZXYueG1sUEsBAhQAFAAAAAgAh07iQBgtnMeIAgAA&#10;DQUAAA4AAAAAAAAAAQAgAAAAKgEAAGRycy9lMm9Eb2MueG1sUEsFBgAAAAAGAAYAWQEAACQGAAAA&#10;AA==&#10;">
                <v:fill on="t" focussize="0,0"/>
                <v:stroke weight="1pt" color="#70AD47 [3209]" miterlimit="8" joinstyle="miter"/>
                <v:imagedata o:title=""/>
                <o:lock v:ext="edit" aspectratio="f"/>
                <v:textbox>
                  <w:txbxContent>
                    <w:p>
                      <w:pPr>
                        <w:jc w:val="center"/>
                      </w:pPr>
                    </w:p>
                  </w:txbxContent>
                </v:textbox>
              </v:rect>
            </w:pict>
          </mc:Fallback>
        </mc:AlternateContent>
      </w:r>
      <w:r>
        <w:rPr>
          <w:sz w:val="24"/>
        </w:rPr>
        <w:drawing>
          <wp:inline distT="0" distB="0" distL="114300" distR="114300">
            <wp:extent cx="5756275" cy="8132445"/>
            <wp:effectExtent l="0" t="0" r="15875" b="1905"/>
            <wp:docPr id="14" name="图片 14" descr="七彩装订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七彩装订_7"/>
                    <pic:cNvPicPr>
                      <a:picLocks noChangeAspect="1"/>
                    </pic:cNvPicPr>
                  </pic:nvPicPr>
                  <pic:blipFill>
                    <a:blip r:embed="rId13"/>
                    <a:stretch>
                      <a:fillRect/>
                    </a:stretch>
                  </pic:blipFill>
                  <pic:spPr>
                    <a:xfrm>
                      <a:off x="0" y="0"/>
                      <a:ext cx="5756275" cy="8132445"/>
                    </a:xfrm>
                    <a:prstGeom prst="rect">
                      <a:avLst/>
                    </a:prstGeom>
                  </pic:spPr>
                </pic:pic>
              </a:graphicData>
            </a:graphic>
          </wp:inline>
        </w:drawing>
      </w:r>
    </w:p>
    <w:p>
      <w:pPr>
        <w:ind w:left="0" w:leftChars="0" w:firstLine="0" w:firstLineChars="0"/>
        <w:rPr>
          <w:rFonts w:hint="default"/>
        </w:rPr>
        <w:sectPr>
          <w:pgSz w:w="11905" w:h="16838"/>
          <w:pgMar w:top="1417" w:right="1417" w:bottom="1417" w:left="1417" w:header="850" w:footer="992" w:gutter="0"/>
          <w:pgNumType w:fmt="upperRoman" w:start="3"/>
          <w:cols w:space="0" w:num="1"/>
          <w:docGrid w:type="lines" w:linePitch="333" w:charSpace="0"/>
        </w:sectPr>
      </w:pPr>
      <w:r>
        <w:rPr>
          <w:sz w:val="24"/>
        </w:rPr>
        <mc:AlternateContent>
          <mc:Choice Requires="wps">
            <w:drawing>
              <wp:anchor distT="0" distB="0" distL="114300" distR="114300" simplePos="0" relativeHeight="251660288" behindDoc="0" locked="0" layoutInCell="1" allowOverlap="1">
                <wp:simplePos x="0" y="0"/>
                <wp:positionH relativeFrom="column">
                  <wp:posOffset>1719580</wp:posOffset>
                </wp:positionH>
                <wp:positionV relativeFrom="paragraph">
                  <wp:posOffset>5428615</wp:posOffset>
                </wp:positionV>
                <wp:extent cx="1043305" cy="749935"/>
                <wp:effectExtent l="6350" t="6350" r="17145" b="24765"/>
                <wp:wrapNone/>
                <wp:docPr id="45" name="矩形 45"/>
                <wp:cNvGraphicFramePr/>
                <a:graphic xmlns:a="http://schemas.openxmlformats.org/drawingml/2006/main">
                  <a:graphicData uri="http://schemas.microsoft.com/office/word/2010/wordprocessingShape">
                    <wps:wsp>
                      <wps:cNvSpPr/>
                      <wps:spPr>
                        <a:xfrm>
                          <a:off x="2679700" y="6571615"/>
                          <a:ext cx="1043305" cy="749935"/>
                        </a:xfrm>
                        <a:prstGeom prst="rect">
                          <a:avLst/>
                        </a:prstGeom>
                      </wps:spPr>
                      <wps:style>
                        <a:lnRef idx="2">
                          <a:schemeClr val="accent6"/>
                        </a:lnRef>
                        <a:fillRef idx="1">
                          <a:schemeClr val="lt1"/>
                        </a:fillRef>
                        <a:effectRef idx="0">
                          <a:schemeClr val="accent6"/>
                        </a:effectRef>
                        <a:fontRef idx="minor">
                          <a:schemeClr val="dk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5.4pt;margin-top:427.45pt;height:59.05pt;width:82.15pt;z-index:251660288;v-text-anchor:middle;mso-width-relative:page;mso-height-relative:page;" fillcolor="#FFFFFF [3201]" filled="t" stroked="t" coordsize="21600,21600" o:gfxdata="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D/OLQa2wAAAAsB&#10;AAAPAAAAAAAAAAEAIAAAACIAAABkcnMvZG93bnJldi54bWxQSwECFAAUAAAACACHTuJAXCDhOooC&#10;AAANBQAADgAAAAAAAAABACAAAAAqAQAAZHJzL2Uyb0RvYy54bWxQSwUGAAAAAAYABgBZAQAAJgYA&#10;AAAA&#10;">
                <v:fill on="t" focussize="0,0"/>
                <v:stroke weight="1pt" color="#70AD47 [3209]" miterlimit="8" joinstyle="miter"/>
                <v:imagedata o:title=""/>
                <o:lock v:ext="edit" aspectratio="f"/>
                <v:textbox>
                  <w:txbxContent>
                    <w:p>
                      <w:pPr>
                        <w:jc w:val="center"/>
                      </w:pPr>
                    </w:p>
                  </w:txbxContent>
                </v:textbox>
              </v:rect>
            </w:pict>
          </mc:Fallback>
        </mc:AlternateContent>
      </w:r>
      <w:r>
        <w:rPr>
          <w:sz w:val="24"/>
        </w:rPr>
        <w:drawing>
          <wp:inline distT="0" distB="0" distL="114300" distR="114300">
            <wp:extent cx="5756275" cy="8132445"/>
            <wp:effectExtent l="0" t="0" r="15875" b="1905"/>
            <wp:docPr id="15" name="图片 15" descr="七彩装订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七彩装订_8"/>
                    <pic:cNvPicPr>
                      <a:picLocks noChangeAspect="1"/>
                    </pic:cNvPicPr>
                  </pic:nvPicPr>
                  <pic:blipFill>
                    <a:blip r:embed="rId14"/>
                    <a:stretch>
                      <a:fillRect/>
                    </a:stretch>
                  </pic:blipFill>
                  <pic:spPr>
                    <a:xfrm>
                      <a:off x="0" y="0"/>
                      <a:ext cx="5756275" cy="8132445"/>
                    </a:xfrm>
                    <a:prstGeom prst="rect">
                      <a:avLst/>
                    </a:prstGeom>
                  </pic:spPr>
                </pic:pic>
              </a:graphicData>
            </a:graphic>
          </wp:inline>
        </w:drawing>
      </w:r>
    </w:p>
    <w:sdt>
      <w:sdtPr>
        <w:rPr>
          <w:rFonts w:hint="default" w:ascii="Times New Roman" w:hAnsi="Times New Roman" w:eastAsia="宋体" w:cs="Times New Roman"/>
          <w:b/>
          <w:bCs/>
        </w:rPr>
        <w:id w:val="147460624"/>
        <w15:color w:val="DBDBDB"/>
        <w:docPartObj>
          <w:docPartGallery w:val="Table of Contents"/>
          <w:docPartUnique/>
        </w:docPartObj>
      </w:sdtPr>
      <w:sdtEndPr>
        <w:rPr>
          <w:rFonts w:hint="default" w:ascii="Times New Roman" w:hAnsi="Times New Roman" w:eastAsia="宋体" w:cs="Times New Roman"/>
          <w:b/>
          <w:bCs/>
        </w:rPr>
      </w:sdtEndPr>
      <w:sdtContent>
        <w:p>
          <w:pPr>
            <w:spacing w:line="240" w:lineRule="auto"/>
            <w:ind w:firstLine="0" w:firstLineChars="0"/>
            <w:jc w:val="center"/>
            <w:rPr>
              <w:rFonts w:hint="default" w:ascii="Times New Roman" w:hAnsi="Times New Roman" w:eastAsia="宋体" w:cs="Times New Roman"/>
              <w:b/>
              <w:bCs/>
            </w:rPr>
          </w:pPr>
          <w:r>
            <w:rPr>
              <w:rFonts w:hint="default" w:ascii="Times New Roman" w:hAnsi="Times New Roman" w:eastAsia="宋体" w:cs="Times New Roman"/>
              <w:b/>
              <w:bCs/>
            </w:rPr>
            <w:t>目 录</w:t>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TOC \o "1-1" \h \u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_Toc18450 </w:instrText>
          </w:r>
          <w:r>
            <w:rPr>
              <w:rFonts w:hint="default" w:ascii="Times New Roman" w:hAnsi="Times New Roman" w:eastAsia="宋体" w:cs="Times New Roman"/>
            </w:rPr>
            <w:fldChar w:fldCharType="separate"/>
          </w:r>
          <w:r>
            <w:rPr>
              <w:rFonts w:hint="default" w:ascii="Times New Roman" w:hAnsi="Times New Roman" w:eastAsia="宋体" w:cs="Times New Roman"/>
              <w:bCs/>
              <w:szCs w:val="28"/>
            </w:rPr>
            <w:t>《建设项目环境影响报告表》编制说明</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_Toc18450 </w:instrText>
          </w:r>
          <w:r>
            <w:rPr>
              <w:rFonts w:hint="default" w:ascii="Times New Roman" w:hAnsi="Times New Roman" w:eastAsia="宋体" w:cs="Times New Roman"/>
            </w:rPr>
            <w:fldChar w:fldCharType="separate"/>
          </w:r>
          <w:r>
            <w:rPr>
              <w:rFonts w:hint="default" w:ascii="Times New Roman" w:hAnsi="Times New Roman" w:eastAsia="宋体" w:cs="Times New Roman"/>
            </w:rPr>
            <w:t>I</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_Toc2474 </w:instrText>
          </w:r>
          <w:r>
            <w:rPr>
              <w:rFonts w:hint="default" w:ascii="Times New Roman" w:hAnsi="Times New Roman" w:eastAsia="宋体" w:cs="Times New Roman"/>
            </w:rPr>
            <w:fldChar w:fldCharType="separate"/>
          </w:r>
          <w:r>
            <w:rPr>
              <w:rFonts w:hint="default" w:ascii="Times New Roman" w:hAnsi="Times New Roman" w:eastAsia="宋体" w:cs="Times New Roman"/>
            </w:rPr>
            <w:t>一、 建设项目基本情况</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_Toc2474 </w:instrText>
          </w:r>
          <w:r>
            <w:rPr>
              <w:rFonts w:hint="default" w:ascii="Times New Roman" w:hAnsi="Times New Roman" w:eastAsia="宋体" w:cs="Times New Roman"/>
            </w:rPr>
            <w:fldChar w:fldCharType="separate"/>
          </w:r>
          <w:r>
            <w:rPr>
              <w:rFonts w:hint="default" w:ascii="Times New Roman" w:hAnsi="Times New Roman" w:eastAsia="宋体" w:cs="Times New Roman"/>
            </w:rPr>
            <w:t>1</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_Toc852 </w:instrText>
          </w:r>
          <w:r>
            <w:rPr>
              <w:rFonts w:hint="default" w:ascii="Times New Roman" w:hAnsi="Times New Roman" w:eastAsia="宋体" w:cs="Times New Roman"/>
            </w:rPr>
            <w:fldChar w:fldCharType="separate"/>
          </w:r>
          <w:r>
            <w:rPr>
              <w:rFonts w:hint="default" w:ascii="Times New Roman" w:hAnsi="Times New Roman" w:eastAsia="宋体" w:cs="Times New Roman"/>
            </w:rPr>
            <w:t>二、 建设项目所在地自然环境社会环境简况</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_Toc852 </w:instrText>
          </w:r>
          <w:r>
            <w:rPr>
              <w:rFonts w:hint="default" w:ascii="Times New Roman" w:hAnsi="Times New Roman" w:eastAsia="宋体" w:cs="Times New Roman"/>
            </w:rPr>
            <w:fldChar w:fldCharType="separate"/>
          </w:r>
          <w:r>
            <w:rPr>
              <w:rFonts w:hint="default" w:ascii="Times New Roman" w:hAnsi="Times New Roman" w:eastAsia="宋体" w:cs="Times New Roman"/>
            </w:rPr>
            <w:t>9</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_Toc26997 </w:instrText>
          </w:r>
          <w:r>
            <w:rPr>
              <w:rFonts w:hint="default" w:ascii="Times New Roman" w:hAnsi="Times New Roman" w:eastAsia="宋体" w:cs="Times New Roman"/>
            </w:rPr>
            <w:fldChar w:fldCharType="separate"/>
          </w:r>
          <w:r>
            <w:rPr>
              <w:rFonts w:hint="default" w:ascii="Times New Roman" w:hAnsi="Times New Roman" w:eastAsia="宋体" w:cs="Times New Roman"/>
            </w:rPr>
            <w:t>三、 环境质量状况</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_Toc26997 </w:instrText>
          </w:r>
          <w:r>
            <w:rPr>
              <w:rFonts w:hint="default" w:ascii="Times New Roman" w:hAnsi="Times New Roman" w:eastAsia="宋体" w:cs="Times New Roman"/>
            </w:rPr>
            <w:fldChar w:fldCharType="separate"/>
          </w:r>
          <w:r>
            <w:rPr>
              <w:rFonts w:hint="default" w:ascii="Times New Roman" w:hAnsi="Times New Roman" w:eastAsia="宋体" w:cs="Times New Roman"/>
            </w:rPr>
            <w:t>14</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_Toc21097 </w:instrText>
          </w:r>
          <w:r>
            <w:rPr>
              <w:rFonts w:hint="default" w:ascii="Times New Roman" w:hAnsi="Times New Roman" w:eastAsia="宋体" w:cs="Times New Roman"/>
            </w:rPr>
            <w:fldChar w:fldCharType="separate"/>
          </w:r>
          <w:r>
            <w:rPr>
              <w:rFonts w:hint="default" w:ascii="Times New Roman" w:hAnsi="Times New Roman" w:eastAsia="宋体" w:cs="Times New Roman"/>
            </w:rPr>
            <w:t>四、 评价适用标准</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_Toc21097 </w:instrText>
          </w:r>
          <w:r>
            <w:rPr>
              <w:rFonts w:hint="default" w:ascii="Times New Roman" w:hAnsi="Times New Roman" w:eastAsia="宋体" w:cs="Times New Roman"/>
            </w:rPr>
            <w:fldChar w:fldCharType="separate"/>
          </w:r>
          <w:r>
            <w:rPr>
              <w:rFonts w:hint="default" w:ascii="Times New Roman" w:hAnsi="Times New Roman" w:eastAsia="宋体" w:cs="Times New Roman"/>
            </w:rPr>
            <w:t>19</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_Toc18293 </w:instrText>
          </w:r>
          <w:r>
            <w:rPr>
              <w:rFonts w:hint="default" w:ascii="Times New Roman" w:hAnsi="Times New Roman" w:eastAsia="宋体" w:cs="Times New Roman"/>
            </w:rPr>
            <w:fldChar w:fldCharType="separate"/>
          </w:r>
          <w:r>
            <w:rPr>
              <w:rFonts w:hint="default" w:ascii="Times New Roman" w:hAnsi="Times New Roman" w:eastAsia="宋体" w:cs="Times New Roman"/>
            </w:rPr>
            <w:t>五、 建设项目工程分析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_Toc18293 </w:instrText>
          </w:r>
          <w:r>
            <w:rPr>
              <w:rFonts w:hint="default" w:ascii="Times New Roman" w:hAnsi="Times New Roman" w:eastAsia="宋体" w:cs="Times New Roman"/>
            </w:rPr>
            <w:fldChar w:fldCharType="separate"/>
          </w:r>
          <w:r>
            <w:rPr>
              <w:rFonts w:hint="default" w:ascii="Times New Roman" w:hAnsi="Times New Roman" w:eastAsia="宋体" w:cs="Times New Roman"/>
            </w:rPr>
            <w:t>22</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_Toc4808 </w:instrText>
          </w:r>
          <w:r>
            <w:rPr>
              <w:rFonts w:hint="default" w:ascii="Times New Roman" w:hAnsi="Times New Roman" w:eastAsia="宋体" w:cs="Times New Roman"/>
            </w:rPr>
            <w:fldChar w:fldCharType="separate"/>
          </w:r>
          <w:r>
            <w:rPr>
              <w:rFonts w:hint="default" w:ascii="Times New Roman" w:hAnsi="Times New Roman" w:eastAsia="宋体" w:cs="Times New Roman"/>
            </w:rPr>
            <w:t>六、 项目主要污染物产生及预计排放情况</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_Toc4808 </w:instrText>
          </w:r>
          <w:r>
            <w:rPr>
              <w:rFonts w:hint="default" w:ascii="Times New Roman" w:hAnsi="Times New Roman" w:eastAsia="宋体" w:cs="Times New Roman"/>
            </w:rPr>
            <w:fldChar w:fldCharType="separate"/>
          </w:r>
          <w:r>
            <w:rPr>
              <w:rFonts w:hint="default" w:ascii="Times New Roman" w:hAnsi="Times New Roman" w:eastAsia="宋体" w:cs="Times New Roman"/>
            </w:rPr>
            <w:t>31</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_Toc17118 </w:instrText>
          </w:r>
          <w:r>
            <w:rPr>
              <w:rFonts w:hint="default" w:ascii="Times New Roman" w:hAnsi="Times New Roman" w:eastAsia="宋体" w:cs="Times New Roman"/>
            </w:rPr>
            <w:fldChar w:fldCharType="separate"/>
          </w:r>
          <w:r>
            <w:rPr>
              <w:rFonts w:hint="default" w:ascii="Times New Roman" w:hAnsi="Times New Roman" w:eastAsia="宋体" w:cs="Times New Roman"/>
            </w:rPr>
            <w:t>七、 环境影响分析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_Toc17118 </w:instrText>
          </w:r>
          <w:r>
            <w:rPr>
              <w:rFonts w:hint="default" w:ascii="Times New Roman" w:hAnsi="Times New Roman" w:eastAsia="宋体" w:cs="Times New Roman"/>
            </w:rPr>
            <w:fldChar w:fldCharType="separate"/>
          </w:r>
          <w:r>
            <w:rPr>
              <w:rFonts w:hint="default" w:ascii="Times New Roman" w:hAnsi="Times New Roman" w:eastAsia="宋体" w:cs="Times New Roman"/>
            </w:rPr>
            <w:t>32</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_Toc2078 </w:instrText>
          </w:r>
          <w:r>
            <w:rPr>
              <w:rFonts w:hint="default" w:ascii="Times New Roman" w:hAnsi="Times New Roman" w:eastAsia="宋体" w:cs="Times New Roman"/>
            </w:rPr>
            <w:fldChar w:fldCharType="separate"/>
          </w:r>
          <w:r>
            <w:rPr>
              <w:rFonts w:hint="default" w:ascii="Times New Roman" w:hAnsi="Times New Roman" w:eastAsia="宋体" w:cs="Times New Roman"/>
            </w:rPr>
            <w:t>八、 建设项目拟采取的防治措施及预期治理效果</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_Toc2078 </w:instrText>
          </w:r>
          <w:r>
            <w:rPr>
              <w:rFonts w:hint="default" w:ascii="Times New Roman" w:hAnsi="Times New Roman" w:eastAsia="宋体" w:cs="Times New Roman"/>
            </w:rPr>
            <w:fldChar w:fldCharType="separate"/>
          </w:r>
          <w:r>
            <w:rPr>
              <w:rFonts w:hint="default" w:ascii="Times New Roman" w:hAnsi="Times New Roman" w:eastAsia="宋体" w:cs="Times New Roman"/>
            </w:rPr>
            <w:t>51</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_Toc21702 </w:instrText>
          </w:r>
          <w:r>
            <w:rPr>
              <w:rFonts w:hint="default" w:ascii="Times New Roman" w:hAnsi="Times New Roman" w:eastAsia="宋体" w:cs="Times New Roman"/>
            </w:rPr>
            <w:fldChar w:fldCharType="separate"/>
          </w:r>
          <w:r>
            <w:rPr>
              <w:rFonts w:hint="default" w:ascii="Times New Roman" w:hAnsi="Times New Roman" w:eastAsia="宋体" w:cs="Times New Roman"/>
            </w:rPr>
            <w:t>九、 结论与建议</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_Toc21702 </w:instrText>
          </w:r>
          <w:r>
            <w:rPr>
              <w:rFonts w:hint="default" w:ascii="Times New Roman" w:hAnsi="Times New Roman" w:eastAsia="宋体" w:cs="Times New Roman"/>
            </w:rPr>
            <w:fldChar w:fldCharType="separate"/>
          </w:r>
          <w:r>
            <w:rPr>
              <w:rFonts w:hint="default" w:ascii="Times New Roman" w:hAnsi="Times New Roman" w:eastAsia="宋体" w:cs="Times New Roman"/>
            </w:rPr>
            <w:t>52</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_Toc707 </w:instrText>
          </w:r>
          <w:r>
            <w:rPr>
              <w:rFonts w:hint="default" w:ascii="Times New Roman" w:hAnsi="Times New Roman" w:eastAsia="宋体" w:cs="Times New Roman"/>
            </w:rPr>
            <w:fldChar w:fldCharType="separate"/>
          </w:r>
          <w:r>
            <w:rPr>
              <w:rFonts w:hint="default" w:ascii="Times New Roman" w:hAnsi="Times New Roman" w:eastAsia="宋体" w:cs="Times New Roman"/>
              <w:bCs/>
            </w:rPr>
            <w:t>附图1  项目地理位置图</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_Toc707 </w:instrText>
          </w:r>
          <w:r>
            <w:rPr>
              <w:rFonts w:hint="default" w:ascii="Times New Roman" w:hAnsi="Times New Roman" w:eastAsia="宋体" w:cs="Times New Roman"/>
            </w:rPr>
            <w:fldChar w:fldCharType="separate"/>
          </w:r>
          <w:r>
            <w:rPr>
              <w:rFonts w:hint="default" w:ascii="Times New Roman" w:hAnsi="Times New Roman" w:eastAsia="宋体" w:cs="Times New Roman"/>
            </w:rPr>
            <w:t>59</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_Toc16729 </w:instrText>
          </w:r>
          <w:r>
            <w:rPr>
              <w:rFonts w:hint="default" w:ascii="Times New Roman" w:hAnsi="Times New Roman" w:eastAsia="宋体" w:cs="Times New Roman"/>
            </w:rPr>
            <w:fldChar w:fldCharType="separate"/>
          </w:r>
          <w:r>
            <w:rPr>
              <w:rFonts w:hint="default" w:ascii="Times New Roman" w:hAnsi="Times New Roman" w:eastAsia="宋体" w:cs="Times New Roman"/>
            </w:rPr>
            <w:t>附图2  项目周边敏感点分布图</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_Toc16729 </w:instrText>
          </w:r>
          <w:r>
            <w:rPr>
              <w:rFonts w:hint="default" w:ascii="Times New Roman" w:hAnsi="Times New Roman" w:eastAsia="宋体" w:cs="Times New Roman"/>
            </w:rPr>
            <w:fldChar w:fldCharType="separate"/>
          </w:r>
          <w:r>
            <w:rPr>
              <w:rFonts w:hint="default" w:ascii="Times New Roman" w:hAnsi="Times New Roman" w:eastAsia="宋体" w:cs="Times New Roman"/>
            </w:rPr>
            <w:t>60</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_Toc24225 </w:instrText>
          </w:r>
          <w:r>
            <w:rPr>
              <w:rFonts w:hint="default" w:ascii="Times New Roman" w:hAnsi="Times New Roman" w:eastAsia="宋体" w:cs="Times New Roman"/>
            </w:rPr>
            <w:fldChar w:fldCharType="separate"/>
          </w:r>
          <w:r>
            <w:rPr>
              <w:rFonts w:hint="default" w:ascii="Times New Roman" w:hAnsi="Times New Roman" w:eastAsia="宋体" w:cs="Times New Roman"/>
              <w:bCs/>
            </w:rPr>
            <w:t>附图3  项目四至及噪声监测点位图</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_Toc24225 </w:instrText>
          </w:r>
          <w:r>
            <w:rPr>
              <w:rFonts w:hint="default" w:ascii="Times New Roman" w:hAnsi="Times New Roman" w:eastAsia="宋体" w:cs="Times New Roman"/>
            </w:rPr>
            <w:fldChar w:fldCharType="separate"/>
          </w:r>
          <w:r>
            <w:rPr>
              <w:rFonts w:hint="default" w:ascii="Times New Roman" w:hAnsi="Times New Roman" w:eastAsia="宋体" w:cs="Times New Roman"/>
            </w:rPr>
            <w:t>61</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_Toc9118 </w:instrText>
          </w:r>
          <w:r>
            <w:rPr>
              <w:rFonts w:hint="default" w:ascii="Times New Roman" w:hAnsi="Times New Roman" w:eastAsia="宋体" w:cs="Times New Roman"/>
            </w:rPr>
            <w:fldChar w:fldCharType="separate"/>
          </w:r>
          <w:r>
            <w:rPr>
              <w:rFonts w:hint="default" w:ascii="Times New Roman" w:hAnsi="Times New Roman" w:eastAsia="宋体" w:cs="Times New Roman"/>
              <w:bCs/>
            </w:rPr>
            <w:t>附图4  项目总平面布局图</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_Toc9118 </w:instrText>
          </w:r>
          <w:r>
            <w:rPr>
              <w:rFonts w:hint="default" w:ascii="Times New Roman" w:hAnsi="Times New Roman" w:eastAsia="宋体" w:cs="Times New Roman"/>
            </w:rPr>
            <w:fldChar w:fldCharType="separate"/>
          </w:r>
          <w:r>
            <w:rPr>
              <w:rFonts w:hint="default" w:ascii="Times New Roman" w:hAnsi="Times New Roman" w:eastAsia="宋体" w:cs="Times New Roman"/>
            </w:rPr>
            <w:t>62</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_Toc18010 </w:instrText>
          </w:r>
          <w:r>
            <w:rPr>
              <w:rFonts w:hint="default" w:ascii="Times New Roman" w:hAnsi="Times New Roman" w:eastAsia="宋体" w:cs="Times New Roman"/>
            </w:rPr>
            <w:fldChar w:fldCharType="separate"/>
          </w:r>
          <w:r>
            <w:rPr>
              <w:rFonts w:hint="default" w:ascii="Times New Roman" w:hAnsi="Times New Roman" w:eastAsia="宋体" w:cs="Times New Roman"/>
              <w:bCs/>
            </w:rPr>
            <w:t>附图5  开平市大气环境功能区划图</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_Toc18010 </w:instrText>
          </w:r>
          <w:r>
            <w:rPr>
              <w:rFonts w:hint="default" w:ascii="Times New Roman" w:hAnsi="Times New Roman" w:eastAsia="宋体" w:cs="Times New Roman"/>
            </w:rPr>
            <w:fldChar w:fldCharType="separate"/>
          </w:r>
          <w:r>
            <w:rPr>
              <w:rFonts w:hint="default" w:ascii="Times New Roman" w:hAnsi="Times New Roman" w:eastAsia="宋体" w:cs="Times New Roman"/>
            </w:rPr>
            <w:t>63</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_Toc28798 </w:instrText>
          </w:r>
          <w:r>
            <w:rPr>
              <w:rFonts w:hint="default" w:ascii="Times New Roman" w:hAnsi="Times New Roman" w:eastAsia="宋体" w:cs="Times New Roman"/>
            </w:rPr>
            <w:fldChar w:fldCharType="separate"/>
          </w:r>
          <w:r>
            <w:rPr>
              <w:rFonts w:hint="default" w:ascii="Times New Roman" w:hAnsi="Times New Roman" w:eastAsia="宋体" w:cs="Times New Roman"/>
              <w:bCs/>
            </w:rPr>
            <w:t>附图6  开平市地表水环境功能区划图</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_Toc28798 </w:instrText>
          </w:r>
          <w:r>
            <w:rPr>
              <w:rFonts w:hint="default" w:ascii="Times New Roman" w:hAnsi="Times New Roman" w:eastAsia="宋体" w:cs="Times New Roman"/>
            </w:rPr>
            <w:fldChar w:fldCharType="separate"/>
          </w:r>
          <w:r>
            <w:rPr>
              <w:rFonts w:hint="default" w:ascii="Times New Roman" w:hAnsi="Times New Roman" w:eastAsia="宋体" w:cs="Times New Roman"/>
            </w:rPr>
            <w:t>64</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_Toc17597 </w:instrText>
          </w:r>
          <w:r>
            <w:rPr>
              <w:rFonts w:hint="default" w:ascii="Times New Roman" w:hAnsi="Times New Roman" w:eastAsia="宋体" w:cs="Times New Roman"/>
            </w:rPr>
            <w:fldChar w:fldCharType="separate"/>
          </w:r>
          <w:r>
            <w:rPr>
              <w:rFonts w:hint="default" w:ascii="Times New Roman" w:hAnsi="Times New Roman" w:eastAsia="宋体" w:cs="Times New Roman"/>
              <w:bCs/>
            </w:rPr>
            <w:t>附图7  开平市声环境功能区划图</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_Toc17597 </w:instrText>
          </w:r>
          <w:r>
            <w:rPr>
              <w:rFonts w:hint="default" w:ascii="Times New Roman" w:hAnsi="Times New Roman" w:eastAsia="宋体" w:cs="Times New Roman"/>
            </w:rPr>
            <w:fldChar w:fldCharType="separate"/>
          </w:r>
          <w:r>
            <w:rPr>
              <w:rFonts w:hint="default" w:ascii="Times New Roman" w:hAnsi="Times New Roman" w:eastAsia="宋体" w:cs="Times New Roman"/>
            </w:rPr>
            <w:t>65</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_Toc29420 </w:instrText>
          </w:r>
          <w:r>
            <w:rPr>
              <w:rFonts w:hint="default" w:ascii="Times New Roman" w:hAnsi="Times New Roman" w:eastAsia="宋体" w:cs="Times New Roman"/>
            </w:rPr>
            <w:fldChar w:fldCharType="separate"/>
          </w:r>
          <w:r>
            <w:rPr>
              <w:rFonts w:hint="default" w:ascii="Times New Roman" w:hAnsi="Times New Roman" w:eastAsia="宋体" w:cs="Times New Roman"/>
              <w:bCs/>
            </w:rPr>
            <w:t>附件一 营业执照</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_Toc29420 </w:instrText>
          </w:r>
          <w:r>
            <w:rPr>
              <w:rFonts w:hint="default" w:ascii="Times New Roman" w:hAnsi="Times New Roman" w:eastAsia="宋体" w:cs="Times New Roman"/>
            </w:rPr>
            <w:fldChar w:fldCharType="separate"/>
          </w:r>
          <w:r>
            <w:rPr>
              <w:rFonts w:hint="default" w:ascii="Times New Roman" w:hAnsi="Times New Roman" w:eastAsia="宋体" w:cs="Times New Roman"/>
            </w:rPr>
            <w:t>66</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_Toc16074 </w:instrText>
          </w:r>
          <w:r>
            <w:rPr>
              <w:rFonts w:hint="default" w:ascii="Times New Roman" w:hAnsi="Times New Roman" w:eastAsia="宋体" w:cs="Times New Roman"/>
            </w:rPr>
            <w:fldChar w:fldCharType="separate"/>
          </w:r>
          <w:r>
            <w:rPr>
              <w:rFonts w:hint="default" w:ascii="Times New Roman" w:hAnsi="Times New Roman" w:eastAsia="宋体" w:cs="Times New Roman"/>
              <w:bCs/>
            </w:rPr>
            <w:t>附件二 法人身份证</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_Toc16074 </w:instrText>
          </w:r>
          <w:r>
            <w:rPr>
              <w:rFonts w:hint="default" w:ascii="Times New Roman" w:hAnsi="Times New Roman" w:eastAsia="宋体" w:cs="Times New Roman"/>
            </w:rPr>
            <w:fldChar w:fldCharType="separate"/>
          </w:r>
          <w:r>
            <w:rPr>
              <w:rFonts w:hint="default" w:ascii="Times New Roman" w:hAnsi="Times New Roman" w:eastAsia="宋体" w:cs="Times New Roman"/>
            </w:rPr>
            <w:t>67</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_Toc4702 </w:instrText>
          </w:r>
          <w:r>
            <w:rPr>
              <w:rFonts w:hint="default" w:ascii="Times New Roman" w:hAnsi="Times New Roman" w:eastAsia="宋体" w:cs="Times New Roman"/>
            </w:rPr>
            <w:fldChar w:fldCharType="separate"/>
          </w:r>
          <w:r>
            <w:rPr>
              <w:rFonts w:hint="default" w:ascii="Times New Roman" w:hAnsi="Times New Roman" w:eastAsia="宋体" w:cs="Times New Roman"/>
              <w:bCs/>
            </w:rPr>
            <w:t>附件三 建设项目环评审批征求意见表（街道）</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_Toc4702 </w:instrText>
          </w:r>
          <w:r>
            <w:rPr>
              <w:rFonts w:hint="default" w:ascii="Times New Roman" w:hAnsi="Times New Roman" w:eastAsia="宋体" w:cs="Times New Roman"/>
            </w:rPr>
            <w:fldChar w:fldCharType="separate"/>
          </w:r>
          <w:r>
            <w:rPr>
              <w:rFonts w:hint="default" w:ascii="Times New Roman" w:hAnsi="Times New Roman" w:eastAsia="宋体" w:cs="Times New Roman"/>
            </w:rPr>
            <w:t>68</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_Toc714 </w:instrText>
          </w:r>
          <w:r>
            <w:rPr>
              <w:rFonts w:hint="default" w:ascii="Times New Roman" w:hAnsi="Times New Roman" w:eastAsia="宋体" w:cs="Times New Roman"/>
            </w:rPr>
            <w:fldChar w:fldCharType="separate"/>
          </w:r>
          <w:r>
            <w:rPr>
              <w:rFonts w:hint="default" w:ascii="Times New Roman" w:hAnsi="Times New Roman" w:eastAsia="宋体" w:cs="Times New Roman"/>
              <w:bCs/>
            </w:rPr>
            <w:t>附件四 厂房租赁合同</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_Toc714 </w:instrText>
          </w:r>
          <w:r>
            <w:rPr>
              <w:rFonts w:hint="default" w:ascii="Times New Roman" w:hAnsi="Times New Roman" w:eastAsia="宋体" w:cs="Times New Roman"/>
            </w:rPr>
            <w:fldChar w:fldCharType="separate"/>
          </w:r>
          <w:r>
            <w:rPr>
              <w:rFonts w:hint="default" w:ascii="Times New Roman" w:hAnsi="Times New Roman" w:eastAsia="宋体" w:cs="Times New Roman"/>
            </w:rPr>
            <w:t>69</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_Toc32247 </w:instrText>
          </w:r>
          <w:r>
            <w:rPr>
              <w:rFonts w:hint="default" w:ascii="Times New Roman" w:hAnsi="Times New Roman" w:eastAsia="宋体" w:cs="Times New Roman"/>
            </w:rPr>
            <w:fldChar w:fldCharType="separate"/>
          </w:r>
          <w:r>
            <w:rPr>
              <w:rFonts w:hint="default" w:ascii="Times New Roman" w:hAnsi="Times New Roman" w:eastAsia="宋体" w:cs="Times New Roman"/>
              <w:bCs/>
            </w:rPr>
            <w:t>附件五  接收生活污水灌溉农田协议</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_Toc32247 </w:instrText>
          </w:r>
          <w:r>
            <w:rPr>
              <w:rFonts w:hint="default" w:ascii="Times New Roman" w:hAnsi="Times New Roman" w:eastAsia="宋体" w:cs="Times New Roman"/>
            </w:rPr>
            <w:fldChar w:fldCharType="separate"/>
          </w:r>
          <w:r>
            <w:rPr>
              <w:rFonts w:hint="default" w:ascii="Times New Roman" w:hAnsi="Times New Roman" w:eastAsia="宋体" w:cs="Times New Roman"/>
            </w:rPr>
            <w:t>70</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_Toc15699 </w:instrText>
          </w:r>
          <w:r>
            <w:rPr>
              <w:rFonts w:hint="default" w:ascii="Times New Roman" w:hAnsi="Times New Roman" w:eastAsia="宋体" w:cs="Times New Roman"/>
            </w:rPr>
            <w:fldChar w:fldCharType="separate"/>
          </w:r>
          <w:r>
            <w:rPr>
              <w:rFonts w:hint="default" w:ascii="Times New Roman" w:hAnsi="Times New Roman" w:eastAsia="宋体" w:cs="Times New Roman"/>
              <w:bCs/>
            </w:rPr>
            <w:t>附件七  项目环境噪声现状监测报告</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_Toc15699 </w:instrText>
          </w:r>
          <w:r>
            <w:rPr>
              <w:rFonts w:hint="default" w:ascii="Times New Roman" w:hAnsi="Times New Roman" w:eastAsia="宋体" w:cs="Times New Roman"/>
            </w:rPr>
            <w:fldChar w:fldCharType="separate"/>
          </w:r>
          <w:r>
            <w:rPr>
              <w:rFonts w:hint="default" w:ascii="Times New Roman" w:hAnsi="Times New Roman" w:eastAsia="宋体" w:cs="Times New Roman"/>
            </w:rPr>
            <w:t>81</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_Toc27148 </w:instrText>
          </w:r>
          <w:r>
            <w:rPr>
              <w:rFonts w:hint="default" w:ascii="Times New Roman" w:hAnsi="Times New Roman" w:eastAsia="宋体" w:cs="Times New Roman"/>
            </w:rPr>
            <w:fldChar w:fldCharType="separate"/>
          </w:r>
          <w:r>
            <w:rPr>
              <w:rFonts w:hint="default" w:ascii="Times New Roman" w:hAnsi="Times New Roman" w:eastAsia="宋体" w:cs="Times New Roman"/>
              <w:bCs/>
            </w:rPr>
            <w:t>附表一 地表水环境影响评价自查表</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_Toc27148 </w:instrText>
          </w:r>
          <w:r>
            <w:rPr>
              <w:rFonts w:hint="default" w:ascii="Times New Roman" w:hAnsi="Times New Roman" w:eastAsia="宋体" w:cs="Times New Roman"/>
            </w:rPr>
            <w:fldChar w:fldCharType="separate"/>
          </w:r>
          <w:r>
            <w:rPr>
              <w:rFonts w:hint="default" w:ascii="Times New Roman" w:hAnsi="Times New Roman" w:eastAsia="宋体" w:cs="Times New Roman"/>
            </w:rPr>
            <w:t>86</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_Toc27429 </w:instrText>
          </w:r>
          <w:r>
            <w:rPr>
              <w:rFonts w:hint="default" w:ascii="Times New Roman" w:hAnsi="Times New Roman" w:eastAsia="宋体" w:cs="Times New Roman"/>
            </w:rPr>
            <w:fldChar w:fldCharType="separate"/>
          </w:r>
          <w:r>
            <w:rPr>
              <w:rFonts w:hint="default" w:ascii="Times New Roman" w:hAnsi="Times New Roman" w:eastAsia="宋体" w:cs="Times New Roman"/>
              <w:bCs/>
            </w:rPr>
            <w:t>附表二 建设项目大气环境影响评价自查表</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_Toc27429 </w:instrText>
          </w:r>
          <w:r>
            <w:rPr>
              <w:rFonts w:hint="default" w:ascii="Times New Roman" w:hAnsi="Times New Roman" w:eastAsia="宋体" w:cs="Times New Roman"/>
            </w:rPr>
            <w:fldChar w:fldCharType="separate"/>
          </w:r>
          <w:r>
            <w:rPr>
              <w:rFonts w:hint="default" w:ascii="Times New Roman" w:hAnsi="Times New Roman" w:eastAsia="宋体" w:cs="Times New Roman"/>
            </w:rPr>
            <w:t>89</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_Toc15099 </w:instrText>
          </w:r>
          <w:r>
            <w:rPr>
              <w:rFonts w:hint="default" w:ascii="Times New Roman" w:hAnsi="Times New Roman" w:eastAsia="宋体" w:cs="Times New Roman"/>
            </w:rPr>
            <w:fldChar w:fldCharType="separate"/>
          </w:r>
          <w:r>
            <w:rPr>
              <w:rFonts w:hint="default" w:ascii="Times New Roman" w:hAnsi="Times New Roman" w:eastAsia="宋体" w:cs="Times New Roman"/>
              <w:bCs/>
              <w:szCs w:val="21"/>
            </w:rPr>
            <w:t>附表三 土壤环境影响评价自查表</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_Toc15099 </w:instrText>
          </w:r>
          <w:r>
            <w:rPr>
              <w:rFonts w:hint="default" w:ascii="Times New Roman" w:hAnsi="Times New Roman" w:eastAsia="宋体" w:cs="Times New Roman"/>
            </w:rPr>
            <w:fldChar w:fldCharType="separate"/>
          </w:r>
          <w:r>
            <w:rPr>
              <w:rFonts w:hint="default" w:ascii="Times New Roman" w:hAnsi="Times New Roman" w:eastAsia="宋体" w:cs="Times New Roman"/>
            </w:rPr>
            <w:t>91</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p>
          <w:pPr>
            <w:pStyle w:val="20"/>
            <w:tabs>
              <w:tab w:val="right" w:leader="dot" w:pos="9071"/>
            </w:tabs>
            <w:rPr>
              <w:rFonts w:hint="default" w:ascii="Times New Roman" w:hAnsi="Times New Roman" w:eastAsia="宋体" w:cs="Times New Roman"/>
            </w:rPr>
            <w:sectPr>
              <w:pgSz w:w="11905" w:h="16838"/>
              <w:pgMar w:top="1417" w:right="1417" w:bottom="1417" w:left="1417" w:header="850" w:footer="992" w:gutter="0"/>
              <w:pgNumType w:fmt="upperRoman"/>
              <w:cols w:space="0" w:num="1"/>
              <w:rtlGutter w:val="0"/>
              <w:docGrid w:type="lines" w:linePitch="333" w:charSpace="0"/>
            </w:sect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_Toc22345 </w:instrText>
          </w:r>
          <w:r>
            <w:rPr>
              <w:rFonts w:hint="default" w:ascii="Times New Roman" w:hAnsi="Times New Roman" w:eastAsia="宋体" w:cs="Times New Roman"/>
            </w:rPr>
            <w:fldChar w:fldCharType="separate"/>
          </w:r>
          <w:r>
            <w:rPr>
              <w:rFonts w:hint="default" w:ascii="Times New Roman" w:hAnsi="Times New Roman" w:eastAsia="宋体" w:cs="Times New Roman"/>
              <w:bCs/>
            </w:rPr>
            <w:t>附表四 环境风险评价自查表</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_Toc22345 </w:instrText>
          </w:r>
          <w:r>
            <w:rPr>
              <w:rFonts w:hint="default" w:ascii="Times New Roman" w:hAnsi="Times New Roman" w:eastAsia="宋体" w:cs="Times New Roman"/>
            </w:rPr>
            <w:fldChar w:fldCharType="separate"/>
          </w:r>
          <w:r>
            <w:rPr>
              <w:rFonts w:hint="default" w:ascii="Times New Roman" w:hAnsi="Times New Roman" w:eastAsia="宋体" w:cs="Times New Roman"/>
            </w:rPr>
            <w:t>92</w:t>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r>
            <w:rPr>
              <w:rFonts w:hint="default" w:ascii="Times New Roman" w:hAnsi="Times New Roman" w:eastAsia="宋体" w:cs="Times New Roman"/>
            </w:rPr>
            <w:fldChar w:fldCharType="end"/>
          </w:r>
        </w:p>
      </w:sdtContent>
    </w:sdt>
    <w:p>
      <w:pPr>
        <w:numPr>
          <w:ilvl w:val="0"/>
          <w:numId w:val="7"/>
        </w:numPr>
        <w:ind w:firstLine="0" w:firstLineChars="0"/>
        <w:outlineLvl w:val="0"/>
        <w:rPr>
          <w:rFonts w:hint="default" w:ascii="Times New Roman" w:hAnsi="Times New Roman" w:eastAsia="宋体" w:cs="Times New Roman"/>
          <w:b/>
          <w:sz w:val="32"/>
        </w:rPr>
      </w:pPr>
      <w:bookmarkStart w:id="3" w:name="_Toc2474"/>
      <w:r>
        <w:rPr>
          <w:rFonts w:hint="default" w:ascii="Times New Roman" w:hAnsi="Times New Roman" w:eastAsia="宋体" w:cs="Times New Roman"/>
          <w:b/>
          <w:sz w:val="32"/>
        </w:rPr>
        <w:t>建设项目基本情况</w:t>
      </w:r>
      <w:bookmarkEnd w:id="3"/>
    </w:p>
    <w:tbl>
      <w:tblPr>
        <w:tblStyle w:val="23"/>
        <w:tblW w:w="9286"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515"/>
        <w:gridCol w:w="1395"/>
        <w:gridCol w:w="901"/>
        <w:gridCol w:w="904"/>
        <w:gridCol w:w="1982"/>
        <w:gridCol w:w="1521"/>
        <w:gridCol w:w="106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515" w:type="dxa"/>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项目名称</w:t>
            </w:r>
          </w:p>
        </w:tc>
        <w:tc>
          <w:tcPr>
            <w:tcW w:w="7771" w:type="dxa"/>
            <w:gridSpan w:val="6"/>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开平市七彩印刷厂年产不干胶标签5万平方米、说明书10万册、表格20万册建设项目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515" w:type="dxa"/>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建设单位</w:t>
            </w:r>
          </w:p>
        </w:tc>
        <w:tc>
          <w:tcPr>
            <w:tcW w:w="7771" w:type="dxa"/>
            <w:gridSpan w:val="6"/>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开平市七彩印刷厂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515" w:type="dxa"/>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法人代表</w:t>
            </w:r>
          </w:p>
        </w:tc>
        <w:tc>
          <w:tcPr>
            <w:tcW w:w="3200" w:type="dxa"/>
            <w:gridSpan w:val="3"/>
            <w:vAlign w:val="center"/>
          </w:tcPr>
          <w:p>
            <w:pPr>
              <w:pStyle w:val="44"/>
              <w:rPr>
                <w:rFonts w:hint="eastAsia" w:ascii="Times New Roman" w:hAnsi="Times New Roman" w:eastAsia="宋体" w:cs="Times New Roman"/>
                <w:sz w:val="24"/>
                <w:lang w:eastAsia="zh-CN"/>
              </w:rPr>
            </w:pPr>
            <w:r>
              <w:rPr>
                <w:rFonts w:hint="eastAsia" w:cs="Times New Roman"/>
                <w:sz w:val="24"/>
                <w:lang w:eastAsia="zh-CN"/>
              </w:rPr>
              <w:t>****</w:t>
            </w:r>
          </w:p>
        </w:tc>
        <w:tc>
          <w:tcPr>
            <w:tcW w:w="1982" w:type="dxa"/>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联系人</w:t>
            </w:r>
          </w:p>
        </w:tc>
        <w:tc>
          <w:tcPr>
            <w:tcW w:w="2589" w:type="dxa"/>
            <w:gridSpan w:val="2"/>
            <w:vAlign w:val="center"/>
          </w:tcPr>
          <w:p>
            <w:pPr>
              <w:adjustRightInd w:val="0"/>
              <w:snapToGrid w:val="0"/>
              <w:spacing w:line="240" w:lineRule="auto"/>
              <w:ind w:firstLine="0" w:firstLineChars="0"/>
              <w:jc w:val="center"/>
              <w:rPr>
                <w:rFonts w:hint="eastAsia" w:ascii="Times New Roman" w:hAnsi="Times New Roman" w:eastAsia="宋体" w:cs="Times New Roman"/>
                <w:lang w:eastAsia="zh-CN"/>
              </w:rPr>
            </w:pPr>
            <w:r>
              <w:rPr>
                <w:rFonts w:hint="eastAsia" w:cs="Times New Roman"/>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515" w:type="dxa"/>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通讯地址</w:t>
            </w:r>
          </w:p>
        </w:tc>
        <w:tc>
          <w:tcPr>
            <w:tcW w:w="7771" w:type="dxa"/>
            <w:gridSpan w:val="6"/>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开平市长沙街道办事处八一村委会南溪开发区A区5号</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515" w:type="dxa"/>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联系电话</w:t>
            </w:r>
          </w:p>
        </w:tc>
        <w:tc>
          <w:tcPr>
            <w:tcW w:w="2296" w:type="dxa"/>
            <w:gridSpan w:val="2"/>
            <w:vAlign w:val="center"/>
          </w:tcPr>
          <w:p>
            <w:pPr>
              <w:pStyle w:val="44"/>
              <w:rPr>
                <w:rFonts w:hint="eastAsia" w:ascii="Times New Roman" w:hAnsi="Times New Roman" w:eastAsia="宋体" w:cs="Times New Roman"/>
                <w:sz w:val="24"/>
                <w:lang w:eastAsia="zh-CN"/>
              </w:rPr>
            </w:pPr>
            <w:r>
              <w:rPr>
                <w:rFonts w:hint="eastAsia" w:cs="Times New Roman"/>
                <w:sz w:val="24"/>
                <w:lang w:eastAsia="zh-CN"/>
              </w:rPr>
              <w:t>****</w:t>
            </w:r>
          </w:p>
        </w:tc>
        <w:tc>
          <w:tcPr>
            <w:tcW w:w="904" w:type="dxa"/>
            <w:vAlign w:val="center"/>
          </w:tcPr>
          <w:p>
            <w:pPr>
              <w:pStyle w:val="44"/>
              <w:rPr>
                <w:rFonts w:hint="default" w:ascii="Times New Roman" w:hAnsi="Times New Roman" w:eastAsia="宋体" w:cs="Times New Roman"/>
                <w:sz w:val="24"/>
              </w:rPr>
            </w:pPr>
            <w:r>
              <w:rPr>
                <w:rFonts w:hint="default" w:ascii="Times New Roman" w:hAnsi="Times New Roman" w:eastAsia="宋体" w:cs="Times New Roman"/>
                <w:sz w:val="24"/>
              </w:rPr>
              <w:t>传真</w:t>
            </w:r>
          </w:p>
        </w:tc>
        <w:tc>
          <w:tcPr>
            <w:tcW w:w="1982" w:type="dxa"/>
            <w:vAlign w:val="center"/>
          </w:tcPr>
          <w:p>
            <w:pPr>
              <w:pStyle w:val="44"/>
              <w:rPr>
                <w:rFonts w:hint="default" w:ascii="Times New Roman" w:hAnsi="Times New Roman" w:eastAsia="宋体" w:cs="Times New Roman"/>
                <w:sz w:val="24"/>
              </w:rPr>
            </w:pPr>
            <w:r>
              <w:rPr>
                <w:rFonts w:hint="default" w:ascii="Times New Roman" w:hAnsi="Times New Roman" w:eastAsia="宋体" w:cs="Times New Roman"/>
                <w:sz w:val="24"/>
              </w:rPr>
              <w:t>/</w:t>
            </w:r>
          </w:p>
        </w:tc>
        <w:tc>
          <w:tcPr>
            <w:tcW w:w="1521" w:type="dxa"/>
            <w:vAlign w:val="center"/>
          </w:tcPr>
          <w:p>
            <w:pPr>
              <w:pStyle w:val="44"/>
              <w:rPr>
                <w:rFonts w:hint="default" w:ascii="Times New Roman" w:hAnsi="Times New Roman" w:eastAsia="宋体" w:cs="Times New Roman"/>
                <w:sz w:val="24"/>
              </w:rPr>
            </w:pPr>
            <w:r>
              <w:rPr>
                <w:rFonts w:hint="default" w:ascii="Times New Roman" w:hAnsi="Times New Roman" w:eastAsia="宋体" w:cs="Times New Roman"/>
                <w:sz w:val="24"/>
              </w:rPr>
              <w:t>邮政编码</w:t>
            </w:r>
          </w:p>
        </w:tc>
        <w:tc>
          <w:tcPr>
            <w:tcW w:w="1068" w:type="dxa"/>
            <w:vAlign w:val="center"/>
          </w:tcPr>
          <w:p>
            <w:pPr>
              <w:pStyle w:val="44"/>
              <w:rPr>
                <w:rFonts w:hint="default" w:ascii="Times New Roman" w:hAnsi="Times New Roman" w:eastAsia="宋体" w:cs="Times New Roman"/>
                <w:sz w:val="24"/>
              </w:rPr>
            </w:pPr>
            <w:r>
              <w:rPr>
                <w:rFonts w:hint="default" w:ascii="Times New Roman" w:hAnsi="Times New Roman" w:eastAsia="宋体" w:cs="Times New Roman"/>
                <w:sz w:val="24"/>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515" w:type="dxa"/>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建设地点</w:t>
            </w:r>
          </w:p>
        </w:tc>
        <w:tc>
          <w:tcPr>
            <w:tcW w:w="7771" w:type="dxa"/>
            <w:gridSpan w:val="6"/>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开平市长沙街道办事处八一村委会南溪开发区A区5号</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515" w:type="dxa"/>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立项审</w:t>
            </w:r>
          </w:p>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批部门</w:t>
            </w:r>
          </w:p>
        </w:tc>
        <w:tc>
          <w:tcPr>
            <w:tcW w:w="3200" w:type="dxa"/>
            <w:gridSpan w:val="3"/>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w:t>
            </w:r>
          </w:p>
        </w:tc>
        <w:tc>
          <w:tcPr>
            <w:tcW w:w="1982" w:type="dxa"/>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批准文号</w:t>
            </w:r>
          </w:p>
        </w:tc>
        <w:tc>
          <w:tcPr>
            <w:tcW w:w="2589" w:type="dxa"/>
            <w:gridSpan w:val="2"/>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515" w:type="dxa"/>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建设性质</w:t>
            </w:r>
          </w:p>
        </w:tc>
        <w:tc>
          <w:tcPr>
            <w:tcW w:w="3200" w:type="dxa"/>
            <w:gridSpan w:val="3"/>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新建■ 改扩建</w:t>
            </w:r>
            <w:r>
              <w:rPr>
                <w:rFonts w:hint="default" w:ascii="Times New Roman" w:hAnsi="Times New Roman" w:eastAsia="宋体" w:cs="Times New Roman"/>
              </w:rPr>
              <w:sym w:font="Wingdings 2" w:char="00A3"/>
            </w:r>
            <w:r>
              <w:rPr>
                <w:rFonts w:hint="default" w:ascii="Times New Roman" w:hAnsi="Times New Roman" w:eastAsia="宋体" w:cs="Times New Roman"/>
              </w:rPr>
              <w:t xml:space="preserve"> 技改</w:t>
            </w:r>
            <w:r>
              <w:rPr>
                <w:rFonts w:hint="default" w:ascii="Times New Roman" w:hAnsi="Times New Roman" w:eastAsia="宋体" w:cs="Times New Roman"/>
              </w:rPr>
              <w:sym w:font="Wingdings 2" w:char="00A3"/>
            </w:r>
          </w:p>
        </w:tc>
        <w:tc>
          <w:tcPr>
            <w:tcW w:w="1982" w:type="dxa"/>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行业类别</w:t>
            </w:r>
          </w:p>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及代码</w:t>
            </w:r>
          </w:p>
        </w:tc>
        <w:tc>
          <w:tcPr>
            <w:tcW w:w="2589" w:type="dxa"/>
            <w:gridSpan w:val="2"/>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C2312</w:t>
            </w:r>
            <w:r>
              <w:rPr>
                <w:rFonts w:hint="default" w:ascii="Times New Roman" w:hAnsi="Times New Roman" w:eastAsia="宋体" w:cs="Times New Roman"/>
                <w:kern w:val="0"/>
              </w:rPr>
              <w:t>本册印制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515" w:type="dxa"/>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占地面积</w:t>
            </w:r>
          </w:p>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（m²）</w:t>
            </w:r>
          </w:p>
        </w:tc>
        <w:tc>
          <w:tcPr>
            <w:tcW w:w="3200" w:type="dxa"/>
            <w:gridSpan w:val="3"/>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247.8</w:t>
            </w:r>
          </w:p>
        </w:tc>
        <w:tc>
          <w:tcPr>
            <w:tcW w:w="1982" w:type="dxa"/>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建筑面积</w:t>
            </w:r>
          </w:p>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（m²）</w:t>
            </w:r>
          </w:p>
        </w:tc>
        <w:tc>
          <w:tcPr>
            <w:tcW w:w="2589" w:type="dxa"/>
            <w:gridSpan w:val="2"/>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 xml:space="preserve"> 327.8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515" w:type="dxa"/>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总投资</w:t>
            </w:r>
          </w:p>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（万元）</w:t>
            </w:r>
          </w:p>
        </w:tc>
        <w:tc>
          <w:tcPr>
            <w:tcW w:w="1395" w:type="dxa"/>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200</w:t>
            </w:r>
          </w:p>
        </w:tc>
        <w:tc>
          <w:tcPr>
            <w:tcW w:w="1805" w:type="dxa"/>
            <w:gridSpan w:val="2"/>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其中：环保投资（万元）</w:t>
            </w:r>
          </w:p>
        </w:tc>
        <w:tc>
          <w:tcPr>
            <w:tcW w:w="1982" w:type="dxa"/>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10</w:t>
            </w:r>
          </w:p>
        </w:tc>
        <w:tc>
          <w:tcPr>
            <w:tcW w:w="1521" w:type="dxa"/>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环保投资占</w:t>
            </w:r>
          </w:p>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总投资比例</w:t>
            </w:r>
          </w:p>
        </w:tc>
        <w:tc>
          <w:tcPr>
            <w:tcW w:w="1068" w:type="dxa"/>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515" w:type="dxa"/>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评价经费</w:t>
            </w:r>
          </w:p>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（万元）</w:t>
            </w:r>
          </w:p>
        </w:tc>
        <w:tc>
          <w:tcPr>
            <w:tcW w:w="3200" w:type="dxa"/>
            <w:gridSpan w:val="3"/>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2</w:t>
            </w:r>
          </w:p>
        </w:tc>
        <w:tc>
          <w:tcPr>
            <w:tcW w:w="1982" w:type="dxa"/>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投产日期</w:t>
            </w:r>
          </w:p>
        </w:tc>
        <w:tc>
          <w:tcPr>
            <w:tcW w:w="2589" w:type="dxa"/>
            <w:gridSpan w:val="2"/>
            <w:vAlign w:val="center"/>
          </w:tcPr>
          <w:p>
            <w:pPr>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已投产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9286" w:type="dxa"/>
            <w:gridSpan w:val="7"/>
            <w:vAlign w:val="center"/>
          </w:tcPr>
          <w:p>
            <w:pPr>
              <w:spacing w:before="120"/>
              <w:ind w:firstLine="0" w:firstLineChars="0"/>
              <w:rPr>
                <w:rFonts w:hint="default" w:ascii="Times New Roman" w:hAnsi="Times New Roman" w:eastAsia="宋体" w:cs="Times New Roman"/>
                <w:b/>
                <w:bCs/>
              </w:rPr>
            </w:pPr>
            <w:r>
              <w:rPr>
                <w:rFonts w:hint="default" w:ascii="Times New Roman" w:hAnsi="Times New Roman" w:eastAsia="宋体" w:cs="Times New Roman"/>
                <w:b/>
                <w:bCs/>
              </w:rPr>
              <w:t>工程内容及规模：</w:t>
            </w:r>
          </w:p>
          <w:p>
            <w:pPr>
              <w:tabs>
                <w:tab w:val="left" w:pos="6150"/>
              </w:tabs>
              <w:ind w:firstLine="482"/>
              <w:rPr>
                <w:rFonts w:hint="default" w:ascii="Times New Roman" w:hAnsi="Times New Roman" w:eastAsia="宋体" w:cs="Times New Roman"/>
                <w:b/>
                <w:bCs/>
              </w:rPr>
            </w:pPr>
            <w:r>
              <w:rPr>
                <w:rFonts w:hint="default" w:ascii="Times New Roman" w:hAnsi="Times New Roman" w:eastAsia="宋体" w:cs="Times New Roman"/>
                <w:b/>
                <w:bCs/>
              </w:rPr>
              <w:t>1、项目概况</w:t>
            </w:r>
          </w:p>
          <w:p>
            <w:pPr>
              <w:ind w:firstLine="480"/>
              <w:rPr>
                <w:rFonts w:hint="default" w:ascii="Times New Roman" w:hAnsi="Times New Roman" w:eastAsia="宋体" w:cs="Times New Roman"/>
              </w:rPr>
            </w:pPr>
            <w:r>
              <w:rPr>
                <w:rFonts w:hint="default" w:ascii="Times New Roman" w:hAnsi="Times New Roman" w:eastAsia="宋体" w:cs="Times New Roman"/>
              </w:rPr>
              <w:t>开平市七彩印刷厂年产不干胶标签5万平方米、说明书10万册、表格20万册建设项目（以下简称“本项目”）位于开平市长沙街道办事处八一村委会南溪开发区A区5号，中心地理位置坐标为N22°21'43.39" ，E112°39'05.45"。项目厂房建筑面积为327.8m²，占地面积247.8m²，企业主要从事印刷品加工，年产不干胶标签5万m²、说明书10万册、表格20万册。本项目已于2011年12月投产，目前属于未批先建项目，营运至今未收到周边居民的环保问题或其它投诉。由于建设单位环境保护意识薄弱，建设单位未能及时完善环保手续。为清理历史遗留环评违法违规项目问题，规范企业运营生产，根据国家有关法律法规规定，建设单位积极配合相关部门整改，目前企业履行补办环评手续。</w:t>
            </w:r>
          </w:p>
          <w:p>
            <w:pPr>
              <w:ind w:firstLine="480"/>
              <w:rPr>
                <w:rFonts w:hint="default" w:ascii="Times New Roman" w:hAnsi="Times New Roman" w:eastAsia="宋体" w:cs="Times New Roman"/>
              </w:rPr>
            </w:pPr>
            <w:r>
              <w:rPr>
                <w:rFonts w:hint="default" w:ascii="Times New Roman" w:hAnsi="Times New Roman" w:eastAsia="宋体" w:cs="Times New Roman"/>
              </w:rPr>
              <w:t>根据《中华人民共和国环境影响评价法》（2018 年修正，2018年12月29号起施行）、《建设项目环境保护管理条例》（2017年国务院令第682号）等有关规定和当地环保管理部门的要求，本项目必须执行环境影响评价制度。根据《建设项目环境影响评价分类管理名录（2017年本）》（环境保护令，2017年，部令第44号）和《关于修改&lt;建设项目环境影响评价分类管理名录&gt;部分内容的决定》（生态环境部令，2018年，部令第1号）有关规定的要求：本项目属于《建设项目环境影响评价分类管理名录（2017年本）》中：“十二、印刷和记录媒介复制业 30 印刷厂；磁材料制品”中的“全部”，故项目应编写环境影响报告表。为此，建设单位委托广州市闰兴环保科技有限公司承担该项目的环境影响报告编制工作。我单位通过现场踏勘调查、工程资料分析，依据《环境影响评价技术导则》的要求编制了本项目的环境影响报告表。</w:t>
            </w:r>
          </w:p>
          <w:p>
            <w:pPr>
              <w:tabs>
                <w:tab w:val="left" w:pos="6150"/>
              </w:tabs>
              <w:ind w:firstLine="482"/>
              <w:rPr>
                <w:rFonts w:hint="default" w:ascii="Times New Roman" w:hAnsi="Times New Roman" w:eastAsia="宋体" w:cs="Times New Roman"/>
                <w:b/>
                <w:bCs/>
              </w:rPr>
            </w:pPr>
            <w:r>
              <w:rPr>
                <w:rFonts w:hint="default" w:ascii="Times New Roman" w:hAnsi="Times New Roman" w:eastAsia="宋体" w:cs="Times New Roman"/>
                <w:b/>
                <w:bCs/>
              </w:rPr>
              <w:t>2、建设规模和内容</w:t>
            </w:r>
          </w:p>
          <w:p>
            <w:pPr>
              <w:ind w:firstLine="480"/>
              <w:rPr>
                <w:rFonts w:hint="default" w:ascii="Times New Roman" w:hAnsi="Times New Roman" w:eastAsia="宋体" w:cs="Times New Roman"/>
              </w:rPr>
            </w:pPr>
            <w:r>
              <w:rPr>
                <w:rFonts w:hint="default" w:ascii="Times New Roman" w:hAnsi="Times New Roman" w:eastAsia="宋体" w:cs="Times New Roman"/>
              </w:rPr>
              <w:t>本项目聘请劳动定员为6人，厂区不提供食宿，不设备用发电机。年生产300天，每天工作时间8小时。</w:t>
            </w:r>
          </w:p>
          <w:p>
            <w:pPr>
              <w:ind w:firstLine="480"/>
              <w:rPr>
                <w:rFonts w:hint="default" w:ascii="Times New Roman" w:hAnsi="Times New Roman" w:eastAsia="宋体" w:cs="Times New Roman"/>
              </w:rPr>
            </w:pPr>
            <w:r>
              <w:rPr>
                <w:rFonts w:hint="default" w:ascii="Times New Roman" w:hAnsi="Times New Roman" w:eastAsia="宋体" w:cs="Times New Roman"/>
              </w:rPr>
              <w:t>（1）主要产品</w:t>
            </w:r>
          </w:p>
          <w:p>
            <w:pPr>
              <w:ind w:firstLine="480"/>
              <w:rPr>
                <w:rFonts w:hint="default" w:ascii="Times New Roman" w:hAnsi="Times New Roman" w:eastAsia="宋体" w:cs="Times New Roman"/>
              </w:rPr>
            </w:pPr>
            <w:r>
              <w:rPr>
                <w:rFonts w:hint="default" w:ascii="Times New Roman" w:hAnsi="Times New Roman" w:eastAsia="宋体" w:cs="Times New Roman"/>
              </w:rPr>
              <w:t>根据建设单位提供的资料，项目年产不干胶标签5万平方米、说明书10万册、表格20万册，详情见下表。</w:t>
            </w:r>
          </w:p>
          <w:p>
            <w:pPr>
              <w:pStyle w:val="45"/>
              <w:rPr>
                <w:rFonts w:hint="default" w:ascii="Times New Roman" w:hAnsi="Times New Roman" w:eastAsia="宋体" w:cs="Times New Roman"/>
                <w:b/>
                <w:bCs/>
              </w:rPr>
            </w:pPr>
            <w:r>
              <w:rPr>
                <w:rFonts w:hint="default" w:ascii="Times New Roman" w:hAnsi="Times New Roman" w:eastAsia="宋体" w:cs="Times New Roman"/>
                <w:b/>
                <w:bCs/>
              </w:rPr>
              <w:t>表1-1 本项目产品方案一览表</w:t>
            </w:r>
          </w:p>
          <w:tbl>
            <w:tblPr>
              <w:tblStyle w:val="23"/>
              <w:tblpPr w:leftFromText="180" w:rightFromText="180" w:vertAnchor="text" w:horzAnchor="page" w:tblpXSpec="center" w:tblpY="60"/>
              <w:tblOverlap w:val="never"/>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1776"/>
              <w:gridCol w:w="3242"/>
              <w:gridCol w:w="405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3" w:hRule="atLeast"/>
                <w:jc w:val="center"/>
              </w:trPr>
              <w:tc>
                <w:tcPr>
                  <w:tcW w:w="979" w:type="pct"/>
                  <w:tcBorders>
                    <w:tl2br w:val="nil"/>
                    <w:tr2bl w:val="nil"/>
                  </w:tcBorders>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序号</w:t>
                  </w:r>
                </w:p>
              </w:tc>
              <w:tc>
                <w:tcPr>
                  <w:tcW w:w="1787" w:type="pct"/>
                  <w:tcBorders>
                    <w:tl2br w:val="nil"/>
                    <w:tr2bl w:val="nil"/>
                  </w:tcBorders>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产品名称</w:t>
                  </w:r>
                </w:p>
              </w:tc>
              <w:tc>
                <w:tcPr>
                  <w:tcW w:w="2232" w:type="pct"/>
                  <w:tcBorders>
                    <w:tl2br w:val="nil"/>
                    <w:tr2bl w:val="nil"/>
                  </w:tcBorders>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年产量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3" w:hRule="atLeast"/>
                <w:jc w:val="center"/>
              </w:trPr>
              <w:tc>
                <w:tcPr>
                  <w:tcW w:w="979" w:type="pct"/>
                  <w:tcBorders>
                    <w:tl2br w:val="nil"/>
                    <w:tr2bl w:val="nil"/>
                  </w:tcBorders>
                  <w:vAlign w:val="center"/>
                </w:tcPr>
                <w:p>
                  <w:pPr>
                    <w:pStyle w:val="46"/>
                    <w:rPr>
                      <w:rFonts w:hint="default" w:ascii="Times New Roman" w:hAnsi="Times New Roman" w:eastAsia="宋体" w:cs="Times New Roman"/>
                    </w:rPr>
                  </w:pPr>
                  <w:r>
                    <w:rPr>
                      <w:rFonts w:hint="default" w:ascii="Times New Roman" w:hAnsi="Times New Roman" w:eastAsia="宋体" w:cs="Times New Roman"/>
                    </w:rPr>
                    <w:t>1</w:t>
                  </w:r>
                </w:p>
              </w:tc>
              <w:tc>
                <w:tcPr>
                  <w:tcW w:w="1787" w:type="pct"/>
                  <w:tcBorders>
                    <w:tl2br w:val="nil"/>
                    <w:tr2bl w:val="nil"/>
                  </w:tcBorders>
                  <w:vAlign w:val="center"/>
                </w:tcPr>
                <w:p>
                  <w:pPr>
                    <w:pStyle w:val="46"/>
                    <w:rPr>
                      <w:rFonts w:hint="default" w:ascii="Times New Roman" w:hAnsi="Times New Roman" w:eastAsia="宋体" w:cs="Times New Roman"/>
                    </w:rPr>
                  </w:pPr>
                  <w:r>
                    <w:rPr>
                      <w:rFonts w:hint="default" w:ascii="Times New Roman" w:hAnsi="Times New Roman" w:eastAsia="宋体" w:cs="Times New Roman"/>
                    </w:rPr>
                    <w:t>不干胶标签</w:t>
                  </w:r>
                </w:p>
              </w:tc>
              <w:tc>
                <w:tcPr>
                  <w:tcW w:w="2232" w:type="pct"/>
                  <w:tcBorders>
                    <w:tl2br w:val="nil"/>
                    <w:tr2bl w:val="nil"/>
                  </w:tcBorders>
                  <w:vAlign w:val="center"/>
                </w:tcPr>
                <w:p>
                  <w:pPr>
                    <w:pStyle w:val="46"/>
                    <w:rPr>
                      <w:rFonts w:hint="default" w:ascii="Times New Roman" w:hAnsi="Times New Roman" w:eastAsia="宋体" w:cs="Times New Roman"/>
                    </w:rPr>
                  </w:pPr>
                  <w:r>
                    <w:rPr>
                      <w:rFonts w:hint="default" w:ascii="Times New Roman" w:hAnsi="Times New Roman" w:eastAsia="宋体" w:cs="Times New Roman"/>
                    </w:rPr>
                    <w:t>5万平方米</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3" w:hRule="atLeast"/>
                <w:jc w:val="center"/>
              </w:trPr>
              <w:tc>
                <w:tcPr>
                  <w:tcW w:w="979" w:type="pct"/>
                  <w:tcBorders>
                    <w:tl2br w:val="nil"/>
                    <w:tr2bl w:val="nil"/>
                  </w:tcBorders>
                  <w:vAlign w:val="center"/>
                </w:tcPr>
                <w:p>
                  <w:pPr>
                    <w:pStyle w:val="46"/>
                    <w:rPr>
                      <w:rFonts w:hint="default" w:ascii="Times New Roman" w:hAnsi="Times New Roman" w:eastAsia="宋体" w:cs="Times New Roman"/>
                    </w:rPr>
                  </w:pPr>
                  <w:r>
                    <w:rPr>
                      <w:rFonts w:hint="default" w:ascii="Times New Roman" w:hAnsi="Times New Roman" w:eastAsia="宋体" w:cs="Times New Roman"/>
                    </w:rPr>
                    <w:t>2</w:t>
                  </w:r>
                </w:p>
              </w:tc>
              <w:tc>
                <w:tcPr>
                  <w:tcW w:w="1787" w:type="pct"/>
                  <w:tcBorders>
                    <w:tl2br w:val="nil"/>
                    <w:tr2bl w:val="nil"/>
                  </w:tcBorders>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说明书</w:t>
                  </w:r>
                </w:p>
              </w:tc>
              <w:tc>
                <w:tcPr>
                  <w:tcW w:w="2232" w:type="pct"/>
                  <w:tcBorders>
                    <w:tl2br w:val="nil"/>
                    <w:tr2bl w:val="nil"/>
                  </w:tcBorders>
                  <w:vAlign w:val="center"/>
                </w:tcPr>
                <w:p>
                  <w:pPr>
                    <w:pStyle w:val="46"/>
                    <w:rPr>
                      <w:rFonts w:hint="default" w:ascii="Times New Roman" w:hAnsi="Times New Roman" w:eastAsia="宋体" w:cs="Times New Roman"/>
                    </w:rPr>
                  </w:pPr>
                  <w:r>
                    <w:rPr>
                      <w:rFonts w:hint="default" w:ascii="Times New Roman" w:hAnsi="Times New Roman" w:eastAsia="宋体" w:cs="Times New Roman"/>
                    </w:rPr>
                    <w:t>10万册</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3" w:hRule="atLeast"/>
                <w:jc w:val="center"/>
              </w:trPr>
              <w:tc>
                <w:tcPr>
                  <w:tcW w:w="979" w:type="pct"/>
                  <w:tcBorders>
                    <w:tl2br w:val="nil"/>
                    <w:tr2bl w:val="nil"/>
                  </w:tcBorders>
                  <w:vAlign w:val="center"/>
                </w:tcPr>
                <w:p>
                  <w:pPr>
                    <w:pStyle w:val="46"/>
                    <w:rPr>
                      <w:rFonts w:hint="default" w:ascii="Times New Roman" w:hAnsi="Times New Roman" w:eastAsia="宋体" w:cs="Times New Roman"/>
                    </w:rPr>
                  </w:pPr>
                  <w:r>
                    <w:rPr>
                      <w:rFonts w:hint="default" w:ascii="Times New Roman" w:hAnsi="Times New Roman" w:eastAsia="宋体" w:cs="Times New Roman"/>
                    </w:rPr>
                    <w:t>3</w:t>
                  </w:r>
                </w:p>
              </w:tc>
              <w:tc>
                <w:tcPr>
                  <w:tcW w:w="1787" w:type="pct"/>
                  <w:tcBorders>
                    <w:tl2br w:val="nil"/>
                    <w:tr2bl w:val="nil"/>
                  </w:tcBorders>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表格</w:t>
                  </w:r>
                </w:p>
              </w:tc>
              <w:tc>
                <w:tcPr>
                  <w:tcW w:w="2232" w:type="pct"/>
                  <w:tcBorders>
                    <w:tl2br w:val="nil"/>
                    <w:tr2bl w:val="nil"/>
                  </w:tcBorders>
                  <w:vAlign w:val="center"/>
                </w:tcPr>
                <w:p>
                  <w:pPr>
                    <w:pStyle w:val="46"/>
                    <w:rPr>
                      <w:rFonts w:hint="default" w:ascii="Times New Roman" w:hAnsi="Times New Roman" w:eastAsia="宋体" w:cs="Times New Roman"/>
                    </w:rPr>
                  </w:pPr>
                  <w:r>
                    <w:rPr>
                      <w:rFonts w:hint="default" w:ascii="Times New Roman" w:hAnsi="Times New Roman" w:eastAsia="宋体" w:cs="Times New Roman"/>
                    </w:rPr>
                    <w:t xml:space="preserve">20万册                                                                                                                                                                                                                                                                                                                                                             </w:t>
                  </w:r>
                </w:p>
              </w:tc>
            </w:tr>
          </w:tbl>
          <w:p>
            <w:pPr>
              <w:ind w:firstLine="480"/>
              <w:rPr>
                <w:rFonts w:hint="default" w:ascii="Times New Roman" w:hAnsi="Times New Roman" w:eastAsia="宋体" w:cs="Times New Roman"/>
              </w:rPr>
            </w:pPr>
            <w:r>
              <w:rPr>
                <w:rFonts w:hint="default" w:ascii="Times New Roman" w:hAnsi="Times New Roman" w:eastAsia="宋体" w:cs="Times New Roman"/>
              </w:rPr>
              <w:t>（2）主要原辅材料及消耗量</w:t>
            </w:r>
          </w:p>
          <w:p>
            <w:pPr>
              <w:pStyle w:val="46"/>
              <w:rPr>
                <w:rFonts w:hint="default" w:ascii="Times New Roman" w:hAnsi="Times New Roman" w:eastAsia="宋体" w:cs="Times New Roman"/>
                <w:b/>
                <w:bCs/>
              </w:rPr>
            </w:pPr>
            <w:r>
              <w:rPr>
                <w:rFonts w:hint="default" w:ascii="Times New Roman" w:hAnsi="Times New Roman" w:eastAsia="宋体" w:cs="Times New Roman"/>
                <w:b/>
                <w:bCs/>
              </w:rPr>
              <w:t>表1-2 项目主要原材料一览表</w:t>
            </w:r>
          </w:p>
          <w:tbl>
            <w:tblPr>
              <w:tblStyle w:val="23"/>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579"/>
              <w:gridCol w:w="938"/>
              <w:gridCol w:w="891"/>
              <w:gridCol w:w="918"/>
              <w:gridCol w:w="1052"/>
              <w:gridCol w:w="800"/>
              <w:gridCol w:w="2634"/>
              <w:gridCol w:w="125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90" w:hRule="atLeast"/>
                <w:tblHeader/>
                <w:jc w:val="center"/>
              </w:trPr>
              <w:tc>
                <w:tcPr>
                  <w:tcW w:w="319" w:type="pct"/>
                  <w:tcBorders>
                    <w:tl2br w:val="nil"/>
                    <w:tr2bl w:val="nil"/>
                  </w:tcBorders>
                  <w:shd w:val="clear" w:color="auto" w:fill="auto"/>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序号</w:t>
                  </w:r>
                </w:p>
              </w:tc>
              <w:tc>
                <w:tcPr>
                  <w:tcW w:w="517" w:type="pct"/>
                  <w:tcBorders>
                    <w:tl2br w:val="nil"/>
                    <w:tr2bl w:val="nil"/>
                  </w:tcBorders>
                  <w:shd w:val="clear" w:color="auto" w:fill="auto"/>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原料名称</w:t>
                  </w:r>
                </w:p>
              </w:tc>
              <w:tc>
                <w:tcPr>
                  <w:tcW w:w="491" w:type="pct"/>
                  <w:tcBorders>
                    <w:tl2br w:val="nil"/>
                    <w:tr2bl w:val="nil"/>
                  </w:tcBorders>
                  <w:shd w:val="clear" w:color="auto" w:fill="auto"/>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年用量</w:t>
                  </w:r>
                </w:p>
              </w:tc>
              <w:tc>
                <w:tcPr>
                  <w:tcW w:w="506" w:type="pct"/>
                  <w:tcBorders>
                    <w:tl2br w:val="nil"/>
                    <w:tr2bl w:val="nil"/>
                  </w:tcBorders>
                  <w:shd w:val="clear" w:color="auto" w:fill="auto"/>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包装规格</w:t>
                  </w:r>
                </w:p>
              </w:tc>
              <w:tc>
                <w:tcPr>
                  <w:tcW w:w="580" w:type="pct"/>
                  <w:tcBorders>
                    <w:tl2br w:val="nil"/>
                    <w:tr2bl w:val="nil"/>
                  </w:tcBorders>
                  <w:shd w:val="clear" w:color="auto" w:fill="auto"/>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存储形态</w:t>
                  </w:r>
                </w:p>
              </w:tc>
              <w:tc>
                <w:tcPr>
                  <w:tcW w:w="441" w:type="pct"/>
                  <w:tcBorders>
                    <w:tl2br w:val="nil"/>
                    <w:tr2bl w:val="nil"/>
                  </w:tcBorders>
                  <w:shd w:val="clear" w:color="auto" w:fill="auto"/>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临存量</w:t>
                  </w:r>
                </w:p>
              </w:tc>
              <w:tc>
                <w:tcPr>
                  <w:tcW w:w="1452" w:type="pct"/>
                  <w:tcBorders>
                    <w:tl2br w:val="nil"/>
                    <w:tr2bl w:val="nil"/>
                  </w:tcBorders>
                  <w:shd w:val="clear" w:color="auto" w:fill="auto"/>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储存位置</w:t>
                  </w:r>
                </w:p>
              </w:tc>
              <w:tc>
                <w:tcPr>
                  <w:tcW w:w="691" w:type="pct"/>
                  <w:tcBorders>
                    <w:tl2br w:val="nil"/>
                    <w:tr2bl w:val="nil"/>
                  </w:tcBorders>
                  <w:shd w:val="clear" w:color="auto" w:fill="auto"/>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来源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3" w:hRule="atLeast"/>
                <w:tblHeader/>
                <w:jc w:val="center"/>
              </w:trPr>
              <w:tc>
                <w:tcPr>
                  <w:tcW w:w="319" w:type="pct"/>
                  <w:tcBorders>
                    <w:tl2br w:val="nil"/>
                    <w:tr2bl w:val="nil"/>
                  </w:tcBorders>
                  <w:shd w:val="clear" w:color="auto" w:fill="auto"/>
                  <w:vAlign w:val="center"/>
                </w:tcPr>
                <w:p>
                  <w:pPr>
                    <w:pStyle w:val="46"/>
                    <w:rPr>
                      <w:rFonts w:hint="default" w:ascii="Times New Roman" w:hAnsi="Times New Roman" w:eastAsia="宋体" w:cs="Times New Roman"/>
                    </w:rPr>
                  </w:pPr>
                  <w:r>
                    <w:rPr>
                      <w:rFonts w:hint="default" w:ascii="Times New Roman" w:hAnsi="Times New Roman" w:eastAsia="宋体" w:cs="Times New Roman"/>
                    </w:rPr>
                    <w:t>1</w:t>
                  </w:r>
                </w:p>
              </w:tc>
              <w:tc>
                <w:tcPr>
                  <w:tcW w:w="517" w:type="pct"/>
                  <w:tcBorders>
                    <w:tl2br w:val="nil"/>
                    <w:tr2bl w:val="nil"/>
                  </w:tcBorders>
                  <w:shd w:val="clear" w:color="auto" w:fill="auto"/>
                  <w:vAlign w:val="center"/>
                </w:tcPr>
                <w:p>
                  <w:pPr>
                    <w:pStyle w:val="46"/>
                    <w:rPr>
                      <w:rFonts w:hint="default" w:ascii="Times New Roman" w:hAnsi="Times New Roman" w:eastAsia="宋体" w:cs="Times New Roman"/>
                    </w:rPr>
                  </w:pPr>
                  <w:r>
                    <w:rPr>
                      <w:rFonts w:hint="default" w:ascii="Times New Roman" w:hAnsi="Times New Roman" w:eastAsia="宋体" w:cs="Times New Roman"/>
                    </w:rPr>
                    <w:t>不干胶纸</w:t>
                  </w:r>
                </w:p>
              </w:tc>
              <w:tc>
                <w:tcPr>
                  <w:tcW w:w="491" w:type="pct"/>
                  <w:tcBorders>
                    <w:tl2br w:val="nil"/>
                    <w:tr2bl w:val="nil"/>
                  </w:tcBorders>
                  <w:shd w:val="clear" w:color="auto" w:fill="auto"/>
                  <w:vAlign w:val="center"/>
                </w:tcPr>
                <w:p>
                  <w:pPr>
                    <w:pStyle w:val="46"/>
                    <w:rPr>
                      <w:rFonts w:hint="default" w:ascii="Times New Roman" w:hAnsi="Times New Roman" w:eastAsia="宋体" w:cs="Times New Roman"/>
                    </w:rPr>
                  </w:pPr>
                  <w:r>
                    <w:rPr>
                      <w:rFonts w:hint="default" w:ascii="Times New Roman" w:hAnsi="Times New Roman" w:eastAsia="宋体" w:cs="Times New Roman"/>
                    </w:rPr>
                    <w:t>5.2万m²</w:t>
                  </w:r>
                </w:p>
              </w:tc>
              <w:tc>
                <w:tcPr>
                  <w:tcW w:w="506" w:type="pct"/>
                  <w:tcBorders>
                    <w:tl2br w:val="nil"/>
                    <w:tr2bl w:val="nil"/>
                  </w:tcBorders>
                  <w:shd w:val="clear" w:color="auto" w:fill="auto"/>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卷装</w:t>
                  </w:r>
                </w:p>
              </w:tc>
              <w:tc>
                <w:tcPr>
                  <w:tcW w:w="580" w:type="pct"/>
                  <w:tcBorders>
                    <w:tl2br w:val="nil"/>
                    <w:tr2bl w:val="nil"/>
                  </w:tcBorders>
                  <w:shd w:val="clear" w:color="auto" w:fill="auto"/>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固态</w:t>
                  </w:r>
                </w:p>
              </w:tc>
              <w:tc>
                <w:tcPr>
                  <w:tcW w:w="441" w:type="pct"/>
                  <w:tcBorders>
                    <w:tl2br w:val="nil"/>
                    <w:tr2bl w:val="nil"/>
                  </w:tcBorders>
                  <w:shd w:val="clear" w:color="auto" w:fill="auto"/>
                  <w:vAlign w:val="center"/>
                </w:tcPr>
                <w:p>
                  <w:pPr>
                    <w:pStyle w:val="46"/>
                    <w:rPr>
                      <w:rFonts w:hint="default" w:ascii="Times New Roman" w:hAnsi="Times New Roman" w:eastAsia="宋体" w:cs="Times New Roman"/>
                    </w:rPr>
                  </w:pPr>
                  <w:r>
                    <w:rPr>
                      <w:rFonts w:hint="default" w:ascii="Times New Roman" w:hAnsi="Times New Roman" w:eastAsia="宋体" w:cs="Times New Roman"/>
                    </w:rPr>
                    <w:t>5千m²</w:t>
                  </w:r>
                </w:p>
              </w:tc>
              <w:tc>
                <w:tcPr>
                  <w:tcW w:w="1452" w:type="pct"/>
                  <w:tcBorders>
                    <w:tl2br w:val="nil"/>
                    <w:tr2bl w:val="nil"/>
                  </w:tcBorders>
                  <w:shd w:val="clear" w:color="auto" w:fill="auto"/>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原料区</w:t>
                  </w:r>
                </w:p>
              </w:tc>
              <w:tc>
                <w:tcPr>
                  <w:tcW w:w="691" w:type="pct"/>
                  <w:tcBorders>
                    <w:tl2br w:val="nil"/>
                    <w:tr2bl w:val="nil"/>
                  </w:tcBorders>
                  <w:shd w:val="clear" w:color="auto" w:fill="auto"/>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90" w:hRule="atLeast"/>
                <w:tblHeader/>
                <w:jc w:val="center"/>
              </w:trPr>
              <w:tc>
                <w:tcPr>
                  <w:tcW w:w="319"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517"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水性油墨</w:t>
                  </w:r>
                </w:p>
              </w:tc>
              <w:tc>
                <w:tcPr>
                  <w:tcW w:w="49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0.3t</w:t>
                  </w:r>
                </w:p>
              </w:tc>
              <w:tc>
                <w:tcPr>
                  <w:tcW w:w="506"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10kg/罐</w:t>
                  </w:r>
                </w:p>
              </w:tc>
              <w:tc>
                <w:tcPr>
                  <w:tcW w:w="580"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液态</w:t>
                  </w:r>
                </w:p>
              </w:tc>
              <w:tc>
                <w:tcPr>
                  <w:tcW w:w="44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0.1t</w:t>
                  </w:r>
                </w:p>
              </w:tc>
              <w:tc>
                <w:tcPr>
                  <w:tcW w:w="1452"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原料区、印刷区</w:t>
                  </w:r>
                </w:p>
              </w:tc>
              <w:tc>
                <w:tcPr>
                  <w:tcW w:w="69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90" w:hRule="atLeast"/>
                <w:tblHeader/>
                <w:jc w:val="center"/>
              </w:trPr>
              <w:tc>
                <w:tcPr>
                  <w:tcW w:w="319"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517"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清洗剂</w:t>
                  </w:r>
                </w:p>
              </w:tc>
              <w:tc>
                <w:tcPr>
                  <w:tcW w:w="49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0.1t</w:t>
                  </w:r>
                </w:p>
              </w:tc>
              <w:tc>
                <w:tcPr>
                  <w:tcW w:w="506"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10L/桶</w:t>
                  </w:r>
                </w:p>
              </w:tc>
              <w:tc>
                <w:tcPr>
                  <w:tcW w:w="580"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液态</w:t>
                  </w:r>
                </w:p>
              </w:tc>
              <w:tc>
                <w:tcPr>
                  <w:tcW w:w="44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0.01t</w:t>
                  </w:r>
                </w:p>
              </w:tc>
              <w:tc>
                <w:tcPr>
                  <w:tcW w:w="1452"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原料区、印刷区</w:t>
                  </w:r>
                </w:p>
              </w:tc>
              <w:tc>
                <w:tcPr>
                  <w:tcW w:w="69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3" w:hRule="atLeast"/>
                <w:tblHeader/>
                <w:jc w:val="center"/>
              </w:trPr>
              <w:tc>
                <w:tcPr>
                  <w:tcW w:w="319"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517"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纸张</w:t>
                  </w:r>
                </w:p>
              </w:tc>
              <w:tc>
                <w:tcPr>
                  <w:tcW w:w="49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20t</w:t>
                  </w:r>
                </w:p>
              </w:tc>
              <w:tc>
                <w:tcPr>
                  <w:tcW w:w="506"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平装</w:t>
                  </w:r>
                </w:p>
              </w:tc>
              <w:tc>
                <w:tcPr>
                  <w:tcW w:w="580"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固态</w:t>
                  </w:r>
                </w:p>
              </w:tc>
              <w:tc>
                <w:tcPr>
                  <w:tcW w:w="44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2t</w:t>
                  </w:r>
                </w:p>
              </w:tc>
              <w:tc>
                <w:tcPr>
                  <w:tcW w:w="1452"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原料区</w:t>
                  </w:r>
                </w:p>
              </w:tc>
              <w:tc>
                <w:tcPr>
                  <w:tcW w:w="69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90" w:hRule="atLeast"/>
                <w:tblHeader/>
                <w:jc w:val="center"/>
              </w:trPr>
              <w:tc>
                <w:tcPr>
                  <w:tcW w:w="319"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517"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电化铝膜</w:t>
                  </w:r>
                </w:p>
              </w:tc>
              <w:tc>
                <w:tcPr>
                  <w:tcW w:w="49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50m²</w:t>
                  </w:r>
                </w:p>
              </w:tc>
              <w:tc>
                <w:tcPr>
                  <w:tcW w:w="506"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580"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固态</w:t>
                  </w:r>
                </w:p>
              </w:tc>
              <w:tc>
                <w:tcPr>
                  <w:tcW w:w="44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10m²</w:t>
                  </w:r>
                </w:p>
              </w:tc>
              <w:tc>
                <w:tcPr>
                  <w:tcW w:w="1452"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原料区</w:t>
                  </w:r>
                </w:p>
              </w:tc>
              <w:tc>
                <w:tcPr>
                  <w:tcW w:w="69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3" w:hRule="atLeast"/>
                <w:tblHeader/>
                <w:jc w:val="center"/>
              </w:trPr>
              <w:tc>
                <w:tcPr>
                  <w:tcW w:w="319"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6</w:t>
                  </w:r>
                </w:p>
              </w:tc>
              <w:tc>
                <w:tcPr>
                  <w:tcW w:w="517"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订书钉</w:t>
                  </w:r>
                </w:p>
              </w:tc>
              <w:tc>
                <w:tcPr>
                  <w:tcW w:w="49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0.01t</w:t>
                  </w:r>
                </w:p>
              </w:tc>
              <w:tc>
                <w:tcPr>
                  <w:tcW w:w="506"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盒装</w:t>
                  </w:r>
                </w:p>
              </w:tc>
              <w:tc>
                <w:tcPr>
                  <w:tcW w:w="580"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固态</w:t>
                  </w:r>
                </w:p>
              </w:tc>
              <w:tc>
                <w:tcPr>
                  <w:tcW w:w="44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5kg</w:t>
                  </w:r>
                </w:p>
              </w:tc>
              <w:tc>
                <w:tcPr>
                  <w:tcW w:w="1452"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打钉区</w:t>
                  </w:r>
                </w:p>
              </w:tc>
              <w:tc>
                <w:tcPr>
                  <w:tcW w:w="69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90" w:hRule="atLeast"/>
                <w:tblHeader/>
                <w:jc w:val="center"/>
              </w:trPr>
              <w:tc>
                <w:tcPr>
                  <w:tcW w:w="319"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7</w:t>
                  </w:r>
                </w:p>
              </w:tc>
              <w:tc>
                <w:tcPr>
                  <w:tcW w:w="517"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包装材料</w:t>
                  </w:r>
                </w:p>
              </w:tc>
              <w:tc>
                <w:tcPr>
                  <w:tcW w:w="49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0.03t</w:t>
                  </w:r>
                </w:p>
              </w:tc>
              <w:tc>
                <w:tcPr>
                  <w:tcW w:w="506"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580"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固态</w:t>
                  </w:r>
                </w:p>
              </w:tc>
              <w:tc>
                <w:tcPr>
                  <w:tcW w:w="44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0.01t</w:t>
                  </w:r>
                </w:p>
              </w:tc>
              <w:tc>
                <w:tcPr>
                  <w:tcW w:w="1452"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原料区</w:t>
                  </w:r>
                </w:p>
              </w:tc>
              <w:tc>
                <w:tcPr>
                  <w:tcW w:w="69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3" w:hRule="atLeast"/>
                <w:tblHeader/>
                <w:jc w:val="center"/>
              </w:trPr>
              <w:tc>
                <w:tcPr>
                  <w:tcW w:w="319"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8</w:t>
                  </w:r>
                </w:p>
              </w:tc>
              <w:tc>
                <w:tcPr>
                  <w:tcW w:w="517"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PS版</w:t>
                  </w:r>
                </w:p>
              </w:tc>
              <w:tc>
                <w:tcPr>
                  <w:tcW w:w="49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500张</w:t>
                  </w:r>
                </w:p>
              </w:tc>
              <w:tc>
                <w:tcPr>
                  <w:tcW w:w="506"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580"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固态</w:t>
                  </w:r>
                </w:p>
              </w:tc>
              <w:tc>
                <w:tcPr>
                  <w:tcW w:w="44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200张</w:t>
                  </w:r>
                </w:p>
              </w:tc>
              <w:tc>
                <w:tcPr>
                  <w:tcW w:w="1452"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印刷区</w:t>
                  </w:r>
                </w:p>
              </w:tc>
              <w:tc>
                <w:tcPr>
                  <w:tcW w:w="691" w:type="pct"/>
                  <w:tcBorders>
                    <w:tl2br w:val="nil"/>
                    <w:tr2bl w:val="nil"/>
                  </w:tcBorders>
                  <w:shd w:val="clear" w:color="auto" w:fill="auto"/>
                  <w:vAlign w:val="center"/>
                </w:tcPr>
                <w:p>
                  <w:pPr>
                    <w:pStyle w:val="46"/>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3" w:hRule="atLeast"/>
                <w:tblHeader/>
                <w:jc w:val="center"/>
              </w:trPr>
              <w:tc>
                <w:tcPr>
                  <w:tcW w:w="319"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9</w:t>
                  </w:r>
                </w:p>
              </w:tc>
              <w:tc>
                <w:tcPr>
                  <w:tcW w:w="517"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免酒精润版液</w:t>
                  </w:r>
                </w:p>
              </w:tc>
              <w:tc>
                <w:tcPr>
                  <w:tcW w:w="49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0.06t</w:t>
                  </w:r>
                </w:p>
              </w:tc>
              <w:tc>
                <w:tcPr>
                  <w:tcW w:w="506"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15kg/桶</w:t>
                  </w:r>
                </w:p>
              </w:tc>
              <w:tc>
                <w:tcPr>
                  <w:tcW w:w="580"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液态</w:t>
                  </w:r>
                </w:p>
              </w:tc>
              <w:tc>
                <w:tcPr>
                  <w:tcW w:w="44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30kg</w:t>
                  </w:r>
                </w:p>
              </w:tc>
              <w:tc>
                <w:tcPr>
                  <w:tcW w:w="1452"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印刷区</w:t>
                  </w:r>
                </w:p>
              </w:tc>
              <w:tc>
                <w:tcPr>
                  <w:tcW w:w="69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3" w:hRule="atLeast"/>
                <w:tblHeader/>
                <w:jc w:val="center"/>
              </w:trPr>
              <w:tc>
                <w:tcPr>
                  <w:tcW w:w="319"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10</w:t>
                  </w:r>
                </w:p>
              </w:tc>
              <w:tc>
                <w:tcPr>
                  <w:tcW w:w="517"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淀粉粘合剂</w:t>
                  </w:r>
                </w:p>
              </w:tc>
              <w:tc>
                <w:tcPr>
                  <w:tcW w:w="49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0.05t</w:t>
                  </w:r>
                </w:p>
              </w:tc>
              <w:tc>
                <w:tcPr>
                  <w:tcW w:w="506"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20kg/袋</w:t>
                  </w:r>
                </w:p>
              </w:tc>
              <w:tc>
                <w:tcPr>
                  <w:tcW w:w="580"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液态</w:t>
                  </w:r>
                </w:p>
              </w:tc>
              <w:tc>
                <w:tcPr>
                  <w:tcW w:w="44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40kg</w:t>
                  </w:r>
                </w:p>
              </w:tc>
              <w:tc>
                <w:tcPr>
                  <w:tcW w:w="1452"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裱纸区</w:t>
                  </w:r>
                </w:p>
              </w:tc>
              <w:tc>
                <w:tcPr>
                  <w:tcW w:w="691"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外购</w:t>
                  </w:r>
                </w:p>
              </w:tc>
            </w:tr>
          </w:tbl>
          <w:p>
            <w:pPr>
              <w:ind w:firstLine="480"/>
              <w:rPr>
                <w:rFonts w:hint="default" w:ascii="Times New Roman" w:hAnsi="Times New Roman" w:eastAsia="宋体" w:cs="Times New Roman"/>
              </w:rPr>
            </w:pPr>
            <w:r>
              <w:rPr>
                <w:rFonts w:hint="default" w:ascii="Times New Roman" w:hAnsi="Times New Roman" w:eastAsia="宋体" w:cs="Times New Roman"/>
              </w:rPr>
              <w:t>（3）原辅材料性质或特点：</w:t>
            </w:r>
          </w:p>
          <w:p>
            <w:pPr>
              <w:pStyle w:val="45"/>
              <w:rPr>
                <w:rFonts w:hint="default" w:ascii="Times New Roman" w:hAnsi="Times New Roman" w:eastAsia="宋体" w:cs="Times New Roman"/>
                <w:b/>
                <w:bCs/>
              </w:rPr>
            </w:pPr>
            <w:r>
              <w:rPr>
                <w:rFonts w:hint="default" w:ascii="Times New Roman" w:hAnsi="Times New Roman" w:eastAsia="宋体" w:cs="Times New Roman"/>
                <w:b/>
                <w:bCs/>
              </w:rPr>
              <w:t>表1-3 主要原料理化性质</w:t>
            </w:r>
          </w:p>
          <w:tbl>
            <w:tblPr>
              <w:tblStyle w:val="24"/>
              <w:tblW w:w="8592"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080"/>
              <w:gridCol w:w="4111"/>
              <w:gridCol w:w="340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49" w:hRule="atLeast"/>
                <w:jc w:val="center"/>
              </w:trPr>
              <w:tc>
                <w:tcPr>
                  <w:tcW w:w="1080" w:type="dxa"/>
                  <w:tcBorders>
                    <w:tl2br w:val="nil"/>
                    <w:tr2bl w:val="nil"/>
                  </w:tcBorders>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原料名称</w:t>
                  </w:r>
                </w:p>
              </w:tc>
              <w:tc>
                <w:tcPr>
                  <w:tcW w:w="4111" w:type="dxa"/>
                  <w:tcBorders>
                    <w:tl2br w:val="nil"/>
                    <w:tr2bl w:val="nil"/>
                  </w:tcBorders>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理化性质</w:t>
                  </w:r>
                </w:p>
              </w:tc>
              <w:tc>
                <w:tcPr>
                  <w:tcW w:w="3401" w:type="dxa"/>
                  <w:tcBorders>
                    <w:tl2br w:val="nil"/>
                    <w:tr2bl w:val="nil"/>
                  </w:tcBorders>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含VOCs成分比例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630" w:hRule="atLeast"/>
                <w:jc w:val="center"/>
              </w:trPr>
              <w:tc>
                <w:tcPr>
                  <w:tcW w:w="1080" w:type="dxa"/>
                  <w:tcBorders>
                    <w:tl2br w:val="nil"/>
                    <w:tr2bl w:val="nil"/>
                  </w:tcBorders>
                  <w:vAlign w:val="center"/>
                </w:tcPr>
                <w:p>
                  <w:pPr>
                    <w:pStyle w:val="46"/>
                    <w:rPr>
                      <w:rFonts w:hint="default" w:ascii="Times New Roman" w:hAnsi="Times New Roman" w:eastAsia="宋体" w:cs="Times New Roman"/>
                    </w:rPr>
                  </w:pPr>
                  <w:r>
                    <w:rPr>
                      <w:rFonts w:hint="default" w:ascii="Times New Roman" w:hAnsi="Times New Roman" w:eastAsia="宋体" w:cs="Times New Roman"/>
                    </w:rPr>
                    <w:t>水性油墨</w:t>
                  </w:r>
                </w:p>
              </w:tc>
              <w:tc>
                <w:tcPr>
                  <w:tcW w:w="4111" w:type="dxa"/>
                  <w:tcBorders>
                    <w:tl2br w:val="nil"/>
                    <w:tr2bl w:val="nil"/>
                  </w:tcBorders>
                  <w:vAlign w:val="center"/>
                </w:tcPr>
                <w:p>
                  <w:pPr>
                    <w:pStyle w:val="46"/>
                    <w:jc w:val="left"/>
                    <w:rPr>
                      <w:rFonts w:hint="default" w:ascii="Times New Roman" w:hAnsi="Times New Roman" w:eastAsia="宋体" w:cs="Times New Roman"/>
                    </w:rPr>
                  </w:pPr>
                  <w:r>
                    <w:rPr>
                      <w:rFonts w:hint="default" w:ascii="Times New Roman" w:hAnsi="Times New Roman" w:eastAsia="宋体" w:cs="Times New Roman"/>
                    </w:rPr>
                    <w:t>液体，轻微气味，混合色，固含量40~50%，助剂含量2%-6%，pH值8.0~9.5，沸点：760mHg~100℃。常温常压下稳定，不燃物，不爆炸，无毒。成分：丙烯酸树脂、颜料、助剂、水。</w:t>
                  </w:r>
                </w:p>
              </w:tc>
              <w:tc>
                <w:tcPr>
                  <w:tcW w:w="3401" w:type="dxa"/>
                  <w:tcBorders>
                    <w:tl2br w:val="nil"/>
                    <w:tr2bl w:val="nil"/>
                  </w:tcBorders>
                  <w:vAlign w:val="center"/>
                </w:tcPr>
                <w:p>
                  <w:pPr>
                    <w:pStyle w:val="46"/>
                    <w:jc w:val="left"/>
                    <w:rPr>
                      <w:rFonts w:hint="default" w:ascii="Times New Roman" w:hAnsi="Times New Roman" w:eastAsia="宋体" w:cs="Times New Roman"/>
                    </w:rPr>
                  </w:pPr>
                  <w:r>
                    <w:rPr>
                      <w:rFonts w:hint="default" w:ascii="Times New Roman" w:hAnsi="Times New Roman" w:eastAsia="宋体" w:cs="Times New Roman"/>
                    </w:rPr>
                    <w:t>根据水性油墨MSDS报告，项目所用水性油墨可挥发性助剂（矿物油）含量为1%-3%，根据环评最不利原则，VOC含量取3%。符合《油墨中可挥发性有机化合物（VOCs）含</w:t>
                  </w:r>
                </w:p>
                <w:p>
                  <w:pPr>
                    <w:pStyle w:val="46"/>
                    <w:jc w:val="left"/>
                    <w:rPr>
                      <w:rFonts w:hint="default" w:ascii="Times New Roman" w:hAnsi="Times New Roman" w:eastAsia="宋体" w:cs="Times New Roman"/>
                    </w:rPr>
                  </w:pPr>
                  <w:r>
                    <w:rPr>
                      <w:rFonts w:hint="default" w:ascii="Times New Roman" w:hAnsi="Times New Roman" w:eastAsia="宋体" w:cs="Times New Roman"/>
                    </w:rPr>
                    <w:t>量的限值》（GB38507-2020）表 1 中胶印油墨“单张纸胶印油墨”挥发性有机化合物（VOCs）限值的要求，可判定为低VOCs含量物料。</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080" w:type="dxa"/>
                  <w:tcBorders>
                    <w:tl2br w:val="nil"/>
                    <w:tr2bl w:val="nil"/>
                  </w:tcBorders>
                  <w:vAlign w:val="center"/>
                </w:tcPr>
                <w:p>
                  <w:pPr>
                    <w:pStyle w:val="46"/>
                    <w:rPr>
                      <w:rFonts w:hint="default" w:ascii="Times New Roman" w:hAnsi="Times New Roman" w:eastAsia="宋体" w:cs="Times New Roman"/>
                    </w:rPr>
                  </w:pPr>
                  <w:r>
                    <w:rPr>
                      <w:rFonts w:hint="default" w:ascii="Times New Roman" w:hAnsi="Times New Roman" w:eastAsia="宋体" w:cs="Times New Roman"/>
                    </w:rPr>
                    <w:t>清洗剂</w:t>
                  </w:r>
                </w:p>
              </w:tc>
              <w:tc>
                <w:tcPr>
                  <w:tcW w:w="4111" w:type="dxa"/>
                  <w:tcBorders>
                    <w:tl2br w:val="nil"/>
                    <w:tr2bl w:val="nil"/>
                  </w:tcBorders>
                  <w:vAlign w:val="center"/>
                </w:tcPr>
                <w:p>
                  <w:pPr>
                    <w:pStyle w:val="46"/>
                    <w:jc w:val="left"/>
                    <w:rPr>
                      <w:rFonts w:hint="default" w:ascii="Times New Roman" w:hAnsi="Times New Roman" w:eastAsia="宋体" w:cs="Times New Roman"/>
                    </w:rPr>
                  </w:pPr>
                  <w:r>
                    <w:rPr>
                      <w:rFonts w:hint="default" w:ascii="Times New Roman" w:hAnsi="Times New Roman" w:eastAsia="宋体" w:cs="Times New Roman"/>
                    </w:rPr>
                    <w:t>主要成分是72%去离子水，8%白油，9.5%乳化剂，0.5%香精，具有很强的清洁油墨功能，无毒、无味、不易燃，存放安全。</w:t>
                  </w:r>
                </w:p>
              </w:tc>
              <w:tc>
                <w:tcPr>
                  <w:tcW w:w="3401" w:type="dxa"/>
                  <w:tcBorders>
                    <w:tl2br w:val="nil"/>
                    <w:tr2bl w:val="nil"/>
                  </w:tcBorders>
                  <w:vAlign w:val="center"/>
                </w:tcPr>
                <w:p>
                  <w:pPr>
                    <w:pStyle w:val="46"/>
                    <w:jc w:val="left"/>
                    <w:rPr>
                      <w:rFonts w:hint="default" w:ascii="Times New Roman" w:hAnsi="Times New Roman" w:eastAsia="宋体" w:cs="Times New Roman"/>
                    </w:rPr>
                  </w:pPr>
                  <w:r>
                    <w:rPr>
                      <w:rFonts w:hint="default" w:ascii="Times New Roman" w:hAnsi="Times New Roman" w:eastAsia="宋体" w:cs="Times New Roman"/>
                    </w:rPr>
                    <w:t>根据产品的MSDS报告及组成成分分析可知，项目所用清洗剂VOC含量约为10%；符合《清洗剂挥发性有机化合物含量限值》（GB38508-2020）中表 2 低VOCs 含量半水基清洗剂限值要求（≤100g/L），可判定为低VOCs含量物料。</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080"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免酒精润版液</w:t>
                  </w:r>
                </w:p>
              </w:tc>
              <w:tc>
                <w:tcPr>
                  <w:tcW w:w="4111" w:type="dxa"/>
                  <w:tcBorders>
                    <w:tl2br w:val="nil"/>
                    <w:tr2bl w:val="nil"/>
                  </w:tcBorders>
                  <w:vAlign w:val="center"/>
                </w:tcPr>
                <w:p>
                  <w:pPr>
                    <w:pStyle w:val="46"/>
                    <w:jc w:val="left"/>
                    <w:rPr>
                      <w:rFonts w:hint="default" w:ascii="Times New Roman" w:hAnsi="Times New Roman" w:eastAsia="宋体" w:cs="Times New Roman"/>
                      <w:color w:val="auto"/>
                    </w:rPr>
                  </w:pPr>
                  <w:r>
                    <w:rPr>
                      <w:rFonts w:hint="default" w:ascii="Times New Roman" w:hAnsi="Times New Roman" w:eastAsia="宋体" w:cs="Times New Roman"/>
                      <w:color w:val="auto"/>
                    </w:rPr>
                    <w:t>绿色或者土黄色液体，Ph值4.8-5.5，沸点100度，密度0.98，可溶于水，主要成分：水60%，柠檬酸15%，柠檬酸钠10%，甘油10%，其他5%。</w:t>
                  </w:r>
                </w:p>
              </w:tc>
              <w:tc>
                <w:tcPr>
                  <w:tcW w:w="3401" w:type="dxa"/>
                  <w:tcBorders>
                    <w:tl2br w:val="nil"/>
                    <w:tr2bl w:val="nil"/>
                  </w:tcBorders>
                  <w:vAlign w:val="center"/>
                </w:tcPr>
                <w:p>
                  <w:pPr>
                    <w:pStyle w:val="46"/>
                    <w:jc w:val="left"/>
                    <w:rPr>
                      <w:rFonts w:hint="default" w:ascii="Times New Roman" w:hAnsi="Times New Roman" w:eastAsia="宋体" w:cs="Times New Roman"/>
                      <w:color w:val="auto"/>
                    </w:rPr>
                  </w:pPr>
                  <w:r>
                    <w:rPr>
                      <w:rFonts w:hint="default" w:ascii="Times New Roman" w:hAnsi="Times New Roman" w:eastAsia="宋体" w:cs="Times New Roman"/>
                      <w:color w:val="auto"/>
                    </w:rPr>
                    <w:t>根据产品的MSDS报告及组成成分分析可知，项目所用免酒精润版液VOCs含量为0~5%，按环评最不利原则，本次评价按VOCs含量最大值5%计算。</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080"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淀粉粘合剂</w:t>
                  </w:r>
                </w:p>
              </w:tc>
              <w:tc>
                <w:tcPr>
                  <w:tcW w:w="4111" w:type="dxa"/>
                  <w:tcBorders>
                    <w:tl2br w:val="nil"/>
                    <w:tr2bl w:val="nil"/>
                  </w:tcBorders>
                  <w:vAlign w:val="center"/>
                </w:tcPr>
                <w:p>
                  <w:pPr>
                    <w:pStyle w:val="46"/>
                    <w:jc w:val="left"/>
                    <w:rPr>
                      <w:rFonts w:hint="default" w:ascii="Times New Roman" w:hAnsi="Times New Roman" w:eastAsia="宋体" w:cs="Times New Roman"/>
                      <w:color w:val="auto"/>
                    </w:rPr>
                  </w:pPr>
                  <w:r>
                    <w:rPr>
                      <w:rFonts w:hint="default" w:ascii="Times New Roman" w:hAnsi="Times New Roman" w:eastAsia="宋体" w:cs="Times New Roman"/>
                      <w:color w:val="auto"/>
                    </w:rPr>
                    <w:t>淀粉粘合剂是一种变性淀粉，其主要原料为玉米淀粉、次氯酸钠或双氧水、氢氧化钠、硫酸镍、硼砂、硫代硫酸钠、磷酸三丁酯、水等，淀粉粘合剂的粘结强度高、纸板挺度大、不吸潮变软、无腐蚀、无污染、使用成本低等优点</w:t>
                  </w:r>
                </w:p>
              </w:tc>
              <w:tc>
                <w:tcPr>
                  <w:tcW w:w="3401"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bl>
          <w:p>
            <w:pPr>
              <w:ind w:firstLine="482"/>
              <w:rPr>
                <w:rFonts w:hint="default" w:ascii="Times New Roman" w:hAnsi="Times New Roman" w:eastAsia="宋体" w:cs="Times New Roman"/>
                <w:b/>
                <w:bCs/>
              </w:rPr>
            </w:pPr>
            <w:r>
              <w:rPr>
                <w:rFonts w:hint="default" w:ascii="Times New Roman" w:hAnsi="Times New Roman" w:eastAsia="宋体" w:cs="Times New Roman"/>
                <w:b/>
                <w:bCs/>
              </w:rPr>
              <w:t>（4）主要生产设备</w:t>
            </w:r>
          </w:p>
          <w:p>
            <w:pPr>
              <w:pStyle w:val="45"/>
              <w:rPr>
                <w:rFonts w:hint="default" w:ascii="Times New Roman" w:hAnsi="Times New Roman" w:eastAsia="宋体" w:cs="Times New Roman"/>
                <w:b/>
                <w:bCs/>
              </w:rPr>
            </w:pPr>
            <w:r>
              <w:rPr>
                <w:rFonts w:hint="default" w:ascii="Times New Roman" w:hAnsi="Times New Roman" w:eastAsia="宋体" w:cs="Times New Roman"/>
                <w:b/>
                <w:bCs/>
              </w:rPr>
              <w:t>表1-4 项目主要生产设备一览表</w:t>
            </w:r>
          </w:p>
          <w:tbl>
            <w:tblPr>
              <w:tblStyle w:val="24"/>
              <w:tblW w:w="906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89"/>
              <w:gridCol w:w="2134"/>
              <w:gridCol w:w="1486"/>
              <w:gridCol w:w="2144"/>
              <w:gridCol w:w="18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489" w:type="dxa"/>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位置</w:t>
                  </w:r>
                </w:p>
              </w:tc>
              <w:tc>
                <w:tcPr>
                  <w:tcW w:w="2134" w:type="dxa"/>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设备名称</w:t>
                  </w:r>
                </w:p>
              </w:tc>
              <w:tc>
                <w:tcPr>
                  <w:tcW w:w="1486" w:type="dxa"/>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单位</w:t>
                  </w:r>
                </w:p>
              </w:tc>
              <w:tc>
                <w:tcPr>
                  <w:tcW w:w="2144" w:type="dxa"/>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数量</w:t>
                  </w:r>
                </w:p>
              </w:tc>
              <w:tc>
                <w:tcPr>
                  <w:tcW w:w="1815" w:type="dxa"/>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功能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1489" w:type="dxa"/>
                  <w:vMerge w:val="restar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生产车间</w:t>
                  </w:r>
                </w:p>
              </w:tc>
              <w:tc>
                <w:tcPr>
                  <w:tcW w:w="2134"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模切机</w:t>
                  </w:r>
                </w:p>
              </w:tc>
              <w:tc>
                <w:tcPr>
                  <w:tcW w:w="1486"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2144"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1815"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裁切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1489" w:type="dxa"/>
                  <w:vMerge w:val="continue"/>
                  <w:tcBorders>
                    <w:tl2br w:val="nil"/>
                    <w:tr2bl w:val="nil"/>
                  </w:tcBorders>
                  <w:shd w:val="clear" w:color="auto" w:fill="auto"/>
                  <w:vAlign w:val="center"/>
                </w:tcPr>
                <w:p>
                  <w:pPr>
                    <w:pStyle w:val="46"/>
                    <w:rPr>
                      <w:rFonts w:hint="default" w:ascii="Times New Roman" w:hAnsi="Times New Roman" w:eastAsia="宋体" w:cs="Times New Roman"/>
                      <w:color w:val="auto"/>
                    </w:rPr>
                  </w:pPr>
                </w:p>
              </w:tc>
              <w:tc>
                <w:tcPr>
                  <w:tcW w:w="2134"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打钉机</w:t>
                  </w:r>
                </w:p>
              </w:tc>
              <w:tc>
                <w:tcPr>
                  <w:tcW w:w="1486"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2144"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1815"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打钉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1489" w:type="dxa"/>
                  <w:vMerge w:val="continue"/>
                  <w:tcBorders>
                    <w:tl2br w:val="nil"/>
                    <w:tr2bl w:val="nil"/>
                  </w:tcBorders>
                  <w:shd w:val="clear" w:color="auto" w:fill="auto"/>
                  <w:vAlign w:val="center"/>
                </w:tcPr>
                <w:p>
                  <w:pPr>
                    <w:pStyle w:val="46"/>
                    <w:rPr>
                      <w:rFonts w:hint="default" w:ascii="Times New Roman" w:hAnsi="Times New Roman" w:eastAsia="宋体" w:cs="Times New Roman"/>
                      <w:color w:val="auto"/>
                    </w:rPr>
                  </w:pPr>
                </w:p>
              </w:tc>
              <w:tc>
                <w:tcPr>
                  <w:tcW w:w="2134"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表格印刷机</w:t>
                  </w:r>
                </w:p>
              </w:tc>
              <w:tc>
                <w:tcPr>
                  <w:tcW w:w="1486"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2144"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1815"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印刷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1489" w:type="dxa"/>
                  <w:vMerge w:val="continue"/>
                  <w:tcBorders>
                    <w:tl2br w:val="nil"/>
                    <w:tr2bl w:val="nil"/>
                  </w:tcBorders>
                  <w:shd w:val="clear" w:color="auto" w:fill="auto"/>
                  <w:vAlign w:val="center"/>
                </w:tcPr>
                <w:p>
                  <w:pPr>
                    <w:pStyle w:val="46"/>
                    <w:rPr>
                      <w:rFonts w:hint="default" w:ascii="Times New Roman" w:hAnsi="Times New Roman" w:eastAsia="宋体" w:cs="Times New Roman"/>
                      <w:color w:val="auto"/>
                    </w:rPr>
                  </w:pPr>
                </w:p>
              </w:tc>
              <w:tc>
                <w:tcPr>
                  <w:tcW w:w="2134"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双色胶印机</w:t>
                  </w:r>
                </w:p>
              </w:tc>
              <w:tc>
                <w:tcPr>
                  <w:tcW w:w="1486"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2144"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1815"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印刷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1489" w:type="dxa"/>
                  <w:vMerge w:val="continue"/>
                  <w:tcBorders>
                    <w:tl2br w:val="nil"/>
                    <w:tr2bl w:val="nil"/>
                  </w:tcBorders>
                  <w:shd w:val="clear" w:color="auto" w:fill="auto"/>
                  <w:vAlign w:val="center"/>
                </w:tcPr>
                <w:p>
                  <w:pPr>
                    <w:pStyle w:val="46"/>
                    <w:rPr>
                      <w:rFonts w:hint="default" w:ascii="Times New Roman" w:hAnsi="Times New Roman" w:eastAsia="宋体" w:cs="Times New Roman"/>
                      <w:color w:val="auto"/>
                    </w:rPr>
                  </w:pPr>
                </w:p>
              </w:tc>
              <w:tc>
                <w:tcPr>
                  <w:tcW w:w="2134"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小商标印刷机</w:t>
                  </w:r>
                </w:p>
              </w:tc>
              <w:tc>
                <w:tcPr>
                  <w:tcW w:w="1486"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2144"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1815"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印刷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1489" w:type="dxa"/>
                  <w:vMerge w:val="continue"/>
                  <w:tcBorders>
                    <w:tl2br w:val="nil"/>
                    <w:tr2bl w:val="nil"/>
                  </w:tcBorders>
                  <w:shd w:val="clear" w:color="auto" w:fill="auto"/>
                  <w:vAlign w:val="center"/>
                </w:tcPr>
                <w:p>
                  <w:pPr>
                    <w:pStyle w:val="46"/>
                    <w:rPr>
                      <w:rFonts w:hint="default" w:ascii="Times New Roman" w:hAnsi="Times New Roman" w:eastAsia="宋体" w:cs="Times New Roman"/>
                      <w:color w:val="auto"/>
                    </w:rPr>
                  </w:pPr>
                </w:p>
              </w:tc>
              <w:tc>
                <w:tcPr>
                  <w:tcW w:w="2134"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切纸机</w:t>
                  </w:r>
                </w:p>
              </w:tc>
              <w:tc>
                <w:tcPr>
                  <w:tcW w:w="1486"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2144"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1815"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切纸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1489" w:type="dxa"/>
                  <w:vMerge w:val="continue"/>
                  <w:tcBorders>
                    <w:tl2br w:val="nil"/>
                    <w:tr2bl w:val="nil"/>
                  </w:tcBorders>
                  <w:shd w:val="clear" w:color="auto" w:fill="auto"/>
                  <w:vAlign w:val="center"/>
                </w:tcPr>
                <w:p>
                  <w:pPr>
                    <w:pStyle w:val="46"/>
                    <w:rPr>
                      <w:rFonts w:hint="default" w:ascii="Times New Roman" w:hAnsi="Times New Roman" w:eastAsia="宋体" w:cs="Times New Roman"/>
                      <w:color w:val="auto"/>
                    </w:rPr>
                  </w:pPr>
                </w:p>
              </w:tc>
              <w:tc>
                <w:tcPr>
                  <w:tcW w:w="2134"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四色胶印机</w:t>
                  </w:r>
                </w:p>
              </w:tc>
              <w:tc>
                <w:tcPr>
                  <w:tcW w:w="1486"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2144"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1815"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印刷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489" w:type="dxa"/>
                  <w:vMerge w:val="continue"/>
                  <w:tcBorders>
                    <w:tl2br w:val="nil"/>
                    <w:tr2bl w:val="nil"/>
                  </w:tcBorders>
                  <w:shd w:val="clear" w:color="auto" w:fill="auto"/>
                  <w:vAlign w:val="center"/>
                </w:tcPr>
                <w:p>
                  <w:pPr>
                    <w:pStyle w:val="46"/>
                    <w:rPr>
                      <w:rFonts w:hint="default" w:ascii="Times New Roman" w:hAnsi="Times New Roman" w:eastAsia="宋体" w:cs="Times New Roman"/>
                      <w:color w:val="auto"/>
                    </w:rPr>
                  </w:pPr>
                </w:p>
              </w:tc>
              <w:tc>
                <w:tcPr>
                  <w:tcW w:w="2134"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啤机</w:t>
                  </w:r>
                </w:p>
              </w:tc>
              <w:tc>
                <w:tcPr>
                  <w:tcW w:w="1486"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2144"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1815"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打孔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489" w:type="dxa"/>
                  <w:vMerge w:val="continue"/>
                  <w:tcBorders>
                    <w:tl2br w:val="nil"/>
                    <w:tr2bl w:val="nil"/>
                  </w:tcBorders>
                  <w:shd w:val="clear" w:color="auto" w:fill="auto"/>
                  <w:vAlign w:val="center"/>
                </w:tcPr>
                <w:p>
                  <w:pPr>
                    <w:pStyle w:val="46"/>
                    <w:rPr>
                      <w:rFonts w:hint="default" w:ascii="Times New Roman" w:hAnsi="Times New Roman" w:eastAsia="宋体" w:cs="Times New Roman"/>
                      <w:color w:val="auto"/>
                    </w:rPr>
                  </w:pPr>
                </w:p>
              </w:tc>
              <w:tc>
                <w:tcPr>
                  <w:tcW w:w="2134"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粘合机</w:t>
                  </w:r>
                </w:p>
              </w:tc>
              <w:tc>
                <w:tcPr>
                  <w:tcW w:w="1486"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2144"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1815"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裱纸</w:t>
                  </w:r>
                </w:p>
              </w:tc>
            </w:tr>
          </w:tbl>
          <w:p>
            <w:pPr>
              <w:ind w:firstLine="482"/>
              <w:rPr>
                <w:rFonts w:hint="default" w:ascii="Times New Roman" w:hAnsi="Times New Roman" w:eastAsia="宋体" w:cs="Times New Roman"/>
                <w:b/>
                <w:bCs/>
              </w:rPr>
            </w:pPr>
            <w:r>
              <w:rPr>
                <w:rFonts w:hint="default" w:ascii="Times New Roman" w:hAnsi="Times New Roman" w:eastAsia="宋体" w:cs="Times New Roman"/>
                <w:b/>
                <w:bCs/>
              </w:rPr>
              <w:t>（5）建筑物情况</w:t>
            </w:r>
          </w:p>
          <w:p>
            <w:pPr>
              <w:pStyle w:val="28"/>
              <w:spacing w:line="240" w:lineRule="auto"/>
              <w:rPr>
                <w:rFonts w:hint="default" w:ascii="Times New Roman" w:hAnsi="Times New Roman" w:eastAsia="宋体" w:cs="Times New Roman"/>
              </w:rPr>
            </w:pPr>
            <w:r>
              <w:rPr>
                <w:rFonts w:hint="default" w:ascii="Times New Roman" w:hAnsi="Times New Roman" w:eastAsia="宋体" w:cs="Times New Roman"/>
              </w:rPr>
              <w:t>本项目租赁1栋2层厂房作为生产及办公区域，项目总建筑高度约</w:t>
            </w:r>
            <w:r>
              <w:rPr>
                <w:rFonts w:hint="default" w:ascii="Times New Roman" w:hAnsi="Times New Roman" w:eastAsia="宋体" w:cs="Times New Roman"/>
                <w:lang w:val="en-US" w:eastAsia="zh-CN"/>
              </w:rPr>
              <w:t>10</w:t>
            </w:r>
            <w:r>
              <w:rPr>
                <w:rFonts w:hint="default" w:ascii="Times New Roman" w:hAnsi="Times New Roman" w:eastAsia="宋体" w:cs="Times New Roman"/>
              </w:rPr>
              <w:t>m，具体见下表：</w:t>
            </w:r>
          </w:p>
          <w:p>
            <w:pPr>
              <w:pStyle w:val="45"/>
              <w:rPr>
                <w:rFonts w:hint="default" w:ascii="Times New Roman" w:hAnsi="Times New Roman" w:eastAsia="宋体" w:cs="Times New Roman"/>
                <w:b/>
                <w:bCs/>
              </w:rPr>
            </w:pPr>
            <w:r>
              <w:rPr>
                <w:rFonts w:hint="default" w:ascii="Times New Roman" w:hAnsi="Times New Roman" w:eastAsia="宋体" w:cs="Times New Roman"/>
                <w:b/>
                <w:bCs/>
              </w:rPr>
              <w:t>表1-5 项目建筑物情况</w:t>
            </w:r>
          </w:p>
          <w:tbl>
            <w:tblPr>
              <w:tblStyle w:val="23"/>
              <w:tblW w:w="8360"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688"/>
              <w:gridCol w:w="1490"/>
              <w:gridCol w:w="1723"/>
              <w:gridCol w:w="1629"/>
              <w:gridCol w:w="2830"/>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688" w:type="dxa"/>
                  <w:tcBorders>
                    <w:tl2br w:val="nil"/>
                    <w:tr2bl w:val="nil"/>
                  </w:tcBorders>
                  <w:shd w:val="clear" w:color="auto" w:fill="auto"/>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序号</w:t>
                  </w:r>
                </w:p>
              </w:tc>
              <w:tc>
                <w:tcPr>
                  <w:tcW w:w="1490" w:type="dxa"/>
                  <w:tcBorders>
                    <w:tl2br w:val="nil"/>
                    <w:tr2bl w:val="nil"/>
                  </w:tcBorders>
                  <w:shd w:val="clear" w:color="auto" w:fill="auto"/>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建筑物名称</w:t>
                  </w:r>
                </w:p>
              </w:tc>
              <w:tc>
                <w:tcPr>
                  <w:tcW w:w="1723" w:type="dxa"/>
                  <w:tcBorders>
                    <w:tl2br w:val="nil"/>
                    <w:tr2bl w:val="nil"/>
                  </w:tcBorders>
                  <w:shd w:val="clear" w:color="auto" w:fill="auto"/>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占地面积（m²）</w:t>
                  </w:r>
                </w:p>
              </w:tc>
              <w:tc>
                <w:tcPr>
                  <w:tcW w:w="1629" w:type="dxa"/>
                  <w:tcBorders>
                    <w:tl2br w:val="nil"/>
                    <w:tr2bl w:val="nil"/>
                  </w:tcBorders>
                  <w:shd w:val="clear" w:color="auto" w:fill="auto"/>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建筑面积（m²）</w:t>
                  </w:r>
                </w:p>
              </w:tc>
              <w:tc>
                <w:tcPr>
                  <w:tcW w:w="2830" w:type="dxa"/>
                  <w:tcBorders>
                    <w:tl2br w:val="nil"/>
                    <w:tr2bl w:val="nil"/>
                  </w:tcBorders>
                  <w:shd w:val="clear" w:color="auto" w:fill="auto"/>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使用功能</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4" w:hRule="atLeast"/>
                <w:jc w:val="center"/>
              </w:trPr>
              <w:tc>
                <w:tcPr>
                  <w:tcW w:w="688" w:type="dxa"/>
                  <w:tcBorders>
                    <w:tl2br w:val="nil"/>
                    <w:tr2bl w:val="nil"/>
                  </w:tcBorders>
                  <w:shd w:val="clear" w:color="auto" w:fill="auto"/>
                  <w:vAlign w:val="center"/>
                </w:tcPr>
                <w:p>
                  <w:pPr>
                    <w:pStyle w:val="46"/>
                    <w:rPr>
                      <w:rFonts w:hint="default" w:ascii="Times New Roman" w:hAnsi="Times New Roman" w:eastAsia="宋体" w:cs="Times New Roman"/>
                    </w:rPr>
                  </w:pPr>
                  <w:r>
                    <w:rPr>
                      <w:rFonts w:hint="default" w:ascii="Times New Roman" w:hAnsi="Times New Roman" w:eastAsia="宋体" w:cs="Times New Roman"/>
                    </w:rPr>
                    <w:t>1</w:t>
                  </w:r>
                </w:p>
              </w:tc>
              <w:tc>
                <w:tcPr>
                  <w:tcW w:w="1490" w:type="dxa"/>
                  <w:tcBorders>
                    <w:tl2br w:val="nil"/>
                    <w:tr2bl w:val="nil"/>
                  </w:tcBorders>
                  <w:shd w:val="clear" w:color="auto" w:fill="auto"/>
                  <w:vAlign w:val="center"/>
                </w:tcPr>
                <w:p>
                  <w:pPr>
                    <w:pStyle w:val="46"/>
                    <w:rPr>
                      <w:rFonts w:hint="default" w:ascii="Times New Roman" w:hAnsi="Times New Roman" w:eastAsia="宋体" w:cs="Times New Roman"/>
                    </w:rPr>
                  </w:pPr>
                  <w:r>
                    <w:rPr>
                      <w:rFonts w:hint="default" w:ascii="Times New Roman" w:hAnsi="Times New Roman" w:eastAsia="宋体" w:cs="Times New Roman"/>
                    </w:rPr>
                    <w:t>1F/生产车间</w:t>
                  </w:r>
                </w:p>
              </w:tc>
              <w:tc>
                <w:tcPr>
                  <w:tcW w:w="1723" w:type="dxa"/>
                  <w:tcBorders>
                    <w:tl2br w:val="nil"/>
                    <w:tr2bl w:val="nil"/>
                  </w:tcBorders>
                  <w:shd w:val="clear" w:color="auto" w:fill="auto"/>
                  <w:vAlign w:val="center"/>
                </w:tcPr>
                <w:p>
                  <w:pPr>
                    <w:pStyle w:val="46"/>
                    <w:rPr>
                      <w:rFonts w:hint="default" w:ascii="Times New Roman" w:hAnsi="Times New Roman" w:eastAsia="宋体" w:cs="Times New Roman"/>
                    </w:rPr>
                  </w:pPr>
                  <w:r>
                    <w:rPr>
                      <w:rFonts w:hint="default" w:ascii="Times New Roman" w:hAnsi="Times New Roman" w:eastAsia="宋体" w:cs="Times New Roman"/>
                    </w:rPr>
                    <w:t>247.8</w:t>
                  </w:r>
                </w:p>
              </w:tc>
              <w:tc>
                <w:tcPr>
                  <w:tcW w:w="1629" w:type="dxa"/>
                  <w:tcBorders>
                    <w:tl2br w:val="nil"/>
                    <w:tr2bl w:val="nil"/>
                  </w:tcBorders>
                  <w:shd w:val="clear" w:color="auto" w:fill="auto"/>
                  <w:vAlign w:val="center"/>
                </w:tcPr>
                <w:p>
                  <w:pPr>
                    <w:pStyle w:val="46"/>
                    <w:rPr>
                      <w:rFonts w:hint="default" w:ascii="Times New Roman" w:hAnsi="Times New Roman" w:eastAsia="宋体" w:cs="Times New Roman"/>
                    </w:rPr>
                  </w:pPr>
                  <w:r>
                    <w:rPr>
                      <w:rFonts w:hint="default" w:ascii="Times New Roman" w:hAnsi="Times New Roman" w:eastAsia="宋体" w:cs="Times New Roman"/>
                    </w:rPr>
                    <w:t>247.8</w:t>
                  </w:r>
                </w:p>
              </w:tc>
              <w:tc>
                <w:tcPr>
                  <w:tcW w:w="2830" w:type="dxa"/>
                  <w:tcBorders>
                    <w:tl2br w:val="nil"/>
                    <w:tr2bl w:val="nil"/>
                  </w:tcBorders>
                  <w:shd w:val="clear" w:color="auto" w:fill="auto"/>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印刷、模切、装订、</w:t>
                  </w:r>
                  <w:r>
                    <w:rPr>
                      <w:rFonts w:hint="default" w:ascii="Times New Roman" w:hAnsi="Times New Roman" w:eastAsia="宋体" w:cs="Times New Roman"/>
                      <w:lang w:val="en-US" w:eastAsia="zh-CN"/>
                    </w:rPr>
                    <w:t>裱纸、</w:t>
                  </w:r>
                  <w:r>
                    <w:rPr>
                      <w:rFonts w:hint="default" w:ascii="Times New Roman" w:hAnsi="Times New Roman" w:eastAsia="宋体" w:cs="Times New Roman"/>
                    </w:rPr>
                    <w:t>仓库等</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4" w:hRule="atLeast"/>
                <w:jc w:val="center"/>
              </w:trPr>
              <w:tc>
                <w:tcPr>
                  <w:tcW w:w="688" w:type="dxa"/>
                  <w:tcBorders>
                    <w:tl2br w:val="nil"/>
                    <w:tr2bl w:val="nil"/>
                  </w:tcBorders>
                  <w:shd w:val="clear" w:color="auto" w:fill="auto"/>
                  <w:vAlign w:val="center"/>
                </w:tcPr>
                <w:p>
                  <w:pPr>
                    <w:pStyle w:val="46"/>
                    <w:rPr>
                      <w:rFonts w:hint="default" w:ascii="Times New Roman" w:hAnsi="Times New Roman" w:eastAsia="宋体" w:cs="Times New Roman"/>
                    </w:rPr>
                  </w:pPr>
                  <w:r>
                    <w:rPr>
                      <w:rFonts w:hint="default" w:ascii="Times New Roman" w:hAnsi="Times New Roman" w:eastAsia="宋体" w:cs="Times New Roman"/>
                    </w:rPr>
                    <w:t>2</w:t>
                  </w:r>
                </w:p>
              </w:tc>
              <w:tc>
                <w:tcPr>
                  <w:tcW w:w="1490" w:type="dxa"/>
                  <w:tcBorders>
                    <w:tl2br w:val="nil"/>
                    <w:tr2bl w:val="nil"/>
                  </w:tcBorders>
                  <w:shd w:val="clear" w:color="auto" w:fill="auto"/>
                  <w:vAlign w:val="center"/>
                </w:tcPr>
                <w:p>
                  <w:pPr>
                    <w:pStyle w:val="46"/>
                    <w:rPr>
                      <w:rFonts w:hint="default" w:ascii="Times New Roman" w:hAnsi="Times New Roman" w:eastAsia="宋体" w:cs="Times New Roman"/>
                    </w:rPr>
                  </w:pPr>
                  <w:r>
                    <w:rPr>
                      <w:rFonts w:hint="default" w:ascii="Times New Roman" w:hAnsi="Times New Roman" w:eastAsia="宋体" w:cs="Times New Roman"/>
                    </w:rPr>
                    <w:t>2F/办公室</w:t>
                  </w:r>
                </w:p>
              </w:tc>
              <w:tc>
                <w:tcPr>
                  <w:tcW w:w="1723" w:type="dxa"/>
                  <w:tcBorders>
                    <w:tl2br w:val="nil"/>
                    <w:tr2bl w:val="nil"/>
                  </w:tcBorders>
                  <w:shd w:val="clear" w:color="auto" w:fill="auto"/>
                  <w:vAlign w:val="center"/>
                </w:tcPr>
                <w:p>
                  <w:pPr>
                    <w:pStyle w:val="46"/>
                    <w:rPr>
                      <w:rFonts w:hint="default" w:ascii="Times New Roman" w:hAnsi="Times New Roman" w:eastAsia="宋体" w:cs="Times New Roman"/>
                    </w:rPr>
                  </w:pPr>
                  <w:r>
                    <w:rPr>
                      <w:rFonts w:hint="default" w:ascii="Times New Roman" w:hAnsi="Times New Roman" w:eastAsia="宋体" w:cs="Times New Roman"/>
                    </w:rPr>
                    <w:t>0</w:t>
                  </w:r>
                </w:p>
              </w:tc>
              <w:tc>
                <w:tcPr>
                  <w:tcW w:w="1629" w:type="dxa"/>
                  <w:tcBorders>
                    <w:tl2br w:val="nil"/>
                    <w:tr2bl w:val="nil"/>
                  </w:tcBorders>
                  <w:shd w:val="clear" w:color="auto" w:fill="auto"/>
                  <w:vAlign w:val="center"/>
                </w:tcPr>
                <w:p>
                  <w:pPr>
                    <w:pStyle w:val="46"/>
                    <w:rPr>
                      <w:rFonts w:hint="default" w:ascii="Times New Roman" w:hAnsi="Times New Roman" w:eastAsia="宋体" w:cs="Times New Roman"/>
                    </w:rPr>
                  </w:pPr>
                  <w:r>
                    <w:rPr>
                      <w:rFonts w:hint="default" w:ascii="Times New Roman" w:hAnsi="Times New Roman" w:eastAsia="宋体" w:cs="Times New Roman"/>
                    </w:rPr>
                    <w:t>80</w:t>
                  </w:r>
                </w:p>
              </w:tc>
              <w:tc>
                <w:tcPr>
                  <w:tcW w:w="2830" w:type="dxa"/>
                  <w:tcBorders>
                    <w:tl2br w:val="nil"/>
                    <w:tr2bl w:val="nil"/>
                  </w:tcBorders>
                  <w:shd w:val="clear" w:color="auto" w:fill="auto"/>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办公</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53" w:hRule="atLeast"/>
                <w:jc w:val="center"/>
              </w:trPr>
              <w:tc>
                <w:tcPr>
                  <w:tcW w:w="2178" w:type="dxa"/>
                  <w:gridSpan w:val="2"/>
                  <w:tcBorders>
                    <w:tl2br w:val="nil"/>
                    <w:tr2bl w:val="nil"/>
                  </w:tcBorders>
                  <w:shd w:val="clear" w:color="auto" w:fill="auto"/>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合计</w:t>
                  </w:r>
                </w:p>
              </w:tc>
              <w:tc>
                <w:tcPr>
                  <w:tcW w:w="1723" w:type="dxa"/>
                  <w:tcBorders>
                    <w:tl2br w:val="nil"/>
                    <w:tr2bl w:val="nil"/>
                  </w:tcBorders>
                  <w:shd w:val="clear" w:color="auto" w:fill="auto"/>
                  <w:vAlign w:val="center"/>
                </w:tcPr>
                <w:p>
                  <w:pPr>
                    <w:pStyle w:val="46"/>
                    <w:rPr>
                      <w:rFonts w:hint="default" w:ascii="Times New Roman" w:hAnsi="Times New Roman" w:eastAsia="宋体" w:cs="Times New Roman"/>
                    </w:rPr>
                  </w:pPr>
                  <w:r>
                    <w:rPr>
                      <w:rFonts w:hint="default" w:ascii="Times New Roman" w:hAnsi="Times New Roman" w:eastAsia="宋体" w:cs="Times New Roman"/>
                    </w:rPr>
                    <w:t>247.8</w:t>
                  </w:r>
                </w:p>
              </w:tc>
              <w:tc>
                <w:tcPr>
                  <w:tcW w:w="1629" w:type="dxa"/>
                  <w:tcBorders>
                    <w:tl2br w:val="nil"/>
                    <w:tr2bl w:val="nil"/>
                  </w:tcBorders>
                  <w:shd w:val="clear" w:color="auto" w:fill="auto"/>
                  <w:vAlign w:val="center"/>
                </w:tcPr>
                <w:p>
                  <w:pPr>
                    <w:pStyle w:val="46"/>
                    <w:rPr>
                      <w:rFonts w:hint="default" w:ascii="Times New Roman" w:hAnsi="Times New Roman" w:eastAsia="宋体" w:cs="Times New Roman"/>
                    </w:rPr>
                  </w:pPr>
                  <w:r>
                    <w:rPr>
                      <w:rFonts w:hint="default" w:ascii="Times New Roman" w:hAnsi="Times New Roman" w:eastAsia="宋体" w:cs="Times New Roman"/>
                    </w:rPr>
                    <w:t>327.8</w:t>
                  </w:r>
                </w:p>
              </w:tc>
              <w:tc>
                <w:tcPr>
                  <w:tcW w:w="2830" w:type="dxa"/>
                  <w:tcBorders>
                    <w:tl2br w:val="nil"/>
                    <w:tr2bl w:val="nil"/>
                  </w:tcBorders>
                  <w:shd w:val="clear" w:color="auto" w:fill="auto"/>
                  <w:vAlign w:val="center"/>
                </w:tcPr>
                <w:p>
                  <w:pPr>
                    <w:pStyle w:val="46"/>
                    <w:rPr>
                      <w:rFonts w:hint="default" w:ascii="Times New Roman" w:hAnsi="Times New Roman" w:eastAsia="宋体" w:cs="Times New Roman"/>
                    </w:rPr>
                  </w:pPr>
                  <w:r>
                    <w:rPr>
                      <w:rFonts w:hint="default" w:ascii="Times New Roman" w:hAnsi="Times New Roman" w:eastAsia="宋体" w:cs="Times New Roman"/>
                    </w:rPr>
                    <w:t>——</w:t>
                  </w:r>
                </w:p>
              </w:tc>
            </w:tr>
          </w:tbl>
          <w:p>
            <w:pPr>
              <w:ind w:firstLine="482"/>
              <w:rPr>
                <w:rFonts w:hint="default" w:ascii="Times New Roman" w:hAnsi="Times New Roman" w:eastAsia="宋体" w:cs="Times New Roman"/>
                <w:b/>
                <w:bCs/>
              </w:rPr>
            </w:pPr>
            <w:r>
              <w:rPr>
                <w:rFonts w:hint="default" w:ascii="Times New Roman" w:hAnsi="Times New Roman" w:eastAsia="宋体" w:cs="Times New Roman"/>
                <w:b/>
                <w:bCs/>
              </w:rPr>
              <w:t>（6）市政工程</w:t>
            </w:r>
          </w:p>
          <w:p>
            <w:pPr>
              <w:ind w:firstLine="480"/>
              <w:rPr>
                <w:rFonts w:hint="default" w:ascii="Times New Roman" w:hAnsi="Times New Roman" w:eastAsia="宋体" w:cs="Times New Roman"/>
              </w:rPr>
            </w:pPr>
            <w:r>
              <w:rPr>
                <w:rFonts w:hint="default" w:ascii="Times New Roman" w:hAnsi="Times New Roman" w:eastAsia="宋体" w:cs="Times New Roman"/>
              </w:rPr>
              <w:t>供电：项目采用市政供电，用电量约20万kw·h/a，本项目不设置备用柴油发电机。</w:t>
            </w:r>
          </w:p>
          <w:p>
            <w:pPr>
              <w:ind w:firstLine="480"/>
              <w:rPr>
                <w:rFonts w:hint="default" w:ascii="Times New Roman" w:hAnsi="Times New Roman" w:eastAsia="宋体" w:cs="Times New Roman"/>
              </w:rPr>
            </w:pPr>
            <w:r>
              <w:rPr>
                <w:rFonts w:hint="default" w:ascii="Times New Roman" w:hAnsi="Times New Roman" w:eastAsia="宋体" w:cs="Times New Roman"/>
              </w:rPr>
              <w:t>给水：项目用水由市政给水管道直接供水，主要用水为员工生活用水和清洗剂稀释用水，其中员工生活用水量为72t/a，清洗剂稀释用水量为0.1t/a，总用水量为72.1t/a。</w:t>
            </w:r>
          </w:p>
          <w:p>
            <w:pPr>
              <w:ind w:firstLine="480"/>
              <w:rPr>
                <w:rFonts w:hint="default" w:ascii="Times New Roman" w:hAnsi="Times New Roman" w:eastAsia="宋体" w:cs="Times New Roman"/>
              </w:rPr>
            </w:pPr>
            <w:r>
              <w:rPr>
                <w:rFonts w:hint="default" w:ascii="Times New Roman" w:hAnsi="Times New Roman" w:eastAsia="宋体" w:cs="Times New Roman"/>
              </w:rPr>
              <w:t>排水：本项目所在区域尚未覆盖市政污水官网，项目生活污水经三级化粪池沤肥处理后委托农户定期清运，用于农田灌溉；清洁剂稀释用水在使用过程中自然挥发，因此本项目无废水外排。</w:t>
            </w:r>
          </w:p>
          <w:p>
            <w:pPr>
              <w:ind w:firstLine="480"/>
              <w:rPr>
                <w:rFonts w:hint="default" w:ascii="Times New Roman" w:hAnsi="Times New Roman" w:eastAsia="宋体" w:cs="Times New Roman"/>
              </w:rPr>
            </w:pPr>
            <w:r>
              <w:rPr>
                <w:rFonts w:hint="default" w:ascii="Times New Roman" w:hAnsi="Times New Roman" w:eastAsia="宋体" w:cs="Times New Roman"/>
              </w:rPr>
              <w:t>本项目用水平衡见图1-1。</w:t>
            </w:r>
          </w:p>
          <w:p>
            <w:pPr>
              <w:pStyle w:val="2"/>
              <w:numPr>
                <w:ilvl w:val="2"/>
                <w:numId w:val="0"/>
              </w:numPr>
              <w:spacing w:before="166" w:after="166"/>
              <w:jc w:val="center"/>
              <w:rPr>
                <w:rFonts w:hint="default" w:ascii="Times New Roman" w:hAnsi="Times New Roman" w:eastAsia="宋体" w:cs="Times New Roman"/>
              </w:rPr>
            </w:pPr>
            <w:r>
              <w:rPr>
                <w:rFonts w:hint="default" w:ascii="Times New Roman" w:hAnsi="Times New Roman" w:eastAsia="宋体" w:cs="Times New Roman"/>
              </w:rPr>
              <w:object>
                <v:shape id="_x0000_i1025" o:spt="75" type="#_x0000_t75" style="height:194.85pt;width:346.35pt;" o:ole="t" filled="f" o:preferrelative="t" stroked="f" coordsize="21600,21600">
                  <v:path/>
                  <v:fill on="f" focussize="0,0"/>
                  <v:stroke on="f"/>
                  <v:imagedata r:id="rId16" o:title=""/>
                  <o:lock v:ext="edit" aspectratio="f"/>
                  <w10:wrap type="none"/>
                  <w10:anchorlock/>
                </v:shape>
                <o:OLEObject Type="Embed" ProgID="Visio.Drawing.11" ShapeID="_x0000_i1025" DrawAspect="Content" ObjectID="_1468075725" r:id="rId15">
                  <o:LockedField>false</o:LockedField>
                </o:OLEObject>
              </w:object>
            </w:r>
          </w:p>
          <w:p>
            <w:pPr>
              <w:pStyle w:val="2"/>
              <w:numPr>
                <w:ilvl w:val="2"/>
                <w:numId w:val="0"/>
              </w:numPr>
              <w:spacing w:before="166" w:after="166"/>
              <w:jc w:val="center"/>
              <w:rPr>
                <w:rFonts w:hint="default" w:ascii="Times New Roman" w:hAnsi="Times New Roman" w:eastAsia="宋体" w:cs="Times New Roman"/>
                <w:lang w:val="en-US"/>
              </w:rPr>
            </w:pPr>
            <w:r>
              <w:rPr>
                <w:rFonts w:hint="default" w:ascii="Times New Roman" w:hAnsi="Times New Roman" w:eastAsia="宋体" w:cs="Times New Roman"/>
                <w:lang w:val="en-US"/>
              </w:rPr>
              <w:t>图1-1 项目用水平衡图</w:t>
            </w:r>
          </w:p>
          <w:p>
            <w:pPr>
              <w:ind w:firstLine="482"/>
              <w:rPr>
                <w:rFonts w:hint="default" w:ascii="Times New Roman" w:hAnsi="Times New Roman" w:eastAsia="宋体" w:cs="Times New Roman"/>
                <w:b/>
                <w:bCs/>
              </w:rPr>
            </w:pPr>
            <w:r>
              <w:rPr>
                <w:rFonts w:hint="default" w:ascii="Times New Roman" w:hAnsi="Times New Roman" w:eastAsia="宋体" w:cs="Times New Roman"/>
                <w:b/>
                <w:bCs/>
              </w:rPr>
              <w:t>（7）产业政策及选址可行性分析</w:t>
            </w:r>
          </w:p>
          <w:p>
            <w:pPr>
              <w:numPr>
                <w:ilvl w:val="0"/>
                <w:numId w:val="8"/>
              </w:numPr>
              <w:adjustRightInd w:val="0"/>
              <w:snapToGrid w:val="0"/>
              <w:ind w:left="840" w:firstLineChars="0"/>
              <w:rPr>
                <w:rFonts w:hint="default" w:ascii="Times New Roman" w:hAnsi="Times New Roman" w:eastAsia="宋体" w:cs="Times New Roman"/>
              </w:rPr>
            </w:pPr>
            <w:r>
              <w:rPr>
                <w:rFonts w:hint="default" w:ascii="Times New Roman" w:hAnsi="Times New Roman" w:eastAsia="宋体" w:cs="Times New Roman"/>
              </w:rPr>
              <w:t>用地规划相符性分析</w:t>
            </w:r>
          </w:p>
          <w:p>
            <w:pPr>
              <w:ind w:firstLine="480"/>
              <w:rPr>
                <w:rFonts w:hint="default" w:ascii="Times New Roman" w:hAnsi="Times New Roman" w:eastAsia="宋体" w:cs="Times New Roman"/>
              </w:rPr>
            </w:pPr>
            <w:r>
              <w:rPr>
                <w:rFonts w:hint="default" w:ascii="Times New Roman" w:hAnsi="Times New Roman" w:eastAsia="宋体" w:cs="Times New Roman"/>
              </w:rPr>
              <w:t>项目选址位于开平市长沙街道办事处八一村委会南溪开发区A区5号厂房，本项目主要从事印刷品生产，项目选址符合当地规划。本项目《建设项目环境影响征求意见表》已获得开平市长沙街道办事处同意（见附件三）。</w:t>
            </w:r>
          </w:p>
          <w:p>
            <w:pPr>
              <w:numPr>
                <w:ilvl w:val="0"/>
                <w:numId w:val="8"/>
              </w:numPr>
              <w:adjustRightInd w:val="0"/>
              <w:snapToGrid w:val="0"/>
              <w:ind w:left="840" w:firstLineChars="0"/>
              <w:rPr>
                <w:rFonts w:hint="default" w:ascii="Times New Roman" w:hAnsi="Times New Roman" w:eastAsia="宋体" w:cs="Times New Roman"/>
              </w:rPr>
            </w:pPr>
            <w:r>
              <w:rPr>
                <w:rFonts w:hint="default" w:ascii="Times New Roman" w:hAnsi="Times New Roman" w:eastAsia="宋体" w:cs="Times New Roman"/>
              </w:rPr>
              <w:t>产业政策相符性分析</w:t>
            </w:r>
          </w:p>
          <w:p>
            <w:pPr>
              <w:adjustRightInd w:val="0"/>
              <w:snapToGrid w:val="0"/>
              <w:ind w:firstLine="720" w:firstLineChars="300"/>
              <w:rPr>
                <w:rFonts w:hint="default" w:ascii="Times New Roman" w:hAnsi="Times New Roman" w:eastAsia="宋体" w:cs="Times New Roman"/>
              </w:rPr>
            </w:pPr>
            <w:r>
              <w:rPr>
                <w:rFonts w:hint="default" w:ascii="Times New Roman" w:hAnsi="Times New Roman" w:eastAsia="宋体" w:cs="Times New Roman"/>
              </w:rPr>
              <w:t>①按照《国民经济行业类别》（GB/T4754-2017）中的规定，本项目的行业类别及代码为C2312本册印制，不属于《产业结构调整指导目录（2019年本）》和《关于发布珠江三角洲地区产业结构调整优化和产业导向目录的通知》（粤经函[2011]891号）的限制类和淘汰类；不属于《广东省进一步加强淘汰落后产能工作实施方案》中的重点淘汰类和重点整治类；不属于《市场准入负面清单（2019年版）》（发改体改[2019]1685号）“禁止准入类”清单内容；不属于《江门市投资准入禁止限制（2018年本）》（江府[2018]20号）内容。因此本项目的建设符合国家和地方相关产业政策。</w:t>
            </w:r>
          </w:p>
          <w:p>
            <w:pPr>
              <w:ind w:firstLine="480"/>
              <w:rPr>
                <w:rFonts w:hint="default" w:ascii="Times New Roman" w:hAnsi="Times New Roman" w:eastAsia="宋体" w:cs="Times New Roman"/>
              </w:rPr>
            </w:pPr>
            <w:r>
              <w:rPr>
                <w:rFonts w:hint="default" w:ascii="Times New Roman" w:hAnsi="Times New Roman" w:eastAsia="宋体" w:cs="Times New Roman"/>
              </w:rPr>
              <w:t>②根据广东省环境保护厅《广东省挥发性有机物（VOCs）整治与减排工作方案（2018-2020 年）》（粤环发[2018]6 号）和印发《关于珠江三角洲地区严格控制工业企业挥发性有机物（VOCs）排放的意见》的通知，提出“印刷行业-推广使用低毒、低 VOCs含量的油墨、胶黏剂、清洗剂、润版液、清洁剂、涂布液等原辅材料，2019年年底前，低VOCs含量的原辅材料替代比例不低于60%。”本项目主要原辅材料使用了水性油墨、清洗剂和润版液，其中可判定为低VOCs含量物料的水性油墨和清洗剂占含VOCs原辅材料总量的86%以上，符合相关要求。</w:t>
            </w:r>
          </w:p>
          <w:p>
            <w:pPr>
              <w:ind w:firstLine="420" w:firstLineChars="0"/>
              <w:rPr>
                <w:rFonts w:hint="default" w:ascii="Times New Roman" w:hAnsi="Times New Roman" w:eastAsia="宋体" w:cs="Times New Roman"/>
              </w:rPr>
            </w:pPr>
            <w:r>
              <w:rPr>
                <w:rFonts w:hint="default" w:ascii="Times New Roman" w:hAnsi="Times New Roman" w:eastAsia="宋体" w:cs="Times New Roman"/>
              </w:rPr>
              <w:t>③根据《“十三五”挥发性有机物污染防治工作方案》：“严格建设项目环境准入。……严格涉VOCs建设项目环境影响评价，实行区域内VOCs排放等量或倍量削减替代，并将替代方案落实到企业排污许可证中，纳入环境执法管理。新、改、扩建涉VOCs排放项目，应从源头加强控制，使用低(无)VOCs含量的原辅材料，加强废气收集，安装高效治理设施。”“深入推进包装印刷行业VOCS综合治理。……加强废气收集与处理。对油墨、胶黏剂等有机原辅材料调配和使用等，要采用车间环境负压改造、安装高效集气装置等措施，有机废气收集率达到70%以上。对运转、储存等，要采取密闭措施，减少无组织排放。”</w:t>
            </w:r>
          </w:p>
          <w:p>
            <w:pPr>
              <w:ind w:firstLine="420" w:firstLineChars="0"/>
              <w:rPr>
                <w:rFonts w:hint="default" w:ascii="Times New Roman" w:hAnsi="Times New Roman" w:eastAsia="宋体" w:cs="Times New Roman"/>
              </w:rPr>
            </w:pPr>
            <w:r>
              <w:rPr>
                <w:rFonts w:hint="default" w:ascii="Times New Roman" w:hAnsi="Times New Roman" w:eastAsia="宋体" w:cs="Times New Roman"/>
              </w:rPr>
              <w:t>本项目印刷区为独立密闭车间，项目采用整体密闭抽风的方式对印刷有机废气、清洗有机废气进行收集，收集效率达90%以上，收集后引致一套“活性炭吸附装置”处理，达标后经15m排气筒排放，VOCs 排放总量采取长沙街道内倍量削减替代方式；项目所使用的含VOCs物料中，可判定为低VOCs物料的水性油墨和清洗剂占比86%以上，因此符合《“十三五”挥发性有机物污染防治工作方案》。</w:t>
            </w:r>
          </w:p>
          <w:p>
            <w:pPr>
              <w:ind w:firstLine="480"/>
              <w:rPr>
                <w:rFonts w:hint="default" w:ascii="Times New Roman" w:hAnsi="Times New Roman" w:eastAsia="宋体" w:cs="Times New Roman"/>
              </w:rPr>
            </w:pPr>
            <w:r>
              <w:rPr>
                <w:rFonts w:hint="default" w:ascii="Times New Roman" w:hAnsi="Times New Roman" w:eastAsia="宋体" w:cs="Times New Roman"/>
              </w:rPr>
              <w:t>④根据广东省人民政府关于印发《广东省打赢蓝天保卫战实施方案（2018—2020年）》的通知（粤府[2018]128号）：“珠三角地区禁止新建生产和使用高VOCs含量溶剂型涂料、油墨、胶粘剂、清洗剂等项目（共性工厂除外）”和江门市人民政府关于印发《江门市打赢蓝天保卫战实施方案（2019—2020年）》的通知（江府〔2019〕15号）：“禁止新建生产和使用高VOCs含量溶剂型涂料、油墨、胶粘剂、清洗剂等项目（共性工厂除外）”，本项目水性油墨VOCs含量3%，清洗剂VOCs含量10%，润版液VOCs含量5%，其中可判定为低VOCs物料的水性油墨和清洗剂占含VOCs物料比重86%以上，符合相关要求。</w:t>
            </w:r>
          </w:p>
          <w:p>
            <w:pPr>
              <w:numPr>
                <w:ilvl w:val="0"/>
                <w:numId w:val="8"/>
              </w:numPr>
              <w:adjustRightInd w:val="0"/>
              <w:snapToGrid w:val="0"/>
              <w:ind w:left="840" w:firstLineChars="0"/>
              <w:rPr>
                <w:rFonts w:hint="default" w:ascii="Times New Roman" w:hAnsi="Times New Roman" w:eastAsia="宋体" w:cs="Times New Roman"/>
              </w:rPr>
            </w:pPr>
            <w:r>
              <w:rPr>
                <w:rFonts w:hint="default" w:ascii="Times New Roman" w:hAnsi="Times New Roman" w:eastAsia="宋体" w:cs="Times New Roman"/>
              </w:rPr>
              <w:t>项目选址与当地环保规划的相符性分析</w:t>
            </w:r>
          </w:p>
          <w:p>
            <w:pPr>
              <w:ind w:firstLine="480"/>
              <w:rPr>
                <w:rFonts w:hint="default" w:ascii="Times New Roman" w:hAnsi="Times New Roman" w:eastAsia="宋体" w:cs="Times New Roman"/>
              </w:rPr>
            </w:pPr>
            <w:r>
              <w:rPr>
                <w:rFonts w:hint="default" w:ascii="Times New Roman" w:hAnsi="Times New Roman" w:eastAsia="宋体" w:cs="Times New Roman"/>
              </w:rPr>
              <w:t>①根据《广东省地表水功能区划》（粤府函[2011]14号），本项目附近水体为潭江（义兴到祥龙水厂吸水点下 1km），水质目标为Ⅱ类水环境功能区，不属于饮用水源保护区，执行《地表水环境质量标准》（GB3838-2002）中的Ⅱ类标准。</w:t>
            </w:r>
          </w:p>
          <w:p>
            <w:pPr>
              <w:ind w:firstLine="480"/>
              <w:rPr>
                <w:rFonts w:hint="default" w:ascii="Times New Roman" w:hAnsi="Times New Roman" w:eastAsia="宋体" w:cs="Times New Roman"/>
              </w:rPr>
            </w:pPr>
            <w:r>
              <w:rPr>
                <w:rFonts w:hint="default" w:ascii="Times New Roman" w:hAnsi="Times New Roman" w:eastAsia="宋体" w:cs="Times New Roman"/>
              </w:rPr>
              <w:t>②项目所在地大气环境为《环境空气质量标准》（GB3095-2012）及其修改单（生态环境部公告2018年第29号）二级标准中二类区。</w:t>
            </w:r>
          </w:p>
          <w:p>
            <w:pPr>
              <w:ind w:firstLine="480"/>
              <w:rPr>
                <w:rFonts w:hint="default" w:ascii="Times New Roman" w:hAnsi="Times New Roman" w:eastAsia="宋体" w:cs="Times New Roman"/>
              </w:rPr>
            </w:pPr>
            <w:r>
              <w:rPr>
                <w:rFonts w:hint="default" w:ascii="Times New Roman" w:hAnsi="Times New Roman" w:eastAsia="宋体" w:cs="Times New Roman"/>
              </w:rPr>
              <w:t>③根据《声环境质量标准》（GB3096-2008）中的划分依据，项目所在区域为2 类声环境功能区，执行《声环境质量标准》（GB3096-2008）2 类标准。</w:t>
            </w:r>
          </w:p>
          <w:p>
            <w:pPr>
              <w:ind w:firstLine="480"/>
              <w:rPr>
                <w:rFonts w:hint="default" w:ascii="Times New Roman" w:hAnsi="Times New Roman" w:eastAsia="宋体" w:cs="Times New Roman"/>
              </w:rPr>
            </w:pPr>
            <w:r>
              <w:rPr>
                <w:rFonts w:hint="default" w:ascii="Times New Roman" w:hAnsi="Times New Roman" w:eastAsia="宋体" w:cs="Times New Roman"/>
              </w:rPr>
              <w:t>综上所述，本项目符合当地的环境功能区划的要求。</w:t>
            </w:r>
          </w:p>
          <w:p>
            <w:pPr>
              <w:numPr>
                <w:ilvl w:val="0"/>
                <w:numId w:val="8"/>
              </w:numPr>
              <w:adjustRightInd w:val="0"/>
              <w:snapToGrid w:val="0"/>
              <w:ind w:left="840" w:firstLineChars="0"/>
              <w:rPr>
                <w:rFonts w:hint="default" w:ascii="Times New Roman" w:hAnsi="Times New Roman" w:eastAsia="宋体" w:cs="Times New Roman"/>
              </w:rPr>
            </w:pPr>
            <w:r>
              <w:rPr>
                <w:rFonts w:hint="default" w:ascii="Times New Roman" w:hAnsi="Times New Roman" w:eastAsia="宋体" w:cs="Times New Roman"/>
              </w:rPr>
              <w:t>本项目有机物治理政策的相符性分析</w:t>
            </w:r>
          </w:p>
          <w:p>
            <w:pPr>
              <w:ind w:firstLine="480"/>
              <w:rPr>
                <w:rFonts w:hint="default" w:ascii="Times New Roman" w:hAnsi="Times New Roman" w:eastAsia="宋体" w:cs="Times New Roman"/>
              </w:rPr>
            </w:pPr>
            <w:r>
              <w:rPr>
                <w:rFonts w:hint="default" w:ascii="Times New Roman" w:hAnsi="Times New Roman" w:eastAsia="宋体" w:cs="Times New Roman"/>
              </w:rPr>
              <w:t>①根据关于印发《广东省挥发性有机物（VOCs）整治与减排工作方案（2018-2020 年）》的通知（粤环发[2018]6 号）和《关于珠江三角洲地区严格控制工业企业挥发性有机物（VOCs）排放的意见》（粤环[2012]18号），提出“生产过程使用的抗氧剂、增塑剂、发泡剂等有机助剂应密封储存，热熔、注塑、烘干等涉VOCs排放的各生产工序环节应在密闭的车间内进行，必须安装有符合环保要求的废气收集系统和净化处理设施。”</w:t>
            </w:r>
          </w:p>
          <w:p>
            <w:pPr>
              <w:ind w:firstLine="480"/>
              <w:rPr>
                <w:rFonts w:hint="default" w:ascii="Times New Roman" w:hAnsi="Times New Roman" w:eastAsia="宋体" w:cs="Times New Roman"/>
              </w:rPr>
            </w:pPr>
            <w:r>
              <w:rPr>
                <w:rFonts w:hint="default" w:ascii="Times New Roman" w:hAnsi="Times New Roman" w:eastAsia="宋体" w:cs="Times New Roman"/>
              </w:rPr>
              <w:t xml:space="preserve">本项目印刷区为独立密闭车间，项目采用整体密闭抽风的方式对印刷有机废气和清洗有机废气进行收集，收集效率可达90%以上，收集后引致一套“活性炭吸附装置”处理，处理效率可达80%以上，达标后经15m排气筒排放；项目VOCs 排放总量采取长沙街道内倍量削减替代方式，符合相关要求。 </w:t>
            </w:r>
          </w:p>
          <w:p>
            <w:pPr>
              <w:ind w:firstLine="480"/>
              <w:rPr>
                <w:rFonts w:hint="default" w:ascii="Times New Roman" w:hAnsi="Times New Roman" w:eastAsia="宋体" w:cs="Times New Roman"/>
              </w:rPr>
            </w:pPr>
            <w:r>
              <w:rPr>
                <w:rFonts w:hint="default" w:ascii="Times New Roman" w:hAnsi="Times New Roman" w:eastAsia="宋体" w:cs="Times New Roman"/>
              </w:rPr>
              <w:t>②根据《重点行业挥发性有机物综合治理方案》：“推进建设适宜高效的治污设施。企业新建治污设施或对现有治污设施实施改造，应依据排放废气的浓度、组分、风量，温度、湿度、压力，以及生产工况等，合理选择治理技术。鼓励企业采用多种技术的组合工艺，提高VOCs治理效率。”</w:t>
            </w:r>
          </w:p>
          <w:p>
            <w:pPr>
              <w:ind w:firstLine="480"/>
              <w:rPr>
                <w:rFonts w:hint="default" w:ascii="Times New Roman" w:hAnsi="Times New Roman" w:eastAsia="宋体" w:cs="Times New Roman"/>
              </w:rPr>
            </w:pPr>
            <w:r>
              <w:rPr>
                <w:rFonts w:hint="default" w:ascii="Times New Roman" w:hAnsi="Times New Roman" w:eastAsia="宋体" w:cs="Times New Roman"/>
              </w:rPr>
              <w:t>本项目印刷区为独立密闭车间，项目采用整体密闭抽风的方式对印刷有机废气和清洗有机废气进行收集，收集效率可达90%以上，收集后引致一套“活性炭吸附装置”处理，处理效率可达70%以上，达标后经15m排气筒排放，符合《生态环境部关于印发&lt;重点行业挥发性有机物综合治理方案&gt;的通知》（环大气[2019]53号）。</w:t>
            </w:r>
          </w:p>
          <w:p>
            <w:pPr>
              <w:ind w:firstLine="480"/>
              <w:rPr>
                <w:rFonts w:hint="default" w:ascii="Times New Roman" w:hAnsi="Times New Roman" w:eastAsia="宋体" w:cs="Times New Roman"/>
              </w:rPr>
            </w:pPr>
            <w:r>
              <w:rPr>
                <w:rFonts w:hint="default" w:ascii="Times New Roman" w:hAnsi="Times New Roman" w:eastAsia="宋体" w:cs="Times New Roman"/>
              </w:rPr>
              <w:t>综上所述，本项目的建设符合国家有关法律、法规和政策规定，因此本项目的选址具有规划合理性和环境可行性。</w:t>
            </w:r>
          </w:p>
          <w:p>
            <w:pPr>
              <w:ind w:firstLine="482"/>
              <w:rPr>
                <w:rFonts w:hint="default" w:ascii="Times New Roman" w:hAnsi="Times New Roman" w:eastAsia="宋体" w:cs="Times New Roman"/>
                <w:b/>
                <w:bCs/>
              </w:rPr>
            </w:pPr>
            <w:r>
              <w:rPr>
                <w:rFonts w:hint="default" w:ascii="Times New Roman" w:hAnsi="Times New Roman" w:eastAsia="宋体" w:cs="Times New Roman"/>
                <w:b/>
                <w:bCs/>
              </w:rPr>
              <w:t>（8）本项目四置情况</w:t>
            </w:r>
          </w:p>
          <w:p>
            <w:pPr>
              <w:ind w:firstLine="480"/>
              <w:rPr>
                <w:rFonts w:hint="default" w:ascii="Times New Roman" w:hAnsi="Times New Roman" w:eastAsia="宋体" w:cs="Times New Roman"/>
              </w:rPr>
            </w:pPr>
            <w:r>
              <w:rPr>
                <w:rFonts w:hint="default" w:ascii="Times New Roman" w:hAnsi="Times New Roman" w:eastAsia="宋体" w:cs="Times New Roman"/>
              </w:rPr>
              <w:t>本项目建设地址位于开平市长沙街道办事处八一村委会南溪开发区A区5号，通过实地调查，确定项目北面5m处为鸿盛纸品有限公司；南面与空置仓库相邻；东面12m处有一处空置楼房；西面8m处为顺昌饲料实业有限公司；西北面</w:t>
            </w:r>
            <w:r>
              <w:rPr>
                <w:rFonts w:hint="eastAsia" w:cs="Times New Roman"/>
                <w:lang w:val="en-US" w:eastAsia="zh-CN"/>
              </w:rPr>
              <w:t>65</w:t>
            </w:r>
            <w:r>
              <w:rPr>
                <w:rFonts w:hint="default" w:ascii="Times New Roman" w:hAnsi="Times New Roman" w:eastAsia="宋体" w:cs="Times New Roman"/>
              </w:rPr>
              <w:t>m处是八一村；东南面10m处是一处施工工地。</w:t>
            </w:r>
          </w:p>
          <w:p>
            <w:pPr>
              <w:numPr>
                <w:ilvl w:val="0"/>
                <w:numId w:val="9"/>
              </w:numPr>
              <w:ind w:firstLine="480"/>
              <w:rPr>
                <w:rFonts w:hint="default" w:ascii="Times New Roman" w:hAnsi="Times New Roman" w:eastAsia="宋体" w:cs="Times New Roman"/>
              </w:rPr>
            </w:pPr>
            <w:r>
              <w:rPr>
                <w:rFonts w:hint="default" w:ascii="Times New Roman" w:hAnsi="Times New Roman" w:eastAsia="宋体" w:cs="Times New Roman"/>
              </w:rPr>
              <w:t>与本项目有关的原有污染情况及主要环境问题</w:t>
            </w:r>
          </w:p>
          <w:p>
            <w:pPr>
              <w:pStyle w:val="28"/>
              <w:rPr>
                <w:rFonts w:hint="default" w:ascii="Times New Roman" w:hAnsi="Times New Roman" w:eastAsia="宋体" w:cs="Times New Roman"/>
              </w:rPr>
            </w:pPr>
            <w:r>
              <w:rPr>
                <w:rFonts w:hint="default" w:ascii="Times New Roman" w:hAnsi="Times New Roman" w:eastAsia="宋体" w:cs="Times New Roman"/>
                <w:color w:val="auto"/>
              </w:rPr>
              <w:t>从现场勘查可知，本项目周边主要环境问题为周边工厂产生的废水、废气、固废、噪声等，以及项目周边道路产生的交通尾气及噪声；根据《2019 年江门市环境质量状况 (公报) 》可见，开平市环境空气质量中 SO</w:t>
            </w:r>
            <w:r>
              <w:rPr>
                <w:rFonts w:hint="default" w:ascii="Times New Roman" w:hAnsi="Times New Roman" w:eastAsia="宋体" w:cs="Times New Roman"/>
                <w:color w:val="auto"/>
                <w:vertAlign w:val="subscript"/>
              </w:rPr>
              <w:t>2</w:t>
            </w:r>
            <w:r>
              <w:rPr>
                <w:rFonts w:hint="default" w:ascii="Times New Roman" w:hAnsi="Times New Roman" w:eastAsia="宋体" w:cs="Times New Roman"/>
                <w:color w:val="auto"/>
              </w:rPr>
              <w:t>、NO</w:t>
            </w:r>
            <w:r>
              <w:rPr>
                <w:rFonts w:hint="default" w:ascii="Times New Roman" w:hAnsi="Times New Roman" w:eastAsia="宋体" w:cs="Times New Roman"/>
                <w:color w:val="auto"/>
                <w:vertAlign w:val="subscript"/>
              </w:rPr>
              <w:t>2</w:t>
            </w:r>
            <w:r>
              <w:rPr>
                <w:rFonts w:hint="default" w:ascii="Times New Roman" w:hAnsi="Times New Roman" w:eastAsia="宋体" w:cs="Times New Roman"/>
                <w:color w:val="auto"/>
              </w:rPr>
              <w:t>、PM</w:t>
            </w:r>
            <w:r>
              <w:rPr>
                <w:rFonts w:hint="default" w:ascii="Times New Roman" w:hAnsi="Times New Roman" w:eastAsia="宋体" w:cs="Times New Roman"/>
                <w:color w:val="auto"/>
                <w:vertAlign w:val="subscript"/>
              </w:rPr>
              <w:t>10</w:t>
            </w:r>
            <w:r>
              <w:rPr>
                <w:rFonts w:hint="default" w:ascii="Times New Roman" w:hAnsi="Times New Roman" w:eastAsia="宋体" w:cs="Times New Roman"/>
                <w:color w:val="auto"/>
              </w:rPr>
              <w:t>和PM</w:t>
            </w:r>
            <w:r>
              <w:rPr>
                <w:rFonts w:hint="default" w:ascii="Times New Roman" w:hAnsi="Times New Roman" w:eastAsia="宋体" w:cs="Times New Roman"/>
                <w:color w:val="auto"/>
                <w:vertAlign w:val="subscript"/>
              </w:rPr>
              <w:t>2.5</w:t>
            </w:r>
            <w:r>
              <w:rPr>
                <w:rFonts w:hint="default" w:ascii="Times New Roman" w:hAnsi="Times New Roman" w:eastAsia="宋体" w:cs="Times New Roman"/>
                <w:color w:val="auto"/>
              </w:rPr>
              <w:t>浓度均符合年均值标准，CO 的第 95 百分位浓度都符合日均值标准，而O</w:t>
            </w:r>
            <w:r>
              <w:rPr>
                <w:rFonts w:hint="default" w:ascii="Times New Roman" w:hAnsi="Times New Roman" w:eastAsia="宋体" w:cs="Times New Roman"/>
                <w:color w:val="auto"/>
                <w:vertAlign w:val="subscript"/>
              </w:rPr>
              <w:t>3</w:t>
            </w:r>
            <w:r>
              <w:rPr>
                <w:rFonts w:hint="default" w:ascii="Times New Roman" w:hAnsi="Times New Roman" w:eastAsia="宋体" w:cs="Times New Roman"/>
                <w:color w:val="auto"/>
              </w:rPr>
              <w:t>的第90百分位浓度的统计值不能达标，说明项目所在地大气环境质量一般，声环境质量现状均良好，说明所在区域环境质量一般；根据《2020年11月江门市省、市水环境监测网水质月报》，周边水体潭江的水环境质量各项指标在本月的监测结果显示达标，能基本满足《地表水环境质量标准》(GB3838-2002) Ⅱ类标准的要求，说明所在区域水环境质量良好。但流域周围的污水收集管网仍不够完善，为了更进一步改善潭江水环境，开平市已加快周边污水处理厂的建设，以及对潭江流域排水企业实行监管，将会有利于潭江水环境治理的改善，有效削减区域的水污染物。</w:t>
            </w:r>
          </w:p>
        </w:tc>
      </w:tr>
    </w:tbl>
    <w:p>
      <w:pPr>
        <w:ind w:firstLine="480"/>
        <w:rPr>
          <w:rFonts w:hint="default" w:ascii="Times New Roman" w:hAnsi="Times New Roman" w:eastAsia="宋体" w:cs="Times New Roman"/>
        </w:rPr>
      </w:pPr>
      <w:r>
        <w:rPr>
          <w:rFonts w:hint="default" w:ascii="Times New Roman" w:hAnsi="Times New Roman" w:eastAsia="宋体" w:cs="Times New Roman"/>
        </w:rPr>
        <w:br w:type="page"/>
      </w:r>
    </w:p>
    <w:p>
      <w:pPr>
        <w:numPr>
          <w:ilvl w:val="0"/>
          <w:numId w:val="7"/>
        </w:numPr>
        <w:ind w:firstLine="0" w:firstLineChars="0"/>
        <w:outlineLvl w:val="0"/>
        <w:rPr>
          <w:rFonts w:hint="default" w:ascii="Times New Roman" w:hAnsi="Times New Roman" w:eastAsia="宋体" w:cs="Times New Roman"/>
          <w:b/>
          <w:sz w:val="32"/>
        </w:rPr>
      </w:pPr>
      <w:bookmarkStart w:id="4" w:name="_Toc852"/>
      <w:r>
        <w:rPr>
          <w:rFonts w:hint="default" w:ascii="Times New Roman" w:hAnsi="Times New Roman" w:eastAsia="宋体" w:cs="Times New Roman"/>
          <w:b/>
          <w:sz w:val="32"/>
        </w:rPr>
        <w:t>建设项目所在地自然环境社会环境简况</w:t>
      </w:r>
      <w:bookmarkEnd w:id="4"/>
    </w:p>
    <w:tbl>
      <w:tblPr>
        <w:tblStyle w:val="23"/>
        <w:tblW w:w="8647" w:type="dxa"/>
        <w:tblInd w:w="108"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64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870" w:hRule="atLeast"/>
        </w:trPr>
        <w:tc>
          <w:tcPr>
            <w:tcW w:w="8647" w:type="dxa"/>
          </w:tcPr>
          <w:p>
            <w:pPr>
              <w:spacing w:before="120"/>
              <w:ind w:firstLine="0" w:firstLineChars="0"/>
              <w:rPr>
                <w:rFonts w:hint="default" w:ascii="Times New Roman" w:hAnsi="Times New Roman" w:eastAsia="宋体" w:cs="Times New Roman"/>
                <w:b/>
                <w:spacing w:val="-6"/>
              </w:rPr>
            </w:pPr>
            <w:r>
              <w:rPr>
                <w:rFonts w:hint="default" w:ascii="Times New Roman" w:hAnsi="Times New Roman" w:eastAsia="宋体" w:cs="Times New Roman"/>
                <w:b/>
                <w:spacing w:val="-6"/>
                <w:sz w:val="28"/>
              </w:rPr>
              <w:t>自然环境简况（地形、地貌、气候、气象、水文、植被、生物多样性等）</w:t>
            </w:r>
          </w:p>
          <w:p>
            <w:pPr>
              <w:keepNext/>
              <w:keepLines/>
              <w:numPr>
                <w:ilvl w:val="1"/>
                <w:numId w:val="0"/>
              </w:numPr>
              <w:autoSpaceDE w:val="0"/>
              <w:autoSpaceDN w:val="0"/>
              <w:adjustRightInd w:val="0"/>
              <w:snapToGrid w:val="0"/>
              <w:ind w:firstLine="482" w:firstLineChars="200"/>
              <w:textAlignment w:val="baseline"/>
              <w:outlineLvl w:val="1"/>
              <w:rPr>
                <w:rFonts w:hint="default" w:ascii="Times New Roman" w:hAnsi="Times New Roman" w:eastAsia="宋体" w:cs="Times New Roman"/>
                <w:b/>
                <w:kern w:val="24"/>
              </w:rPr>
            </w:pPr>
            <w:r>
              <w:rPr>
                <w:rFonts w:hint="default" w:ascii="Times New Roman" w:hAnsi="Times New Roman" w:eastAsia="宋体" w:cs="Times New Roman"/>
                <w:b/>
                <w:kern w:val="24"/>
              </w:rPr>
              <w:t>一  、地理位置</w:t>
            </w:r>
          </w:p>
          <w:p>
            <w:pPr>
              <w:keepNext/>
              <w:keepLines/>
              <w:numPr>
                <w:ilvl w:val="1"/>
                <w:numId w:val="0"/>
              </w:numPr>
              <w:autoSpaceDE w:val="0"/>
              <w:autoSpaceDN w:val="0"/>
              <w:adjustRightInd w:val="0"/>
              <w:snapToGrid w:val="0"/>
              <w:ind w:firstLine="480" w:firstLineChars="200"/>
              <w:textAlignment w:val="baseline"/>
              <w:outlineLvl w:val="1"/>
              <w:rPr>
                <w:rFonts w:hint="default" w:ascii="Times New Roman" w:hAnsi="Times New Roman" w:eastAsia="宋体" w:cs="Times New Roman"/>
              </w:rPr>
            </w:pPr>
            <w:r>
              <w:rPr>
                <w:rFonts w:hint="default" w:ascii="Times New Roman" w:hAnsi="Times New Roman" w:eastAsia="宋体" w:cs="Times New Roman"/>
              </w:rPr>
              <w:t>开平市位于广东省中南部，东经112°13′至 112°48′，北纬 21°56′至 22°39′；东北连新会，正北靠鹤山，东南近台山，西南接恩平，西北邻新兴。濒临南海，靠近港澳，东北距江门市区 46km，距广州110km，北扼鹤山之冲，西接恩平之咽，东南有新会为藩篱， 西南以台山为屏障。位于江门五邑中心，地理位置优越。全市总面积1659平方公里。1649年建县，1993年1月5日撤县设市，1995年被国家定为二类市。现辖13个镇和三埠、长沙2个办事处。</w:t>
            </w:r>
          </w:p>
          <w:p>
            <w:pPr>
              <w:keepNext/>
              <w:keepLines/>
              <w:numPr>
                <w:ilvl w:val="1"/>
                <w:numId w:val="0"/>
              </w:numPr>
              <w:autoSpaceDE w:val="0"/>
              <w:autoSpaceDN w:val="0"/>
              <w:adjustRightInd w:val="0"/>
              <w:snapToGrid w:val="0"/>
              <w:ind w:firstLine="482" w:firstLineChars="200"/>
              <w:textAlignment w:val="baseline"/>
              <w:outlineLvl w:val="1"/>
              <w:rPr>
                <w:rFonts w:hint="default" w:ascii="Times New Roman" w:hAnsi="Times New Roman" w:eastAsia="宋体" w:cs="Times New Roman"/>
                <w:b/>
                <w:kern w:val="24"/>
              </w:rPr>
            </w:pPr>
            <w:r>
              <w:rPr>
                <w:rFonts w:hint="default" w:ascii="Times New Roman" w:hAnsi="Times New Roman" w:eastAsia="宋体" w:cs="Times New Roman"/>
                <w:b/>
                <w:kern w:val="24"/>
              </w:rPr>
              <w:t>二、地形、地貌</w:t>
            </w:r>
          </w:p>
          <w:p>
            <w:pPr>
              <w:ind w:firstLine="480"/>
              <w:rPr>
                <w:rFonts w:hint="default" w:ascii="Times New Roman" w:hAnsi="Times New Roman" w:eastAsia="宋体" w:cs="Times New Roman"/>
              </w:rPr>
            </w:pPr>
            <w:r>
              <w:rPr>
                <w:rFonts w:hint="default" w:ascii="Times New Roman" w:hAnsi="Times New Roman" w:eastAsia="宋体" w:cs="Times New Roman"/>
              </w:rPr>
              <w:t>开平市地势自南、北两面向潭江河谷倾斜，东、中部地势低。南部、北部多低山丘 陵，西北部的天露山海拔1250 米，是江门五邑最高峰；东部、中部多丘陵平原，大部分在海拔50 米以下，海拔较的有梁金山（456 米）、百立山（394 米）。主要山脉有天露山、梁金山、百立山、罗汉山等。主要矿藏有煤、铁、钨、铜、石英石等。地势自南北两面 向潭江河各地带倾斜，海拔 50 米以下的平原面积占全市面积的 69%，丘陵面积占29%，山地面积占2%。</w:t>
            </w:r>
          </w:p>
          <w:p>
            <w:pPr>
              <w:ind w:firstLine="480"/>
              <w:rPr>
                <w:rFonts w:hint="default" w:ascii="Times New Roman" w:hAnsi="Times New Roman" w:eastAsia="宋体" w:cs="Times New Roman"/>
              </w:rPr>
            </w:pPr>
            <w:r>
              <w:rPr>
                <w:rFonts w:hint="default" w:ascii="Times New Roman" w:hAnsi="Times New Roman" w:eastAsia="宋体" w:cs="Times New Roman"/>
              </w:rPr>
              <w:t>开平市的地质大部分为花岗岩和沙页岩结构。有两条断裂带横贯域内。一条是海陵断裂带，南起阳江市南部沿海，经恩平市大槐、恩城、沙湖进入域内马冈、苍城、大罗村，再过鹤山、花县、河源、和平至江西龙南县；另一条是金鸡至鹤城断裂带（属活性断裂带），南起台山市挪扶，经域内金鸡墟、瓦片坑、蚬冈、赤坎、交流渡、梁金山、月山至鹤城。两条断裂带把市域划分为南、北、中三块。</w:t>
            </w:r>
          </w:p>
          <w:p>
            <w:pPr>
              <w:keepNext/>
              <w:keepLines/>
              <w:numPr>
                <w:ilvl w:val="1"/>
                <w:numId w:val="0"/>
              </w:numPr>
              <w:autoSpaceDE w:val="0"/>
              <w:autoSpaceDN w:val="0"/>
              <w:adjustRightInd w:val="0"/>
              <w:snapToGrid w:val="0"/>
              <w:ind w:firstLine="482" w:firstLineChars="200"/>
              <w:textAlignment w:val="baseline"/>
              <w:outlineLvl w:val="1"/>
              <w:rPr>
                <w:rFonts w:hint="default" w:ascii="Times New Roman" w:hAnsi="Times New Roman" w:eastAsia="宋体" w:cs="Times New Roman"/>
                <w:b/>
                <w:kern w:val="24"/>
              </w:rPr>
            </w:pPr>
            <w:r>
              <w:rPr>
                <w:rFonts w:hint="default" w:ascii="Times New Roman" w:hAnsi="Times New Roman" w:eastAsia="宋体" w:cs="Times New Roman"/>
                <w:b/>
                <w:kern w:val="24"/>
              </w:rPr>
              <w:t>三、气象与气候</w:t>
            </w:r>
          </w:p>
          <w:p>
            <w:pPr>
              <w:ind w:firstLine="480"/>
              <w:rPr>
                <w:rFonts w:hint="default" w:ascii="Times New Roman" w:hAnsi="Times New Roman" w:eastAsia="宋体" w:cs="Times New Roman"/>
              </w:rPr>
            </w:pPr>
            <w:r>
              <w:rPr>
                <w:rFonts w:hint="default" w:ascii="Times New Roman" w:hAnsi="Times New Roman" w:eastAsia="宋体" w:cs="Times New Roman"/>
              </w:rPr>
              <w:t>开平市地处北回归线以南，气候温和，四季如春，属南亚热带季风海洋性气候区。 日照充足，雨量充沛，冬季受东北风影响，夏季受东南季风影响，每年 2-3 月有不同程度的低温阴雨天气，5-9 月常有台风和暴雨。</w:t>
            </w:r>
          </w:p>
          <w:p>
            <w:pPr>
              <w:keepNext/>
              <w:keepLines/>
              <w:numPr>
                <w:ilvl w:val="0"/>
                <w:numId w:val="10"/>
              </w:numPr>
              <w:autoSpaceDE w:val="0"/>
              <w:autoSpaceDN w:val="0"/>
              <w:adjustRightInd w:val="0"/>
              <w:snapToGrid w:val="0"/>
              <w:ind w:firstLine="482"/>
              <w:textAlignment w:val="baseline"/>
              <w:outlineLvl w:val="1"/>
              <w:rPr>
                <w:rFonts w:hint="default" w:ascii="Times New Roman" w:hAnsi="Times New Roman" w:eastAsia="宋体" w:cs="Times New Roman"/>
                <w:b/>
                <w:kern w:val="24"/>
              </w:rPr>
            </w:pPr>
            <w:r>
              <w:rPr>
                <w:rFonts w:hint="default" w:ascii="Times New Roman" w:hAnsi="Times New Roman" w:eastAsia="宋体" w:cs="Times New Roman"/>
                <w:b/>
                <w:kern w:val="24"/>
              </w:rPr>
              <w:t>水文</w:t>
            </w:r>
          </w:p>
          <w:p>
            <w:pPr>
              <w:ind w:firstLine="480"/>
              <w:rPr>
                <w:rFonts w:hint="default" w:ascii="Times New Roman" w:hAnsi="Times New Roman" w:eastAsia="宋体" w:cs="Times New Roman"/>
              </w:rPr>
            </w:pPr>
            <w:r>
              <w:rPr>
                <w:rFonts w:hint="default" w:ascii="Times New Roman" w:hAnsi="Times New Roman" w:eastAsia="宋体" w:cs="Times New Roman"/>
              </w:rPr>
              <w:t>潭江是珠三角水系的Ⅰ级支流，主流发源于阳江市阳东县牛围岭，与莲塘水汇合入境，经百合、三埠、水口入新会市境，直泻珠江三角河口区，向崖门奔注南海。潭江全 长 248km，流域面积 5068km</w:t>
            </w:r>
            <w:r>
              <w:rPr>
                <w:rFonts w:hint="default" w:ascii="Times New Roman" w:hAnsi="Times New Roman" w:eastAsia="宋体" w:cs="Times New Roman"/>
                <w:vertAlign w:val="superscript"/>
              </w:rPr>
              <w:t>2</w:t>
            </w:r>
            <w:r>
              <w:rPr>
                <w:rFonts w:hint="default" w:ascii="Times New Roman" w:hAnsi="Times New Roman" w:eastAsia="宋体" w:cs="Times New Roman"/>
              </w:rPr>
              <w:t>；在开平境内河长 56km，流域面积 1580km</w:t>
            </w:r>
            <w:r>
              <w:rPr>
                <w:rFonts w:hint="default" w:ascii="Times New Roman" w:hAnsi="Times New Roman" w:eastAsia="宋体" w:cs="Times New Roman"/>
                <w:vertAlign w:val="superscript"/>
              </w:rPr>
              <w:t>2</w:t>
            </w:r>
            <w:r>
              <w:rPr>
                <w:rFonts w:hint="default" w:ascii="Times New Roman" w:hAnsi="Times New Roman" w:eastAsia="宋体" w:cs="Times New Roman"/>
              </w:rPr>
              <w:t>，全河平均坡 降为 0.45％。上游多高山峻岭，坡急流，山林较茂密，植被较好；中下游地势较为平坦开阔，坡度平缓，河道较为弯曲，低水时河沿沙洲毕露，从赤坎到三埠，比较大的江心洲有河南洲、羊咩洲、滘堤洲、祥龙洲、海心洲、长沙洲、沙皇洲等。</w:t>
            </w:r>
          </w:p>
          <w:p>
            <w:pPr>
              <w:ind w:firstLine="480"/>
              <w:rPr>
                <w:rFonts w:hint="default" w:ascii="Times New Roman" w:hAnsi="Times New Roman" w:eastAsia="宋体" w:cs="Times New Roman"/>
              </w:rPr>
            </w:pPr>
            <w:r>
              <w:rPr>
                <w:rFonts w:hint="default" w:ascii="Times New Roman" w:hAnsi="Times New Roman" w:eastAsia="宋体" w:cs="Times New Roman"/>
              </w:rPr>
              <w:t>潭江常年受潮汐影响，属弱径流强潮流的河道。据长沙、石咀、三江口、黄冲四水位站资料统计分析，潭江潮汐作用较强，而径流影响亦不可忽略。四站历年平均潮差依 次为，涨潮：2.96m、3.09m、2.94m、2.59m，落潮：2.76m、2.88m、2.85m、2.75m，上游大于下游。</w:t>
            </w:r>
          </w:p>
          <w:p>
            <w:pPr>
              <w:ind w:firstLine="480"/>
              <w:rPr>
                <w:rFonts w:hint="default" w:ascii="Times New Roman" w:hAnsi="Times New Roman" w:eastAsia="宋体" w:cs="Times New Roman"/>
              </w:rPr>
            </w:pPr>
            <w:r>
              <w:rPr>
                <w:rFonts w:hint="default" w:ascii="Times New Roman" w:hAnsi="Times New Roman" w:eastAsia="宋体" w:cs="Times New Roman"/>
              </w:rPr>
              <w:t>潭江地处暴雨区，汛期洪水峰高量大；枯水期则因径流量不大，河床逐年淤积，通 航能力较差。三埠镇以下可通航600吨的机动船，可直通广州、江门、香港和澳门。潭江干流水位变幅一般在2米到9米之间。据潢步水文站1956年到 1959年实测资料统计，多年平均年径流量为21.29亿m3，最大洪峰流量2870m</w:t>
            </w:r>
            <w:r>
              <w:rPr>
                <w:rFonts w:hint="default" w:ascii="Times New Roman" w:hAnsi="Times New Roman" w:eastAsia="宋体" w:cs="Times New Roman"/>
                <w:vertAlign w:val="superscript"/>
              </w:rPr>
              <w:t>3</w:t>
            </w:r>
            <w:r>
              <w:rPr>
                <w:rFonts w:hint="default" w:ascii="Times New Roman" w:hAnsi="Times New Roman" w:eastAsia="宋体" w:cs="Times New Roman"/>
              </w:rPr>
              <w:t>/s（1968 年5月）。最小 枯水流量为 0.003m3/s（1960 年 3 月），多年平均含沙量 0.108kg/m3，多年平均悬移质输 沙量 23 万吨，多年平均枯水量 4.37m3/s，最高水位 9.88m，最低水量 0.95m。</w:t>
            </w:r>
          </w:p>
          <w:p>
            <w:pPr>
              <w:ind w:firstLine="480"/>
              <w:rPr>
                <w:rFonts w:hint="default" w:ascii="Times New Roman" w:hAnsi="Times New Roman" w:eastAsia="宋体" w:cs="Times New Roman"/>
              </w:rPr>
            </w:pPr>
            <w:r>
              <w:rPr>
                <w:rFonts w:hint="default" w:ascii="Times New Roman" w:hAnsi="Times New Roman" w:eastAsia="宋体" w:cs="Times New Roman"/>
              </w:rPr>
              <w:t>开平境内潭江的主要支流包括镇海水、新昌水、新桥水、公益水、白沙水和蚬岗水等，各支流水文状况如下：</w:t>
            </w:r>
          </w:p>
          <w:p>
            <w:pPr>
              <w:ind w:firstLine="482"/>
              <w:rPr>
                <w:rFonts w:hint="default" w:ascii="Times New Roman" w:hAnsi="Times New Roman" w:eastAsia="宋体" w:cs="Times New Roman"/>
                <w:b/>
                <w:bCs/>
              </w:rPr>
            </w:pPr>
            <w:r>
              <w:rPr>
                <w:rFonts w:hint="default" w:ascii="Times New Roman" w:hAnsi="Times New Roman" w:eastAsia="宋体" w:cs="Times New Roman"/>
                <w:b/>
                <w:bCs/>
              </w:rPr>
              <w:t>（1）镇海水</w:t>
            </w:r>
          </w:p>
          <w:p>
            <w:pPr>
              <w:ind w:firstLine="480"/>
              <w:rPr>
                <w:rFonts w:hint="default" w:ascii="Times New Roman" w:hAnsi="Times New Roman" w:eastAsia="宋体" w:cs="Times New Roman"/>
              </w:rPr>
            </w:pPr>
            <w:r>
              <w:rPr>
                <w:rFonts w:hint="default" w:ascii="Times New Roman" w:hAnsi="Times New Roman" w:eastAsia="宋体" w:cs="Times New Roman"/>
              </w:rPr>
              <w:t>位于潭江下游左岸，为潭江最大的一级支流，发源于鹤山将军岭，上游于鹤山境内称宅梧河，自西北向东南汇入双桥水后折向南流，并先后汇入开平水，经沙塘在交流渡，在交流渡分流分别以向东至长沙振华的蟠龙出口和向南交流渡圩出口。流域总面积 1203km</w:t>
            </w:r>
            <w:r>
              <w:rPr>
                <w:rFonts w:hint="default" w:ascii="Times New Roman" w:hAnsi="Times New Roman" w:eastAsia="宋体" w:cs="Times New Roman"/>
                <w:vertAlign w:val="superscript"/>
              </w:rPr>
              <w:t>2</w:t>
            </w:r>
            <w:r>
              <w:rPr>
                <w:rFonts w:hint="default" w:ascii="Times New Roman" w:hAnsi="Times New Roman" w:eastAsia="宋体" w:cs="Times New Roman"/>
              </w:rPr>
              <w:t>，河流长 69km，河床上游平缓，平均比降为0.81‰，其中集水面积 100km</w:t>
            </w:r>
            <w:r>
              <w:rPr>
                <w:rFonts w:hint="default" w:ascii="Times New Roman" w:hAnsi="Times New Roman" w:eastAsia="宋体" w:cs="Times New Roman"/>
                <w:vertAlign w:val="superscript"/>
              </w:rPr>
              <w:t>2</w:t>
            </w:r>
            <w:r>
              <w:rPr>
                <w:rFonts w:hint="default" w:ascii="Times New Roman" w:hAnsi="Times New Roman" w:eastAsia="宋体" w:cs="Times New Roman"/>
              </w:rPr>
              <w:t>以上 的支流有双桥水、开平水、靖村水、曲水等 4 条。镇海水已建大沙河、镇海 2 宗大（二） 型水库和立新、花身蚕 2 宗中型水库，以及小（一）型水库 17 宗，小（二）型水库45宗，总库容 4.38 亿立方米，控制集雨面积 459km</w:t>
            </w:r>
            <w:r>
              <w:rPr>
                <w:rFonts w:hint="default" w:ascii="Times New Roman" w:hAnsi="Times New Roman" w:eastAsia="宋体" w:cs="Times New Roman"/>
                <w:vertAlign w:val="superscript"/>
              </w:rPr>
              <w:t>2</w:t>
            </w:r>
            <w:r>
              <w:rPr>
                <w:rFonts w:hint="default" w:ascii="Times New Roman" w:hAnsi="Times New Roman" w:eastAsia="宋体" w:cs="Times New Roman"/>
              </w:rPr>
              <w:t xml:space="preserve">。 </w:t>
            </w:r>
          </w:p>
          <w:p>
            <w:pPr>
              <w:ind w:firstLine="482"/>
              <w:rPr>
                <w:rFonts w:hint="default" w:ascii="Times New Roman" w:hAnsi="Times New Roman" w:eastAsia="宋体" w:cs="Times New Roman"/>
                <w:b/>
                <w:bCs/>
              </w:rPr>
            </w:pPr>
            <w:r>
              <w:rPr>
                <w:rFonts w:hint="default" w:ascii="Times New Roman" w:hAnsi="Times New Roman" w:eastAsia="宋体" w:cs="Times New Roman"/>
                <w:b/>
                <w:bCs/>
              </w:rPr>
              <w:t>（2）新昌水</w:t>
            </w:r>
          </w:p>
          <w:p>
            <w:pPr>
              <w:ind w:firstLine="480"/>
              <w:rPr>
                <w:rFonts w:hint="default" w:ascii="Times New Roman" w:hAnsi="Times New Roman" w:eastAsia="宋体" w:cs="Times New Roman"/>
              </w:rPr>
            </w:pPr>
            <w:r>
              <w:rPr>
                <w:rFonts w:hint="default" w:ascii="Times New Roman" w:hAnsi="Times New Roman" w:eastAsia="宋体" w:cs="Times New Roman"/>
              </w:rPr>
              <w:t>位于潭江下游右岸，发源于台山市古兜山的狮子尾，向西北流经四九镇至合水汇入 五十水，经台城与三合水汇流，在三埠原开平氮肥厂附近汇入主流。流域面积 576km</w:t>
            </w:r>
            <w:r>
              <w:rPr>
                <w:rFonts w:hint="default" w:ascii="Times New Roman" w:hAnsi="Times New Roman" w:eastAsia="宋体" w:cs="Times New Roman"/>
                <w:vertAlign w:val="superscript"/>
              </w:rPr>
              <w:t>2</w:t>
            </w:r>
            <w:r>
              <w:rPr>
                <w:rFonts w:hint="default" w:ascii="Times New Roman" w:hAnsi="Times New Roman" w:eastAsia="宋体" w:cs="Times New Roman"/>
              </w:rPr>
              <w:t>， 河流长度 52km，平均比降 1.81‰，其支流集水面积大于 100km</w:t>
            </w:r>
            <w:r>
              <w:rPr>
                <w:rFonts w:hint="default" w:ascii="Times New Roman" w:hAnsi="Times New Roman" w:eastAsia="宋体" w:cs="Times New Roman"/>
                <w:vertAlign w:val="superscript"/>
              </w:rPr>
              <w:t>2</w:t>
            </w:r>
            <w:r>
              <w:rPr>
                <w:rFonts w:hint="default" w:ascii="Times New Roman" w:hAnsi="Times New Roman" w:eastAsia="宋体" w:cs="Times New Roman"/>
              </w:rPr>
              <w:t>的有五十水、三合水等 2 条，流域多属丘陵山地，植被较好。该河流已建圹田、陈坑、老营底等3宗中型水库，小（一）型水库 13 宗，小（二）型水库 39 宗，控制集水面积 206.2km</w:t>
            </w:r>
            <w:r>
              <w:rPr>
                <w:rFonts w:hint="default" w:ascii="Times New Roman" w:hAnsi="Times New Roman" w:eastAsia="宋体" w:cs="Times New Roman"/>
                <w:vertAlign w:val="superscript"/>
              </w:rPr>
              <w:t>2</w:t>
            </w:r>
            <w:r>
              <w:rPr>
                <w:rFonts w:hint="default" w:ascii="Times New Roman" w:hAnsi="Times New Roman" w:eastAsia="宋体" w:cs="Times New Roman"/>
              </w:rPr>
              <w:t xml:space="preserve">，总库容 1.18 亿立方米。 </w:t>
            </w:r>
          </w:p>
          <w:p>
            <w:pPr>
              <w:ind w:firstLine="482"/>
              <w:rPr>
                <w:rFonts w:hint="default" w:ascii="Times New Roman" w:hAnsi="Times New Roman" w:eastAsia="宋体" w:cs="Times New Roman"/>
                <w:b/>
                <w:bCs/>
              </w:rPr>
            </w:pPr>
            <w:r>
              <w:rPr>
                <w:rFonts w:hint="default" w:ascii="Times New Roman" w:hAnsi="Times New Roman" w:eastAsia="宋体" w:cs="Times New Roman"/>
                <w:b/>
                <w:bCs/>
              </w:rPr>
              <w:t>（3）新桥水</w:t>
            </w:r>
          </w:p>
          <w:p>
            <w:pPr>
              <w:ind w:firstLine="480"/>
              <w:rPr>
                <w:rFonts w:hint="default" w:ascii="Times New Roman" w:hAnsi="Times New Roman" w:eastAsia="宋体" w:cs="Times New Roman"/>
              </w:rPr>
            </w:pPr>
            <w:r>
              <w:rPr>
                <w:rFonts w:hint="default" w:ascii="Times New Roman" w:hAnsi="Times New Roman" w:eastAsia="宋体" w:cs="Times New Roman"/>
              </w:rPr>
              <w:t>位于潭江下游左岸，发源于鹤山市皂幕山大深坑，向南流经水井镇、月山镇，在水 口镇流入主流，流域面积 143km</w:t>
            </w:r>
            <w:r>
              <w:rPr>
                <w:rFonts w:hint="default" w:ascii="Times New Roman" w:hAnsi="Times New Roman" w:eastAsia="宋体" w:cs="Times New Roman"/>
                <w:vertAlign w:val="superscript"/>
              </w:rPr>
              <w:t>2</w:t>
            </w:r>
            <w:r>
              <w:rPr>
                <w:rFonts w:hint="default" w:ascii="Times New Roman" w:hAnsi="Times New Roman" w:eastAsia="宋体" w:cs="Times New Roman"/>
              </w:rPr>
              <w:t>，河流长 29km，平均比降为 3.24‰，下游受潮汐影响，流域属丘陵河流、平原、山区各占 50%。现有小（一）型水库 3 宗，小（二）型水库 13 宗，控制集水面积 17km</w:t>
            </w:r>
            <w:r>
              <w:rPr>
                <w:rFonts w:hint="default" w:ascii="Times New Roman" w:hAnsi="Times New Roman" w:eastAsia="宋体" w:cs="Times New Roman"/>
                <w:vertAlign w:val="superscript"/>
              </w:rPr>
              <w:t>2</w:t>
            </w:r>
            <w:r>
              <w:rPr>
                <w:rFonts w:hint="default" w:ascii="Times New Roman" w:hAnsi="Times New Roman" w:eastAsia="宋体" w:cs="Times New Roman"/>
              </w:rPr>
              <w:t>，总库容 754 万立方米。根据华南环境科学研究所2006年对新桥水月明河段月明桥断面的水流观测，其平均落潮流速和涨潮流速分别为0.2526m/s和0.2228m/s。断面的潮周日落潮量为 1404092.8m3，断面平均落潮量为 31.41m</w:t>
            </w:r>
            <w:r>
              <w:rPr>
                <w:rFonts w:hint="default" w:ascii="Times New Roman" w:hAnsi="Times New Roman" w:eastAsia="宋体" w:cs="Times New Roman"/>
                <w:vertAlign w:val="superscript"/>
              </w:rPr>
              <w:t>3</w:t>
            </w:r>
            <w:r>
              <w:rPr>
                <w:rFonts w:hint="default" w:ascii="Times New Roman" w:hAnsi="Times New Roman" w:eastAsia="宋体" w:cs="Times New Roman"/>
              </w:rPr>
              <w:t>/s；断面潮周日涨潮量为 1329823m</w:t>
            </w:r>
            <w:r>
              <w:rPr>
                <w:rFonts w:hint="default" w:ascii="Times New Roman" w:hAnsi="Times New Roman" w:eastAsia="宋体" w:cs="Times New Roman"/>
                <w:vertAlign w:val="superscript"/>
              </w:rPr>
              <w:t>3</w:t>
            </w:r>
            <w:r>
              <w:rPr>
                <w:rFonts w:hint="default" w:ascii="Times New Roman" w:hAnsi="Times New Roman" w:eastAsia="宋体" w:cs="Times New Roman"/>
              </w:rPr>
              <w:t>，断面平均 涨潮量为 28.78m3/s。断面潮周日的平均净泄量为 0.817m3/s。</w:t>
            </w:r>
          </w:p>
          <w:p>
            <w:pPr>
              <w:ind w:firstLine="482"/>
              <w:rPr>
                <w:rFonts w:hint="default" w:ascii="Times New Roman" w:hAnsi="Times New Roman" w:eastAsia="宋体" w:cs="Times New Roman"/>
                <w:b/>
                <w:bCs/>
              </w:rPr>
            </w:pPr>
            <w:r>
              <w:rPr>
                <w:rFonts w:hint="default" w:ascii="Times New Roman" w:hAnsi="Times New Roman" w:eastAsia="宋体" w:cs="Times New Roman"/>
                <w:b/>
                <w:bCs/>
              </w:rPr>
              <w:t>（4）公益水</w:t>
            </w:r>
          </w:p>
          <w:p>
            <w:pPr>
              <w:ind w:firstLine="480"/>
              <w:rPr>
                <w:rFonts w:hint="default" w:ascii="Times New Roman" w:hAnsi="Times New Roman" w:eastAsia="宋体" w:cs="Times New Roman"/>
              </w:rPr>
            </w:pPr>
            <w:r>
              <w:rPr>
                <w:rFonts w:hint="default" w:ascii="Times New Roman" w:hAnsi="Times New Roman" w:eastAsia="宋体" w:cs="Times New Roman"/>
              </w:rPr>
              <w:t>位于潭江下游右岸，发源于台山市古兜山北部的烟斗岗，流经大江镇，与水步支流 汇合，至公益镇东头汇入主流。流域面积 136km</w:t>
            </w:r>
            <w:r>
              <w:rPr>
                <w:rFonts w:hint="default" w:ascii="Times New Roman" w:hAnsi="Times New Roman" w:eastAsia="宋体" w:cs="Times New Roman"/>
                <w:vertAlign w:val="superscript"/>
              </w:rPr>
              <w:t>2</w:t>
            </w:r>
            <w:r>
              <w:rPr>
                <w:rFonts w:hint="default" w:ascii="Times New Roman" w:hAnsi="Times New Roman" w:eastAsia="宋体" w:cs="Times New Roman"/>
              </w:rPr>
              <w:t>，河流长度 28km，平均比降为 0.68‰，该河受潮汐影响可达大江镇及水步镇。该河建有小（一）型水库 4 宗，小（二）型水库7宗，控制集水面积23.7km</w:t>
            </w:r>
            <w:r>
              <w:rPr>
                <w:rFonts w:hint="default" w:ascii="Times New Roman" w:hAnsi="Times New Roman" w:eastAsia="宋体" w:cs="Times New Roman"/>
                <w:vertAlign w:val="superscript"/>
              </w:rPr>
              <w:t>2</w:t>
            </w:r>
            <w:r>
              <w:rPr>
                <w:rFonts w:hint="default" w:ascii="Times New Roman" w:hAnsi="Times New Roman" w:eastAsia="宋体" w:cs="Times New Roman"/>
              </w:rPr>
              <w:t>，总库容 1808 万立方米。</w:t>
            </w:r>
          </w:p>
          <w:p>
            <w:pPr>
              <w:ind w:firstLine="482"/>
              <w:rPr>
                <w:rFonts w:hint="default" w:ascii="Times New Roman" w:hAnsi="Times New Roman" w:eastAsia="宋体" w:cs="Times New Roman"/>
                <w:b/>
                <w:bCs/>
              </w:rPr>
            </w:pPr>
            <w:r>
              <w:rPr>
                <w:rFonts w:hint="default" w:ascii="Times New Roman" w:hAnsi="Times New Roman" w:eastAsia="宋体" w:cs="Times New Roman"/>
                <w:b/>
                <w:bCs/>
              </w:rPr>
              <w:t>（5）白沙水</w:t>
            </w:r>
          </w:p>
          <w:p>
            <w:pPr>
              <w:ind w:firstLine="480"/>
              <w:rPr>
                <w:rFonts w:hint="default" w:ascii="Times New Roman" w:hAnsi="Times New Roman" w:eastAsia="宋体" w:cs="Times New Roman"/>
              </w:rPr>
            </w:pPr>
            <w:r>
              <w:rPr>
                <w:rFonts w:hint="default" w:ascii="Times New Roman" w:hAnsi="Times New Roman" w:eastAsia="宋体" w:cs="Times New Roman"/>
              </w:rPr>
              <w:t>白沙水又名赤水河，位于潭江下游之右岸，发源于开平市的三两银山，自南向北流 经开平市东山镇、赤水镇和台山的白沙镇，在百足尾汇入主流。流域面积 38.3km</w:t>
            </w:r>
            <w:r>
              <w:rPr>
                <w:rFonts w:hint="default" w:ascii="Times New Roman" w:hAnsi="Times New Roman" w:eastAsia="宋体" w:cs="Times New Roman"/>
                <w:vertAlign w:val="superscript"/>
              </w:rPr>
              <w:t>2</w:t>
            </w:r>
            <w:r>
              <w:rPr>
                <w:rFonts w:hint="default" w:ascii="Times New Roman" w:hAnsi="Times New Roman" w:eastAsia="宋体" w:cs="Times New Roman"/>
              </w:rPr>
              <w:t>，河流 长度 49km，平均比降为 0.77‰，鹤仔朗以下受潮汐影响。上游已建狮山中型水库 1 宗及 小（一）型水库 5 宗，小（二）型水库 25 宗，控制集水面积 63.1km</w:t>
            </w:r>
            <w:r>
              <w:rPr>
                <w:rFonts w:hint="default" w:ascii="Times New Roman" w:hAnsi="Times New Roman" w:eastAsia="宋体" w:cs="Times New Roman"/>
                <w:vertAlign w:val="superscript"/>
              </w:rPr>
              <w:t>2</w:t>
            </w:r>
            <w:r>
              <w:rPr>
                <w:rFonts w:hint="default" w:ascii="Times New Roman" w:hAnsi="Times New Roman" w:eastAsia="宋体" w:cs="Times New Roman"/>
              </w:rPr>
              <w:t>，总库容 16953 万m</w:t>
            </w:r>
            <w:r>
              <w:rPr>
                <w:rFonts w:hint="default" w:ascii="Times New Roman" w:hAnsi="Times New Roman" w:eastAsia="宋体" w:cs="Times New Roman"/>
                <w:vertAlign w:val="superscript"/>
              </w:rPr>
              <w:t>3</w:t>
            </w:r>
            <w:r>
              <w:rPr>
                <w:rFonts w:hint="default" w:ascii="Times New Roman" w:hAnsi="Times New Roman" w:eastAsia="宋体" w:cs="Times New Roman"/>
              </w:rPr>
              <w:t xml:space="preserve">。  </w:t>
            </w:r>
          </w:p>
          <w:p>
            <w:pPr>
              <w:ind w:firstLine="482"/>
              <w:rPr>
                <w:rFonts w:hint="default" w:ascii="Times New Roman" w:hAnsi="Times New Roman" w:eastAsia="宋体" w:cs="Times New Roman"/>
                <w:b/>
                <w:bCs/>
              </w:rPr>
            </w:pPr>
            <w:r>
              <w:rPr>
                <w:rFonts w:hint="default" w:ascii="Times New Roman" w:hAnsi="Times New Roman" w:eastAsia="宋体" w:cs="Times New Roman"/>
                <w:b/>
                <w:bCs/>
              </w:rPr>
              <w:t>（6）蚬冈水</w:t>
            </w:r>
          </w:p>
          <w:p>
            <w:pPr>
              <w:ind w:firstLine="480"/>
              <w:rPr>
                <w:rFonts w:hint="default" w:ascii="Times New Roman" w:hAnsi="Times New Roman" w:eastAsia="宋体" w:cs="Times New Roman"/>
              </w:rPr>
            </w:pPr>
            <w:r>
              <w:rPr>
                <w:rFonts w:hint="default" w:ascii="Times New Roman" w:hAnsi="Times New Roman" w:eastAsia="宋体" w:cs="Times New Roman"/>
              </w:rPr>
              <w:t>蚬冈水位于潭江下游的右岸，发源于恩平五点梅花山，向东流至开平市金鸡镇飞鹅 里与金鸡水汇合再折向东北，企山海村以下受潮汐影响，流域面积 185km</w:t>
            </w:r>
            <w:r>
              <w:rPr>
                <w:rFonts w:hint="default" w:ascii="Times New Roman" w:hAnsi="Times New Roman" w:eastAsia="宋体" w:cs="Times New Roman"/>
                <w:vertAlign w:val="superscript"/>
              </w:rPr>
              <w:t>2</w:t>
            </w:r>
            <w:r>
              <w:rPr>
                <w:rFonts w:hint="default" w:ascii="Times New Roman" w:hAnsi="Times New Roman" w:eastAsia="宋体" w:cs="Times New Roman"/>
              </w:rPr>
              <w:t>，主河长34km， 平均比降为1.30‰。上游已建青南角中型水库1宗以及小（一）型水库9宗，小（二） 型水库14宗，控制流域面积53.8km</w:t>
            </w:r>
            <w:r>
              <w:rPr>
                <w:rFonts w:hint="default" w:ascii="Times New Roman" w:hAnsi="Times New Roman" w:eastAsia="宋体" w:cs="Times New Roman"/>
                <w:vertAlign w:val="superscript"/>
              </w:rPr>
              <w:t>2</w:t>
            </w:r>
            <w:r>
              <w:rPr>
                <w:rFonts w:hint="default" w:ascii="Times New Roman" w:hAnsi="Times New Roman" w:eastAsia="宋体" w:cs="Times New Roman"/>
              </w:rPr>
              <w:t>，总库容4710 万立方米。</w:t>
            </w:r>
          </w:p>
          <w:p>
            <w:pPr>
              <w:keepNext/>
              <w:keepLines/>
              <w:numPr>
                <w:ilvl w:val="1"/>
                <w:numId w:val="0"/>
              </w:numPr>
              <w:autoSpaceDE w:val="0"/>
              <w:autoSpaceDN w:val="0"/>
              <w:adjustRightInd w:val="0"/>
              <w:snapToGrid w:val="0"/>
              <w:ind w:firstLine="482" w:firstLineChars="200"/>
              <w:textAlignment w:val="baseline"/>
              <w:outlineLvl w:val="1"/>
              <w:rPr>
                <w:rFonts w:hint="default" w:ascii="Times New Roman" w:hAnsi="Times New Roman" w:eastAsia="宋体" w:cs="Times New Roman"/>
                <w:b/>
                <w:kern w:val="24"/>
              </w:rPr>
            </w:pPr>
            <w:r>
              <w:rPr>
                <w:rFonts w:hint="default" w:ascii="Times New Roman" w:hAnsi="Times New Roman" w:eastAsia="宋体" w:cs="Times New Roman"/>
                <w:b/>
                <w:kern w:val="24"/>
              </w:rPr>
              <w:t>五、农作物、土壤与植被</w:t>
            </w:r>
          </w:p>
          <w:p>
            <w:pPr>
              <w:ind w:firstLine="480"/>
              <w:rPr>
                <w:rFonts w:hint="default" w:ascii="Times New Roman" w:hAnsi="Times New Roman" w:eastAsia="宋体" w:cs="Times New Roman"/>
              </w:rPr>
            </w:pPr>
            <w:r>
              <w:rPr>
                <w:rFonts w:hint="default" w:ascii="Times New Roman" w:hAnsi="Times New Roman" w:eastAsia="宋体" w:cs="Times New Roman"/>
              </w:rPr>
              <w:t>开平市矿产资源丰富，矿产资源已探明和开采的有铁、锰、铜、锡、金、铀、煤、 独硅石、耐火石、钾长石等33种。</w:t>
            </w:r>
          </w:p>
          <w:p>
            <w:pPr>
              <w:ind w:firstLine="480"/>
              <w:rPr>
                <w:rFonts w:hint="default" w:ascii="Times New Roman" w:hAnsi="Times New Roman" w:eastAsia="宋体" w:cs="Times New Roman"/>
              </w:rPr>
            </w:pPr>
            <w:r>
              <w:rPr>
                <w:rFonts w:hint="default" w:ascii="Times New Roman" w:hAnsi="Times New Roman" w:eastAsia="宋体" w:cs="Times New Roman"/>
              </w:rPr>
              <w:t>开平市生物资源种类繁多。植物方面有种子植物和蕨类植物，主要代表科有壳斗科、山茶科、木兰科、樟科、桑科、蝶形花科、梧桐科、苏木科、桃金娘科、山龙眼科和芭蕉科等。动物方面主要是鸟、鱼、虫、兽。常见的珍稀动物有穿山甲、大头龟、果子狸、猴面鹰。较多的野生动物有山猪、石蛤、鳖、蛇、鹧鸪、坑螺等。项目所在区域的土壤属冲积泥沙土壤和冲积黄红壤；周围植被主要为亚热带、热带的树种。乔木主要有松科、杉科、樟科、木麻黄科等。草被以芒萁为主，蕨类次之，常见芒萁群和马尾松、岗松、小叶樟、大叶樟、鸭脚木、乌桕、荷木、桃金娘、野牡丹和算盘子等。</w:t>
            </w:r>
          </w:p>
          <w:p>
            <w:pPr>
              <w:ind w:firstLine="480"/>
              <w:rPr>
                <w:rFonts w:hint="default" w:ascii="Times New Roman" w:hAnsi="Times New Roman" w:eastAsia="宋体" w:cs="Times New Roman"/>
              </w:rPr>
            </w:pPr>
            <w:r>
              <w:rPr>
                <w:rFonts w:hint="default" w:ascii="Times New Roman" w:hAnsi="Times New Roman" w:eastAsia="宋体" w:cs="Times New Roman"/>
              </w:rPr>
              <w:t xml:space="preserve">开平市土壤分为6个土类、10个亚类、27个土属、59个土种。成土母质分布错综复杂，潭江及其支流沿岸是河流冲积物，而丘陵区成土母质则是岩石风化物的残积、坡积、洪积或宽谷冲积物。母质以水成岩、变质岩居多，火成岩较少。不同类型成土母质发育的土壤，性质上有很大的差异，河流冲积物发育的土壤飞丽较高，宽谷、峡谷冲积则次之，山坡残积、坡积较差，粗晶花岗岩发育的土壤砂粒粗。有花岗岩母质发育的土壤主要分布在百合、苍城、赤水、金鸡、沙塘、塘口、蚬岗和月山等镇，水稻土则主要分布在潭江沿岸的平原地带。区内雨水调匀，春旱不多；而雨季和台风带来的暴雨，容易造成冲刷和洪涝，造成上游山地丘陵区易产生水土流失，下游受浸。 </w:t>
            </w:r>
          </w:p>
          <w:p>
            <w:pPr>
              <w:pStyle w:val="28"/>
              <w:rPr>
                <w:rFonts w:hint="default" w:ascii="Times New Roman" w:hAnsi="Times New Roman" w:eastAsia="宋体" w:cs="Times New Roman"/>
              </w:rPr>
            </w:pPr>
          </w:p>
          <w:p>
            <w:pPr>
              <w:keepNext/>
              <w:keepLines/>
              <w:autoSpaceDE w:val="0"/>
              <w:autoSpaceDN w:val="0"/>
              <w:adjustRightInd w:val="0"/>
              <w:snapToGrid w:val="0"/>
              <w:ind w:left="480" w:leftChars="200" w:firstLine="0" w:firstLineChars="0"/>
              <w:textAlignment w:val="baseline"/>
              <w:outlineLvl w:val="1"/>
              <w:rPr>
                <w:rFonts w:hint="default" w:ascii="Times New Roman" w:hAnsi="Times New Roman" w:eastAsia="宋体" w:cs="Times New Roman"/>
                <w:b/>
                <w:kern w:val="24"/>
              </w:rPr>
            </w:pPr>
            <w:r>
              <w:rPr>
                <w:rFonts w:hint="default" w:ascii="Times New Roman" w:hAnsi="Times New Roman" w:eastAsia="宋体" w:cs="Times New Roman"/>
                <w:b/>
                <w:kern w:val="24"/>
              </w:rPr>
              <w:t>六、区域环境功能属性</w:t>
            </w:r>
          </w:p>
          <w:p>
            <w:pPr>
              <w:ind w:firstLine="480"/>
              <w:rPr>
                <w:rFonts w:hint="default" w:ascii="Times New Roman" w:hAnsi="Times New Roman" w:eastAsia="宋体" w:cs="Times New Roman"/>
              </w:rPr>
            </w:pPr>
            <w:r>
              <w:rPr>
                <w:rFonts w:hint="default" w:ascii="Times New Roman" w:hAnsi="Times New Roman" w:eastAsia="宋体" w:cs="Times New Roman"/>
              </w:rPr>
              <w:t>本项目选址所在区域环境功能属性见下表：</w:t>
            </w:r>
          </w:p>
          <w:p>
            <w:pPr>
              <w:pStyle w:val="45"/>
              <w:rPr>
                <w:rFonts w:hint="default" w:ascii="Times New Roman" w:hAnsi="Times New Roman" w:eastAsia="宋体" w:cs="Times New Roman"/>
                <w:b/>
                <w:bCs/>
              </w:rPr>
            </w:pPr>
            <w:r>
              <w:rPr>
                <w:rFonts w:hint="default" w:ascii="Times New Roman" w:hAnsi="Times New Roman" w:eastAsia="宋体" w:cs="Times New Roman"/>
                <w:b/>
                <w:bCs/>
              </w:rPr>
              <w:t>表2-2 本项目所在地环境功能属性一览表</w:t>
            </w:r>
          </w:p>
          <w:tbl>
            <w:tblPr>
              <w:tblStyle w:val="23"/>
              <w:tblW w:w="8460" w:type="dxa"/>
              <w:tblInd w:w="0" w:type="dxa"/>
              <w:tblBorders>
                <w:top w:val="single" w:color="auto" w:sz="6" w:space="0"/>
                <w:left w:val="none" w:color="auto" w:sz="0" w:space="0"/>
                <w:bottom w:val="single" w:color="auto" w:sz="6"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1"/>
              <w:gridCol w:w="2712"/>
              <w:gridCol w:w="5047"/>
            </w:tblGrid>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1" w:type="dxa"/>
                  <w:vAlign w:val="center"/>
                </w:tcPr>
                <w:p>
                  <w:pPr>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编号</w:t>
                  </w:r>
                </w:p>
              </w:tc>
              <w:tc>
                <w:tcPr>
                  <w:tcW w:w="2712" w:type="dxa"/>
                  <w:vAlign w:val="center"/>
                </w:tcPr>
                <w:p>
                  <w:pPr>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功能区区划名称</w:t>
                  </w:r>
                </w:p>
              </w:tc>
              <w:tc>
                <w:tcPr>
                  <w:tcW w:w="5047" w:type="dxa"/>
                  <w:vAlign w:val="center"/>
                </w:tcPr>
                <w:p>
                  <w:pPr>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建设项目所属类别</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1"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2712"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水环境功能区划</w:t>
                  </w:r>
                </w:p>
              </w:tc>
              <w:tc>
                <w:tcPr>
                  <w:tcW w:w="5047" w:type="dxa"/>
                  <w:vAlign w:val="center"/>
                </w:tcPr>
                <w:p>
                  <w:pPr>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项目附近水体为潭江（义兴到祥龙水厂吸水点下 1km）属Ⅱ类水体，功能现状为渔工农业用水，执行《地表水环境质量标准》（GB3838-2002）中的Ⅱ类标准；</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1"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2712"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环境空气质量功能区</w:t>
                  </w:r>
                </w:p>
              </w:tc>
              <w:tc>
                <w:tcPr>
                  <w:tcW w:w="5047" w:type="dxa"/>
                  <w:vAlign w:val="center"/>
                </w:tcPr>
                <w:p>
                  <w:pPr>
                    <w:pStyle w:val="19"/>
                    <w:pBdr>
                      <w:bottom w:val="none" w:color="auto" w:sz="0" w:space="0"/>
                    </w:pBdr>
                    <w:tabs>
                      <w:tab w:val="clear" w:pos="4153"/>
                      <w:tab w:val="clear" w:pos="8306"/>
                    </w:tabs>
                    <w:snapToGrid/>
                    <w:rPr>
                      <w:rFonts w:hint="default" w:ascii="Times New Roman" w:hAnsi="Times New Roman" w:eastAsia="宋体" w:cs="Times New Roman"/>
                    </w:rPr>
                  </w:pPr>
                  <w:r>
                    <w:rPr>
                      <w:rFonts w:hint="default" w:ascii="Times New Roman" w:hAnsi="Times New Roman" w:eastAsia="宋体" w:cs="Times New Roman"/>
                    </w:rPr>
                    <w:t>属二类区，执行《环境空气质量标准》（GB3095-2012）及其修改单（生态环境部公告2018年第29号）</w:t>
                  </w:r>
                  <w:r>
                    <w:rPr>
                      <w:rFonts w:hint="default" w:ascii="Times New Roman" w:hAnsi="Times New Roman" w:eastAsia="宋体" w:cs="Times New Roman"/>
                      <w:bCs/>
                    </w:rPr>
                    <w:t>二级标准；</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1"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2712"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环境噪声功能区</w:t>
                  </w:r>
                </w:p>
              </w:tc>
              <w:tc>
                <w:tcPr>
                  <w:tcW w:w="5047"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属2类区，执行《声环境质量标准》（GB3096-2008）2类标准；</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1"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2712"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是否饮用水源保护区</w:t>
                  </w:r>
                </w:p>
              </w:tc>
              <w:tc>
                <w:tcPr>
                  <w:tcW w:w="5047"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否</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1"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2712"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是否基本农田保护区</w:t>
                  </w:r>
                </w:p>
              </w:tc>
              <w:tc>
                <w:tcPr>
                  <w:tcW w:w="5047"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否</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1"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2712"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是否风景名胜保护区</w:t>
                  </w:r>
                </w:p>
              </w:tc>
              <w:tc>
                <w:tcPr>
                  <w:tcW w:w="5047"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否</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1"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2712"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是否生态敏感与脆弱区</w:t>
                  </w:r>
                </w:p>
              </w:tc>
              <w:tc>
                <w:tcPr>
                  <w:tcW w:w="5047"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否</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1"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w:t>
                  </w:r>
                </w:p>
              </w:tc>
              <w:tc>
                <w:tcPr>
                  <w:tcW w:w="2712"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是否城市污水集水范围</w:t>
                  </w:r>
                </w:p>
              </w:tc>
              <w:tc>
                <w:tcPr>
                  <w:tcW w:w="5047"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否</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1"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w:t>
                  </w:r>
                </w:p>
              </w:tc>
              <w:tc>
                <w:tcPr>
                  <w:tcW w:w="2712"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是否三河、三湖、两控区</w:t>
                  </w:r>
                </w:p>
              </w:tc>
              <w:tc>
                <w:tcPr>
                  <w:tcW w:w="5047"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是，酸雨控制区</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1"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2712"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是否污水处理厂集水范围</w:t>
                  </w:r>
                </w:p>
              </w:tc>
              <w:tc>
                <w:tcPr>
                  <w:tcW w:w="5047" w:type="dxa"/>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否</w:t>
                  </w:r>
                </w:p>
              </w:tc>
            </w:tr>
          </w:tbl>
          <w:p>
            <w:pPr>
              <w:ind w:firstLine="0" w:firstLineChars="0"/>
              <w:rPr>
                <w:rFonts w:hint="default" w:ascii="Times New Roman" w:hAnsi="Times New Roman" w:eastAsia="宋体" w:cs="Times New Roman"/>
              </w:rPr>
            </w:pPr>
          </w:p>
        </w:tc>
      </w:tr>
    </w:tbl>
    <w:p>
      <w:pPr>
        <w:ind w:firstLine="643"/>
        <w:rPr>
          <w:rFonts w:hint="default" w:ascii="Times New Roman" w:hAnsi="Times New Roman" w:eastAsia="宋体" w:cs="Times New Roman"/>
          <w:b/>
          <w:sz w:val="32"/>
        </w:rPr>
      </w:pPr>
      <w:r>
        <w:rPr>
          <w:rFonts w:hint="default" w:ascii="Times New Roman" w:hAnsi="Times New Roman" w:eastAsia="宋体" w:cs="Times New Roman"/>
          <w:b/>
          <w:sz w:val="32"/>
        </w:rPr>
        <w:br w:type="page"/>
      </w:r>
    </w:p>
    <w:p>
      <w:pPr>
        <w:numPr>
          <w:ilvl w:val="0"/>
          <w:numId w:val="7"/>
        </w:numPr>
        <w:ind w:firstLine="0" w:firstLineChars="0"/>
        <w:outlineLvl w:val="0"/>
        <w:rPr>
          <w:rFonts w:hint="default" w:ascii="Times New Roman" w:hAnsi="Times New Roman" w:eastAsia="宋体" w:cs="Times New Roman"/>
          <w:b/>
          <w:sz w:val="32"/>
        </w:rPr>
      </w:pPr>
      <w:bookmarkStart w:id="5" w:name="_Toc26997"/>
      <w:r>
        <w:rPr>
          <w:rFonts w:hint="default" w:ascii="Times New Roman" w:hAnsi="Times New Roman" w:eastAsia="宋体" w:cs="Times New Roman"/>
          <w:b/>
          <w:sz w:val="32"/>
        </w:rPr>
        <w:t>环境质量状况</w:t>
      </w:r>
      <w:bookmarkEnd w:id="5"/>
    </w:p>
    <w:tbl>
      <w:tblPr>
        <w:tblStyle w:val="23"/>
        <w:tblW w:w="9221"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22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726" w:hRule="atLeast"/>
        </w:trPr>
        <w:tc>
          <w:tcPr>
            <w:tcW w:w="9221" w:type="dxa"/>
          </w:tcPr>
          <w:p>
            <w:pPr>
              <w:spacing w:before="120"/>
              <w:ind w:firstLine="0" w:firstLineChars="0"/>
              <w:rPr>
                <w:rFonts w:hint="default" w:ascii="Times New Roman" w:hAnsi="Times New Roman" w:eastAsia="宋体" w:cs="Times New Roman"/>
                <w:b/>
                <w:sz w:val="28"/>
              </w:rPr>
            </w:pPr>
            <w:r>
              <w:rPr>
                <w:rFonts w:hint="default" w:ascii="Times New Roman" w:hAnsi="Times New Roman" w:eastAsia="宋体" w:cs="Times New Roman"/>
                <w:b/>
                <w:sz w:val="28"/>
              </w:rPr>
              <w:t>建设项目所在地区域环境质量现状及主要环境问题（环境空气、地表水、地下水、声环境、生态环境等）</w:t>
            </w:r>
          </w:p>
          <w:p>
            <w:pPr>
              <w:numPr>
                <w:ilvl w:val="0"/>
                <w:numId w:val="11"/>
              </w:numPr>
              <w:tabs>
                <w:tab w:val="left" w:pos="452"/>
              </w:tabs>
              <w:adjustRightInd w:val="0"/>
              <w:snapToGrid w:val="0"/>
              <w:ind w:firstLine="472" w:firstLineChars="196"/>
              <w:rPr>
                <w:rFonts w:hint="default" w:ascii="Times New Roman" w:hAnsi="Times New Roman" w:eastAsia="宋体" w:cs="Times New Roman"/>
                <w:b/>
                <w:snapToGrid w:val="0"/>
                <w:kern w:val="4"/>
              </w:rPr>
            </w:pPr>
            <w:r>
              <w:rPr>
                <w:rFonts w:hint="default" w:ascii="Times New Roman" w:hAnsi="Times New Roman" w:eastAsia="宋体" w:cs="Times New Roman"/>
                <w:b/>
              </w:rPr>
              <w:t>地表水环境质量现状</w:t>
            </w:r>
          </w:p>
          <w:p>
            <w:pPr>
              <w:ind w:firstLine="480"/>
              <w:rPr>
                <w:rFonts w:hint="default" w:ascii="Times New Roman" w:hAnsi="Times New Roman" w:eastAsia="宋体" w:cs="Times New Roman"/>
              </w:rPr>
            </w:pPr>
            <w:r>
              <w:rPr>
                <w:rFonts w:hint="default" w:ascii="Times New Roman" w:hAnsi="Times New Roman" w:eastAsia="宋体" w:cs="Times New Roman"/>
              </w:rPr>
              <w:t>项目附近地表水潭江（义兴到祥龙水厂吸水点下 1km）属Ⅱ类水体，执行《地表水环境质量标准》（GB 3838-2002）中的Ⅱ类标准。本项目无外排废水，目前项目所在地尚未覆盖市政污水管网，生活污水经三级化粪池沤肥处理后委托农户定期清运用于农田灌溉，不外排。</w:t>
            </w:r>
          </w:p>
          <w:p>
            <w:pPr>
              <w:ind w:firstLine="480"/>
              <w:rPr>
                <w:rFonts w:hint="default" w:ascii="Times New Roman" w:hAnsi="Times New Roman" w:eastAsia="宋体" w:cs="Times New Roman"/>
              </w:rPr>
            </w:pPr>
            <w:r>
              <w:rPr>
                <w:rFonts w:hint="default" w:ascii="Times New Roman" w:hAnsi="Times New Roman" w:eastAsia="宋体" w:cs="Times New Roman"/>
              </w:rPr>
              <w:t>根据《2020年11月江门市省、市水环境监测网水质月报》（网址：http://www.jiangmen.gov.cn/bmpd/jmssthjj/hjzl/jhszyb/content/post_2209855.html），潭江干流（南楼断面）地表水水质达到《地表水环境质量标准》（GB3838-2002）中的Ⅱ类，潭江水质监测结果如下：</w:t>
            </w:r>
          </w:p>
          <w:p>
            <w:pPr>
              <w:pStyle w:val="28"/>
              <w:ind w:firstLine="0" w:firstLineChars="0"/>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5707380" cy="3140075"/>
                  <wp:effectExtent l="0" t="0" r="7620" b="3175"/>
                  <wp:docPr id="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9"/>
                          <pic:cNvPicPr>
                            <a:picLocks noChangeAspect="1"/>
                          </pic:cNvPicPr>
                        </pic:nvPicPr>
                        <pic:blipFill>
                          <a:blip r:embed="rId17"/>
                          <a:stretch>
                            <a:fillRect/>
                          </a:stretch>
                        </pic:blipFill>
                        <pic:spPr>
                          <a:xfrm>
                            <a:off x="0" y="0"/>
                            <a:ext cx="5707380" cy="3140075"/>
                          </a:xfrm>
                          <a:prstGeom prst="rect">
                            <a:avLst/>
                          </a:prstGeom>
                          <a:noFill/>
                          <a:ln>
                            <a:noFill/>
                          </a:ln>
                        </pic:spPr>
                      </pic:pic>
                    </a:graphicData>
                  </a:graphic>
                </wp:inline>
              </w:drawing>
            </w:r>
          </w:p>
          <w:p>
            <w:pPr>
              <w:pStyle w:val="28"/>
              <w:ind w:firstLine="482"/>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图3-1 《2020年11月江门市省、市水环境监测网水质月报》截图</w:t>
            </w:r>
          </w:p>
          <w:p>
            <w:pPr>
              <w:ind w:firstLine="480"/>
              <w:rPr>
                <w:rFonts w:hint="default" w:ascii="Times New Roman" w:hAnsi="Times New Roman" w:eastAsia="宋体" w:cs="Times New Roman"/>
              </w:rPr>
            </w:pPr>
            <w:r>
              <w:rPr>
                <w:rFonts w:hint="default" w:ascii="Times New Roman" w:hAnsi="Times New Roman" w:eastAsia="宋体" w:cs="Times New Roman"/>
              </w:rPr>
              <w:t>由上图可知，潭江</w:t>
            </w:r>
            <w:r>
              <w:rPr>
                <w:rFonts w:hint="default" w:ascii="Times New Roman" w:hAnsi="Times New Roman" w:eastAsia="宋体" w:cs="Times New Roman"/>
                <w:lang w:eastAsia="zh-CN"/>
              </w:rPr>
              <w:t>（</w:t>
            </w:r>
            <w:r>
              <w:rPr>
                <w:rFonts w:hint="default" w:ascii="Times New Roman" w:hAnsi="Times New Roman" w:eastAsia="宋体" w:cs="Times New Roman"/>
                <w:lang w:val="en-US" w:eastAsia="zh-CN"/>
              </w:rPr>
              <w:t>南楼断面</w:t>
            </w:r>
            <w:r>
              <w:rPr>
                <w:rFonts w:hint="default" w:ascii="Times New Roman" w:hAnsi="Times New Roman" w:eastAsia="宋体" w:cs="Times New Roman"/>
                <w:lang w:eastAsia="zh-CN"/>
              </w:rPr>
              <w:t>）</w:t>
            </w:r>
            <w:r>
              <w:rPr>
                <w:rFonts w:hint="default" w:ascii="Times New Roman" w:hAnsi="Times New Roman" w:eastAsia="宋体" w:cs="Times New Roman"/>
              </w:rPr>
              <w:t>在2020年11月的水质监测结果中，各项指标均能达到《地表水环境质量标准》（GB3838-2002）Ⅱ类标准，说明水环境质量现状良好。</w:t>
            </w:r>
          </w:p>
          <w:p>
            <w:pPr>
              <w:pStyle w:val="28"/>
              <w:rPr>
                <w:rFonts w:hint="default" w:ascii="Times New Roman" w:hAnsi="Times New Roman" w:eastAsia="宋体" w:cs="Times New Roman"/>
              </w:rPr>
            </w:pPr>
          </w:p>
          <w:p>
            <w:pPr>
              <w:numPr>
                <w:ilvl w:val="0"/>
                <w:numId w:val="11"/>
              </w:numPr>
              <w:tabs>
                <w:tab w:val="left" w:pos="452"/>
              </w:tabs>
              <w:adjustRightInd w:val="0"/>
              <w:snapToGrid w:val="0"/>
              <w:ind w:firstLine="472" w:firstLineChars="196"/>
              <w:rPr>
                <w:rFonts w:hint="default" w:ascii="Times New Roman" w:hAnsi="Times New Roman" w:eastAsia="宋体" w:cs="Times New Roman"/>
                <w:b/>
              </w:rPr>
            </w:pPr>
            <w:r>
              <w:rPr>
                <w:rFonts w:hint="default" w:ascii="Times New Roman" w:hAnsi="Times New Roman" w:eastAsia="宋体" w:cs="Times New Roman"/>
                <w:b/>
              </w:rPr>
              <w:t>环境空气质量现状</w:t>
            </w:r>
          </w:p>
          <w:p>
            <w:pPr>
              <w:snapToGrid w:val="0"/>
              <w:ind w:firstLine="482"/>
              <w:jc w:val="left"/>
              <w:rPr>
                <w:rFonts w:hint="default" w:ascii="Times New Roman" w:hAnsi="Times New Roman" w:eastAsia="宋体" w:cs="Times New Roman"/>
                <w:b/>
                <w:bCs/>
              </w:rPr>
            </w:pPr>
            <w:r>
              <w:rPr>
                <w:rFonts w:hint="default" w:ascii="Times New Roman" w:hAnsi="Times New Roman" w:eastAsia="宋体" w:cs="Times New Roman"/>
                <w:b/>
                <w:bCs/>
              </w:rPr>
              <w:t>（1）常规污染因子现状</w:t>
            </w:r>
          </w:p>
          <w:p>
            <w:pPr>
              <w:ind w:firstLine="480"/>
              <w:rPr>
                <w:rStyle w:val="26"/>
                <w:rFonts w:hint="default" w:ascii="Times New Roman" w:hAnsi="Times New Roman" w:eastAsia="宋体" w:cs="Times New Roman"/>
                <w:color w:val="auto"/>
                <w:sz w:val="21"/>
                <w:szCs w:val="22"/>
              </w:rPr>
            </w:pPr>
            <w:r>
              <w:rPr>
                <w:rFonts w:hint="default" w:ascii="Times New Roman" w:hAnsi="Times New Roman" w:eastAsia="宋体" w:cs="Times New Roman"/>
              </w:rPr>
              <w:t>根据《开平市大气环境功能分区图》得知，本项目位于二类大气环境质量功能区，执行《环境空气质量标准》（GB3095-2012）及其修改单（生态环境部公告2018年第29号）二级标准。项目环境空气质量现状引用《2019年江门市环境质量状况（公报）》（http://www.jiangmen.gov.cn/bmpd/jmssthjj/hjzl/ndhjzkgb/content/post_2007240.html），其监测结果如下表所示。</w:t>
            </w:r>
          </w:p>
          <w:p>
            <w:pPr>
              <w:pStyle w:val="28"/>
              <w:ind w:firstLine="482"/>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表3-1 2019年开平市环境空气质量现状表</w:t>
            </w:r>
          </w:p>
          <w:tbl>
            <w:tblPr>
              <w:tblStyle w:val="24"/>
              <w:tblW w:w="900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9"/>
              <w:gridCol w:w="788"/>
              <w:gridCol w:w="813"/>
              <w:gridCol w:w="830"/>
              <w:gridCol w:w="2609"/>
              <w:gridCol w:w="882"/>
              <w:gridCol w:w="882"/>
              <w:gridCol w:w="823"/>
              <w:gridCol w:w="87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499" w:type="dxa"/>
                  <w:vMerge w:val="restart"/>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点位名称</w:t>
                  </w:r>
                </w:p>
              </w:tc>
              <w:tc>
                <w:tcPr>
                  <w:tcW w:w="1601" w:type="dxa"/>
                  <w:gridSpan w:val="2"/>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监测点坐标</w:t>
                  </w:r>
                </w:p>
              </w:tc>
              <w:tc>
                <w:tcPr>
                  <w:tcW w:w="830" w:type="dxa"/>
                  <w:vMerge w:val="restart"/>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污染物</w:t>
                  </w:r>
                </w:p>
              </w:tc>
              <w:tc>
                <w:tcPr>
                  <w:tcW w:w="2609" w:type="dxa"/>
                  <w:vMerge w:val="restart"/>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年评价指标</w:t>
                  </w:r>
                </w:p>
              </w:tc>
              <w:tc>
                <w:tcPr>
                  <w:tcW w:w="882" w:type="dxa"/>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评价标准(μg/m</w:t>
                  </w:r>
                  <w:r>
                    <w:rPr>
                      <w:rFonts w:hint="default" w:ascii="Times New Roman" w:hAnsi="Times New Roman" w:eastAsia="宋体" w:cs="Times New Roman"/>
                      <w:b/>
                      <w:bCs/>
                      <w:color w:val="auto"/>
                      <w:vertAlign w:val="superscript"/>
                    </w:rPr>
                    <w:t>3</w:t>
                  </w:r>
                  <w:r>
                    <w:rPr>
                      <w:rFonts w:hint="default" w:ascii="Times New Roman" w:hAnsi="Times New Roman" w:eastAsia="宋体" w:cs="Times New Roman"/>
                      <w:b/>
                      <w:bCs/>
                      <w:color w:val="auto"/>
                    </w:rPr>
                    <w:t>)</w:t>
                  </w:r>
                </w:p>
              </w:tc>
              <w:tc>
                <w:tcPr>
                  <w:tcW w:w="882" w:type="dxa"/>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现状浓度(μg/m</w:t>
                  </w:r>
                  <w:r>
                    <w:rPr>
                      <w:rFonts w:hint="default" w:ascii="Times New Roman" w:hAnsi="Times New Roman" w:eastAsia="宋体" w:cs="Times New Roman"/>
                      <w:b/>
                      <w:bCs/>
                      <w:color w:val="auto"/>
                      <w:vertAlign w:val="superscript"/>
                    </w:rPr>
                    <w:t>3</w:t>
                  </w:r>
                  <w:r>
                    <w:rPr>
                      <w:rFonts w:hint="default" w:ascii="Times New Roman" w:hAnsi="Times New Roman" w:eastAsia="宋体" w:cs="Times New Roman"/>
                      <w:b/>
                      <w:bCs/>
                      <w:color w:val="auto"/>
                    </w:rPr>
                    <w:t>)</w:t>
                  </w:r>
                </w:p>
              </w:tc>
              <w:tc>
                <w:tcPr>
                  <w:tcW w:w="823" w:type="dxa"/>
                  <w:vMerge w:val="restart"/>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最大浓度占标率%</w:t>
                  </w:r>
                </w:p>
              </w:tc>
              <w:tc>
                <w:tcPr>
                  <w:tcW w:w="874" w:type="dxa"/>
                  <w:vMerge w:val="restart"/>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达标情况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499" w:type="dxa"/>
                  <w:vMerge w:val="continue"/>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rPr>
                  </w:pPr>
                </w:p>
              </w:tc>
              <w:tc>
                <w:tcPr>
                  <w:tcW w:w="788"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经度</w:t>
                  </w:r>
                </w:p>
              </w:tc>
              <w:tc>
                <w:tcPr>
                  <w:tcW w:w="813"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纬度</w:t>
                  </w:r>
                </w:p>
              </w:tc>
              <w:tc>
                <w:tcPr>
                  <w:tcW w:w="830" w:type="dxa"/>
                  <w:vMerge w:val="continue"/>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b/>
                      <w:bCs/>
                      <w:sz w:val="21"/>
                      <w:szCs w:val="21"/>
                    </w:rPr>
                  </w:pPr>
                </w:p>
              </w:tc>
              <w:tc>
                <w:tcPr>
                  <w:tcW w:w="2609" w:type="dxa"/>
                  <w:vMerge w:val="continue"/>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b/>
                      <w:bCs/>
                      <w:sz w:val="21"/>
                      <w:szCs w:val="21"/>
                    </w:rPr>
                  </w:pPr>
                </w:p>
              </w:tc>
              <w:tc>
                <w:tcPr>
                  <w:tcW w:w="882" w:type="dxa"/>
                  <w:vMerge w:val="continue"/>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b/>
                      <w:bCs/>
                      <w:sz w:val="21"/>
                      <w:szCs w:val="21"/>
                    </w:rPr>
                  </w:pPr>
                </w:p>
              </w:tc>
              <w:tc>
                <w:tcPr>
                  <w:tcW w:w="882" w:type="dxa"/>
                  <w:vMerge w:val="continue"/>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b/>
                      <w:bCs/>
                      <w:sz w:val="21"/>
                      <w:szCs w:val="21"/>
                    </w:rPr>
                  </w:pPr>
                </w:p>
              </w:tc>
              <w:tc>
                <w:tcPr>
                  <w:tcW w:w="823" w:type="dxa"/>
                  <w:vMerge w:val="continue"/>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b/>
                      <w:bCs/>
                      <w:sz w:val="21"/>
                      <w:szCs w:val="21"/>
                    </w:rPr>
                  </w:pPr>
                </w:p>
              </w:tc>
              <w:tc>
                <w:tcPr>
                  <w:tcW w:w="874" w:type="dxa"/>
                  <w:vMerge w:val="continue"/>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b/>
                      <w:bCs/>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499" w:type="dxa"/>
                  <w:vMerge w:val="restart"/>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开平市</w:t>
                  </w:r>
                </w:p>
              </w:tc>
              <w:tc>
                <w:tcPr>
                  <w:tcW w:w="788" w:type="dxa"/>
                  <w:vMerge w:val="restart"/>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w:t>
                  </w:r>
                </w:p>
              </w:tc>
              <w:tc>
                <w:tcPr>
                  <w:tcW w:w="813" w:type="dxa"/>
                  <w:vMerge w:val="restart"/>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w:t>
                  </w:r>
                </w:p>
              </w:tc>
              <w:tc>
                <w:tcPr>
                  <w:tcW w:w="830"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SO</w:t>
                  </w:r>
                  <w:r>
                    <w:rPr>
                      <w:rFonts w:hint="default" w:ascii="Times New Roman" w:hAnsi="Times New Roman" w:eastAsia="宋体" w:cs="Times New Roman"/>
                      <w:sz w:val="21"/>
                      <w:szCs w:val="21"/>
                      <w:vertAlign w:val="subscript"/>
                    </w:rPr>
                    <w:t>2</w:t>
                  </w:r>
                </w:p>
              </w:tc>
              <w:tc>
                <w:tcPr>
                  <w:tcW w:w="2609"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年平均质量浓度</w:t>
                  </w:r>
                </w:p>
              </w:tc>
              <w:tc>
                <w:tcPr>
                  <w:tcW w:w="882"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60</w:t>
                  </w:r>
                </w:p>
              </w:tc>
              <w:tc>
                <w:tcPr>
                  <w:tcW w:w="882"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823"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16.7</w:t>
                  </w:r>
                </w:p>
              </w:tc>
              <w:tc>
                <w:tcPr>
                  <w:tcW w:w="874"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499" w:type="dxa"/>
                  <w:vMerge w:val="continue"/>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p>
              </w:tc>
              <w:tc>
                <w:tcPr>
                  <w:tcW w:w="788" w:type="dxa"/>
                  <w:vMerge w:val="continue"/>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p>
              </w:tc>
              <w:tc>
                <w:tcPr>
                  <w:tcW w:w="813" w:type="dxa"/>
                  <w:vMerge w:val="continue"/>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p>
              </w:tc>
              <w:tc>
                <w:tcPr>
                  <w:tcW w:w="830"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NO</w:t>
                  </w:r>
                  <w:r>
                    <w:rPr>
                      <w:rFonts w:hint="default" w:ascii="Times New Roman" w:hAnsi="Times New Roman" w:eastAsia="宋体" w:cs="Times New Roman"/>
                      <w:sz w:val="21"/>
                      <w:szCs w:val="21"/>
                      <w:vertAlign w:val="subscript"/>
                    </w:rPr>
                    <w:t>2</w:t>
                  </w:r>
                </w:p>
              </w:tc>
              <w:tc>
                <w:tcPr>
                  <w:tcW w:w="2609"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年平均质量浓度</w:t>
                  </w:r>
                </w:p>
              </w:tc>
              <w:tc>
                <w:tcPr>
                  <w:tcW w:w="882"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40</w:t>
                  </w:r>
                </w:p>
              </w:tc>
              <w:tc>
                <w:tcPr>
                  <w:tcW w:w="882"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23</w:t>
                  </w:r>
                </w:p>
              </w:tc>
              <w:tc>
                <w:tcPr>
                  <w:tcW w:w="823"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57.5</w:t>
                  </w:r>
                </w:p>
              </w:tc>
              <w:tc>
                <w:tcPr>
                  <w:tcW w:w="874"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499" w:type="dxa"/>
                  <w:vMerge w:val="continue"/>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p>
              </w:tc>
              <w:tc>
                <w:tcPr>
                  <w:tcW w:w="788" w:type="dxa"/>
                  <w:vMerge w:val="continue"/>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p>
              </w:tc>
              <w:tc>
                <w:tcPr>
                  <w:tcW w:w="813" w:type="dxa"/>
                  <w:vMerge w:val="continue"/>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p>
              </w:tc>
              <w:tc>
                <w:tcPr>
                  <w:tcW w:w="830"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PM</w:t>
                  </w:r>
                  <w:r>
                    <w:rPr>
                      <w:rFonts w:hint="default" w:ascii="Times New Roman" w:hAnsi="Times New Roman" w:eastAsia="宋体" w:cs="Times New Roman"/>
                      <w:sz w:val="21"/>
                      <w:szCs w:val="21"/>
                      <w:vertAlign w:val="subscript"/>
                    </w:rPr>
                    <w:t>10</w:t>
                  </w:r>
                </w:p>
              </w:tc>
              <w:tc>
                <w:tcPr>
                  <w:tcW w:w="2609"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年平均质量浓度</w:t>
                  </w:r>
                </w:p>
              </w:tc>
              <w:tc>
                <w:tcPr>
                  <w:tcW w:w="882"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70</w:t>
                  </w:r>
                </w:p>
              </w:tc>
              <w:tc>
                <w:tcPr>
                  <w:tcW w:w="882"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51</w:t>
                  </w:r>
                </w:p>
              </w:tc>
              <w:tc>
                <w:tcPr>
                  <w:tcW w:w="823"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72.9</w:t>
                  </w:r>
                </w:p>
              </w:tc>
              <w:tc>
                <w:tcPr>
                  <w:tcW w:w="874"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90" w:hRule="atLeast"/>
                <w:jc w:val="center"/>
              </w:trPr>
              <w:tc>
                <w:tcPr>
                  <w:tcW w:w="499" w:type="dxa"/>
                  <w:vMerge w:val="continue"/>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p>
              </w:tc>
              <w:tc>
                <w:tcPr>
                  <w:tcW w:w="788" w:type="dxa"/>
                  <w:vMerge w:val="continue"/>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p>
              </w:tc>
              <w:tc>
                <w:tcPr>
                  <w:tcW w:w="813" w:type="dxa"/>
                  <w:vMerge w:val="continue"/>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p>
              </w:tc>
              <w:tc>
                <w:tcPr>
                  <w:tcW w:w="830"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PM</w:t>
                  </w:r>
                  <w:r>
                    <w:rPr>
                      <w:rFonts w:hint="default" w:ascii="Times New Roman" w:hAnsi="Times New Roman" w:eastAsia="宋体" w:cs="Times New Roman"/>
                      <w:sz w:val="21"/>
                      <w:szCs w:val="21"/>
                      <w:vertAlign w:val="subscript"/>
                    </w:rPr>
                    <w:t>2.5</w:t>
                  </w:r>
                </w:p>
              </w:tc>
              <w:tc>
                <w:tcPr>
                  <w:tcW w:w="2609"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年平均质量浓度</w:t>
                  </w:r>
                </w:p>
              </w:tc>
              <w:tc>
                <w:tcPr>
                  <w:tcW w:w="882"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35</w:t>
                  </w:r>
                </w:p>
              </w:tc>
              <w:tc>
                <w:tcPr>
                  <w:tcW w:w="882"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25</w:t>
                  </w:r>
                </w:p>
              </w:tc>
              <w:tc>
                <w:tcPr>
                  <w:tcW w:w="823"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71.4</w:t>
                  </w:r>
                </w:p>
              </w:tc>
              <w:tc>
                <w:tcPr>
                  <w:tcW w:w="874"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499" w:type="dxa"/>
                  <w:vMerge w:val="continue"/>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p>
              </w:tc>
              <w:tc>
                <w:tcPr>
                  <w:tcW w:w="788" w:type="dxa"/>
                  <w:vMerge w:val="continue"/>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p>
              </w:tc>
              <w:tc>
                <w:tcPr>
                  <w:tcW w:w="813" w:type="dxa"/>
                  <w:vMerge w:val="continue"/>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p>
              </w:tc>
              <w:tc>
                <w:tcPr>
                  <w:tcW w:w="830"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CO</w:t>
                  </w:r>
                </w:p>
              </w:tc>
              <w:tc>
                <w:tcPr>
                  <w:tcW w:w="2609"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24小时平均第95百分位数</w:t>
                  </w:r>
                </w:p>
              </w:tc>
              <w:tc>
                <w:tcPr>
                  <w:tcW w:w="882"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882"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1.3</w:t>
                  </w:r>
                </w:p>
              </w:tc>
              <w:tc>
                <w:tcPr>
                  <w:tcW w:w="823"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32.5</w:t>
                  </w:r>
                </w:p>
              </w:tc>
              <w:tc>
                <w:tcPr>
                  <w:tcW w:w="874" w:type="dxa"/>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499" w:type="dxa"/>
                  <w:vMerge w:val="continue"/>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p>
              </w:tc>
              <w:tc>
                <w:tcPr>
                  <w:tcW w:w="788" w:type="dxa"/>
                  <w:vMerge w:val="continue"/>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p>
              </w:tc>
              <w:tc>
                <w:tcPr>
                  <w:tcW w:w="813" w:type="dxa"/>
                  <w:vMerge w:val="continue"/>
                  <w:tcBorders>
                    <w:tl2br w:val="nil"/>
                    <w:tr2bl w:val="nil"/>
                  </w:tcBorders>
                  <w:vAlign w:val="center"/>
                </w:tcPr>
                <w:p>
                  <w:pPr>
                    <w:snapToGrid w:val="0"/>
                    <w:spacing w:line="240" w:lineRule="auto"/>
                    <w:ind w:firstLine="0" w:firstLineChars="0"/>
                    <w:jc w:val="center"/>
                    <w:rPr>
                      <w:rFonts w:hint="default" w:ascii="Times New Roman" w:hAnsi="Times New Roman" w:eastAsia="宋体" w:cs="Times New Roman"/>
                      <w:sz w:val="21"/>
                      <w:szCs w:val="21"/>
                    </w:rPr>
                  </w:pPr>
                </w:p>
              </w:tc>
              <w:tc>
                <w:tcPr>
                  <w:tcW w:w="830" w:type="dxa"/>
                  <w:tcBorders>
                    <w:tl2br w:val="nil"/>
                    <w:tr2bl w:val="nil"/>
                  </w:tcBorders>
                  <w:shd w:val="clear" w:color="auto" w:fill="BEBEBE" w:themeFill="background1" w:themeFillShade="BF"/>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O</w:t>
                  </w:r>
                  <w:r>
                    <w:rPr>
                      <w:rFonts w:hint="default" w:ascii="Times New Roman" w:hAnsi="Times New Roman" w:eastAsia="宋体" w:cs="Times New Roman"/>
                      <w:sz w:val="21"/>
                      <w:szCs w:val="21"/>
                      <w:vertAlign w:val="subscript"/>
                    </w:rPr>
                    <w:t>3</w:t>
                  </w:r>
                </w:p>
              </w:tc>
              <w:tc>
                <w:tcPr>
                  <w:tcW w:w="2609" w:type="dxa"/>
                  <w:tcBorders>
                    <w:tl2br w:val="nil"/>
                    <w:tr2bl w:val="nil"/>
                  </w:tcBorders>
                  <w:shd w:val="clear" w:color="auto" w:fill="BEBEBE" w:themeFill="background1" w:themeFillShade="BF"/>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日最大8小时滑动平均值的第90百分位数</w:t>
                  </w:r>
                </w:p>
              </w:tc>
              <w:tc>
                <w:tcPr>
                  <w:tcW w:w="882" w:type="dxa"/>
                  <w:tcBorders>
                    <w:tl2br w:val="nil"/>
                    <w:tr2bl w:val="nil"/>
                  </w:tcBorders>
                  <w:shd w:val="clear" w:color="auto" w:fill="BEBEBE" w:themeFill="background1" w:themeFillShade="BF"/>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160</w:t>
                  </w:r>
                </w:p>
              </w:tc>
              <w:tc>
                <w:tcPr>
                  <w:tcW w:w="882" w:type="dxa"/>
                  <w:tcBorders>
                    <w:tl2br w:val="nil"/>
                    <w:tr2bl w:val="nil"/>
                  </w:tcBorders>
                  <w:shd w:val="clear" w:color="auto" w:fill="BEBEBE" w:themeFill="background1" w:themeFillShade="BF"/>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172</w:t>
                  </w:r>
                </w:p>
              </w:tc>
              <w:tc>
                <w:tcPr>
                  <w:tcW w:w="823" w:type="dxa"/>
                  <w:tcBorders>
                    <w:tl2br w:val="nil"/>
                    <w:tr2bl w:val="nil"/>
                  </w:tcBorders>
                  <w:shd w:val="clear" w:color="auto" w:fill="BEBEBE" w:themeFill="background1" w:themeFillShade="BF"/>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107.5</w:t>
                  </w:r>
                </w:p>
              </w:tc>
              <w:tc>
                <w:tcPr>
                  <w:tcW w:w="874" w:type="dxa"/>
                  <w:tcBorders>
                    <w:tl2br w:val="nil"/>
                    <w:tr2bl w:val="nil"/>
                  </w:tcBorders>
                  <w:shd w:val="clear" w:color="auto" w:fill="BEBEBE" w:themeFill="background1" w:themeFillShade="BF"/>
                  <w:vAlign w:val="center"/>
                </w:tcPr>
                <w:p>
                  <w:pPr>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超标</w:t>
                  </w:r>
                </w:p>
              </w:tc>
            </w:tr>
          </w:tbl>
          <w:p>
            <w:pPr>
              <w:ind w:firstLine="480"/>
              <w:rPr>
                <w:rFonts w:hint="default" w:ascii="Times New Roman" w:hAnsi="Times New Roman" w:eastAsia="宋体" w:cs="Times New Roman"/>
              </w:rPr>
            </w:pPr>
            <w:r>
              <w:rPr>
                <w:rFonts w:hint="default" w:ascii="Times New Roman" w:hAnsi="Times New Roman" w:eastAsia="宋体" w:cs="Times New Roman"/>
              </w:rPr>
              <w:t>根据环境质量状况公报公布的数据来看，开平市SO</w:t>
            </w:r>
            <w:r>
              <w:rPr>
                <w:rFonts w:hint="default" w:ascii="Times New Roman" w:hAnsi="Times New Roman" w:eastAsia="宋体" w:cs="Times New Roman"/>
                <w:vertAlign w:val="subscript"/>
              </w:rPr>
              <w:t>2</w:t>
            </w:r>
            <w:r>
              <w:rPr>
                <w:rFonts w:hint="default" w:ascii="Times New Roman" w:hAnsi="Times New Roman" w:eastAsia="宋体" w:cs="Times New Roman"/>
              </w:rPr>
              <w:t>、NO</w:t>
            </w:r>
            <w:r>
              <w:rPr>
                <w:rFonts w:hint="default" w:ascii="Times New Roman" w:hAnsi="Times New Roman" w:eastAsia="宋体" w:cs="Times New Roman"/>
                <w:vertAlign w:val="subscript"/>
              </w:rPr>
              <w:t>2</w:t>
            </w:r>
            <w:r>
              <w:rPr>
                <w:rFonts w:hint="default" w:ascii="Times New Roman" w:hAnsi="Times New Roman" w:eastAsia="宋体" w:cs="Times New Roman"/>
              </w:rPr>
              <w:t>、PM</w:t>
            </w:r>
            <w:r>
              <w:rPr>
                <w:rFonts w:hint="default" w:ascii="Times New Roman" w:hAnsi="Times New Roman" w:eastAsia="宋体" w:cs="Times New Roman"/>
                <w:vertAlign w:val="subscript"/>
              </w:rPr>
              <w:t>10</w:t>
            </w:r>
            <w:r>
              <w:rPr>
                <w:rFonts w:hint="default" w:ascii="Times New Roman" w:hAnsi="Times New Roman" w:eastAsia="宋体" w:cs="Times New Roman"/>
              </w:rPr>
              <w:t>、PM</w:t>
            </w:r>
            <w:r>
              <w:rPr>
                <w:rFonts w:hint="default" w:ascii="Times New Roman" w:hAnsi="Times New Roman" w:eastAsia="宋体" w:cs="Times New Roman"/>
                <w:vertAlign w:val="subscript"/>
              </w:rPr>
              <w:t>2.5</w:t>
            </w:r>
            <w:r>
              <w:rPr>
                <w:rFonts w:hint="default" w:ascii="Times New Roman" w:hAnsi="Times New Roman" w:eastAsia="宋体" w:cs="Times New Roman"/>
              </w:rPr>
              <w:t>、CO符合《环境空气质量标准》（GB3095-2012）及其修改单二级标准；O</w:t>
            </w:r>
            <w:r>
              <w:rPr>
                <w:rFonts w:hint="default" w:ascii="Times New Roman" w:hAnsi="Times New Roman" w:eastAsia="宋体" w:cs="Times New Roman"/>
                <w:vertAlign w:val="subscript"/>
              </w:rPr>
              <w:t>3</w:t>
            </w:r>
            <w:r>
              <w:rPr>
                <w:rFonts w:hint="default" w:ascii="Times New Roman" w:hAnsi="Times New Roman" w:eastAsia="宋体" w:cs="Times New Roman"/>
              </w:rPr>
              <w:t>的日最大8小时滑动平均值的第90百分位数未能达到《环境空气质量标准》（GB3095-2012）及其修改单二级标准，因此，判定项目所区域为不达标区，环境空气质量一般。</w:t>
            </w:r>
          </w:p>
          <w:p>
            <w:pPr>
              <w:ind w:firstLine="480"/>
              <w:rPr>
                <w:rFonts w:hint="default" w:ascii="Times New Roman" w:hAnsi="Times New Roman" w:eastAsia="宋体" w:cs="Times New Roman"/>
              </w:rPr>
            </w:pPr>
            <w:r>
              <w:rPr>
                <w:rFonts w:hint="default" w:ascii="Times New Roman" w:hAnsi="Times New Roman" w:eastAsia="宋体" w:cs="Times New Roman"/>
              </w:rPr>
              <w:t>为改善环境质量，江门市已印发《江门市环境空气质量限期达标规划（2018-2020年）》，通过调整产业结构、优化工业布局；优化能源结构，提高清洁能源使用率；强化环境监管，加大工业园减排力度；调整运输结构，强化移动源污染防治；加强精细化管理，深化面源污染治理；强化能力建设，提高环境管理水平；健全法律法规体系，完善环境管理政策等大气污染防治强化措施，实行区域内2020年环境空气质量全面达标，环境空气质量指标能稳定达到《环境空气质量标准》（GB3095-2012）及其修改单二级浓度限值。</w:t>
            </w:r>
          </w:p>
          <w:p>
            <w:pPr>
              <w:pStyle w:val="28"/>
              <w:ind w:firstLine="482"/>
              <w:rPr>
                <w:rFonts w:hint="default" w:ascii="Times New Roman" w:hAnsi="Times New Roman" w:eastAsia="宋体" w:cs="Times New Roman"/>
                <w:b/>
                <w:bCs/>
              </w:rPr>
            </w:pPr>
            <w:r>
              <w:rPr>
                <w:rFonts w:hint="default" w:ascii="Times New Roman" w:hAnsi="Times New Roman" w:eastAsia="宋体" w:cs="Times New Roman"/>
                <w:b/>
                <w:bCs/>
                <w:color w:val="auto"/>
              </w:rPr>
              <w:t>（2）特征污染因子现状</w:t>
            </w:r>
          </w:p>
          <w:p>
            <w:pPr>
              <w:ind w:firstLine="480"/>
              <w:rPr>
                <w:rFonts w:hint="default" w:ascii="Times New Roman" w:hAnsi="Times New Roman" w:eastAsia="宋体" w:cs="Times New Roman"/>
              </w:rPr>
            </w:pPr>
            <w:r>
              <w:rPr>
                <w:rFonts w:hint="default" w:ascii="Times New Roman" w:hAnsi="Times New Roman" w:eastAsia="宋体" w:cs="Times New Roman"/>
              </w:rPr>
              <w:t>本项目特征污染因子为TVOC，根据《环境影响评价技术导则 大气环境》 （HJ2.2-2018）及下文模式预测结果可知，项目大气为三级评价，因此不需补充特征污染因子的现状监测。</w:t>
            </w:r>
          </w:p>
          <w:p>
            <w:pPr>
              <w:numPr>
                <w:ilvl w:val="0"/>
                <w:numId w:val="11"/>
              </w:numPr>
              <w:tabs>
                <w:tab w:val="left" w:pos="452"/>
              </w:tabs>
              <w:adjustRightInd w:val="0"/>
              <w:snapToGrid w:val="0"/>
              <w:ind w:firstLine="472" w:firstLineChars="196"/>
              <w:rPr>
                <w:rFonts w:hint="default" w:ascii="Times New Roman" w:hAnsi="Times New Roman" w:eastAsia="宋体" w:cs="Times New Roman"/>
                <w:b/>
              </w:rPr>
            </w:pPr>
            <w:r>
              <w:rPr>
                <w:rFonts w:hint="default" w:ascii="Times New Roman" w:hAnsi="Times New Roman" w:eastAsia="宋体" w:cs="Times New Roman"/>
                <w:b/>
              </w:rPr>
              <w:t>声环境质量现状</w:t>
            </w:r>
          </w:p>
          <w:p>
            <w:pPr>
              <w:ind w:firstLine="480"/>
              <w:rPr>
                <w:rFonts w:hint="default" w:ascii="Times New Roman" w:hAnsi="Times New Roman" w:eastAsia="宋体" w:cs="Times New Roman"/>
              </w:rPr>
            </w:pPr>
            <w:r>
              <w:rPr>
                <w:rFonts w:hint="default" w:ascii="Times New Roman" w:hAnsi="Times New Roman" w:eastAsia="宋体" w:cs="Times New Roman"/>
              </w:rPr>
              <w:t>根据《江门市声环境功能区划》（2019）中开平市声环境功能区划图，项目属于2类声环境功能区，执行《声环境质量标准》（GB3096-2008）中的2类标准。</w:t>
            </w:r>
          </w:p>
          <w:p>
            <w:pPr>
              <w:pStyle w:val="28"/>
              <w:rPr>
                <w:rFonts w:hint="default" w:ascii="Times New Roman" w:hAnsi="Times New Roman" w:eastAsia="宋体" w:cs="Times New Roman"/>
                <w:color w:val="auto"/>
              </w:rPr>
            </w:pPr>
            <w:r>
              <w:rPr>
                <w:rFonts w:hint="default" w:ascii="Times New Roman" w:hAnsi="Times New Roman" w:eastAsia="宋体" w:cs="Times New Roman"/>
                <w:color w:val="auto"/>
              </w:rPr>
              <w:t>为更好了解项目所在地声环境质量现状，本项目委托广东中诺监测技术有限公司于2019年8月23日-24日昼间和夜间对建设项目选址现场厂房边界进行环境噪声现状监测，由于项目</w:t>
            </w:r>
            <w:r>
              <w:rPr>
                <w:rFonts w:hint="default" w:ascii="Times New Roman" w:hAnsi="Times New Roman" w:eastAsia="宋体" w:cs="Times New Roman"/>
              </w:rPr>
              <w:t>南面与空置厂房紧邻，南面边界为两厂房共墙，不具备噪声监测条件，因此本项目具体</w:t>
            </w:r>
            <w:r>
              <w:rPr>
                <w:rFonts w:hint="default" w:ascii="Times New Roman" w:hAnsi="Times New Roman" w:eastAsia="宋体" w:cs="Times New Roman"/>
                <w:color w:val="auto"/>
              </w:rPr>
              <w:t>噪声监测点位如图3-1，监测报告见附件六，监测结果见下表。</w:t>
            </w:r>
          </w:p>
          <w:p>
            <w:pPr>
              <w:pStyle w:val="45"/>
              <w:rPr>
                <w:rFonts w:hint="default" w:ascii="Times New Roman" w:hAnsi="Times New Roman" w:eastAsia="宋体" w:cs="Times New Roman"/>
                <w:b/>
                <w:bCs/>
              </w:rPr>
            </w:pPr>
            <w:r>
              <w:rPr>
                <w:rFonts w:hint="default" w:ascii="Times New Roman" w:hAnsi="Times New Roman" w:eastAsia="宋体" w:cs="Times New Roman"/>
                <w:b/>
                <w:bCs/>
              </w:rPr>
              <w:t>表3-2 项目边界声环境质量情况   单位：dB(A)</w:t>
            </w:r>
          </w:p>
          <w:tbl>
            <w:tblPr>
              <w:tblStyle w:val="23"/>
              <w:tblW w:w="899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8"/>
              <w:gridCol w:w="895"/>
              <w:gridCol w:w="1496"/>
              <w:gridCol w:w="737"/>
              <w:gridCol w:w="737"/>
              <w:gridCol w:w="737"/>
              <w:gridCol w:w="737"/>
              <w:gridCol w:w="1192"/>
              <w:gridCol w:w="853"/>
              <w:gridCol w:w="8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1663" w:type="dxa"/>
                  <w:gridSpan w:val="2"/>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项目</w:t>
                  </w:r>
                </w:p>
              </w:tc>
              <w:tc>
                <w:tcPr>
                  <w:tcW w:w="1496" w:type="dxa"/>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位置</w:t>
                  </w:r>
                </w:p>
              </w:tc>
              <w:tc>
                <w:tcPr>
                  <w:tcW w:w="1474" w:type="dxa"/>
                  <w:gridSpan w:val="2"/>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8月23日</w:t>
                  </w:r>
                </w:p>
              </w:tc>
              <w:tc>
                <w:tcPr>
                  <w:tcW w:w="1474" w:type="dxa"/>
                  <w:gridSpan w:val="2"/>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8月24日</w:t>
                  </w:r>
                </w:p>
              </w:tc>
              <w:tc>
                <w:tcPr>
                  <w:tcW w:w="1192" w:type="dxa"/>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执行标准</w:t>
                  </w:r>
                </w:p>
              </w:tc>
              <w:tc>
                <w:tcPr>
                  <w:tcW w:w="1691" w:type="dxa"/>
                  <w:gridSpan w:val="2"/>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对应标准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1663" w:type="dxa"/>
                  <w:gridSpan w:val="2"/>
                  <w:vMerge w:val="continue"/>
                  <w:tcBorders>
                    <w:tl2br w:val="nil"/>
                    <w:tr2bl w:val="nil"/>
                  </w:tcBorders>
                  <w:vAlign w:val="center"/>
                </w:tcPr>
                <w:p>
                  <w:pPr>
                    <w:pStyle w:val="46"/>
                    <w:rPr>
                      <w:rFonts w:hint="default" w:ascii="Times New Roman" w:hAnsi="Times New Roman" w:eastAsia="宋体" w:cs="Times New Roman"/>
                      <w:b/>
                      <w:bCs/>
                      <w:color w:val="auto"/>
                    </w:rPr>
                  </w:pPr>
                </w:p>
              </w:tc>
              <w:tc>
                <w:tcPr>
                  <w:tcW w:w="1496" w:type="dxa"/>
                  <w:vMerge w:val="continue"/>
                  <w:tcBorders>
                    <w:tl2br w:val="nil"/>
                    <w:tr2bl w:val="nil"/>
                  </w:tcBorders>
                  <w:vAlign w:val="center"/>
                </w:tcPr>
                <w:p>
                  <w:pPr>
                    <w:pStyle w:val="46"/>
                    <w:rPr>
                      <w:rFonts w:hint="default" w:ascii="Times New Roman" w:hAnsi="Times New Roman" w:eastAsia="宋体" w:cs="Times New Roman"/>
                      <w:b/>
                      <w:bCs/>
                      <w:color w:val="auto"/>
                    </w:rPr>
                  </w:pPr>
                </w:p>
              </w:tc>
              <w:tc>
                <w:tcPr>
                  <w:tcW w:w="737"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昼间</w:t>
                  </w:r>
                </w:p>
              </w:tc>
              <w:tc>
                <w:tcPr>
                  <w:tcW w:w="737"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夜间</w:t>
                  </w:r>
                </w:p>
              </w:tc>
              <w:tc>
                <w:tcPr>
                  <w:tcW w:w="737"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昼间</w:t>
                  </w:r>
                </w:p>
              </w:tc>
              <w:tc>
                <w:tcPr>
                  <w:tcW w:w="737"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夜间</w:t>
                  </w:r>
                </w:p>
              </w:tc>
              <w:tc>
                <w:tcPr>
                  <w:tcW w:w="1192" w:type="dxa"/>
                  <w:vMerge w:val="continue"/>
                  <w:tcBorders>
                    <w:tl2br w:val="nil"/>
                    <w:tr2bl w:val="nil"/>
                  </w:tcBorders>
                  <w:vAlign w:val="center"/>
                </w:tcPr>
                <w:p>
                  <w:pPr>
                    <w:pStyle w:val="46"/>
                    <w:rPr>
                      <w:rFonts w:hint="default" w:ascii="Times New Roman" w:hAnsi="Times New Roman" w:eastAsia="宋体" w:cs="Times New Roman"/>
                      <w:b/>
                      <w:bCs/>
                      <w:color w:val="auto"/>
                    </w:rPr>
                  </w:pPr>
                </w:p>
              </w:tc>
              <w:tc>
                <w:tcPr>
                  <w:tcW w:w="853"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昼</w:t>
                  </w:r>
                </w:p>
              </w:tc>
              <w:tc>
                <w:tcPr>
                  <w:tcW w:w="838"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8"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监测数据</w:t>
                  </w:r>
                </w:p>
              </w:tc>
              <w:tc>
                <w:tcPr>
                  <w:tcW w:w="895"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N1</w:t>
                  </w:r>
                </w:p>
              </w:tc>
              <w:tc>
                <w:tcPr>
                  <w:tcW w:w="1496"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项目东边界外1m处</w:t>
                  </w:r>
                </w:p>
              </w:tc>
              <w:tc>
                <w:tcPr>
                  <w:tcW w:w="737"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58.5</w:t>
                  </w:r>
                </w:p>
              </w:tc>
              <w:tc>
                <w:tcPr>
                  <w:tcW w:w="737"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47.9</w:t>
                  </w:r>
                </w:p>
              </w:tc>
              <w:tc>
                <w:tcPr>
                  <w:tcW w:w="737"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59.0</w:t>
                  </w:r>
                </w:p>
              </w:tc>
              <w:tc>
                <w:tcPr>
                  <w:tcW w:w="737"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48.2</w:t>
                  </w:r>
                </w:p>
              </w:tc>
              <w:tc>
                <w:tcPr>
                  <w:tcW w:w="1192"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2类</w:t>
                  </w:r>
                </w:p>
              </w:tc>
              <w:tc>
                <w:tcPr>
                  <w:tcW w:w="853"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60</w:t>
                  </w:r>
                </w:p>
              </w:tc>
              <w:tc>
                <w:tcPr>
                  <w:tcW w:w="838"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8"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895"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N2</w:t>
                  </w:r>
                </w:p>
              </w:tc>
              <w:tc>
                <w:tcPr>
                  <w:tcW w:w="1496"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项目西边界外1m处</w:t>
                  </w:r>
                </w:p>
              </w:tc>
              <w:tc>
                <w:tcPr>
                  <w:tcW w:w="737"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58.7</w:t>
                  </w:r>
                </w:p>
              </w:tc>
              <w:tc>
                <w:tcPr>
                  <w:tcW w:w="737"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48.2</w:t>
                  </w:r>
                </w:p>
              </w:tc>
              <w:tc>
                <w:tcPr>
                  <w:tcW w:w="737"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58.4</w:t>
                  </w:r>
                </w:p>
              </w:tc>
              <w:tc>
                <w:tcPr>
                  <w:tcW w:w="737"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48.6</w:t>
                  </w:r>
                </w:p>
              </w:tc>
              <w:tc>
                <w:tcPr>
                  <w:tcW w:w="1192"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853"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838" w:type="dxa"/>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8"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895"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N3</w:t>
                  </w:r>
                </w:p>
              </w:tc>
              <w:tc>
                <w:tcPr>
                  <w:tcW w:w="1496"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项目北边界外1m处</w:t>
                  </w:r>
                </w:p>
              </w:tc>
              <w:tc>
                <w:tcPr>
                  <w:tcW w:w="737"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57.4</w:t>
                  </w:r>
                </w:p>
              </w:tc>
              <w:tc>
                <w:tcPr>
                  <w:tcW w:w="737"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46.6</w:t>
                  </w:r>
                </w:p>
              </w:tc>
              <w:tc>
                <w:tcPr>
                  <w:tcW w:w="737"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57.7</w:t>
                  </w:r>
                </w:p>
              </w:tc>
              <w:tc>
                <w:tcPr>
                  <w:tcW w:w="737"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47.1</w:t>
                  </w:r>
                </w:p>
              </w:tc>
              <w:tc>
                <w:tcPr>
                  <w:tcW w:w="1192"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853"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838" w:type="dxa"/>
                  <w:vMerge w:val="continue"/>
                  <w:tcBorders>
                    <w:tl2br w:val="nil"/>
                    <w:tr2bl w:val="nil"/>
                  </w:tcBorders>
                  <w:vAlign w:val="center"/>
                </w:tcPr>
                <w:p>
                  <w:pPr>
                    <w:pStyle w:val="46"/>
                    <w:rPr>
                      <w:rFonts w:hint="default" w:ascii="Times New Roman" w:hAnsi="Times New Roman" w:eastAsia="宋体" w:cs="Times New Roman"/>
                      <w:color w:val="auto"/>
                    </w:rPr>
                  </w:pPr>
                </w:p>
              </w:tc>
            </w:tr>
          </w:tbl>
          <w:p>
            <w:pPr>
              <w:ind w:firstLine="480"/>
              <w:jc w:val="left"/>
              <w:rPr>
                <w:rFonts w:hint="default" w:ascii="Times New Roman" w:hAnsi="Times New Roman" w:eastAsia="宋体" w:cs="Times New Roman"/>
              </w:rPr>
            </w:pPr>
            <w:r>
              <w:rPr>
                <w:rFonts w:hint="default" w:ascii="Times New Roman" w:hAnsi="Times New Roman" w:eastAsia="宋体" w:cs="Times New Roman"/>
              </w:rPr>
              <w:t>从上述监测数据可以得知，项目边界昼、夜噪声现状值均符合《声环境质量标准》(GB 3096-2008）2类标准的要求。总体而言，项目所在区域的声环境质量现状良好。</w:t>
            </w:r>
          </w:p>
          <w:p>
            <w:pPr>
              <w:numPr>
                <w:ilvl w:val="0"/>
                <w:numId w:val="11"/>
              </w:numPr>
              <w:tabs>
                <w:tab w:val="left" w:pos="452"/>
              </w:tabs>
              <w:adjustRightInd w:val="0"/>
              <w:snapToGrid w:val="0"/>
              <w:ind w:firstLine="472" w:firstLineChars="196"/>
              <w:rPr>
                <w:rFonts w:hint="default" w:ascii="Times New Roman" w:hAnsi="Times New Roman" w:eastAsia="宋体" w:cs="Times New Roman"/>
                <w:b/>
              </w:rPr>
            </w:pPr>
            <w:r>
              <w:rPr>
                <w:rFonts w:hint="default" w:ascii="Times New Roman" w:hAnsi="Times New Roman" w:eastAsia="宋体" w:cs="Times New Roman"/>
                <w:b/>
              </w:rPr>
              <w:t>土壤环境质量现状</w:t>
            </w:r>
          </w:p>
          <w:p>
            <w:pPr>
              <w:ind w:firstLine="480"/>
              <w:rPr>
                <w:rFonts w:hint="default" w:ascii="Times New Roman" w:hAnsi="Times New Roman" w:eastAsia="宋体" w:cs="Times New Roman"/>
              </w:rPr>
            </w:pPr>
            <w:r>
              <w:rPr>
                <w:rFonts w:hint="default" w:ascii="Times New Roman" w:hAnsi="Times New Roman" w:eastAsia="宋体" w:cs="Times New Roman"/>
              </w:rPr>
              <w:t>根据《环境影响评价技术导则土壤环境（试行）》（HJ964-2018），本项目为Ⅲ类建设项目，土壤敏感程度为不敏感，项目占地面积为247.8m</w:t>
            </w:r>
            <w:r>
              <w:rPr>
                <w:rFonts w:hint="default" w:ascii="Times New Roman" w:hAnsi="Times New Roman" w:eastAsia="宋体" w:cs="Times New Roman"/>
                <w:vertAlign w:val="superscript"/>
              </w:rPr>
              <w:t>2</w:t>
            </w:r>
            <w:r>
              <w:rPr>
                <w:rFonts w:hint="default" w:ascii="Times New Roman" w:hAnsi="Times New Roman" w:eastAsia="宋体" w:cs="Times New Roman"/>
              </w:rPr>
              <w:t>&lt;5hm</w:t>
            </w:r>
            <w:r>
              <w:rPr>
                <w:rFonts w:hint="default" w:ascii="Times New Roman" w:hAnsi="Times New Roman" w:eastAsia="宋体" w:cs="Times New Roman"/>
                <w:vertAlign w:val="superscript"/>
              </w:rPr>
              <w:t>2</w:t>
            </w:r>
            <w:r>
              <w:rPr>
                <w:rFonts w:hint="default" w:ascii="Times New Roman" w:hAnsi="Times New Roman" w:eastAsia="宋体" w:cs="Times New Roman"/>
              </w:rPr>
              <w:t>，占地规模为小型，因此本项目评价等级低于三级。本项目可不开展土壤环境影响评价，不需对项目所在地土壤环境现状进行调查。</w:t>
            </w:r>
          </w:p>
          <w:p>
            <w:pPr>
              <w:numPr>
                <w:ilvl w:val="0"/>
                <w:numId w:val="11"/>
              </w:numPr>
              <w:tabs>
                <w:tab w:val="left" w:pos="452"/>
              </w:tabs>
              <w:adjustRightInd w:val="0"/>
              <w:snapToGrid w:val="0"/>
              <w:ind w:firstLine="472" w:firstLineChars="196"/>
              <w:rPr>
                <w:rFonts w:hint="default" w:ascii="Times New Roman" w:hAnsi="Times New Roman" w:eastAsia="宋体" w:cs="Times New Roman"/>
                <w:b/>
              </w:rPr>
            </w:pPr>
            <w:r>
              <w:rPr>
                <w:rFonts w:hint="default" w:ascii="Times New Roman" w:hAnsi="Times New Roman" w:eastAsia="宋体" w:cs="Times New Roman"/>
                <w:b/>
              </w:rPr>
              <w:t>地下水环境质量现状</w:t>
            </w:r>
          </w:p>
          <w:p>
            <w:pPr>
              <w:ind w:firstLine="480"/>
              <w:rPr>
                <w:rFonts w:hint="default" w:ascii="Times New Roman" w:hAnsi="Times New Roman" w:eastAsia="宋体" w:cs="Times New Roman"/>
              </w:rPr>
            </w:pPr>
            <w:r>
              <w:rPr>
                <w:rFonts w:hint="default" w:ascii="Times New Roman" w:hAnsi="Times New Roman" w:eastAsia="宋体" w:cs="Times New Roman"/>
              </w:rPr>
              <w:t>根据《环境影响评价技术导则地下水环境》（HJ610-2016）附录A，本项目为“N轻工”中的“114、印刷；文教、体育、娱乐用品制造；磁材料制造”类，所以本项目地下水环境影响评价项目类别为Ⅳ类。本项目可不开展地下水环境影响评价，无需对项目所在地地下水环境现状进行调查。</w:t>
            </w:r>
          </w:p>
          <w:p>
            <w:pPr>
              <w:snapToGrid w:val="0"/>
              <w:ind w:firstLine="0" w:firstLineChars="0"/>
              <w:jc w:val="left"/>
              <w:rPr>
                <w:rFonts w:hint="default" w:ascii="Times New Roman" w:hAnsi="Times New Roman" w:eastAsia="宋体" w:cs="Times New Roman"/>
                <w:b/>
                <w:sz w:val="28"/>
              </w:rPr>
            </w:pPr>
            <w:r>
              <w:rPr>
                <w:rFonts w:hint="default" w:ascii="Times New Roman" w:hAnsi="Times New Roman" w:eastAsia="宋体" w:cs="Times New Roman"/>
                <w:b/>
                <w:sz w:val="28"/>
              </w:rPr>
              <w:t>主要环境保护目标（列出名单及保护级别）</w:t>
            </w:r>
          </w:p>
          <w:p>
            <w:pPr>
              <w:numPr>
                <w:ilvl w:val="0"/>
                <w:numId w:val="12"/>
              </w:numPr>
              <w:tabs>
                <w:tab w:val="left" w:pos="0"/>
              </w:tabs>
              <w:snapToGrid w:val="0"/>
              <w:ind w:firstLineChars="0"/>
              <w:rPr>
                <w:rFonts w:hint="default" w:ascii="Times New Roman" w:hAnsi="Times New Roman" w:eastAsia="宋体" w:cs="Times New Roman"/>
                <w:b/>
              </w:rPr>
            </w:pPr>
            <w:r>
              <w:rPr>
                <w:rFonts w:hint="default" w:ascii="Times New Roman" w:hAnsi="Times New Roman" w:eastAsia="宋体" w:cs="Times New Roman"/>
                <w:b/>
              </w:rPr>
              <w:t>水环境保护目标</w:t>
            </w:r>
          </w:p>
          <w:p>
            <w:pPr>
              <w:ind w:firstLine="480"/>
              <w:rPr>
                <w:rFonts w:hint="default" w:ascii="Times New Roman" w:hAnsi="Times New Roman" w:eastAsia="宋体" w:cs="Times New Roman"/>
              </w:rPr>
            </w:pPr>
            <w:r>
              <w:rPr>
                <w:rFonts w:hint="default" w:ascii="Times New Roman" w:hAnsi="Times New Roman" w:eastAsia="宋体" w:cs="Times New Roman"/>
              </w:rPr>
              <w:t xml:space="preserve">水环境保护的目标是保护潭江符合《 地表水环境质量标准》（GB3838-2002）Ⅱ类标准，保护潭江的水环境质量不因项目的建设而受到不良影响。 </w:t>
            </w:r>
          </w:p>
          <w:p>
            <w:pPr>
              <w:numPr>
                <w:ilvl w:val="0"/>
                <w:numId w:val="12"/>
              </w:numPr>
              <w:tabs>
                <w:tab w:val="left" w:pos="0"/>
              </w:tabs>
              <w:snapToGrid w:val="0"/>
              <w:ind w:firstLineChars="0"/>
              <w:rPr>
                <w:rFonts w:hint="default" w:ascii="Times New Roman" w:hAnsi="Times New Roman" w:eastAsia="宋体" w:cs="Times New Roman"/>
                <w:b/>
              </w:rPr>
            </w:pPr>
            <w:r>
              <w:rPr>
                <w:rFonts w:hint="default" w:ascii="Times New Roman" w:hAnsi="Times New Roman" w:eastAsia="宋体" w:cs="Times New Roman"/>
                <w:b/>
              </w:rPr>
              <w:t>环境空气保护目标</w:t>
            </w:r>
          </w:p>
          <w:p>
            <w:pPr>
              <w:ind w:firstLine="480"/>
              <w:rPr>
                <w:rFonts w:hint="default" w:ascii="Times New Roman" w:hAnsi="Times New Roman" w:eastAsia="宋体" w:cs="Times New Roman"/>
              </w:rPr>
            </w:pPr>
            <w:r>
              <w:rPr>
                <w:rFonts w:hint="default" w:ascii="Times New Roman" w:hAnsi="Times New Roman" w:eastAsia="宋体" w:cs="Times New Roman"/>
              </w:rPr>
              <w:t>大气环境保护目标是保护评价区内的大气环境质量符合《环境空气质量标准》（GB3095-2012）及其修改单（生态环境部公告2018年第29号）二级标准，确保周围区域的大气环境在本项目建设后不受明显影响。</w:t>
            </w:r>
          </w:p>
          <w:p>
            <w:pPr>
              <w:numPr>
                <w:ilvl w:val="0"/>
                <w:numId w:val="12"/>
              </w:numPr>
              <w:tabs>
                <w:tab w:val="left" w:pos="0"/>
              </w:tabs>
              <w:snapToGrid w:val="0"/>
              <w:ind w:firstLineChars="0"/>
              <w:rPr>
                <w:rFonts w:hint="default" w:ascii="Times New Roman" w:hAnsi="Times New Roman" w:eastAsia="宋体" w:cs="Times New Roman"/>
                <w:b/>
              </w:rPr>
            </w:pPr>
            <w:r>
              <w:rPr>
                <w:rFonts w:hint="default" w:ascii="Times New Roman" w:hAnsi="Times New Roman" w:eastAsia="宋体" w:cs="Times New Roman"/>
                <w:b/>
              </w:rPr>
              <w:t>声环境保护目标</w:t>
            </w:r>
          </w:p>
          <w:p>
            <w:pPr>
              <w:ind w:firstLine="480"/>
              <w:rPr>
                <w:rFonts w:hint="default" w:ascii="Times New Roman" w:hAnsi="Times New Roman" w:eastAsia="宋体" w:cs="Times New Roman"/>
              </w:rPr>
            </w:pPr>
            <w:r>
              <w:rPr>
                <w:rFonts w:hint="default" w:ascii="Times New Roman" w:hAnsi="Times New Roman" w:eastAsia="宋体" w:cs="Times New Roman"/>
              </w:rPr>
              <w:t>声环境保护目标是保护评价区域声环境质量，控制各种噪声声源，使其声环境质量符合《声环境质量标准》（GB3096-2008）2 类标准的要求，确保建设项目建成后其周围地区有一个安静、舒适的环境，不会对区域声环境质量带来明显的变化。</w:t>
            </w:r>
          </w:p>
          <w:p>
            <w:pPr>
              <w:pStyle w:val="21"/>
              <w:numPr>
                <w:ilvl w:val="0"/>
                <w:numId w:val="12"/>
              </w:numPr>
              <w:ind w:firstLineChars="0"/>
              <w:rPr>
                <w:rFonts w:hint="default" w:ascii="Times New Roman" w:hAnsi="Times New Roman" w:eastAsia="宋体" w:cs="Times New Roman"/>
                <w:b/>
              </w:rPr>
            </w:pPr>
            <w:r>
              <w:rPr>
                <w:rFonts w:hint="default" w:ascii="Times New Roman" w:hAnsi="Times New Roman" w:eastAsia="宋体" w:cs="Times New Roman"/>
                <w:b/>
              </w:rPr>
              <w:t>环境保护敏感点</w:t>
            </w:r>
          </w:p>
          <w:p>
            <w:pPr>
              <w:ind w:firstLine="480"/>
              <w:rPr>
                <w:rFonts w:hint="default" w:ascii="Times New Roman" w:hAnsi="Times New Roman" w:eastAsia="宋体" w:cs="Times New Roman"/>
              </w:rPr>
            </w:pPr>
            <w:r>
              <w:rPr>
                <w:rFonts w:hint="default" w:ascii="Times New Roman" w:hAnsi="Times New Roman" w:eastAsia="宋体" w:cs="Times New Roman"/>
              </w:rPr>
              <w:t>项目环境敏感点主要为周边地表水，以项目所在地为中心坐标原点（0，0），东西向为X轴，南北向为Y轴，主要环境保护目标见下表。</w:t>
            </w:r>
          </w:p>
          <w:p>
            <w:pPr>
              <w:pStyle w:val="45"/>
              <w:rPr>
                <w:rFonts w:hint="default" w:ascii="Times New Roman" w:hAnsi="Times New Roman" w:eastAsia="宋体" w:cs="Times New Roman"/>
                <w:b/>
                <w:bCs/>
              </w:rPr>
            </w:pPr>
            <w:r>
              <w:rPr>
                <w:rFonts w:hint="default" w:ascii="Times New Roman" w:hAnsi="Times New Roman" w:eastAsia="宋体" w:cs="Times New Roman"/>
                <w:b/>
                <w:bCs/>
              </w:rPr>
              <w:t>表3-3 项目周边环境保护敏感点</w:t>
            </w:r>
          </w:p>
          <w:tbl>
            <w:tblPr>
              <w:tblStyle w:val="23"/>
              <w:tblW w:w="9005" w:type="dxa"/>
              <w:jc w:val="center"/>
              <w:tblBorders>
                <w:top w:val="single" w:color="auto" w:sz="6" w:space="0"/>
                <w:left w:val="none" w:color="auto" w:sz="0" w:space="0"/>
                <w:bottom w:val="single" w:color="auto" w:sz="6"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3"/>
              <w:gridCol w:w="1455"/>
              <w:gridCol w:w="804"/>
              <w:gridCol w:w="797"/>
              <w:gridCol w:w="834"/>
              <w:gridCol w:w="1184"/>
              <w:gridCol w:w="1214"/>
              <w:gridCol w:w="967"/>
              <w:gridCol w:w="1077"/>
            </w:tblGrid>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PrEx>
              <w:trPr>
                <w:trHeight w:val="23" w:hRule="atLeast"/>
                <w:jc w:val="center"/>
              </w:trPr>
              <w:tc>
                <w:tcPr>
                  <w:tcW w:w="673" w:type="dxa"/>
                  <w:vMerge w:val="restart"/>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序号</w:t>
                  </w:r>
                </w:p>
              </w:tc>
              <w:tc>
                <w:tcPr>
                  <w:tcW w:w="1455" w:type="dxa"/>
                  <w:vMerge w:val="restart"/>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环境敏感点名称</w:t>
                  </w:r>
                </w:p>
              </w:tc>
              <w:tc>
                <w:tcPr>
                  <w:tcW w:w="1601" w:type="dxa"/>
                  <w:gridSpan w:val="2"/>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坐标位置/m</w:t>
                  </w:r>
                </w:p>
              </w:tc>
              <w:tc>
                <w:tcPr>
                  <w:tcW w:w="834" w:type="dxa"/>
                  <w:vMerge w:val="restart"/>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保护对象</w:t>
                  </w:r>
                </w:p>
              </w:tc>
              <w:tc>
                <w:tcPr>
                  <w:tcW w:w="1184" w:type="dxa"/>
                  <w:vMerge w:val="restart"/>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保护内容</w:t>
                  </w:r>
                </w:p>
              </w:tc>
              <w:tc>
                <w:tcPr>
                  <w:tcW w:w="1214" w:type="dxa"/>
                  <w:vMerge w:val="restart"/>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环境功能区</w:t>
                  </w:r>
                </w:p>
              </w:tc>
              <w:tc>
                <w:tcPr>
                  <w:tcW w:w="967" w:type="dxa"/>
                  <w:vMerge w:val="restart"/>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相对厂址方位</w:t>
                  </w:r>
                </w:p>
              </w:tc>
              <w:tc>
                <w:tcPr>
                  <w:tcW w:w="1077" w:type="dxa"/>
                  <w:vMerge w:val="restart"/>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相对排气口距离/m</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3" w:type="dxa"/>
                  <w:vMerge w:val="continue"/>
                  <w:vAlign w:val="center"/>
                </w:tcPr>
                <w:p>
                  <w:pPr>
                    <w:pStyle w:val="46"/>
                    <w:rPr>
                      <w:rFonts w:hint="default" w:ascii="Times New Roman" w:hAnsi="Times New Roman" w:eastAsia="宋体" w:cs="Times New Roman"/>
                      <w:color w:val="auto"/>
                    </w:rPr>
                  </w:pPr>
                </w:p>
              </w:tc>
              <w:tc>
                <w:tcPr>
                  <w:tcW w:w="1455" w:type="dxa"/>
                  <w:vMerge w:val="continue"/>
                  <w:vAlign w:val="center"/>
                </w:tcPr>
                <w:p>
                  <w:pPr>
                    <w:pStyle w:val="46"/>
                    <w:rPr>
                      <w:rFonts w:hint="default" w:ascii="Times New Roman" w:hAnsi="Times New Roman" w:eastAsia="宋体" w:cs="Times New Roman"/>
                      <w:color w:val="auto"/>
                    </w:rPr>
                  </w:pPr>
                </w:p>
              </w:tc>
              <w:tc>
                <w:tcPr>
                  <w:tcW w:w="804" w:type="dxa"/>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X</w:t>
                  </w:r>
                </w:p>
              </w:tc>
              <w:tc>
                <w:tcPr>
                  <w:tcW w:w="797" w:type="dxa"/>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Y</w:t>
                  </w:r>
                </w:p>
              </w:tc>
              <w:tc>
                <w:tcPr>
                  <w:tcW w:w="834" w:type="dxa"/>
                  <w:vMerge w:val="continue"/>
                  <w:vAlign w:val="center"/>
                </w:tcPr>
                <w:p>
                  <w:pPr>
                    <w:pStyle w:val="46"/>
                    <w:rPr>
                      <w:rFonts w:hint="default" w:ascii="Times New Roman" w:hAnsi="Times New Roman" w:eastAsia="宋体" w:cs="Times New Roman"/>
                      <w:color w:val="auto"/>
                    </w:rPr>
                  </w:pPr>
                </w:p>
              </w:tc>
              <w:tc>
                <w:tcPr>
                  <w:tcW w:w="1184" w:type="dxa"/>
                  <w:vMerge w:val="continue"/>
                  <w:vAlign w:val="center"/>
                </w:tcPr>
                <w:p>
                  <w:pPr>
                    <w:pStyle w:val="46"/>
                    <w:rPr>
                      <w:rFonts w:hint="default" w:ascii="Times New Roman" w:hAnsi="Times New Roman" w:eastAsia="宋体" w:cs="Times New Roman"/>
                      <w:color w:val="auto"/>
                    </w:rPr>
                  </w:pPr>
                </w:p>
              </w:tc>
              <w:tc>
                <w:tcPr>
                  <w:tcW w:w="1214" w:type="dxa"/>
                  <w:vMerge w:val="continue"/>
                  <w:vAlign w:val="center"/>
                </w:tcPr>
                <w:p>
                  <w:pPr>
                    <w:pStyle w:val="46"/>
                    <w:rPr>
                      <w:rFonts w:hint="default" w:ascii="Times New Roman" w:hAnsi="Times New Roman" w:eastAsia="宋体" w:cs="Times New Roman"/>
                      <w:color w:val="auto"/>
                    </w:rPr>
                  </w:pPr>
                </w:p>
              </w:tc>
              <w:tc>
                <w:tcPr>
                  <w:tcW w:w="967" w:type="dxa"/>
                  <w:vMerge w:val="continue"/>
                  <w:vAlign w:val="center"/>
                </w:tcPr>
                <w:p>
                  <w:pPr>
                    <w:pStyle w:val="46"/>
                    <w:rPr>
                      <w:rFonts w:hint="default" w:ascii="Times New Roman" w:hAnsi="Times New Roman" w:eastAsia="宋体" w:cs="Times New Roman"/>
                      <w:color w:val="auto"/>
                    </w:rPr>
                  </w:pPr>
                </w:p>
              </w:tc>
              <w:tc>
                <w:tcPr>
                  <w:tcW w:w="1077" w:type="dxa"/>
                  <w:vMerge w:val="continue"/>
                  <w:vAlign w:val="center"/>
                </w:tcPr>
                <w:p>
                  <w:pPr>
                    <w:pStyle w:val="46"/>
                    <w:rPr>
                      <w:rFonts w:hint="default" w:ascii="Times New Roman" w:hAnsi="Times New Roman" w:eastAsia="宋体" w:cs="Times New Roman"/>
                      <w:color w:val="auto"/>
                    </w:rPr>
                  </w:pP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PrEx>
              <w:trPr>
                <w:trHeight w:val="23" w:hRule="atLeast"/>
                <w:jc w:val="center"/>
              </w:trPr>
              <w:tc>
                <w:tcPr>
                  <w:tcW w:w="67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1455"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八一村</w:t>
                  </w:r>
                </w:p>
              </w:tc>
              <w:tc>
                <w:tcPr>
                  <w:tcW w:w="80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-27</w:t>
                  </w:r>
                </w:p>
              </w:tc>
              <w:tc>
                <w:tcPr>
                  <w:tcW w:w="79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63</w:t>
                  </w:r>
                </w:p>
              </w:tc>
              <w:tc>
                <w:tcPr>
                  <w:tcW w:w="83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居民</w:t>
                  </w:r>
                </w:p>
              </w:tc>
              <w:tc>
                <w:tcPr>
                  <w:tcW w:w="118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约110人</w:t>
                  </w:r>
                </w:p>
              </w:tc>
              <w:tc>
                <w:tcPr>
                  <w:tcW w:w="1214"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环境空气二类区；</w:t>
                  </w:r>
                </w:p>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声环境2类区</w:t>
                  </w:r>
                </w:p>
              </w:tc>
              <w:tc>
                <w:tcPr>
                  <w:tcW w:w="96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西北面</w:t>
                  </w:r>
                </w:p>
              </w:tc>
              <w:tc>
                <w:tcPr>
                  <w:tcW w:w="1077" w:type="dxa"/>
                  <w:vAlign w:val="center"/>
                </w:tcPr>
                <w:p>
                  <w:pPr>
                    <w:pStyle w:val="46"/>
                    <w:rPr>
                      <w:rFonts w:hint="default" w:ascii="Times New Roman" w:hAnsi="Times New Roman" w:eastAsia="宋体" w:cs="Times New Roman"/>
                      <w:color w:val="auto"/>
                      <w:lang w:val="en-US" w:eastAsia="zh-CN"/>
                    </w:rPr>
                  </w:pPr>
                  <w:r>
                    <w:rPr>
                      <w:rFonts w:hint="eastAsia" w:cs="Times New Roman"/>
                      <w:color w:val="auto"/>
                      <w:lang w:val="en-US" w:eastAsia="zh-CN"/>
                    </w:rPr>
                    <w:t>65</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1455"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南安村</w:t>
                  </w:r>
                </w:p>
              </w:tc>
              <w:tc>
                <w:tcPr>
                  <w:tcW w:w="80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329</w:t>
                  </w:r>
                </w:p>
              </w:tc>
              <w:tc>
                <w:tcPr>
                  <w:tcW w:w="79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30</w:t>
                  </w:r>
                </w:p>
              </w:tc>
              <w:tc>
                <w:tcPr>
                  <w:tcW w:w="83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居民</w:t>
                  </w:r>
                </w:p>
              </w:tc>
              <w:tc>
                <w:tcPr>
                  <w:tcW w:w="118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约300人</w:t>
                  </w:r>
                </w:p>
              </w:tc>
              <w:tc>
                <w:tcPr>
                  <w:tcW w:w="1214" w:type="dxa"/>
                  <w:vMerge w:val="continue"/>
                  <w:vAlign w:val="center"/>
                </w:tcPr>
                <w:p>
                  <w:pPr>
                    <w:pStyle w:val="46"/>
                    <w:rPr>
                      <w:rFonts w:hint="default" w:ascii="Times New Roman" w:hAnsi="Times New Roman" w:eastAsia="宋体" w:cs="Times New Roman"/>
                      <w:color w:val="auto"/>
                    </w:rPr>
                  </w:pPr>
                </w:p>
              </w:tc>
              <w:tc>
                <w:tcPr>
                  <w:tcW w:w="96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东面</w:t>
                  </w:r>
                </w:p>
              </w:tc>
              <w:tc>
                <w:tcPr>
                  <w:tcW w:w="107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200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1455"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三联村</w:t>
                  </w:r>
                </w:p>
              </w:tc>
              <w:tc>
                <w:tcPr>
                  <w:tcW w:w="80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-427</w:t>
                  </w:r>
                </w:p>
              </w:tc>
              <w:tc>
                <w:tcPr>
                  <w:tcW w:w="79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8</w:t>
                  </w:r>
                </w:p>
              </w:tc>
              <w:tc>
                <w:tcPr>
                  <w:tcW w:w="83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居民</w:t>
                  </w:r>
                </w:p>
              </w:tc>
              <w:tc>
                <w:tcPr>
                  <w:tcW w:w="118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约200人</w:t>
                  </w:r>
                </w:p>
              </w:tc>
              <w:tc>
                <w:tcPr>
                  <w:tcW w:w="1214"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环境空气二类区</w:t>
                  </w:r>
                </w:p>
              </w:tc>
              <w:tc>
                <w:tcPr>
                  <w:tcW w:w="96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西面</w:t>
                  </w:r>
                </w:p>
              </w:tc>
              <w:tc>
                <w:tcPr>
                  <w:tcW w:w="107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530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1455"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古社村</w:t>
                  </w:r>
                </w:p>
              </w:tc>
              <w:tc>
                <w:tcPr>
                  <w:tcW w:w="80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w:t>
                  </w:r>
                </w:p>
              </w:tc>
              <w:tc>
                <w:tcPr>
                  <w:tcW w:w="79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340</w:t>
                  </w:r>
                </w:p>
              </w:tc>
              <w:tc>
                <w:tcPr>
                  <w:tcW w:w="83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居民</w:t>
                  </w:r>
                </w:p>
              </w:tc>
              <w:tc>
                <w:tcPr>
                  <w:tcW w:w="118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约250人</w:t>
                  </w:r>
                </w:p>
              </w:tc>
              <w:tc>
                <w:tcPr>
                  <w:tcW w:w="1214" w:type="dxa"/>
                  <w:vMerge w:val="continue"/>
                  <w:vAlign w:val="center"/>
                </w:tcPr>
                <w:p>
                  <w:pPr>
                    <w:pStyle w:val="46"/>
                    <w:rPr>
                      <w:rFonts w:hint="default" w:ascii="Times New Roman" w:hAnsi="Times New Roman" w:eastAsia="宋体" w:cs="Times New Roman"/>
                      <w:color w:val="auto"/>
                    </w:rPr>
                  </w:pPr>
                </w:p>
              </w:tc>
              <w:tc>
                <w:tcPr>
                  <w:tcW w:w="96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北面</w:t>
                  </w:r>
                </w:p>
              </w:tc>
              <w:tc>
                <w:tcPr>
                  <w:tcW w:w="107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460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1455"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旋溪</w:t>
                  </w:r>
                </w:p>
              </w:tc>
              <w:tc>
                <w:tcPr>
                  <w:tcW w:w="80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-287</w:t>
                  </w:r>
                </w:p>
              </w:tc>
              <w:tc>
                <w:tcPr>
                  <w:tcW w:w="79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-611</w:t>
                  </w:r>
                </w:p>
              </w:tc>
              <w:tc>
                <w:tcPr>
                  <w:tcW w:w="83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居民</w:t>
                  </w:r>
                </w:p>
              </w:tc>
              <w:tc>
                <w:tcPr>
                  <w:tcW w:w="118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约200人</w:t>
                  </w:r>
                </w:p>
              </w:tc>
              <w:tc>
                <w:tcPr>
                  <w:tcW w:w="1214" w:type="dxa"/>
                  <w:vMerge w:val="continue"/>
                  <w:vAlign w:val="center"/>
                </w:tcPr>
                <w:p>
                  <w:pPr>
                    <w:pStyle w:val="46"/>
                    <w:rPr>
                      <w:rFonts w:hint="default" w:ascii="Times New Roman" w:hAnsi="Times New Roman" w:eastAsia="宋体" w:cs="Times New Roman"/>
                      <w:color w:val="auto"/>
                    </w:rPr>
                  </w:pPr>
                </w:p>
              </w:tc>
              <w:tc>
                <w:tcPr>
                  <w:tcW w:w="96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西南面</w:t>
                  </w:r>
                </w:p>
              </w:tc>
              <w:tc>
                <w:tcPr>
                  <w:tcW w:w="107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1200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6</w:t>
                  </w:r>
                </w:p>
              </w:tc>
              <w:tc>
                <w:tcPr>
                  <w:tcW w:w="1455"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新龙村</w:t>
                  </w:r>
                </w:p>
              </w:tc>
              <w:tc>
                <w:tcPr>
                  <w:tcW w:w="80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-821</w:t>
                  </w:r>
                </w:p>
              </w:tc>
              <w:tc>
                <w:tcPr>
                  <w:tcW w:w="79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-116</w:t>
                  </w:r>
                </w:p>
              </w:tc>
              <w:tc>
                <w:tcPr>
                  <w:tcW w:w="83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居民</w:t>
                  </w:r>
                </w:p>
              </w:tc>
              <w:tc>
                <w:tcPr>
                  <w:tcW w:w="118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约200人</w:t>
                  </w:r>
                </w:p>
              </w:tc>
              <w:tc>
                <w:tcPr>
                  <w:tcW w:w="1214" w:type="dxa"/>
                  <w:vMerge w:val="continue"/>
                  <w:vAlign w:val="center"/>
                </w:tcPr>
                <w:p>
                  <w:pPr>
                    <w:pStyle w:val="46"/>
                    <w:rPr>
                      <w:rFonts w:hint="default" w:ascii="Times New Roman" w:hAnsi="Times New Roman" w:eastAsia="宋体" w:cs="Times New Roman"/>
                      <w:color w:val="auto"/>
                    </w:rPr>
                  </w:pPr>
                </w:p>
              </w:tc>
              <w:tc>
                <w:tcPr>
                  <w:tcW w:w="96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西面</w:t>
                  </w:r>
                </w:p>
              </w:tc>
              <w:tc>
                <w:tcPr>
                  <w:tcW w:w="107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1200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PrEx>
              <w:trPr>
                <w:trHeight w:val="23" w:hRule="atLeast"/>
                <w:jc w:val="center"/>
              </w:trPr>
              <w:tc>
                <w:tcPr>
                  <w:tcW w:w="67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7</w:t>
                  </w:r>
                </w:p>
              </w:tc>
              <w:tc>
                <w:tcPr>
                  <w:tcW w:w="1455"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南阳里</w:t>
                  </w:r>
                </w:p>
              </w:tc>
              <w:tc>
                <w:tcPr>
                  <w:tcW w:w="80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-916</w:t>
                  </w:r>
                </w:p>
              </w:tc>
              <w:tc>
                <w:tcPr>
                  <w:tcW w:w="79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-216</w:t>
                  </w:r>
                </w:p>
              </w:tc>
              <w:tc>
                <w:tcPr>
                  <w:tcW w:w="83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居民</w:t>
                  </w:r>
                </w:p>
              </w:tc>
              <w:tc>
                <w:tcPr>
                  <w:tcW w:w="118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约150人</w:t>
                  </w:r>
                </w:p>
              </w:tc>
              <w:tc>
                <w:tcPr>
                  <w:tcW w:w="1214" w:type="dxa"/>
                  <w:vMerge w:val="continue"/>
                  <w:vAlign w:val="center"/>
                </w:tcPr>
                <w:p>
                  <w:pPr>
                    <w:pStyle w:val="46"/>
                    <w:rPr>
                      <w:rFonts w:hint="default" w:ascii="Times New Roman" w:hAnsi="Times New Roman" w:eastAsia="宋体" w:cs="Times New Roman"/>
                      <w:color w:val="auto"/>
                    </w:rPr>
                  </w:pPr>
                </w:p>
              </w:tc>
              <w:tc>
                <w:tcPr>
                  <w:tcW w:w="96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西北面</w:t>
                  </w:r>
                </w:p>
              </w:tc>
              <w:tc>
                <w:tcPr>
                  <w:tcW w:w="107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1700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PrEx>
              <w:trPr>
                <w:trHeight w:val="23" w:hRule="atLeast"/>
                <w:jc w:val="center"/>
              </w:trPr>
              <w:tc>
                <w:tcPr>
                  <w:tcW w:w="67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8</w:t>
                  </w:r>
                </w:p>
              </w:tc>
              <w:tc>
                <w:tcPr>
                  <w:tcW w:w="1455"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冲曲</w:t>
                  </w:r>
                </w:p>
              </w:tc>
              <w:tc>
                <w:tcPr>
                  <w:tcW w:w="80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-694</w:t>
                  </w:r>
                </w:p>
              </w:tc>
              <w:tc>
                <w:tcPr>
                  <w:tcW w:w="79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675</w:t>
                  </w:r>
                </w:p>
              </w:tc>
              <w:tc>
                <w:tcPr>
                  <w:tcW w:w="83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居民</w:t>
                  </w:r>
                </w:p>
              </w:tc>
              <w:tc>
                <w:tcPr>
                  <w:tcW w:w="118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约100人</w:t>
                  </w:r>
                </w:p>
              </w:tc>
              <w:tc>
                <w:tcPr>
                  <w:tcW w:w="1214" w:type="dxa"/>
                  <w:vMerge w:val="continue"/>
                  <w:vAlign w:val="center"/>
                </w:tcPr>
                <w:p>
                  <w:pPr>
                    <w:pStyle w:val="46"/>
                    <w:rPr>
                      <w:rFonts w:hint="default" w:ascii="Times New Roman" w:hAnsi="Times New Roman" w:eastAsia="宋体" w:cs="Times New Roman"/>
                      <w:color w:val="auto"/>
                    </w:rPr>
                  </w:pPr>
                </w:p>
              </w:tc>
              <w:tc>
                <w:tcPr>
                  <w:tcW w:w="96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西北面</w:t>
                  </w:r>
                </w:p>
              </w:tc>
              <w:tc>
                <w:tcPr>
                  <w:tcW w:w="107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1800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9</w:t>
                  </w:r>
                </w:p>
              </w:tc>
              <w:tc>
                <w:tcPr>
                  <w:tcW w:w="1455"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桂芳</w:t>
                  </w:r>
                </w:p>
              </w:tc>
              <w:tc>
                <w:tcPr>
                  <w:tcW w:w="80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-333</w:t>
                  </w:r>
                </w:p>
              </w:tc>
              <w:tc>
                <w:tcPr>
                  <w:tcW w:w="79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698</w:t>
                  </w:r>
                </w:p>
              </w:tc>
              <w:tc>
                <w:tcPr>
                  <w:tcW w:w="83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居民</w:t>
                  </w:r>
                </w:p>
              </w:tc>
              <w:tc>
                <w:tcPr>
                  <w:tcW w:w="118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约100人</w:t>
                  </w:r>
                </w:p>
              </w:tc>
              <w:tc>
                <w:tcPr>
                  <w:tcW w:w="1214" w:type="dxa"/>
                  <w:vMerge w:val="continue"/>
                  <w:vAlign w:val="center"/>
                </w:tcPr>
                <w:p>
                  <w:pPr>
                    <w:pStyle w:val="46"/>
                    <w:rPr>
                      <w:rFonts w:hint="default" w:ascii="Times New Roman" w:hAnsi="Times New Roman" w:eastAsia="宋体" w:cs="Times New Roman"/>
                      <w:color w:val="auto"/>
                    </w:rPr>
                  </w:pPr>
                </w:p>
              </w:tc>
              <w:tc>
                <w:tcPr>
                  <w:tcW w:w="96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北面</w:t>
                  </w:r>
                </w:p>
              </w:tc>
              <w:tc>
                <w:tcPr>
                  <w:tcW w:w="107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1300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10</w:t>
                  </w:r>
                </w:p>
              </w:tc>
              <w:tc>
                <w:tcPr>
                  <w:tcW w:w="1455"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北大</w:t>
                  </w:r>
                </w:p>
              </w:tc>
              <w:tc>
                <w:tcPr>
                  <w:tcW w:w="80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-300</w:t>
                  </w:r>
                </w:p>
              </w:tc>
              <w:tc>
                <w:tcPr>
                  <w:tcW w:w="79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870</w:t>
                  </w:r>
                </w:p>
              </w:tc>
              <w:tc>
                <w:tcPr>
                  <w:tcW w:w="83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居民</w:t>
                  </w:r>
                </w:p>
              </w:tc>
              <w:tc>
                <w:tcPr>
                  <w:tcW w:w="118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约150人</w:t>
                  </w:r>
                </w:p>
              </w:tc>
              <w:tc>
                <w:tcPr>
                  <w:tcW w:w="1214" w:type="dxa"/>
                  <w:vMerge w:val="continue"/>
                  <w:vAlign w:val="center"/>
                </w:tcPr>
                <w:p>
                  <w:pPr>
                    <w:pStyle w:val="46"/>
                    <w:rPr>
                      <w:rFonts w:hint="default" w:ascii="Times New Roman" w:hAnsi="Times New Roman" w:eastAsia="宋体" w:cs="Times New Roman"/>
                      <w:color w:val="auto"/>
                    </w:rPr>
                  </w:pPr>
                </w:p>
              </w:tc>
              <w:tc>
                <w:tcPr>
                  <w:tcW w:w="96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北面</w:t>
                  </w:r>
                </w:p>
              </w:tc>
              <w:tc>
                <w:tcPr>
                  <w:tcW w:w="107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1600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11</w:t>
                  </w:r>
                </w:p>
              </w:tc>
              <w:tc>
                <w:tcPr>
                  <w:tcW w:w="1455"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朝清</w:t>
                  </w:r>
                </w:p>
              </w:tc>
              <w:tc>
                <w:tcPr>
                  <w:tcW w:w="80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-70</w:t>
                  </w:r>
                </w:p>
              </w:tc>
              <w:tc>
                <w:tcPr>
                  <w:tcW w:w="79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753</w:t>
                  </w:r>
                </w:p>
              </w:tc>
              <w:tc>
                <w:tcPr>
                  <w:tcW w:w="83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居民</w:t>
                  </w:r>
                </w:p>
              </w:tc>
              <w:tc>
                <w:tcPr>
                  <w:tcW w:w="118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约150人</w:t>
                  </w:r>
                </w:p>
              </w:tc>
              <w:tc>
                <w:tcPr>
                  <w:tcW w:w="1214" w:type="dxa"/>
                  <w:vMerge w:val="continue"/>
                  <w:vAlign w:val="center"/>
                </w:tcPr>
                <w:p>
                  <w:pPr>
                    <w:pStyle w:val="46"/>
                    <w:rPr>
                      <w:rFonts w:hint="default" w:ascii="Times New Roman" w:hAnsi="Times New Roman" w:eastAsia="宋体" w:cs="Times New Roman"/>
                      <w:color w:val="auto"/>
                    </w:rPr>
                  </w:pPr>
                </w:p>
              </w:tc>
              <w:tc>
                <w:tcPr>
                  <w:tcW w:w="96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北面</w:t>
                  </w:r>
                </w:p>
              </w:tc>
              <w:tc>
                <w:tcPr>
                  <w:tcW w:w="107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1500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12</w:t>
                  </w:r>
                </w:p>
              </w:tc>
              <w:tc>
                <w:tcPr>
                  <w:tcW w:w="1455"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杜溪村</w:t>
                  </w:r>
                </w:p>
              </w:tc>
              <w:tc>
                <w:tcPr>
                  <w:tcW w:w="80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322</w:t>
                  </w:r>
                </w:p>
              </w:tc>
              <w:tc>
                <w:tcPr>
                  <w:tcW w:w="79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961</w:t>
                  </w:r>
                </w:p>
              </w:tc>
              <w:tc>
                <w:tcPr>
                  <w:tcW w:w="83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居民</w:t>
                  </w:r>
                </w:p>
              </w:tc>
              <w:tc>
                <w:tcPr>
                  <w:tcW w:w="118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约300人</w:t>
                  </w:r>
                </w:p>
              </w:tc>
              <w:tc>
                <w:tcPr>
                  <w:tcW w:w="1214" w:type="dxa"/>
                  <w:vMerge w:val="continue"/>
                  <w:vAlign w:val="center"/>
                </w:tcPr>
                <w:p>
                  <w:pPr>
                    <w:pStyle w:val="46"/>
                    <w:rPr>
                      <w:rFonts w:hint="default" w:ascii="Times New Roman" w:hAnsi="Times New Roman" w:eastAsia="宋体" w:cs="Times New Roman"/>
                      <w:color w:val="auto"/>
                    </w:rPr>
                  </w:pPr>
                </w:p>
              </w:tc>
              <w:tc>
                <w:tcPr>
                  <w:tcW w:w="96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东北面</w:t>
                  </w:r>
                </w:p>
              </w:tc>
              <w:tc>
                <w:tcPr>
                  <w:tcW w:w="107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1900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PrEx>
              <w:trPr>
                <w:trHeight w:val="23" w:hRule="atLeast"/>
                <w:jc w:val="center"/>
              </w:trPr>
              <w:tc>
                <w:tcPr>
                  <w:tcW w:w="67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13</w:t>
                  </w:r>
                </w:p>
              </w:tc>
              <w:tc>
                <w:tcPr>
                  <w:tcW w:w="1455"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陈边</w:t>
                  </w:r>
                </w:p>
              </w:tc>
              <w:tc>
                <w:tcPr>
                  <w:tcW w:w="80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338</w:t>
                  </w:r>
                </w:p>
              </w:tc>
              <w:tc>
                <w:tcPr>
                  <w:tcW w:w="79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415</w:t>
                  </w:r>
                </w:p>
              </w:tc>
              <w:tc>
                <w:tcPr>
                  <w:tcW w:w="83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居民</w:t>
                  </w:r>
                </w:p>
              </w:tc>
              <w:tc>
                <w:tcPr>
                  <w:tcW w:w="118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约100人</w:t>
                  </w:r>
                </w:p>
              </w:tc>
              <w:tc>
                <w:tcPr>
                  <w:tcW w:w="1214" w:type="dxa"/>
                  <w:vMerge w:val="continue"/>
                  <w:vAlign w:val="center"/>
                </w:tcPr>
                <w:p>
                  <w:pPr>
                    <w:pStyle w:val="46"/>
                    <w:rPr>
                      <w:rFonts w:hint="default" w:ascii="Times New Roman" w:hAnsi="Times New Roman" w:eastAsia="宋体" w:cs="Times New Roman"/>
                      <w:color w:val="auto"/>
                    </w:rPr>
                  </w:pPr>
                </w:p>
              </w:tc>
              <w:tc>
                <w:tcPr>
                  <w:tcW w:w="96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东北面</w:t>
                  </w:r>
                </w:p>
              </w:tc>
              <w:tc>
                <w:tcPr>
                  <w:tcW w:w="107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950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14</w:t>
                  </w:r>
                </w:p>
              </w:tc>
              <w:tc>
                <w:tcPr>
                  <w:tcW w:w="1455"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安溪</w:t>
                  </w:r>
                </w:p>
              </w:tc>
              <w:tc>
                <w:tcPr>
                  <w:tcW w:w="80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641</w:t>
                  </w:r>
                </w:p>
              </w:tc>
              <w:tc>
                <w:tcPr>
                  <w:tcW w:w="79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571</w:t>
                  </w:r>
                </w:p>
              </w:tc>
              <w:tc>
                <w:tcPr>
                  <w:tcW w:w="83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居民</w:t>
                  </w:r>
                </w:p>
              </w:tc>
              <w:tc>
                <w:tcPr>
                  <w:tcW w:w="118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约400人</w:t>
                  </w:r>
                </w:p>
              </w:tc>
              <w:tc>
                <w:tcPr>
                  <w:tcW w:w="1214" w:type="dxa"/>
                  <w:vMerge w:val="continue"/>
                  <w:vAlign w:val="center"/>
                </w:tcPr>
                <w:p>
                  <w:pPr>
                    <w:pStyle w:val="46"/>
                    <w:rPr>
                      <w:rFonts w:hint="default" w:ascii="Times New Roman" w:hAnsi="Times New Roman" w:eastAsia="宋体" w:cs="Times New Roman"/>
                      <w:color w:val="auto"/>
                    </w:rPr>
                  </w:pPr>
                </w:p>
              </w:tc>
              <w:tc>
                <w:tcPr>
                  <w:tcW w:w="96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东北面</w:t>
                  </w:r>
                </w:p>
              </w:tc>
              <w:tc>
                <w:tcPr>
                  <w:tcW w:w="107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1200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15</w:t>
                  </w:r>
                </w:p>
              </w:tc>
              <w:tc>
                <w:tcPr>
                  <w:tcW w:w="1455"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桥尾</w:t>
                  </w:r>
                </w:p>
              </w:tc>
              <w:tc>
                <w:tcPr>
                  <w:tcW w:w="80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524</w:t>
                  </w:r>
                </w:p>
              </w:tc>
              <w:tc>
                <w:tcPr>
                  <w:tcW w:w="79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206</w:t>
                  </w:r>
                </w:p>
              </w:tc>
              <w:tc>
                <w:tcPr>
                  <w:tcW w:w="83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居民</w:t>
                  </w:r>
                </w:p>
              </w:tc>
              <w:tc>
                <w:tcPr>
                  <w:tcW w:w="118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约300人</w:t>
                  </w:r>
                </w:p>
              </w:tc>
              <w:tc>
                <w:tcPr>
                  <w:tcW w:w="1214" w:type="dxa"/>
                  <w:vMerge w:val="continue"/>
                  <w:vAlign w:val="center"/>
                </w:tcPr>
                <w:p>
                  <w:pPr>
                    <w:pStyle w:val="46"/>
                    <w:rPr>
                      <w:rFonts w:hint="default" w:ascii="Times New Roman" w:hAnsi="Times New Roman" w:eastAsia="宋体" w:cs="Times New Roman"/>
                      <w:color w:val="auto"/>
                    </w:rPr>
                  </w:pPr>
                </w:p>
              </w:tc>
              <w:tc>
                <w:tcPr>
                  <w:tcW w:w="96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东北面</w:t>
                  </w:r>
                </w:p>
              </w:tc>
              <w:tc>
                <w:tcPr>
                  <w:tcW w:w="107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760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16</w:t>
                  </w:r>
                </w:p>
              </w:tc>
              <w:tc>
                <w:tcPr>
                  <w:tcW w:w="1455"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海心洲</w:t>
                  </w:r>
                </w:p>
              </w:tc>
              <w:tc>
                <w:tcPr>
                  <w:tcW w:w="80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840</w:t>
                  </w:r>
                </w:p>
              </w:tc>
              <w:tc>
                <w:tcPr>
                  <w:tcW w:w="79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343</w:t>
                  </w:r>
                </w:p>
              </w:tc>
              <w:tc>
                <w:tcPr>
                  <w:tcW w:w="83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居民</w:t>
                  </w:r>
                </w:p>
              </w:tc>
              <w:tc>
                <w:tcPr>
                  <w:tcW w:w="118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约600人</w:t>
                  </w:r>
                </w:p>
              </w:tc>
              <w:tc>
                <w:tcPr>
                  <w:tcW w:w="1214" w:type="dxa"/>
                  <w:vMerge w:val="continue"/>
                  <w:vAlign w:val="center"/>
                </w:tcPr>
                <w:p>
                  <w:pPr>
                    <w:pStyle w:val="46"/>
                    <w:rPr>
                      <w:rFonts w:hint="default" w:ascii="Times New Roman" w:hAnsi="Times New Roman" w:eastAsia="宋体" w:cs="Times New Roman"/>
                      <w:color w:val="auto"/>
                    </w:rPr>
                  </w:pPr>
                </w:p>
              </w:tc>
              <w:tc>
                <w:tcPr>
                  <w:tcW w:w="96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东北面</w:t>
                  </w:r>
                </w:p>
              </w:tc>
              <w:tc>
                <w:tcPr>
                  <w:tcW w:w="107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1400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17</w:t>
                  </w:r>
                </w:p>
              </w:tc>
              <w:tc>
                <w:tcPr>
                  <w:tcW w:w="1455"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富善坊</w:t>
                  </w:r>
                </w:p>
              </w:tc>
              <w:tc>
                <w:tcPr>
                  <w:tcW w:w="80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765</w:t>
                  </w:r>
                </w:p>
              </w:tc>
              <w:tc>
                <w:tcPr>
                  <w:tcW w:w="79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135</w:t>
                  </w:r>
                </w:p>
              </w:tc>
              <w:tc>
                <w:tcPr>
                  <w:tcW w:w="83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居民</w:t>
                  </w:r>
                </w:p>
              </w:tc>
              <w:tc>
                <w:tcPr>
                  <w:tcW w:w="118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约300人</w:t>
                  </w:r>
                </w:p>
              </w:tc>
              <w:tc>
                <w:tcPr>
                  <w:tcW w:w="1214" w:type="dxa"/>
                  <w:vMerge w:val="continue"/>
                  <w:vAlign w:val="center"/>
                </w:tcPr>
                <w:p>
                  <w:pPr>
                    <w:pStyle w:val="46"/>
                    <w:rPr>
                      <w:rFonts w:hint="default" w:ascii="Times New Roman" w:hAnsi="Times New Roman" w:eastAsia="宋体" w:cs="Times New Roman"/>
                      <w:color w:val="auto"/>
                    </w:rPr>
                  </w:pPr>
                </w:p>
              </w:tc>
              <w:tc>
                <w:tcPr>
                  <w:tcW w:w="96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东面</w:t>
                  </w:r>
                </w:p>
              </w:tc>
              <w:tc>
                <w:tcPr>
                  <w:tcW w:w="107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1200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PrEx>
              <w:trPr>
                <w:trHeight w:val="23" w:hRule="atLeast"/>
                <w:jc w:val="center"/>
              </w:trPr>
              <w:tc>
                <w:tcPr>
                  <w:tcW w:w="67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18</w:t>
                  </w:r>
                </w:p>
              </w:tc>
              <w:tc>
                <w:tcPr>
                  <w:tcW w:w="1455"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祝华坊</w:t>
                  </w:r>
                </w:p>
              </w:tc>
              <w:tc>
                <w:tcPr>
                  <w:tcW w:w="80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1040</w:t>
                  </w:r>
                </w:p>
              </w:tc>
              <w:tc>
                <w:tcPr>
                  <w:tcW w:w="79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-188</w:t>
                  </w:r>
                </w:p>
              </w:tc>
              <w:tc>
                <w:tcPr>
                  <w:tcW w:w="83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居民</w:t>
                  </w:r>
                </w:p>
              </w:tc>
              <w:tc>
                <w:tcPr>
                  <w:tcW w:w="118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约200人</w:t>
                  </w:r>
                </w:p>
              </w:tc>
              <w:tc>
                <w:tcPr>
                  <w:tcW w:w="1214" w:type="dxa"/>
                  <w:vMerge w:val="continue"/>
                  <w:vAlign w:val="center"/>
                </w:tcPr>
                <w:p>
                  <w:pPr>
                    <w:pStyle w:val="46"/>
                    <w:rPr>
                      <w:rFonts w:hint="default" w:ascii="Times New Roman" w:hAnsi="Times New Roman" w:eastAsia="宋体" w:cs="Times New Roman"/>
                      <w:color w:val="auto"/>
                    </w:rPr>
                  </w:pPr>
                </w:p>
              </w:tc>
              <w:tc>
                <w:tcPr>
                  <w:tcW w:w="96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东南面</w:t>
                  </w:r>
                </w:p>
              </w:tc>
              <w:tc>
                <w:tcPr>
                  <w:tcW w:w="107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1600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19</w:t>
                  </w:r>
                </w:p>
              </w:tc>
              <w:tc>
                <w:tcPr>
                  <w:tcW w:w="1455"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高岭村</w:t>
                  </w:r>
                </w:p>
              </w:tc>
              <w:tc>
                <w:tcPr>
                  <w:tcW w:w="80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131</w:t>
                  </w:r>
                </w:p>
              </w:tc>
              <w:tc>
                <w:tcPr>
                  <w:tcW w:w="79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-923</w:t>
                  </w:r>
                </w:p>
              </w:tc>
              <w:tc>
                <w:tcPr>
                  <w:tcW w:w="83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居民</w:t>
                  </w:r>
                </w:p>
              </w:tc>
              <w:tc>
                <w:tcPr>
                  <w:tcW w:w="118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约150人</w:t>
                  </w:r>
                </w:p>
              </w:tc>
              <w:tc>
                <w:tcPr>
                  <w:tcW w:w="1214" w:type="dxa"/>
                  <w:vMerge w:val="continue"/>
                  <w:vAlign w:val="center"/>
                </w:tcPr>
                <w:p>
                  <w:pPr>
                    <w:pStyle w:val="46"/>
                    <w:rPr>
                      <w:rFonts w:hint="default" w:ascii="Times New Roman" w:hAnsi="Times New Roman" w:eastAsia="宋体" w:cs="Times New Roman"/>
                      <w:color w:val="auto"/>
                    </w:rPr>
                  </w:pPr>
                </w:p>
              </w:tc>
              <w:tc>
                <w:tcPr>
                  <w:tcW w:w="96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南面</w:t>
                  </w:r>
                </w:p>
              </w:tc>
              <w:tc>
                <w:tcPr>
                  <w:tcW w:w="107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1700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20</w:t>
                  </w:r>
                </w:p>
              </w:tc>
              <w:tc>
                <w:tcPr>
                  <w:tcW w:w="1455"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水头村</w:t>
                  </w:r>
                </w:p>
              </w:tc>
              <w:tc>
                <w:tcPr>
                  <w:tcW w:w="80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584</w:t>
                  </w:r>
                </w:p>
              </w:tc>
              <w:tc>
                <w:tcPr>
                  <w:tcW w:w="79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-953</w:t>
                  </w:r>
                </w:p>
              </w:tc>
              <w:tc>
                <w:tcPr>
                  <w:tcW w:w="83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居民</w:t>
                  </w:r>
                </w:p>
              </w:tc>
              <w:tc>
                <w:tcPr>
                  <w:tcW w:w="118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约150人</w:t>
                  </w:r>
                </w:p>
              </w:tc>
              <w:tc>
                <w:tcPr>
                  <w:tcW w:w="1214" w:type="dxa"/>
                  <w:vMerge w:val="continue"/>
                  <w:vAlign w:val="center"/>
                </w:tcPr>
                <w:p>
                  <w:pPr>
                    <w:pStyle w:val="46"/>
                    <w:rPr>
                      <w:rFonts w:hint="default" w:ascii="Times New Roman" w:hAnsi="Times New Roman" w:eastAsia="宋体" w:cs="Times New Roman"/>
                      <w:color w:val="auto"/>
                    </w:rPr>
                  </w:pPr>
                </w:p>
              </w:tc>
              <w:tc>
                <w:tcPr>
                  <w:tcW w:w="96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东南面</w:t>
                  </w:r>
                </w:p>
              </w:tc>
              <w:tc>
                <w:tcPr>
                  <w:tcW w:w="107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1900</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21</w:t>
                  </w:r>
                </w:p>
              </w:tc>
              <w:tc>
                <w:tcPr>
                  <w:tcW w:w="1455"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潭江</w:t>
                  </w:r>
                </w:p>
              </w:tc>
              <w:tc>
                <w:tcPr>
                  <w:tcW w:w="80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w:t>
                  </w:r>
                </w:p>
              </w:tc>
              <w:tc>
                <w:tcPr>
                  <w:tcW w:w="79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123</w:t>
                  </w:r>
                </w:p>
              </w:tc>
              <w:tc>
                <w:tcPr>
                  <w:tcW w:w="83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河流</w:t>
                  </w:r>
                </w:p>
              </w:tc>
              <w:tc>
                <w:tcPr>
                  <w:tcW w:w="118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地表水</w:t>
                  </w:r>
                </w:p>
              </w:tc>
              <w:tc>
                <w:tcPr>
                  <w:tcW w:w="121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Ⅱ类水</w:t>
                  </w:r>
                </w:p>
              </w:tc>
              <w:tc>
                <w:tcPr>
                  <w:tcW w:w="96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南面</w:t>
                  </w:r>
                </w:p>
              </w:tc>
              <w:tc>
                <w:tcPr>
                  <w:tcW w:w="107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120</w:t>
                  </w:r>
                </w:p>
              </w:tc>
            </w:tr>
          </w:tbl>
          <w:p>
            <w:pPr>
              <w:ind w:firstLine="480"/>
              <w:rPr>
                <w:rFonts w:hint="default" w:ascii="Times New Roman" w:hAnsi="Times New Roman" w:eastAsia="宋体" w:cs="Times New Roman"/>
              </w:rPr>
            </w:pPr>
          </w:p>
        </w:tc>
      </w:tr>
    </w:tbl>
    <w:p>
      <w:pPr>
        <w:ind w:firstLine="643"/>
        <w:rPr>
          <w:rFonts w:hint="default" w:ascii="Times New Roman" w:hAnsi="Times New Roman" w:eastAsia="宋体" w:cs="Times New Roman"/>
          <w:b/>
          <w:sz w:val="32"/>
        </w:rPr>
      </w:pPr>
      <w:r>
        <w:rPr>
          <w:rFonts w:hint="default" w:ascii="Times New Roman" w:hAnsi="Times New Roman" w:eastAsia="宋体" w:cs="Times New Roman"/>
          <w:b/>
          <w:sz w:val="32"/>
        </w:rPr>
        <w:br w:type="page"/>
      </w:r>
    </w:p>
    <w:p>
      <w:pPr>
        <w:numPr>
          <w:ilvl w:val="0"/>
          <w:numId w:val="7"/>
        </w:numPr>
        <w:ind w:firstLine="0" w:firstLineChars="0"/>
        <w:outlineLvl w:val="0"/>
        <w:rPr>
          <w:rFonts w:hint="default" w:ascii="Times New Roman" w:hAnsi="Times New Roman" w:eastAsia="宋体" w:cs="Times New Roman"/>
          <w:b/>
          <w:sz w:val="32"/>
        </w:rPr>
      </w:pPr>
      <w:bookmarkStart w:id="6" w:name="_Toc21097"/>
      <w:r>
        <w:rPr>
          <w:rFonts w:hint="default" w:ascii="Times New Roman" w:hAnsi="Times New Roman" w:eastAsia="宋体" w:cs="Times New Roman"/>
          <w:b/>
          <w:sz w:val="32"/>
        </w:rPr>
        <w:t>评价适用标准</w:t>
      </w:r>
      <w:bookmarkEnd w:id="6"/>
    </w:p>
    <w:tbl>
      <w:tblPr>
        <w:tblStyle w:val="23"/>
        <w:tblW w:w="9286"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489"/>
        <w:gridCol w:w="879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403" w:hRule="atLeast"/>
        </w:trPr>
        <w:tc>
          <w:tcPr>
            <w:tcW w:w="899" w:type="dxa"/>
            <w:vAlign w:val="center"/>
          </w:tcPr>
          <w:p>
            <w:pPr>
              <w:pStyle w:val="48"/>
              <w:topLinePunct w:val="0"/>
              <w:autoSpaceDE/>
              <w:autoSpaceDN/>
              <w:adjustRightInd/>
              <w:spacing w:before="120" w:line="300" w:lineRule="auto"/>
              <w:textAlignment w:val="auto"/>
              <w:rPr>
                <w:rFonts w:hint="default" w:ascii="Times New Roman" w:hAnsi="Times New Roman" w:eastAsia="宋体" w:cs="Times New Roman"/>
                <w:kern w:val="2"/>
              </w:rPr>
            </w:pPr>
            <w:r>
              <w:rPr>
                <w:rFonts w:hint="default" w:ascii="Times New Roman" w:hAnsi="Times New Roman" w:eastAsia="宋体" w:cs="Times New Roman"/>
                <w:kern w:val="2"/>
              </w:rPr>
              <w:t>环境质量标准</w:t>
            </w:r>
          </w:p>
        </w:tc>
        <w:tc>
          <w:tcPr>
            <w:tcW w:w="8387" w:type="dxa"/>
            <w:vAlign w:val="center"/>
          </w:tcPr>
          <w:p>
            <w:pPr>
              <w:numPr>
                <w:ilvl w:val="0"/>
                <w:numId w:val="13"/>
              </w:numPr>
              <w:ind w:firstLine="482"/>
              <w:rPr>
                <w:rFonts w:hint="default" w:ascii="Times New Roman" w:hAnsi="Times New Roman" w:eastAsia="宋体" w:cs="Times New Roman"/>
                <w:b/>
                <w:bCs/>
              </w:rPr>
            </w:pPr>
            <w:r>
              <w:rPr>
                <w:rFonts w:hint="default" w:ascii="Times New Roman" w:hAnsi="Times New Roman" w:eastAsia="宋体" w:cs="Times New Roman"/>
                <w:b/>
                <w:bCs/>
              </w:rPr>
              <w:t>地表水环境质量标准</w:t>
            </w:r>
          </w:p>
          <w:p>
            <w:pPr>
              <w:ind w:firstLine="480"/>
              <w:rPr>
                <w:rFonts w:hint="default" w:ascii="Times New Roman" w:hAnsi="Times New Roman" w:eastAsia="宋体" w:cs="Times New Roman"/>
              </w:rPr>
            </w:pPr>
            <w:r>
              <w:rPr>
                <w:rFonts w:hint="default" w:ascii="Times New Roman" w:hAnsi="Times New Roman" w:eastAsia="宋体" w:cs="Times New Roman"/>
              </w:rPr>
              <w:t>本项目附近地表水为潭江（义兴到祥龙水厂吸水点下 1km），水质执行《地表水环境质量标准》（GB 3838-2002）Ⅱ类标准，有关污染物及其浓度限值见下表。</w:t>
            </w:r>
          </w:p>
          <w:p>
            <w:pPr>
              <w:pStyle w:val="45"/>
              <w:rPr>
                <w:rFonts w:hint="default" w:ascii="Times New Roman" w:hAnsi="Times New Roman" w:eastAsia="宋体" w:cs="Times New Roman"/>
                <w:b/>
                <w:bCs/>
              </w:rPr>
            </w:pPr>
            <w:r>
              <w:rPr>
                <w:rFonts w:hint="default" w:ascii="Times New Roman" w:hAnsi="Times New Roman" w:eastAsia="宋体" w:cs="Times New Roman"/>
                <w:b/>
                <w:bCs/>
              </w:rPr>
              <w:t>表4-1 水环境质量标准（摘录）单位：mg/L，pH无量纲</w:t>
            </w:r>
          </w:p>
          <w:tbl>
            <w:tblPr>
              <w:tblStyle w:val="23"/>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71"/>
              <w:gridCol w:w="750"/>
              <w:gridCol w:w="737"/>
              <w:gridCol w:w="1171"/>
              <w:gridCol w:w="886"/>
              <w:gridCol w:w="1027"/>
              <w:gridCol w:w="886"/>
              <w:gridCol w:w="75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3" w:hRule="atLeast"/>
                <w:jc w:val="center"/>
              </w:trPr>
              <w:tc>
                <w:tcPr>
                  <w:tcW w:w="1381" w:type="pct"/>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项目</w:t>
                  </w:r>
                </w:p>
              </w:tc>
              <w:tc>
                <w:tcPr>
                  <w:tcW w:w="437" w:type="pct"/>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pH</w:t>
                  </w:r>
                </w:p>
              </w:tc>
              <w:tc>
                <w:tcPr>
                  <w:tcW w:w="429" w:type="pct"/>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DO</w:t>
                  </w:r>
                </w:p>
              </w:tc>
              <w:tc>
                <w:tcPr>
                  <w:tcW w:w="682" w:type="pct"/>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COD</w:t>
                  </w:r>
                  <w:r>
                    <w:rPr>
                      <w:rFonts w:hint="default" w:ascii="Times New Roman" w:hAnsi="Times New Roman" w:eastAsia="宋体" w:cs="Times New Roman"/>
                      <w:b/>
                      <w:bCs/>
                      <w:color w:val="auto"/>
                      <w:vertAlign w:val="subscript"/>
                    </w:rPr>
                    <w:t>Cr</w:t>
                  </w:r>
                </w:p>
              </w:tc>
              <w:tc>
                <w:tcPr>
                  <w:tcW w:w="516" w:type="pct"/>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氨氮</w:t>
                  </w:r>
                </w:p>
              </w:tc>
              <w:tc>
                <w:tcPr>
                  <w:tcW w:w="598" w:type="pct"/>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BOD</w:t>
                  </w:r>
                  <w:r>
                    <w:rPr>
                      <w:rFonts w:hint="default" w:ascii="Times New Roman" w:hAnsi="Times New Roman" w:eastAsia="宋体" w:cs="Times New Roman"/>
                      <w:b/>
                      <w:bCs/>
                      <w:color w:val="auto"/>
                      <w:vertAlign w:val="subscript"/>
                    </w:rPr>
                    <w:t>5</w:t>
                  </w:r>
                </w:p>
              </w:tc>
              <w:tc>
                <w:tcPr>
                  <w:tcW w:w="516" w:type="pct"/>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总磷</w:t>
                  </w:r>
                </w:p>
              </w:tc>
              <w:tc>
                <w:tcPr>
                  <w:tcW w:w="437" w:type="pct"/>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SS</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81" w:type="pct"/>
                  <w:vAlign w:val="center"/>
                </w:tcPr>
                <w:p>
                  <w:pPr>
                    <w:pStyle w:val="13"/>
                    <w:ind w:firstLine="0"/>
                    <w:jc w:val="center"/>
                    <w:rPr>
                      <w:rFonts w:hint="default" w:ascii="Times New Roman" w:hAnsi="Times New Roman" w:eastAsia="宋体" w:cs="Times New Roman"/>
                    </w:rPr>
                  </w:pPr>
                  <w:r>
                    <w:rPr>
                      <w:rFonts w:hint="default" w:ascii="Times New Roman" w:hAnsi="Times New Roman" w:eastAsia="宋体" w:cs="Times New Roman"/>
                    </w:rPr>
                    <w:t>Ⅱ</w:t>
                  </w:r>
                  <w:r>
                    <w:rPr>
                      <w:rFonts w:hint="default" w:ascii="Times New Roman" w:hAnsi="Times New Roman" w:eastAsia="宋体" w:cs="Times New Roman"/>
                      <w:sz w:val="21"/>
                      <w:szCs w:val="21"/>
                    </w:rPr>
                    <w:t>类水质标准值</w:t>
                  </w:r>
                </w:p>
              </w:tc>
              <w:tc>
                <w:tcPr>
                  <w:tcW w:w="437" w:type="pc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6~9</w:t>
                  </w:r>
                </w:p>
              </w:tc>
              <w:tc>
                <w:tcPr>
                  <w:tcW w:w="429" w:type="pc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≥6</w:t>
                  </w:r>
                </w:p>
              </w:tc>
              <w:tc>
                <w:tcPr>
                  <w:tcW w:w="682" w:type="pc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≤15</w:t>
                  </w:r>
                </w:p>
              </w:tc>
              <w:tc>
                <w:tcPr>
                  <w:tcW w:w="516" w:type="pc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≤0.5</w:t>
                  </w:r>
                </w:p>
              </w:tc>
              <w:tc>
                <w:tcPr>
                  <w:tcW w:w="598" w:type="pc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516" w:type="pc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≤0.1</w:t>
                  </w:r>
                </w:p>
              </w:tc>
              <w:tc>
                <w:tcPr>
                  <w:tcW w:w="437" w:type="pc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≤25</w:t>
                  </w:r>
                </w:p>
              </w:tc>
            </w:tr>
          </w:tbl>
          <w:p>
            <w:pPr>
              <w:ind w:firstLine="480"/>
              <w:rPr>
                <w:rFonts w:hint="default" w:ascii="Times New Roman" w:hAnsi="Times New Roman" w:eastAsia="宋体" w:cs="Times New Roman"/>
              </w:rPr>
            </w:pPr>
            <w:r>
              <w:rPr>
                <w:rFonts w:hint="default" w:ascii="Times New Roman" w:hAnsi="Times New Roman" w:eastAsia="宋体" w:cs="Times New Roman"/>
              </w:rPr>
              <w:t>注：SS参照地表水资源质量标准（SL63-94）中的二级标准</w:t>
            </w:r>
          </w:p>
          <w:p>
            <w:pPr>
              <w:numPr>
                <w:ilvl w:val="0"/>
                <w:numId w:val="13"/>
              </w:numPr>
              <w:ind w:firstLine="482"/>
              <w:rPr>
                <w:rFonts w:hint="default" w:ascii="Times New Roman" w:hAnsi="Times New Roman" w:eastAsia="宋体" w:cs="Times New Roman"/>
                <w:b/>
                <w:bCs/>
              </w:rPr>
            </w:pPr>
            <w:r>
              <w:rPr>
                <w:rFonts w:hint="default" w:ascii="Times New Roman" w:hAnsi="Times New Roman" w:eastAsia="宋体" w:cs="Times New Roman"/>
                <w:b/>
                <w:bCs/>
              </w:rPr>
              <w:t>环境空气质量标准</w:t>
            </w:r>
          </w:p>
          <w:p>
            <w:pPr>
              <w:ind w:firstLine="480"/>
              <w:rPr>
                <w:rFonts w:hint="default" w:ascii="Times New Roman" w:hAnsi="Times New Roman" w:eastAsia="宋体" w:cs="Times New Roman"/>
              </w:rPr>
            </w:pPr>
            <w:r>
              <w:rPr>
                <w:rFonts w:hint="default" w:ascii="Times New Roman" w:hAnsi="Times New Roman" w:eastAsia="宋体" w:cs="Times New Roman"/>
              </w:rPr>
              <w:t xml:space="preserve">项目所在区域环境空气质量执行《环境空气质量标准》（GB3095-2012）及其修改单（生态环境部公告2018年第29号）二级标准；特征因子TVOC标准执行《环境影响评价技术导则 大气环境》（HJ2.2-2018）参考值8小时平均值，详见下表：                                                                                                                                                                                                                                                                                                                                                                                                                                                                                                                                                                                                                                                                                                                                                                                                                                                            </w:t>
            </w:r>
          </w:p>
          <w:p>
            <w:pPr>
              <w:pStyle w:val="45"/>
              <w:rPr>
                <w:rFonts w:hint="default" w:ascii="Times New Roman" w:hAnsi="Times New Roman" w:eastAsia="宋体" w:cs="Times New Roman"/>
                <w:b/>
                <w:bCs/>
              </w:rPr>
            </w:pPr>
            <w:r>
              <w:rPr>
                <w:rFonts w:hint="default" w:ascii="Times New Roman" w:hAnsi="Times New Roman" w:eastAsia="宋体" w:cs="Times New Roman"/>
                <w:b/>
                <w:bCs/>
              </w:rPr>
              <w:t>表4-2 环境空气质量标准 ( 单位：ug/m</w:t>
            </w:r>
            <w:r>
              <w:rPr>
                <w:rFonts w:hint="default" w:ascii="Times New Roman" w:hAnsi="Times New Roman" w:eastAsia="宋体" w:cs="Times New Roman"/>
                <w:b/>
                <w:bCs/>
                <w:vertAlign w:val="superscript"/>
              </w:rPr>
              <w:t>3</w:t>
            </w:r>
            <w:r>
              <w:rPr>
                <w:rFonts w:hint="default" w:ascii="Times New Roman" w:hAnsi="Times New Roman" w:eastAsia="宋体" w:cs="Times New Roman"/>
                <w:b/>
                <w:bCs/>
              </w:rPr>
              <w:t>，CO为mg/m</w:t>
            </w:r>
            <w:r>
              <w:rPr>
                <w:rFonts w:hint="default" w:ascii="Times New Roman" w:hAnsi="Times New Roman" w:eastAsia="宋体" w:cs="Times New Roman"/>
                <w:b/>
                <w:bCs/>
                <w:vertAlign w:val="superscript"/>
              </w:rPr>
              <w:t>3</w:t>
            </w:r>
            <w:r>
              <w:rPr>
                <w:rFonts w:hint="default" w:ascii="Times New Roman" w:hAnsi="Times New Roman" w:eastAsia="宋体" w:cs="Times New Roman"/>
                <w:b/>
                <w:bCs/>
              </w:rPr>
              <w:t>)</w:t>
            </w:r>
          </w:p>
          <w:tbl>
            <w:tblPr>
              <w:tblStyle w:val="23"/>
              <w:tblW w:w="816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77"/>
              <w:gridCol w:w="1978"/>
              <w:gridCol w:w="1638"/>
              <w:gridCol w:w="25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7"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污染物名称</w:t>
                  </w:r>
                </w:p>
              </w:tc>
              <w:tc>
                <w:tcPr>
                  <w:tcW w:w="1978"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平均时间</w:t>
                  </w:r>
                </w:p>
              </w:tc>
              <w:tc>
                <w:tcPr>
                  <w:tcW w:w="1638"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浓度限值</w:t>
                  </w:r>
                </w:p>
              </w:tc>
              <w:tc>
                <w:tcPr>
                  <w:tcW w:w="2575"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7"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SO</w:t>
                  </w:r>
                  <w:r>
                    <w:rPr>
                      <w:rFonts w:hint="default" w:ascii="Times New Roman" w:hAnsi="Times New Roman" w:eastAsia="宋体" w:cs="Times New Roman"/>
                      <w:color w:val="auto"/>
                      <w:vertAlign w:val="subscript"/>
                    </w:rPr>
                    <w:t>2</w:t>
                  </w:r>
                </w:p>
              </w:tc>
              <w:tc>
                <w:tcPr>
                  <w:tcW w:w="197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年平均</w:t>
                  </w:r>
                </w:p>
              </w:tc>
              <w:tc>
                <w:tcPr>
                  <w:tcW w:w="163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≤60</w:t>
                  </w:r>
                </w:p>
              </w:tc>
              <w:tc>
                <w:tcPr>
                  <w:tcW w:w="2575"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《环境空气质量标准》（GB3095-2012）及其修改单（生态环境部公告2018年第29号）二级标准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7"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197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24小时平均</w:t>
                  </w:r>
                </w:p>
              </w:tc>
              <w:tc>
                <w:tcPr>
                  <w:tcW w:w="163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≤150</w:t>
                  </w:r>
                </w:p>
              </w:tc>
              <w:tc>
                <w:tcPr>
                  <w:tcW w:w="2575" w:type="dxa"/>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7"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197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1小时平均</w:t>
                  </w:r>
                </w:p>
              </w:tc>
              <w:tc>
                <w:tcPr>
                  <w:tcW w:w="163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≤500</w:t>
                  </w:r>
                </w:p>
              </w:tc>
              <w:tc>
                <w:tcPr>
                  <w:tcW w:w="2575" w:type="dxa"/>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7"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NO</w:t>
                  </w:r>
                  <w:r>
                    <w:rPr>
                      <w:rFonts w:hint="default" w:ascii="Times New Roman" w:hAnsi="Times New Roman" w:eastAsia="宋体" w:cs="Times New Roman"/>
                      <w:color w:val="auto"/>
                      <w:vertAlign w:val="subscript"/>
                    </w:rPr>
                    <w:t>2</w:t>
                  </w:r>
                </w:p>
              </w:tc>
              <w:tc>
                <w:tcPr>
                  <w:tcW w:w="197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年平均</w:t>
                  </w:r>
                </w:p>
              </w:tc>
              <w:tc>
                <w:tcPr>
                  <w:tcW w:w="163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≤40</w:t>
                  </w:r>
                </w:p>
              </w:tc>
              <w:tc>
                <w:tcPr>
                  <w:tcW w:w="2575" w:type="dxa"/>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7"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197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24小时平均</w:t>
                  </w:r>
                </w:p>
              </w:tc>
              <w:tc>
                <w:tcPr>
                  <w:tcW w:w="163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 xml:space="preserve">≤80 </w:t>
                  </w:r>
                </w:p>
              </w:tc>
              <w:tc>
                <w:tcPr>
                  <w:tcW w:w="2575" w:type="dxa"/>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7"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197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1小时平均</w:t>
                  </w:r>
                </w:p>
              </w:tc>
              <w:tc>
                <w:tcPr>
                  <w:tcW w:w="163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 xml:space="preserve">≤200 </w:t>
                  </w:r>
                </w:p>
              </w:tc>
              <w:tc>
                <w:tcPr>
                  <w:tcW w:w="2575" w:type="dxa"/>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7"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PM</w:t>
                  </w:r>
                  <w:r>
                    <w:rPr>
                      <w:rFonts w:hint="default" w:ascii="Times New Roman" w:hAnsi="Times New Roman" w:eastAsia="宋体" w:cs="Times New Roman"/>
                      <w:color w:val="auto"/>
                      <w:vertAlign w:val="subscript"/>
                    </w:rPr>
                    <w:t>10</w:t>
                  </w:r>
                </w:p>
              </w:tc>
              <w:tc>
                <w:tcPr>
                  <w:tcW w:w="197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年平均</w:t>
                  </w:r>
                </w:p>
              </w:tc>
              <w:tc>
                <w:tcPr>
                  <w:tcW w:w="163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≤70</w:t>
                  </w:r>
                </w:p>
              </w:tc>
              <w:tc>
                <w:tcPr>
                  <w:tcW w:w="2575" w:type="dxa"/>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7"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197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24小时平均</w:t>
                  </w:r>
                </w:p>
              </w:tc>
              <w:tc>
                <w:tcPr>
                  <w:tcW w:w="163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 xml:space="preserve">≤150 </w:t>
                  </w:r>
                </w:p>
              </w:tc>
              <w:tc>
                <w:tcPr>
                  <w:tcW w:w="2575" w:type="dxa"/>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7"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PM</w:t>
                  </w:r>
                  <w:r>
                    <w:rPr>
                      <w:rFonts w:hint="default" w:ascii="Times New Roman" w:hAnsi="Times New Roman" w:eastAsia="宋体" w:cs="Times New Roman"/>
                      <w:color w:val="auto"/>
                      <w:vertAlign w:val="subscript"/>
                    </w:rPr>
                    <w:t>2.5</w:t>
                  </w:r>
                </w:p>
              </w:tc>
              <w:tc>
                <w:tcPr>
                  <w:tcW w:w="197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年平均</w:t>
                  </w:r>
                </w:p>
              </w:tc>
              <w:tc>
                <w:tcPr>
                  <w:tcW w:w="163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≤35</w:t>
                  </w:r>
                </w:p>
              </w:tc>
              <w:tc>
                <w:tcPr>
                  <w:tcW w:w="2575" w:type="dxa"/>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7"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197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24小时平均</w:t>
                  </w:r>
                </w:p>
              </w:tc>
              <w:tc>
                <w:tcPr>
                  <w:tcW w:w="163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≤75</w:t>
                  </w:r>
                </w:p>
              </w:tc>
              <w:tc>
                <w:tcPr>
                  <w:tcW w:w="2575" w:type="dxa"/>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7"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CO</w:t>
                  </w:r>
                </w:p>
              </w:tc>
              <w:tc>
                <w:tcPr>
                  <w:tcW w:w="197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24小时平均</w:t>
                  </w:r>
                </w:p>
              </w:tc>
              <w:tc>
                <w:tcPr>
                  <w:tcW w:w="163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2575" w:type="dxa"/>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7"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197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1小时平均</w:t>
                  </w:r>
                </w:p>
              </w:tc>
              <w:tc>
                <w:tcPr>
                  <w:tcW w:w="163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≤10</w:t>
                  </w:r>
                </w:p>
              </w:tc>
              <w:tc>
                <w:tcPr>
                  <w:tcW w:w="2575" w:type="dxa"/>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77"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O</w:t>
                  </w:r>
                  <w:r>
                    <w:rPr>
                      <w:rFonts w:hint="default" w:ascii="Times New Roman" w:hAnsi="Times New Roman" w:eastAsia="宋体" w:cs="Times New Roman"/>
                      <w:color w:val="auto"/>
                      <w:vertAlign w:val="subscript"/>
                    </w:rPr>
                    <w:t>3</w:t>
                  </w:r>
                </w:p>
              </w:tc>
              <w:tc>
                <w:tcPr>
                  <w:tcW w:w="197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日最大8小时平均</w:t>
                  </w:r>
                </w:p>
              </w:tc>
              <w:tc>
                <w:tcPr>
                  <w:tcW w:w="163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≤160</w:t>
                  </w:r>
                </w:p>
              </w:tc>
              <w:tc>
                <w:tcPr>
                  <w:tcW w:w="2575" w:type="dxa"/>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7"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197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1小时平均</w:t>
                  </w:r>
                </w:p>
              </w:tc>
              <w:tc>
                <w:tcPr>
                  <w:tcW w:w="163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≤200</w:t>
                  </w:r>
                </w:p>
              </w:tc>
              <w:tc>
                <w:tcPr>
                  <w:tcW w:w="2575" w:type="dxa"/>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7" w:type="dxa"/>
                  <w:tcBorders>
                    <w:tl2br w:val="nil"/>
                    <w:tr2bl w:val="nil"/>
                  </w:tcBorders>
                  <w:vAlign w:val="center"/>
                </w:tcPr>
                <w:p>
                  <w:pPr>
                    <w:pStyle w:val="13"/>
                    <w:ind w:firstLine="0"/>
                    <w:jc w:val="center"/>
                    <w:rPr>
                      <w:rFonts w:hint="default" w:ascii="Times New Roman" w:hAnsi="Times New Roman" w:eastAsia="宋体" w:cs="Times New Roman"/>
                    </w:rPr>
                  </w:pPr>
                  <w:r>
                    <w:rPr>
                      <w:rFonts w:hint="default" w:ascii="Times New Roman" w:hAnsi="Times New Roman" w:eastAsia="宋体" w:cs="Times New Roman"/>
                      <w:sz w:val="21"/>
                      <w:szCs w:val="21"/>
                    </w:rPr>
                    <w:t>总挥发性有机物TVOC</w:t>
                  </w:r>
                </w:p>
              </w:tc>
              <w:tc>
                <w:tcPr>
                  <w:tcW w:w="197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8小时平均</w:t>
                  </w:r>
                </w:p>
              </w:tc>
              <w:tc>
                <w:tcPr>
                  <w:tcW w:w="163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≤600</w:t>
                  </w:r>
                </w:p>
              </w:tc>
              <w:tc>
                <w:tcPr>
                  <w:tcW w:w="2575"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《环境影响评价技术导</w:t>
                  </w:r>
                </w:p>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则 大气环境》（HJ2.2-2018）附录D推荐值</w:t>
                  </w:r>
                </w:p>
              </w:tc>
            </w:tr>
          </w:tbl>
          <w:p>
            <w:pPr>
              <w:numPr>
                <w:ilvl w:val="0"/>
                <w:numId w:val="13"/>
              </w:numPr>
              <w:ind w:firstLine="482"/>
              <w:rPr>
                <w:rFonts w:hint="default" w:ascii="Times New Roman" w:hAnsi="Times New Roman" w:eastAsia="宋体" w:cs="Times New Roman"/>
                <w:b/>
                <w:bCs/>
              </w:rPr>
            </w:pPr>
            <w:r>
              <w:rPr>
                <w:rFonts w:hint="default" w:ascii="Times New Roman" w:hAnsi="Times New Roman" w:eastAsia="宋体" w:cs="Times New Roman"/>
                <w:b/>
                <w:bCs/>
              </w:rPr>
              <w:t>声环境质量标准</w:t>
            </w:r>
          </w:p>
          <w:p>
            <w:pPr>
              <w:ind w:firstLine="480"/>
              <w:rPr>
                <w:rFonts w:hint="default" w:ascii="Times New Roman" w:hAnsi="Times New Roman" w:eastAsia="宋体" w:cs="Times New Roman"/>
              </w:rPr>
            </w:pPr>
            <w:r>
              <w:rPr>
                <w:rFonts w:hint="default" w:ascii="Times New Roman" w:hAnsi="Times New Roman" w:eastAsia="宋体" w:cs="Times New Roman"/>
              </w:rPr>
              <w:t>《声环境质量标准》(GB3096—2008)执行2类标准，详见下表；</w:t>
            </w:r>
          </w:p>
          <w:p>
            <w:pPr>
              <w:pStyle w:val="45"/>
              <w:rPr>
                <w:rFonts w:hint="default" w:ascii="Times New Roman" w:hAnsi="Times New Roman" w:eastAsia="宋体" w:cs="Times New Roman"/>
                <w:b/>
                <w:bCs/>
              </w:rPr>
            </w:pPr>
            <w:r>
              <w:rPr>
                <w:rFonts w:hint="default" w:ascii="Times New Roman" w:hAnsi="Times New Roman" w:eastAsia="宋体" w:cs="Times New Roman"/>
                <w:b/>
                <w:bCs/>
              </w:rPr>
              <w:t>表4-3 项目所在区域声环境质量标准</w:t>
            </w:r>
          </w:p>
          <w:tbl>
            <w:tblPr>
              <w:tblStyle w:val="23"/>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60"/>
              <w:gridCol w:w="1979"/>
              <w:gridCol w:w="1344"/>
              <w:gridCol w:w="1164"/>
              <w:gridCol w:w="283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34" w:type="pct"/>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项目</w:t>
                  </w:r>
                </w:p>
              </w:tc>
              <w:tc>
                <w:tcPr>
                  <w:tcW w:w="1153" w:type="pct"/>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声环境功能区类别</w:t>
                  </w:r>
                </w:p>
              </w:tc>
              <w:tc>
                <w:tcPr>
                  <w:tcW w:w="1461" w:type="pct"/>
                  <w:gridSpan w:val="2"/>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时段</w:t>
                  </w:r>
                </w:p>
              </w:tc>
              <w:tc>
                <w:tcPr>
                  <w:tcW w:w="1650" w:type="pct"/>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标准来源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34" w:type="pct"/>
                  <w:vMerge w:val="continue"/>
                  <w:tcBorders>
                    <w:tl2br w:val="nil"/>
                    <w:tr2bl w:val="nil"/>
                  </w:tcBorders>
                  <w:vAlign w:val="center"/>
                </w:tcPr>
                <w:p>
                  <w:pPr>
                    <w:pStyle w:val="46"/>
                    <w:rPr>
                      <w:rFonts w:hint="default" w:ascii="Times New Roman" w:hAnsi="Times New Roman" w:eastAsia="宋体" w:cs="Times New Roman"/>
                      <w:b/>
                      <w:bCs/>
                      <w:color w:val="auto"/>
                    </w:rPr>
                  </w:pPr>
                </w:p>
              </w:tc>
              <w:tc>
                <w:tcPr>
                  <w:tcW w:w="1153" w:type="pct"/>
                  <w:vMerge w:val="continue"/>
                  <w:tcBorders>
                    <w:tl2br w:val="nil"/>
                    <w:tr2bl w:val="nil"/>
                  </w:tcBorders>
                  <w:vAlign w:val="center"/>
                </w:tcPr>
                <w:p>
                  <w:pPr>
                    <w:pStyle w:val="46"/>
                    <w:rPr>
                      <w:rFonts w:hint="default" w:ascii="Times New Roman" w:hAnsi="Times New Roman" w:eastAsia="宋体" w:cs="Times New Roman"/>
                      <w:b/>
                      <w:bCs/>
                      <w:color w:val="auto"/>
                    </w:rPr>
                  </w:pPr>
                </w:p>
              </w:tc>
              <w:tc>
                <w:tcPr>
                  <w:tcW w:w="783" w:type="pc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昼间</w:t>
                  </w:r>
                </w:p>
              </w:tc>
              <w:tc>
                <w:tcPr>
                  <w:tcW w:w="678" w:type="pc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夜间</w:t>
                  </w:r>
                </w:p>
              </w:tc>
              <w:tc>
                <w:tcPr>
                  <w:tcW w:w="1650" w:type="pct"/>
                  <w:vMerge w:val="continue"/>
                  <w:tcBorders>
                    <w:tl2br w:val="nil"/>
                    <w:tr2bl w:val="nil"/>
                  </w:tcBorders>
                  <w:vAlign w:val="center"/>
                </w:tcPr>
                <w:p>
                  <w:pPr>
                    <w:pStyle w:val="46"/>
                    <w:rPr>
                      <w:rFonts w:hint="default" w:ascii="Times New Roman" w:hAnsi="Times New Roman" w:eastAsia="宋体" w:cs="Times New Roman"/>
                      <w:b/>
                      <w:bCs/>
                      <w:color w:val="auto"/>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34"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厂界噪声</w:t>
                  </w:r>
                </w:p>
              </w:tc>
              <w:tc>
                <w:tcPr>
                  <w:tcW w:w="1153"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2类</w:t>
                  </w:r>
                </w:p>
              </w:tc>
              <w:tc>
                <w:tcPr>
                  <w:tcW w:w="783"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60dB(A)</w:t>
                  </w:r>
                </w:p>
              </w:tc>
              <w:tc>
                <w:tcPr>
                  <w:tcW w:w="678"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50dB(A)</w:t>
                  </w:r>
                </w:p>
              </w:tc>
              <w:tc>
                <w:tcPr>
                  <w:tcW w:w="1650"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《声环境质量标准》（GB3096-2008）2类标准</w:t>
                  </w:r>
                </w:p>
              </w:tc>
            </w:tr>
          </w:tbl>
          <w:p>
            <w:pPr>
              <w:pStyle w:val="28"/>
              <w:rPr>
                <w:rFonts w:hint="default" w:ascii="Times New Roman" w:hAnsi="Times New Roman" w:eastAsia="宋体" w:cs="Times New Roman"/>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trPr>
        <w:tc>
          <w:tcPr>
            <w:tcW w:w="899" w:type="dxa"/>
            <w:vAlign w:val="center"/>
          </w:tcPr>
          <w:p>
            <w:pPr>
              <w:spacing w:before="120" w:line="300" w:lineRule="auto"/>
              <w:ind w:firstLine="0" w:firstLineChars="0"/>
              <w:jc w:val="center"/>
              <w:rPr>
                <w:rFonts w:hint="default" w:ascii="Times New Roman" w:hAnsi="Times New Roman" w:eastAsia="宋体" w:cs="Times New Roman"/>
                <w:sz w:val="28"/>
              </w:rPr>
            </w:pPr>
            <w:r>
              <w:rPr>
                <w:rFonts w:hint="default" w:ascii="Times New Roman" w:hAnsi="Times New Roman" w:eastAsia="宋体" w:cs="Times New Roman"/>
                <w:sz w:val="28"/>
              </w:rPr>
              <w:t>污染物排放标准</w:t>
            </w:r>
          </w:p>
        </w:tc>
        <w:tc>
          <w:tcPr>
            <w:tcW w:w="8387" w:type="dxa"/>
            <w:vAlign w:val="center"/>
          </w:tcPr>
          <w:p>
            <w:pPr>
              <w:numPr>
                <w:ilvl w:val="0"/>
                <w:numId w:val="14"/>
              </w:numPr>
              <w:ind w:firstLine="482"/>
              <w:rPr>
                <w:rFonts w:hint="default" w:ascii="Times New Roman" w:hAnsi="Times New Roman" w:eastAsia="宋体" w:cs="Times New Roman"/>
                <w:b/>
                <w:bCs/>
              </w:rPr>
            </w:pPr>
            <w:r>
              <w:rPr>
                <w:rFonts w:hint="default" w:ascii="Times New Roman" w:hAnsi="Times New Roman" w:eastAsia="宋体" w:cs="Times New Roman"/>
                <w:b/>
                <w:bCs/>
              </w:rPr>
              <w:t>大气污染物排放标准</w:t>
            </w:r>
          </w:p>
          <w:p>
            <w:pPr>
              <w:ind w:firstLine="480"/>
              <w:rPr>
                <w:rFonts w:hint="default" w:ascii="Times New Roman" w:hAnsi="Times New Roman" w:eastAsia="宋体" w:cs="Times New Roman"/>
              </w:rPr>
            </w:pPr>
            <w:r>
              <w:rPr>
                <w:rFonts w:hint="default" w:ascii="Times New Roman" w:hAnsi="Times New Roman" w:eastAsia="宋体" w:cs="Times New Roman"/>
              </w:rPr>
              <w:t>有机废气排放执行广东省《印刷行业挥发性有机化合物排放标准》（DB44/815-2010）表2中“平版印刷（不含以金属、陶瓷、玻璃为承印物的平版印刷）、柔性版印刷”第Ⅱ时段标准及表3无组织排放监控点浓度限值标准。</w:t>
            </w:r>
          </w:p>
          <w:p>
            <w:pPr>
              <w:pStyle w:val="45"/>
              <w:rPr>
                <w:rFonts w:hint="default" w:ascii="Times New Roman" w:hAnsi="Times New Roman" w:eastAsia="宋体" w:cs="Times New Roman"/>
                <w:b/>
                <w:bCs/>
              </w:rPr>
            </w:pPr>
            <w:r>
              <w:rPr>
                <w:rFonts w:hint="default" w:ascii="Times New Roman" w:hAnsi="Times New Roman" w:eastAsia="宋体" w:cs="Times New Roman"/>
                <w:b/>
                <w:bCs/>
              </w:rPr>
              <w:t>表4-4 项目大气污染物排放浓度限值</w:t>
            </w:r>
          </w:p>
          <w:tbl>
            <w:tblPr>
              <w:tblStyle w:val="23"/>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82"/>
              <w:gridCol w:w="1072"/>
              <w:gridCol w:w="1559"/>
              <w:gridCol w:w="1559"/>
              <w:gridCol w:w="1559"/>
              <w:gridCol w:w="164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4" w:hRule="atLeast"/>
                <w:jc w:val="center"/>
              </w:trPr>
              <w:tc>
                <w:tcPr>
                  <w:tcW w:w="688" w:type="pc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废气名称</w:t>
                  </w:r>
                </w:p>
              </w:tc>
              <w:tc>
                <w:tcPr>
                  <w:tcW w:w="624" w:type="pc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污染物</w:t>
                  </w:r>
                </w:p>
              </w:tc>
              <w:tc>
                <w:tcPr>
                  <w:tcW w:w="908" w:type="pc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排放高度</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m</w:t>
                  </w:r>
                </w:p>
              </w:tc>
              <w:tc>
                <w:tcPr>
                  <w:tcW w:w="908" w:type="pc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最高允许排放浓度（mg/m</w:t>
                  </w:r>
                  <w:r>
                    <w:rPr>
                      <w:rFonts w:hint="default" w:ascii="Times New Roman" w:hAnsi="Times New Roman" w:eastAsia="宋体" w:cs="Times New Roman"/>
                      <w:b/>
                      <w:bCs/>
                      <w:color w:val="auto"/>
                      <w:vertAlign w:val="superscript"/>
                    </w:rPr>
                    <w:t>3</w:t>
                  </w:r>
                  <w:r>
                    <w:rPr>
                      <w:rFonts w:hint="default" w:ascii="Times New Roman" w:hAnsi="Times New Roman" w:eastAsia="宋体" w:cs="Times New Roman"/>
                      <w:b/>
                      <w:bCs/>
                      <w:color w:val="auto"/>
                    </w:rPr>
                    <w:t>）</w:t>
                  </w:r>
                </w:p>
              </w:tc>
              <w:tc>
                <w:tcPr>
                  <w:tcW w:w="908" w:type="pc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最高允许排放速率（kg/h）</w:t>
                  </w:r>
                </w:p>
              </w:tc>
              <w:tc>
                <w:tcPr>
                  <w:tcW w:w="960" w:type="pc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*无组织排放监控点浓度限值（mg/m</w:t>
                  </w:r>
                  <w:r>
                    <w:rPr>
                      <w:rFonts w:hint="default" w:ascii="Times New Roman" w:hAnsi="Times New Roman" w:eastAsia="宋体" w:cs="Times New Roman"/>
                      <w:b/>
                      <w:bCs/>
                      <w:color w:val="auto"/>
                      <w:vertAlign w:val="superscript"/>
                    </w:rPr>
                    <w:t>3</w:t>
                  </w:r>
                  <w:r>
                    <w:rPr>
                      <w:rFonts w:hint="default" w:ascii="Times New Roman" w:hAnsi="Times New Roman" w:eastAsia="宋体" w:cs="Times New Roman"/>
                      <w:b/>
                      <w:bCs/>
                      <w:color w:val="auto"/>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688"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有机废气</w:t>
                  </w:r>
                </w:p>
              </w:tc>
              <w:tc>
                <w:tcPr>
                  <w:tcW w:w="624"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VOCs</w:t>
                  </w:r>
                </w:p>
              </w:tc>
              <w:tc>
                <w:tcPr>
                  <w:tcW w:w="908"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15</w:t>
                  </w:r>
                </w:p>
              </w:tc>
              <w:tc>
                <w:tcPr>
                  <w:tcW w:w="908"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80</w:t>
                  </w:r>
                </w:p>
              </w:tc>
              <w:tc>
                <w:tcPr>
                  <w:tcW w:w="908"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5.1（2.55*）</w:t>
                  </w:r>
                </w:p>
              </w:tc>
              <w:tc>
                <w:tcPr>
                  <w:tcW w:w="960"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2.0</w:t>
                  </w:r>
                </w:p>
              </w:tc>
            </w:tr>
          </w:tbl>
          <w:p>
            <w:pPr>
              <w:pStyle w:val="46"/>
              <w:jc w:val="left"/>
              <w:rPr>
                <w:rFonts w:hint="default" w:ascii="Times New Roman" w:hAnsi="Times New Roman" w:eastAsia="宋体" w:cs="Times New Roman"/>
                <w:color w:val="auto"/>
              </w:rPr>
            </w:pPr>
            <w:r>
              <w:rPr>
                <w:rFonts w:hint="default" w:ascii="Times New Roman" w:hAnsi="Times New Roman" w:eastAsia="宋体" w:cs="Times New Roman"/>
                <w:color w:val="auto"/>
              </w:rPr>
              <w:t>*注:根据现场调查，本项目废气经15m高排气筒排放，未高出周围200m半径内最高建筑物5m，故本项目大气污染物的排放速率须按对应排放速率限值的50%（即2.55kg/h）执行。</w:t>
            </w:r>
          </w:p>
          <w:p>
            <w:pPr>
              <w:pStyle w:val="46"/>
              <w:jc w:val="left"/>
              <w:rPr>
                <w:rFonts w:hint="default" w:ascii="Times New Roman" w:hAnsi="Times New Roman" w:eastAsia="宋体" w:cs="Times New Roman"/>
                <w:color w:val="auto"/>
              </w:rPr>
            </w:pPr>
            <w:r>
              <w:rPr>
                <w:rFonts w:hint="default" w:ascii="Times New Roman" w:hAnsi="Times New Roman" w:eastAsia="宋体" w:cs="Times New Roman"/>
                <w:color w:val="auto"/>
              </w:rPr>
              <w:t>*无组织排放高度取值说明：本项目车间高度约</w:t>
            </w:r>
            <w:r>
              <w:rPr>
                <w:rFonts w:hint="default" w:ascii="Times New Roman" w:hAnsi="Times New Roman" w:eastAsia="宋体" w:cs="Times New Roman"/>
                <w:color w:val="auto"/>
                <w:lang w:val="en-US" w:eastAsia="zh-CN"/>
              </w:rPr>
              <w:t>10</w:t>
            </w:r>
            <w:r>
              <w:rPr>
                <w:rFonts w:hint="default" w:ascii="Times New Roman" w:hAnsi="Times New Roman" w:eastAsia="宋体" w:cs="Times New Roman"/>
                <w:color w:val="auto"/>
              </w:rPr>
              <w:t>m，生产时车间门窗关闭，排气扇高度约5m，本报告取项目废气无组织排放高度为5m。</w:t>
            </w:r>
          </w:p>
          <w:p>
            <w:pPr>
              <w:pStyle w:val="28"/>
              <w:ind w:firstLine="420"/>
              <w:rPr>
                <w:rFonts w:hint="default" w:ascii="Times New Roman" w:hAnsi="Times New Roman" w:eastAsia="宋体" w:cs="Times New Roman"/>
                <w:color w:val="auto"/>
              </w:rPr>
            </w:pPr>
            <w:r>
              <w:rPr>
                <w:rFonts w:hint="default" w:ascii="Times New Roman" w:hAnsi="Times New Roman" w:eastAsia="宋体" w:cs="Times New Roman"/>
                <w:color w:val="auto"/>
                <w:sz w:val="21"/>
                <w:szCs w:val="21"/>
              </w:rPr>
              <w:t>本</w:t>
            </w:r>
            <w:r>
              <w:rPr>
                <w:rFonts w:hint="default" w:ascii="Times New Roman" w:hAnsi="Times New Roman" w:eastAsia="宋体" w:cs="Times New Roman"/>
                <w:color w:val="auto"/>
              </w:rPr>
              <w:t>项目厂区内有机废气还须满足《挥发性有机物无组织排放控制标准》（GB37822-2019）表A.1中的</w:t>
            </w:r>
            <w:r>
              <w:rPr>
                <w:rFonts w:hint="default" w:ascii="Times New Roman" w:hAnsi="Times New Roman" w:eastAsia="宋体" w:cs="Times New Roman"/>
                <w:color w:val="auto"/>
                <w:lang w:val="en-US" w:eastAsia="zh-CN"/>
              </w:rPr>
              <w:t>厂区内VOCs无组织排放监控点浓度限值</w:t>
            </w:r>
            <w:r>
              <w:rPr>
                <w:rFonts w:hint="default" w:ascii="Times New Roman" w:hAnsi="Times New Roman" w:eastAsia="宋体" w:cs="Times New Roman"/>
                <w:color w:val="auto"/>
              </w:rPr>
              <w:t>，具体见下表。</w:t>
            </w:r>
          </w:p>
          <w:p>
            <w:pPr>
              <w:pStyle w:val="45"/>
              <w:rPr>
                <w:rFonts w:hint="default" w:ascii="Times New Roman" w:hAnsi="Times New Roman" w:eastAsia="宋体" w:cs="Times New Roman"/>
                <w:b/>
                <w:bCs/>
              </w:rPr>
            </w:pPr>
            <w:r>
              <w:rPr>
                <w:rFonts w:hint="default" w:ascii="Times New Roman" w:hAnsi="Times New Roman" w:eastAsia="宋体" w:cs="Times New Roman"/>
                <w:b/>
                <w:bCs/>
              </w:rPr>
              <w:t xml:space="preserve">表4-5  </w:t>
            </w:r>
            <w:r>
              <w:rPr>
                <w:rFonts w:hint="default" w:ascii="Times New Roman" w:hAnsi="Times New Roman" w:eastAsia="宋体" w:cs="Times New Roman"/>
                <w:b/>
                <w:bCs/>
                <w:color w:val="auto"/>
                <w:lang w:val="en-US" w:eastAsia="zh-CN"/>
              </w:rPr>
              <w:t>厂区内VOCs无组织排放监控点浓度限值</w:t>
            </w:r>
            <w:r>
              <w:rPr>
                <w:rFonts w:hint="default" w:ascii="Times New Roman" w:hAnsi="Times New Roman" w:eastAsia="宋体" w:cs="Times New Roman"/>
                <w:b/>
                <w:bCs/>
              </w:rPr>
              <w:t xml:space="preserve">  单位：mg/m</w:t>
            </w:r>
            <w:r>
              <w:rPr>
                <w:rFonts w:hint="default" w:ascii="Times New Roman" w:hAnsi="Times New Roman" w:eastAsia="宋体" w:cs="Times New Roman"/>
                <w:b/>
                <w:bCs/>
                <w:vertAlign w:val="superscript"/>
              </w:rPr>
              <w:t>3</w:t>
            </w:r>
          </w:p>
          <w:tbl>
            <w:tblPr>
              <w:tblStyle w:val="23"/>
              <w:tblW w:w="87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26"/>
              <w:gridCol w:w="1275"/>
              <w:gridCol w:w="2977"/>
              <w:gridCol w:w="22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6" w:type="dxa"/>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污染物名称</w:t>
                  </w:r>
                </w:p>
              </w:tc>
              <w:tc>
                <w:tcPr>
                  <w:tcW w:w="1275" w:type="dxa"/>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排放限值</w:t>
                  </w:r>
                </w:p>
              </w:tc>
              <w:tc>
                <w:tcPr>
                  <w:tcW w:w="2977" w:type="dxa"/>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限值含义</w:t>
                  </w:r>
                </w:p>
              </w:tc>
              <w:tc>
                <w:tcPr>
                  <w:tcW w:w="2209" w:type="dxa"/>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无组织排放监控位置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2326"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VOCs</w:t>
                  </w:r>
                </w:p>
              </w:tc>
              <w:tc>
                <w:tcPr>
                  <w:tcW w:w="1275" w:type="dxa"/>
                  <w:vAlign w:val="center"/>
                </w:tcPr>
                <w:p>
                  <w:pPr>
                    <w:pStyle w:val="46"/>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10</w:t>
                  </w:r>
                </w:p>
              </w:tc>
              <w:tc>
                <w:tcPr>
                  <w:tcW w:w="297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监控点处 1 h 平均浓度</w:t>
                  </w:r>
                </w:p>
              </w:tc>
              <w:tc>
                <w:tcPr>
                  <w:tcW w:w="2209"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在厂房外设置监控点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6" w:type="dxa"/>
                  <w:vMerge w:val="continue"/>
                  <w:vAlign w:val="center"/>
                </w:tcPr>
                <w:p>
                  <w:pPr>
                    <w:pStyle w:val="28"/>
                    <w:tabs>
                      <w:tab w:val="left" w:pos="1253"/>
                    </w:tabs>
                    <w:ind w:firstLine="420"/>
                    <w:jc w:val="center"/>
                    <w:rPr>
                      <w:rFonts w:hint="default" w:ascii="Times New Roman" w:hAnsi="Times New Roman" w:eastAsia="宋体" w:cs="Times New Roman"/>
                      <w:color w:val="auto"/>
                      <w:sz w:val="21"/>
                      <w:szCs w:val="21"/>
                    </w:rPr>
                  </w:pPr>
                </w:p>
              </w:tc>
              <w:tc>
                <w:tcPr>
                  <w:tcW w:w="1275" w:type="dxa"/>
                  <w:vAlign w:val="center"/>
                </w:tcPr>
                <w:p>
                  <w:pPr>
                    <w:pStyle w:val="46"/>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30</w:t>
                  </w:r>
                </w:p>
              </w:tc>
              <w:tc>
                <w:tcPr>
                  <w:tcW w:w="2977"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监控点处任意一次浓度值</w:t>
                  </w:r>
                </w:p>
              </w:tc>
              <w:tc>
                <w:tcPr>
                  <w:tcW w:w="2209" w:type="dxa"/>
                  <w:vMerge w:val="continue"/>
                  <w:vAlign w:val="center"/>
                </w:tcPr>
                <w:p>
                  <w:pPr>
                    <w:pStyle w:val="28"/>
                    <w:tabs>
                      <w:tab w:val="left" w:pos="1253"/>
                    </w:tabs>
                    <w:ind w:firstLine="420"/>
                    <w:jc w:val="center"/>
                    <w:rPr>
                      <w:rFonts w:hint="default" w:ascii="Times New Roman" w:hAnsi="Times New Roman" w:eastAsia="宋体" w:cs="Times New Roman"/>
                      <w:color w:val="auto"/>
                      <w:sz w:val="21"/>
                      <w:szCs w:val="21"/>
                    </w:rPr>
                  </w:pPr>
                </w:p>
              </w:tc>
            </w:tr>
          </w:tbl>
          <w:p>
            <w:pPr>
              <w:numPr>
                <w:ilvl w:val="0"/>
                <w:numId w:val="14"/>
              </w:numPr>
              <w:ind w:firstLine="482"/>
              <w:rPr>
                <w:rFonts w:hint="default" w:ascii="Times New Roman" w:hAnsi="Times New Roman" w:eastAsia="宋体" w:cs="Times New Roman"/>
                <w:b/>
                <w:bCs/>
              </w:rPr>
            </w:pPr>
            <w:r>
              <w:rPr>
                <w:rFonts w:hint="default" w:ascii="Times New Roman" w:hAnsi="Times New Roman" w:eastAsia="宋体" w:cs="Times New Roman"/>
                <w:b/>
                <w:bCs/>
              </w:rPr>
              <w:t>废水排放标准</w:t>
            </w:r>
          </w:p>
          <w:p>
            <w:pPr>
              <w:pStyle w:val="28"/>
              <w:rPr>
                <w:rFonts w:hint="default" w:ascii="Times New Roman" w:hAnsi="Times New Roman" w:eastAsia="宋体" w:cs="Times New Roman"/>
                <w:b/>
                <w:bCs/>
                <w:color w:val="auto"/>
                <w:sz w:val="21"/>
                <w:szCs w:val="21"/>
              </w:rPr>
            </w:pPr>
            <w:r>
              <w:rPr>
                <w:rFonts w:hint="default" w:ascii="Times New Roman" w:hAnsi="Times New Roman" w:eastAsia="宋体" w:cs="Times New Roman"/>
                <w:color w:val="auto"/>
              </w:rPr>
              <w:t>项目生活污水经三级化粪池沤肥处理后委托农户清运用于农田灌溉，不外排。</w:t>
            </w:r>
          </w:p>
          <w:p>
            <w:pPr>
              <w:numPr>
                <w:ilvl w:val="0"/>
                <w:numId w:val="14"/>
              </w:numPr>
              <w:ind w:firstLine="482"/>
              <w:rPr>
                <w:rFonts w:hint="default" w:ascii="Times New Roman" w:hAnsi="Times New Roman" w:eastAsia="宋体" w:cs="Times New Roman"/>
                <w:b/>
                <w:bCs/>
                <w:sz w:val="21"/>
                <w:szCs w:val="21"/>
              </w:rPr>
            </w:pPr>
            <w:r>
              <w:rPr>
                <w:rFonts w:hint="default" w:ascii="Times New Roman" w:hAnsi="Times New Roman" w:eastAsia="宋体" w:cs="Times New Roman"/>
                <w:b/>
                <w:bCs/>
              </w:rPr>
              <w:t>噪声排放标准</w:t>
            </w:r>
          </w:p>
          <w:p>
            <w:pPr>
              <w:ind w:firstLine="480"/>
              <w:rPr>
                <w:rFonts w:hint="default" w:ascii="Times New Roman" w:hAnsi="Times New Roman" w:eastAsia="宋体" w:cs="Times New Roman"/>
                <w:b/>
                <w:bCs/>
                <w:sz w:val="21"/>
                <w:szCs w:val="21"/>
              </w:rPr>
            </w:pPr>
            <w:r>
              <w:rPr>
                <w:rFonts w:hint="default" w:ascii="Times New Roman" w:hAnsi="Times New Roman" w:eastAsia="宋体" w:cs="Times New Roman"/>
              </w:rPr>
              <w:t>营运期项目厂界噪声执行《工业企业厂界环境噪声排放标准》（GB12348-2008）2类标准，具体见下表。</w:t>
            </w:r>
          </w:p>
          <w:p>
            <w:pPr>
              <w:pStyle w:val="45"/>
              <w:rPr>
                <w:rFonts w:hint="default" w:ascii="Times New Roman" w:hAnsi="Times New Roman" w:eastAsia="宋体" w:cs="Times New Roman"/>
                <w:b/>
                <w:bCs/>
              </w:rPr>
            </w:pPr>
            <w:r>
              <w:rPr>
                <w:rFonts w:hint="default" w:ascii="Times New Roman" w:hAnsi="Times New Roman" w:eastAsia="宋体" w:cs="Times New Roman"/>
                <w:b/>
                <w:bCs/>
              </w:rPr>
              <w:t>表4-7 项目厂界噪声标准</w:t>
            </w:r>
          </w:p>
          <w:tbl>
            <w:tblPr>
              <w:tblStyle w:val="23"/>
              <w:tblW w:w="8168" w:type="dxa"/>
              <w:tblInd w:w="0" w:type="dxa"/>
              <w:tblBorders>
                <w:top w:val="single" w:color="auto" w:sz="8" w:space="0"/>
                <w:left w:val="none" w:color="auto" w:sz="0" w:space="0"/>
                <w:bottom w:val="single" w:color="auto" w:sz="8" w:space="0"/>
                <w:right w:val="none" w:color="auto" w:sz="0" w:space="0"/>
                <w:insideH w:val="single" w:color="auto" w:sz="4" w:space="0"/>
                <w:insideV w:val="single" w:color="auto" w:sz="8" w:space="0"/>
              </w:tblBorders>
              <w:tblLayout w:type="autofit"/>
              <w:tblCellMar>
                <w:top w:w="0" w:type="dxa"/>
                <w:left w:w="108" w:type="dxa"/>
                <w:bottom w:w="0" w:type="dxa"/>
                <w:right w:w="108" w:type="dxa"/>
              </w:tblCellMar>
            </w:tblPr>
            <w:tblGrid>
              <w:gridCol w:w="2042"/>
              <w:gridCol w:w="2196"/>
              <w:gridCol w:w="1887"/>
              <w:gridCol w:w="2043"/>
            </w:tblGrid>
            <w:tr>
              <w:tblPrEx>
                <w:tblBorders>
                  <w:top w:val="single" w:color="auto" w:sz="8" w:space="0"/>
                  <w:left w:val="none" w:color="auto" w:sz="0" w:space="0"/>
                  <w:bottom w:val="single" w:color="auto" w:sz="8"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412" w:hRule="atLeast"/>
              </w:trPr>
              <w:tc>
                <w:tcPr>
                  <w:tcW w:w="2042"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项目</w:t>
                  </w:r>
                </w:p>
              </w:tc>
              <w:tc>
                <w:tcPr>
                  <w:tcW w:w="2196"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声环境功能区类别</w:t>
                  </w:r>
                </w:p>
              </w:tc>
              <w:tc>
                <w:tcPr>
                  <w:tcW w:w="1887"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昼间</w:t>
                  </w:r>
                </w:p>
              </w:tc>
              <w:tc>
                <w:tcPr>
                  <w:tcW w:w="2043"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夜间</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511" w:hRule="atLeast"/>
              </w:trPr>
              <w:tc>
                <w:tcPr>
                  <w:tcW w:w="2042"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厂界噪声</w:t>
                  </w:r>
                </w:p>
              </w:tc>
              <w:tc>
                <w:tcPr>
                  <w:tcW w:w="2196"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2类</w:t>
                  </w:r>
                </w:p>
              </w:tc>
              <w:tc>
                <w:tcPr>
                  <w:tcW w:w="1887"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60dB(A)</w:t>
                  </w:r>
                </w:p>
              </w:tc>
              <w:tc>
                <w:tcPr>
                  <w:tcW w:w="2043"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50dB(A)</w:t>
                  </w:r>
                </w:p>
              </w:tc>
            </w:tr>
          </w:tbl>
          <w:p>
            <w:pPr>
              <w:ind w:firstLine="482"/>
              <w:rPr>
                <w:rFonts w:hint="default" w:ascii="Times New Roman" w:hAnsi="Times New Roman" w:eastAsia="宋体" w:cs="Times New Roman"/>
                <w:b/>
                <w:bCs/>
              </w:rPr>
            </w:pPr>
            <w:r>
              <w:rPr>
                <w:rFonts w:hint="default" w:ascii="Times New Roman" w:hAnsi="Times New Roman" w:eastAsia="宋体" w:cs="Times New Roman"/>
                <w:b/>
                <w:bCs/>
              </w:rPr>
              <w:t>4、固体废物排放标准</w:t>
            </w:r>
          </w:p>
          <w:p>
            <w:pPr>
              <w:ind w:firstLine="480"/>
              <w:rPr>
                <w:rFonts w:hint="default" w:ascii="Times New Roman" w:hAnsi="Times New Roman" w:eastAsia="宋体" w:cs="Times New Roman"/>
              </w:rPr>
            </w:pPr>
            <w:r>
              <w:rPr>
                <w:rFonts w:hint="default" w:ascii="Times New Roman" w:hAnsi="Times New Roman" w:eastAsia="宋体" w:cs="Times New Roman"/>
              </w:rPr>
              <w:t>一般工业固体废物暂时贮存场所执行《一般工业固体废物贮存、处置场污染控制标准》（GB18599- 2001）及其2013修改单；危险废物暂时贮存场所执行《危险废物贮存污染控制标准》（GB18597-2001）及其2013修改单。</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34" w:hRule="atLeast"/>
        </w:trPr>
        <w:tc>
          <w:tcPr>
            <w:tcW w:w="899" w:type="dxa"/>
            <w:vAlign w:val="center"/>
          </w:tcPr>
          <w:p>
            <w:pPr>
              <w:spacing w:before="120" w:line="300" w:lineRule="auto"/>
              <w:ind w:firstLine="0" w:firstLineChars="0"/>
              <w:jc w:val="center"/>
              <w:rPr>
                <w:rFonts w:hint="default" w:ascii="Times New Roman" w:hAnsi="Times New Roman" w:eastAsia="宋体" w:cs="Times New Roman"/>
                <w:sz w:val="28"/>
              </w:rPr>
            </w:pPr>
            <w:r>
              <w:rPr>
                <w:rFonts w:hint="default" w:ascii="Times New Roman" w:hAnsi="Times New Roman" w:eastAsia="宋体" w:cs="Times New Roman"/>
                <w:sz w:val="28"/>
              </w:rPr>
              <w:t>总量控制标准</w:t>
            </w:r>
          </w:p>
        </w:tc>
        <w:tc>
          <w:tcPr>
            <w:tcW w:w="8387" w:type="dxa"/>
            <w:vAlign w:val="center"/>
          </w:tcPr>
          <w:p>
            <w:pPr>
              <w:ind w:firstLine="482"/>
              <w:rPr>
                <w:rFonts w:hint="default" w:ascii="Times New Roman" w:hAnsi="Times New Roman" w:eastAsia="宋体" w:cs="Times New Roman"/>
                <w:b/>
                <w:bCs/>
              </w:rPr>
            </w:pPr>
            <w:r>
              <w:rPr>
                <w:rFonts w:hint="default" w:ascii="Times New Roman" w:hAnsi="Times New Roman" w:eastAsia="宋体" w:cs="Times New Roman"/>
                <w:b/>
                <w:bCs/>
              </w:rPr>
              <w:t>1、水污染物排放总量控制指标：</w:t>
            </w:r>
          </w:p>
          <w:p>
            <w:pPr>
              <w:ind w:firstLine="480"/>
              <w:rPr>
                <w:rFonts w:hint="default" w:ascii="Times New Roman" w:hAnsi="Times New Roman" w:eastAsia="宋体" w:cs="Times New Roman"/>
              </w:rPr>
            </w:pPr>
            <w:r>
              <w:rPr>
                <w:rFonts w:hint="default" w:ascii="Times New Roman" w:hAnsi="Times New Roman" w:eastAsia="宋体" w:cs="Times New Roman"/>
              </w:rPr>
              <w:t>本项目稀释用水在使用中自然挥发不外排，生活污水经三级化粪池沤肥处理后委托农户清运用于农田灌溉不外排，因此本项目不需申请废水的总量控制指标。</w:t>
            </w:r>
          </w:p>
          <w:p>
            <w:pPr>
              <w:ind w:firstLine="482"/>
              <w:rPr>
                <w:rFonts w:hint="default" w:ascii="Times New Roman" w:hAnsi="Times New Roman" w:eastAsia="宋体" w:cs="Times New Roman"/>
                <w:b/>
                <w:bCs/>
              </w:rPr>
            </w:pPr>
            <w:r>
              <w:rPr>
                <w:rFonts w:hint="default" w:ascii="Times New Roman" w:hAnsi="Times New Roman" w:eastAsia="宋体" w:cs="Times New Roman"/>
                <w:b/>
                <w:bCs/>
              </w:rPr>
              <w:t>2、大气污染物排放总量控制指标：</w:t>
            </w:r>
          </w:p>
          <w:p>
            <w:pPr>
              <w:ind w:firstLine="480"/>
              <w:rPr>
                <w:rFonts w:hint="default" w:ascii="Times New Roman" w:hAnsi="Times New Roman" w:eastAsia="宋体" w:cs="Times New Roman"/>
              </w:rPr>
            </w:pPr>
            <w:r>
              <w:rPr>
                <w:rFonts w:hint="default" w:ascii="Times New Roman" w:hAnsi="Times New Roman" w:eastAsia="宋体" w:cs="Times New Roman"/>
              </w:rPr>
              <w:t>本项目大气污染物总量控制指标设置如下：</w:t>
            </w:r>
          </w:p>
          <w:p>
            <w:pPr>
              <w:ind w:firstLine="480"/>
              <w:rPr>
                <w:rFonts w:hint="default" w:ascii="Times New Roman" w:hAnsi="Times New Roman" w:eastAsia="宋体" w:cs="Times New Roman"/>
                <w:spacing w:val="-4"/>
              </w:rPr>
            </w:pPr>
            <w:r>
              <w:rPr>
                <w:rFonts w:hint="default" w:ascii="Times New Roman" w:hAnsi="Times New Roman" w:eastAsia="宋体" w:cs="Times New Roman"/>
              </w:rPr>
              <w:t>VOCs：0.008t/a（含印刷废气、清洗废气有组织排放0.006t/a，无组织排放0.002t/a）</w:t>
            </w:r>
          </w:p>
        </w:tc>
      </w:tr>
    </w:tbl>
    <w:p>
      <w:pPr>
        <w:ind w:firstLine="480"/>
        <w:rPr>
          <w:rFonts w:hint="default" w:ascii="Times New Roman" w:hAnsi="Times New Roman" w:eastAsia="宋体" w:cs="Times New Roman"/>
        </w:rPr>
      </w:pPr>
      <w:r>
        <w:rPr>
          <w:rFonts w:hint="default" w:ascii="Times New Roman" w:hAnsi="Times New Roman" w:eastAsia="宋体" w:cs="Times New Roman"/>
        </w:rPr>
        <w:br w:type="page"/>
      </w:r>
    </w:p>
    <w:p>
      <w:pPr>
        <w:numPr>
          <w:ilvl w:val="0"/>
          <w:numId w:val="7"/>
        </w:numPr>
        <w:ind w:firstLine="0" w:firstLineChars="0"/>
        <w:outlineLvl w:val="0"/>
        <w:rPr>
          <w:rFonts w:hint="default" w:ascii="Times New Roman" w:hAnsi="Times New Roman" w:eastAsia="宋体" w:cs="Times New Roman"/>
          <w:b/>
          <w:sz w:val="32"/>
        </w:rPr>
      </w:pPr>
      <w:bookmarkStart w:id="7" w:name="_Toc18293"/>
      <w:r>
        <w:rPr>
          <w:rFonts w:hint="default" w:ascii="Times New Roman" w:hAnsi="Times New Roman" w:eastAsia="宋体" w:cs="Times New Roman"/>
          <w:b/>
          <w:sz w:val="32"/>
        </w:rPr>
        <w:t>建设项目工程分析</w:t>
      </w:r>
      <w:bookmarkEnd w:id="7"/>
    </w:p>
    <w:tbl>
      <w:tblPr>
        <w:tblStyle w:val="23"/>
        <w:tblW w:w="9254" w:type="dxa"/>
        <w:tblInd w:w="-86"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925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4" w:hRule="atLeast"/>
        </w:trPr>
        <w:tc>
          <w:tcPr>
            <w:tcW w:w="9254" w:type="dxa"/>
          </w:tcPr>
          <w:p>
            <w:pPr>
              <w:spacing w:line="240" w:lineRule="auto"/>
              <w:ind w:firstLine="0" w:firstLineChars="0"/>
              <w:rPr>
                <w:rFonts w:hint="default" w:ascii="Times New Roman" w:hAnsi="Times New Roman" w:eastAsia="宋体" w:cs="Times New Roman"/>
                <w:b/>
                <w:sz w:val="28"/>
              </w:rPr>
            </w:pPr>
            <w:r>
              <w:rPr>
                <w:rFonts w:hint="default" w:ascii="Times New Roman" w:hAnsi="Times New Roman" w:eastAsia="宋体" w:cs="Times New Roman"/>
                <w:b/>
                <w:sz w:val="28"/>
              </w:rPr>
              <w:t>工艺流程简述（图示）：</w:t>
            </w:r>
          </w:p>
          <w:p>
            <w:pPr>
              <w:ind w:firstLine="480"/>
              <w:rPr>
                <w:rFonts w:hint="default" w:ascii="Times New Roman" w:hAnsi="Times New Roman" w:eastAsia="宋体" w:cs="Times New Roman"/>
              </w:rPr>
            </w:pPr>
            <w:r>
              <w:rPr>
                <w:rFonts w:hint="default" w:ascii="Times New Roman" w:hAnsi="Times New Roman" w:eastAsia="宋体" w:cs="Times New Roman"/>
              </w:rPr>
              <w:t>项目主要从事印刷品加工，</w:t>
            </w:r>
            <w:r>
              <w:rPr>
                <w:rFonts w:hint="default" w:ascii="Times New Roman" w:hAnsi="Times New Roman" w:eastAsia="宋体" w:cs="Times New Roman"/>
                <w:b/>
                <w:bCs/>
              </w:rPr>
              <w:t>采用平版印刷的印刷方式进行生产，由于承印物为纸张，故印刷后无需烘干</w:t>
            </w:r>
            <w:r>
              <w:rPr>
                <w:rFonts w:hint="default" w:ascii="Times New Roman" w:hAnsi="Times New Roman" w:eastAsia="宋体" w:cs="Times New Roman"/>
              </w:rPr>
              <w:t>，其工艺流程如下：</w:t>
            </w:r>
          </w:p>
          <w:p>
            <w:pPr>
              <w:ind w:firstLine="0" w:firstLineChars="0"/>
              <w:jc w:val="center"/>
              <w:rPr>
                <w:rFonts w:hint="default" w:ascii="Times New Roman" w:hAnsi="Times New Roman" w:eastAsia="宋体" w:cs="Times New Roman"/>
              </w:rPr>
            </w:pPr>
            <w:r>
              <w:rPr>
                <w:rFonts w:hint="default" w:ascii="Times New Roman" w:hAnsi="Times New Roman" w:eastAsia="宋体" w:cs="Times New Roman"/>
              </w:rPr>
              <w:object>
                <v:shape id="_x0000_i1026" o:spt="75" type="#_x0000_t75" style="height:180.9pt;width:451.9pt;" o:ole="t" filled="f" o:preferrelative="t" stroked="f" coordsize="21600,21600">
                  <v:path/>
                  <v:fill on="f" focussize="0,0"/>
                  <v:stroke on="f" joinstyle="miter"/>
                  <v:imagedata r:id="rId19" o:title=""/>
                  <o:lock v:ext="edit" aspectratio="f"/>
                  <w10:wrap type="none"/>
                  <w10:anchorlock/>
                </v:shape>
                <o:OLEObject Type="Embed" ProgID="Visio.Drawing.11" ShapeID="_x0000_i1026" DrawAspect="Content" ObjectID="_1468075726" r:id="rId18">
                  <o:LockedField>false</o:LockedField>
                </o:OLEObject>
              </w:object>
            </w:r>
          </w:p>
          <w:p>
            <w:pPr>
              <w:pStyle w:val="45"/>
              <w:rPr>
                <w:rFonts w:hint="default" w:ascii="Times New Roman" w:hAnsi="Times New Roman" w:eastAsia="宋体" w:cs="Times New Roman"/>
                <w:b/>
                <w:bCs/>
              </w:rPr>
            </w:pPr>
            <w:r>
              <w:rPr>
                <w:rFonts w:hint="default" w:ascii="Times New Roman" w:hAnsi="Times New Roman" w:eastAsia="宋体" w:cs="Times New Roman"/>
                <w:b/>
                <w:bCs/>
              </w:rPr>
              <w:t>图5-1 本项目生产工艺流程及产污环节图</w:t>
            </w:r>
          </w:p>
          <w:p>
            <w:pPr>
              <w:pStyle w:val="50"/>
              <w:jc w:val="both"/>
              <w:rPr>
                <w:rFonts w:hint="default" w:ascii="Times New Roman" w:hAnsi="Times New Roman" w:eastAsia="宋体" w:cs="Times New Roman"/>
              </w:rPr>
            </w:pPr>
            <w:r>
              <w:rPr>
                <w:rFonts w:hint="default" w:ascii="Times New Roman" w:hAnsi="Times New Roman" w:eastAsia="宋体" w:cs="Times New Roman"/>
              </w:rPr>
              <w:t>污染物标识符号：</w:t>
            </w:r>
          </w:p>
          <w:p>
            <w:pPr>
              <w:tabs>
                <w:tab w:val="left" w:pos="4924"/>
              </w:tabs>
              <w:adjustRightInd w:val="0"/>
              <w:ind w:firstLine="482"/>
              <w:rPr>
                <w:rFonts w:hint="default" w:ascii="Times New Roman" w:hAnsi="Times New Roman" w:eastAsia="宋体" w:cs="Times New Roman"/>
              </w:rPr>
            </w:pPr>
            <w:r>
              <w:rPr>
                <w:rFonts w:hint="default" w:ascii="Times New Roman" w:hAnsi="Times New Roman" w:eastAsia="宋体" w:cs="Times New Roman"/>
                <w:b/>
              </w:rPr>
              <w:t>噪声：</w:t>
            </w:r>
            <w:r>
              <w:rPr>
                <w:rFonts w:hint="default" w:ascii="Times New Roman" w:hAnsi="Times New Roman" w:eastAsia="宋体" w:cs="Times New Roman"/>
              </w:rPr>
              <w:t>N设备噪声；</w:t>
            </w:r>
          </w:p>
          <w:p>
            <w:pPr>
              <w:tabs>
                <w:tab w:val="left" w:pos="4924"/>
              </w:tabs>
              <w:adjustRightInd w:val="0"/>
              <w:ind w:firstLine="482"/>
              <w:rPr>
                <w:rFonts w:hint="default" w:ascii="Times New Roman" w:hAnsi="Times New Roman" w:eastAsia="宋体" w:cs="Times New Roman"/>
              </w:rPr>
            </w:pPr>
            <w:r>
              <w:rPr>
                <w:rFonts w:hint="default" w:ascii="Times New Roman" w:hAnsi="Times New Roman" w:eastAsia="宋体" w:cs="Times New Roman"/>
                <w:b/>
              </w:rPr>
              <w:t>固废：</w:t>
            </w:r>
            <w:r>
              <w:rPr>
                <w:rFonts w:hint="default" w:ascii="Times New Roman" w:hAnsi="Times New Roman" w:eastAsia="宋体" w:cs="Times New Roman"/>
              </w:rPr>
              <w:t>S1废原料罐、S2废边角料、S3废钉线、S4废包装材料、S5含油墨废抹布、S6废PS版；</w:t>
            </w:r>
          </w:p>
          <w:p>
            <w:pPr>
              <w:tabs>
                <w:tab w:val="left" w:pos="4924"/>
              </w:tabs>
              <w:adjustRightInd w:val="0"/>
              <w:ind w:firstLine="482"/>
              <w:rPr>
                <w:rFonts w:hint="default" w:ascii="Times New Roman" w:hAnsi="Times New Roman" w:eastAsia="宋体" w:cs="Times New Roman"/>
              </w:rPr>
            </w:pPr>
            <w:r>
              <w:rPr>
                <w:rFonts w:hint="default" w:ascii="Times New Roman" w:hAnsi="Times New Roman" w:eastAsia="宋体" w:cs="Times New Roman"/>
                <w:b/>
              </w:rPr>
              <w:t>废气：</w:t>
            </w:r>
            <w:r>
              <w:rPr>
                <w:rFonts w:hint="default" w:ascii="Times New Roman" w:hAnsi="Times New Roman" w:eastAsia="宋体" w:cs="Times New Roman"/>
              </w:rPr>
              <w:t>G1印刷废气、G2清洗废气；</w:t>
            </w:r>
          </w:p>
          <w:p>
            <w:pPr>
              <w:pStyle w:val="50"/>
              <w:jc w:val="both"/>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工艺说明：</w:t>
            </w:r>
          </w:p>
          <w:p>
            <w:pPr>
              <w:pStyle w:val="50"/>
              <w:ind w:firstLine="482" w:firstLineChars="200"/>
              <w:jc w:val="both"/>
              <w:rPr>
                <w:rFonts w:hint="default" w:ascii="Times New Roman" w:hAnsi="Times New Roman" w:eastAsia="宋体" w:cs="Times New Roman"/>
                <w:b w:val="0"/>
                <w:bCs w:val="0"/>
                <w:sz w:val="24"/>
                <w:szCs w:val="24"/>
              </w:rPr>
            </w:pPr>
            <w:r>
              <w:rPr>
                <w:rFonts w:hint="default" w:ascii="Times New Roman" w:hAnsi="Times New Roman" w:eastAsia="宋体" w:cs="Times New Roman"/>
                <w:sz w:val="24"/>
                <w:szCs w:val="24"/>
              </w:rPr>
              <w:t>排版设计：</w:t>
            </w:r>
            <w:r>
              <w:rPr>
                <w:rFonts w:hint="default" w:ascii="Times New Roman" w:hAnsi="Times New Roman" w:eastAsia="宋体" w:cs="Times New Roman"/>
                <w:b w:val="0"/>
                <w:bCs w:val="0"/>
                <w:sz w:val="24"/>
                <w:szCs w:val="24"/>
              </w:rPr>
              <w:t>利用电脑软件将所需印刷的文字，文档图片等，按实际要求整理排列拼成书报的版子，以供印刷。</w:t>
            </w:r>
          </w:p>
          <w:p>
            <w:pPr>
              <w:pStyle w:val="50"/>
              <w:ind w:firstLine="482" w:firstLineChars="200"/>
              <w:jc w:val="both"/>
              <w:rPr>
                <w:rFonts w:hint="default" w:ascii="Times New Roman" w:hAnsi="Times New Roman" w:eastAsia="宋体" w:cs="Times New Roman"/>
                <w:b w:val="0"/>
                <w:bCs w:val="0"/>
                <w:sz w:val="24"/>
                <w:szCs w:val="24"/>
              </w:rPr>
            </w:pPr>
            <w:r>
              <w:rPr>
                <w:rFonts w:hint="default" w:ascii="Times New Roman" w:hAnsi="Times New Roman" w:eastAsia="宋体" w:cs="Times New Roman"/>
                <w:sz w:val="24"/>
                <w:szCs w:val="24"/>
              </w:rPr>
              <w:t>制版：</w:t>
            </w:r>
            <w:r>
              <w:rPr>
                <w:rFonts w:hint="default" w:ascii="Times New Roman" w:hAnsi="Times New Roman" w:eastAsia="宋体" w:cs="Times New Roman"/>
                <w:b w:val="0"/>
                <w:bCs w:val="0"/>
                <w:sz w:val="24"/>
                <w:szCs w:val="24"/>
              </w:rPr>
              <w:t>本项目制版工序外包其他企业生产，不自制印版。</w:t>
            </w:r>
          </w:p>
          <w:p>
            <w:pPr>
              <w:pStyle w:val="50"/>
              <w:ind w:firstLine="482" w:firstLineChars="200"/>
              <w:jc w:val="both"/>
              <w:rPr>
                <w:rFonts w:hint="default" w:ascii="Times New Roman" w:hAnsi="Times New Roman" w:eastAsia="宋体" w:cs="Times New Roman"/>
                <w:b w:val="0"/>
                <w:sz w:val="24"/>
                <w:szCs w:val="24"/>
              </w:rPr>
            </w:pPr>
            <w:r>
              <w:rPr>
                <w:rFonts w:hint="default" w:ascii="Times New Roman" w:hAnsi="Times New Roman" w:eastAsia="宋体" w:cs="Times New Roman"/>
                <w:sz w:val="24"/>
                <w:szCs w:val="24"/>
              </w:rPr>
              <w:t>印刷：</w:t>
            </w:r>
            <w:r>
              <w:rPr>
                <w:rFonts w:hint="default" w:ascii="Times New Roman" w:hAnsi="Times New Roman" w:eastAsia="宋体" w:cs="Times New Roman"/>
                <w:b w:val="0"/>
                <w:sz w:val="24"/>
                <w:szCs w:val="24"/>
              </w:rPr>
              <w:t>将外购的纸张根据客户要求使用印刷机进行印刷，印刷过程按需加入水性油墨、润版液、PS版等原辅料，印刷工序产生的污染物主要是有机废气、噪声、废原料罐和废PS版，印刷区印刷工序运行时长按2400h/a算。</w:t>
            </w:r>
          </w:p>
          <w:p>
            <w:pPr>
              <w:pStyle w:val="50"/>
              <w:ind w:firstLine="482" w:firstLineChars="200"/>
              <w:jc w:val="both"/>
              <w:rPr>
                <w:rFonts w:hint="default" w:ascii="Times New Roman" w:hAnsi="Times New Roman" w:eastAsia="宋体" w:cs="Times New Roman"/>
                <w:b w:val="0"/>
                <w:sz w:val="24"/>
                <w:szCs w:val="24"/>
              </w:rPr>
            </w:pPr>
            <w:r>
              <w:rPr>
                <w:rFonts w:hint="default" w:ascii="Times New Roman" w:hAnsi="Times New Roman" w:eastAsia="宋体" w:cs="Times New Roman"/>
                <w:sz w:val="24"/>
                <w:szCs w:val="24"/>
              </w:rPr>
              <w:t>折页：</w:t>
            </w:r>
            <w:r>
              <w:rPr>
                <w:rFonts w:hint="default" w:ascii="Times New Roman" w:hAnsi="Times New Roman" w:eastAsia="宋体" w:cs="Times New Roman"/>
                <w:b w:val="0"/>
                <w:sz w:val="24"/>
                <w:szCs w:val="24"/>
              </w:rPr>
              <w:t>折页是将印刷好的大幅面印张，按照其上所标页码的顺序和规定的幅面大小，用机器或手工折叠成书帖的工作过程，是成帖的主要工作。</w:t>
            </w:r>
          </w:p>
          <w:p>
            <w:pPr>
              <w:pStyle w:val="50"/>
              <w:ind w:firstLine="482" w:firstLineChars="200"/>
              <w:jc w:val="both"/>
              <w:rPr>
                <w:rFonts w:hint="default" w:ascii="Times New Roman" w:hAnsi="Times New Roman" w:eastAsia="宋体" w:cs="Times New Roman"/>
                <w:b w:val="0"/>
                <w:sz w:val="24"/>
                <w:szCs w:val="24"/>
              </w:rPr>
            </w:pPr>
            <w:r>
              <w:rPr>
                <w:rFonts w:hint="default" w:ascii="Times New Roman" w:hAnsi="Times New Roman" w:eastAsia="宋体" w:cs="Times New Roman"/>
                <w:sz w:val="24"/>
                <w:szCs w:val="24"/>
              </w:rPr>
              <w:t>烫金：</w:t>
            </w:r>
            <w:r>
              <w:rPr>
                <w:rFonts w:hint="default" w:ascii="Times New Roman" w:hAnsi="Times New Roman" w:eastAsia="宋体" w:cs="Times New Roman"/>
                <w:b w:val="0"/>
                <w:sz w:val="24"/>
                <w:szCs w:val="24"/>
              </w:rPr>
              <w:t>项目涉及的部分标签需要烫金，学名电化铝烫印，是一种不用油墨的特种印刷工艺，在合压作用下电化铝与烫印版、承载物接触，由于电热板的升温使烫印版具有一定的缝纫热量（一般控制温度在80℃左右），电化铝受热使热熔性的染色树脂层和胶黏剂融合，染色树脂层粘力减少，而特种热敏胶黏剂熔化后粘性增加，铝层和电化铝基膜剥离的同时转印到了承印物上，随着压力的卸除，胶黏剂迅速冷却固化，铝层牢固地附着在承印物上完成烫印过程。</w:t>
            </w:r>
          </w:p>
          <w:p>
            <w:pPr>
              <w:pStyle w:val="50"/>
              <w:ind w:firstLine="482" w:firstLineChars="200"/>
              <w:jc w:val="both"/>
              <w:rPr>
                <w:rFonts w:hint="default" w:ascii="Times New Roman" w:hAnsi="Times New Roman" w:eastAsia="宋体" w:cs="Times New Roman"/>
                <w:b w:val="0"/>
                <w:bCs w:val="0"/>
                <w:sz w:val="24"/>
                <w:szCs w:val="24"/>
              </w:rPr>
            </w:pPr>
            <w:r>
              <w:rPr>
                <w:rFonts w:hint="default" w:ascii="Times New Roman" w:hAnsi="Times New Roman" w:eastAsia="宋体" w:cs="Times New Roman"/>
                <w:bCs w:val="0"/>
                <w:sz w:val="24"/>
                <w:szCs w:val="24"/>
              </w:rPr>
              <w:t>模切、打钉：</w:t>
            </w:r>
            <w:r>
              <w:rPr>
                <w:rFonts w:hint="default" w:ascii="Times New Roman" w:hAnsi="Times New Roman" w:eastAsia="宋体" w:cs="Times New Roman"/>
                <w:b w:val="0"/>
                <w:bCs w:val="0"/>
                <w:sz w:val="24"/>
                <w:szCs w:val="24"/>
              </w:rPr>
              <w:t>用模切机或啤机根据产品设计要求图样组合成模切版，在压力的作用下使用模切机将印刷品切成所需的形状和切痕，之后透过模切机或啤机上的打孔装置对做好的标签进行打钉操作，此环节会产生少料废边角料和废钉线。</w:t>
            </w:r>
          </w:p>
          <w:p>
            <w:pPr>
              <w:pStyle w:val="50"/>
              <w:ind w:firstLine="482" w:firstLineChars="200"/>
              <w:jc w:val="both"/>
              <w:rPr>
                <w:rFonts w:hint="default" w:ascii="Times New Roman" w:hAnsi="Times New Roman" w:eastAsia="宋体" w:cs="Times New Roman"/>
                <w:b w:val="0"/>
                <w:bCs w:val="0"/>
                <w:sz w:val="24"/>
                <w:szCs w:val="24"/>
              </w:rPr>
            </w:pPr>
            <w:r>
              <w:rPr>
                <w:rFonts w:hint="default" w:ascii="Times New Roman" w:hAnsi="Times New Roman" w:eastAsia="宋体" w:cs="Times New Roman"/>
                <w:bCs w:val="0"/>
                <w:sz w:val="24"/>
                <w:szCs w:val="24"/>
              </w:rPr>
              <w:t>裱纸：</w:t>
            </w:r>
            <w:r>
              <w:rPr>
                <w:rFonts w:hint="default" w:ascii="Times New Roman" w:hAnsi="Times New Roman" w:eastAsia="宋体" w:cs="Times New Roman"/>
                <w:b w:val="0"/>
                <w:bCs w:val="0"/>
                <w:sz w:val="24"/>
                <w:szCs w:val="24"/>
              </w:rPr>
              <w:t>由于客户部分印刷产品厚度有一定要求，故需将纸张使用淀粉胶通过裱纸机进行裱纸工序，使其厚度符合客户需求，淀粉胶主要原料为玉米淀粉，不含VOCs物质，该工序无有机废气产生，仅产生噪声和废包装材料。</w:t>
            </w:r>
          </w:p>
          <w:p>
            <w:pPr>
              <w:pStyle w:val="50"/>
              <w:ind w:firstLine="482" w:firstLineChars="200"/>
              <w:jc w:val="both"/>
              <w:rPr>
                <w:rFonts w:hint="default" w:ascii="Times New Roman" w:hAnsi="Times New Roman" w:eastAsia="宋体" w:cs="Times New Roman"/>
                <w:b w:val="0"/>
                <w:bCs w:val="0"/>
                <w:sz w:val="24"/>
                <w:szCs w:val="24"/>
              </w:rPr>
            </w:pPr>
            <w:r>
              <w:rPr>
                <w:rFonts w:hint="default" w:ascii="Times New Roman" w:hAnsi="Times New Roman" w:eastAsia="宋体" w:cs="Times New Roman"/>
                <w:bCs w:val="0"/>
                <w:sz w:val="24"/>
                <w:szCs w:val="24"/>
              </w:rPr>
              <w:t>分切：</w:t>
            </w:r>
            <w:r>
              <w:rPr>
                <w:rFonts w:hint="default" w:ascii="Times New Roman" w:hAnsi="Times New Roman" w:eastAsia="宋体" w:cs="Times New Roman"/>
                <w:b w:val="0"/>
                <w:bCs w:val="0"/>
                <w:sz w:val="24"/>
                <w:szCs w:val="24"/>
              </w:rPr>
              <w:t>将大规格的原膜,即印刷、复合的膜卷通过切割加工成所需规格尺寸的工艺，该工序会产生少量边角废料。</w:t>
            </w:r>
          </w:p>
          <w:p>
            <w:pPr>
              <w:pStyle w:val="50"/>
              <w:ind w:firstLine="482" w:firstLineChars="200"/>
              <w:jc w:val="both"/>
              <w:rPr>
                <w:rFonts w:hint="default" w:ascii="Times New Roman" w:hAnsi="Times New Roman" w:eastAsia="宋体" w:cs="Times New Roman"/>
                <w:b w:val="0"/>
                <w:sz w:val="24"/>
                <w:szCs w:val="24"/>
              </w:rPr>
            </w:pPr>
            <w:r>
              <w:rPr>
                <w:rFonts w:hint="default" w:ascii="Times New Roman" w:hAnsi="Times New Roman" w:eastAsia="宋体" w:cs="Times New Roman"/>
                <w:sz w:val="24"/>
                <w:szCs w:val="24"/>
              </w:rPr>
              <w:t>成品：</w:t>
            </w:r>
            <w:r>
              <w:rPr>
                <w:rFonts w:hint="default" w:ascii="Times New Roman" w:hAnsi="Times New Roman" w:eastAsia="宋体" w:cs="Times New Roman"/>
                <w:b w:val="0"/>
                <w:sz w:val="24"/>
                <w:szCs w:val="24"/>
              </w:rPr>
              <w:t>生产出的成品需要打包后进行运至成品区储存，该工序会产生少量废包装材料。</w:t>
            </w:r>
          </w:p>
          <w:p>
            <w:pPr>
              <w:pStyle w:val="50"/>
              <w:ind w:firstLine="482" w:firstLineChars="200"/>
              <w:jc w:val="both"/>
              <w:rPr>
                <w:rFonts w:hint="default" w:ascii="Times New Roman" w:hAnsi="Times New Roman" w:eastAsia="宋体" w:cs="Times New Roman"/>
                <w:b w:val="0"/>
                <w:sz w:val="24"/>
                <w:szCs w:val="24"/>
              </w:rPr>
            </w:pPr>
            <w:r>
              <w:rPr>
                <w:rFonts w:hint="default" w:ascii="Times New Roman" w:hAnsi="Times New Roman" w:eastAsia="宋体" w:cs="Times New Roman"/>
                <w:sz w:val="24"/>
                <w:szCs w:val="24"/>
              </w:rPr>
              <w:t>清洗：</w:t>
            </w:r>
            <w:r>
              <w:rPr>
                <w:rFonts w:hint="default" w:ascii="Times New Roman" w:hAnsi="Times New Roman" w:eastAsia="宋体" w:cs="Times New Roman"/>
                <w:b w:val="0"/>
                <w:sz w:val="24"/>
                <w:szCs w:val="24"/>
              </w:rPr>
              <w:t>印刷机平均每天需要清洗1小时，则印刷机清洗时间为300h/a，项目所使用的清洗剂与水按1:1 稀释后用抹布蘸取少量溶液对印刷机墨辊进行擦拭清洗，清洗后水分全部蒸发及进入抹布中，故无清洗废水产生。清洗工序主要产生的污染物是：清洗有机废气和</w:t>
            </w:r>
            <w:r>
              <w:rPr>
                <w:rFonts w:hint="default" w:ascii="Times New Roman" w:hAnsi="Times New Roman" w:eastAsia="宋体" w:cs="Times New Roman"/>
                <w:b w:val="0"/>
                <w:bCs w:val="0"/>
                <w:sz w:val="24"/>
                <w:szCs w:val="24"/>
              </w:rPr>
              <w:t>废抹布。</w:t>
            </w:r>
          </w:p>
          <w:p>
            <w:pPr>
              <w:pStyle w:val="50"/>
              <w:ind w:left="480" w:leftChars="200"/>
              <w:jc w:val="both"/>
              <w:rPr>
                <w:rFonts w:hint="default" w:ascii="Times New Roman" w:hAnsi="Times New Roman" w:eastAsia="宋体" w:cs="Times New Roman"/>
                <w:b w:val="0"/>
                <w:bCs w:val="0"/>
                <w:sz w:val="24"/>
                <w:szCs w:val="24"/>
              </w:rPr>
            </w:pPr>
            <w:r>
              <w:rPr>
                <w:rFonts w:hint="default" w:ascii="Times New Roman" w:hAnsi="Times New Roman" w:eastAsia="宋体" w:cs="Times New Roman"/>
                <w:sz w:val="24"/>
                <w:szCs w:val="24"/>
              </w:rPr>
              <w:t>产污环节：</w:t>
            </w:r>
            <w:r>
              <w:rPr>
                <w:rFonts w:hint="default" w:ascii="Times New Roman" w:hAnsi="Times New Roman" w:eastAsia="宋体" w:cs="Times New Roman"/>
                <w:b w:val="0"/>
                <w:bCs w:val="0"/>
                <w:sz w:val="24"/>
                <w:szCs w:val="24"/>
              </w:rPr>
              <w:t xml:space="preserve"> </w:t>
            </w:r>
          </w:p>
          <w:p>
            <w:pPr>
              <w:ind w:left="480" w:leftChars="200" w:firstLine="0" w:firstLineChars="0"/>
              <w:rPr>
                <w:rFonts w:hint="default" w:ascii="Times New Roman" w:hAnsi="Times New Roman" w:eastAsia="宋体" w:cs="Times New Roman"/>
              </w:rPr>
            </w:pPr>
            <w:r>
              <w:rPr>
                <w:rFonts w:hint="default" w:ascii="Times New Roman" w:hAnsi="Times New Roman" w:eastAsia="宋体" w:cs="Times New Roman"/>
              </w:rPr>
              <w:t>①废水：员工办公产生的生活污水；</w:t>
            </w:r>
          </w:p>
          <w:p>
            <w:pPr>
              <w:ind w:left="480" w:leftChars="200" w:firstLine="0" w:firstLineChars="0"/>
              <w:rPr>
                <w:rFonts w:hint="default" w:ascii="Times New Roman" w:hAnsi="Times New Roman" w:eastAsia="宋体" w:cs="Times New Roman"/>
              </w:rPr>
            </w:pPr>
            <w:r>
              <w:rPr>
                <w:rFonts w:hint="default" w:ascii="Times New Roman" w:hAnsi="Times New Roman" w:eastAsia="宋体" w:cs="Times New Roman"/>
              </w:rPr>
              <w:t>②废气：印刷工序和印刷机清洗过程产生的有机废气；</w:t>
            </w:r>
          </w:p>
          <w:p>
            <w:pPr>
              <w:ind w:left="480" w:leftChars="200" w:firstLine="0" w:firstLineChars="0"/>
              <w:rPr>
                <w:rFonts w:hint="default" w:ascii="Times New Roman" w:hAnsi="Times New Roman" w:eastAsia="宋体" w:cs="Times New Roman"/>
              </w:rPr>
            </w:pPr>
            <w:r>
              <w:rPr>
                <w:rFonts w:hint="default" w:ascii="Times New Roman" w:hAnsi="Times New Roman" w:eastAsia="宋体" w:cs="Times New Roman"/>
              </w:rPr>
              <w:t>③噪声：项目设备及风机运行时生产的设备噪声；</w:t>
            </w:r>
          </w:p>
          <w:p>
            <w:pPr>
              <w:ind w:firstLine="480"/>
              <w:rPr>
                <w:rFonts w:hint="default" w:ascii="Times New Roman" w:hAnsi="Times New Roman" w:eastAsia="宋体" w:cs="Times New Roman"/>
              </w:rPr>
            </w:pPr>
            <w:r>
              <w:rPr>
                <w:rFonts w:hint="default" w:ascii="Times New Roman" w:hAnsi="Times New Roman" w:eastAsia="宋体" w:cs="Times New Roman"/>
              </w:rPr>
              <w:t>④固体废物：原辅材料使用过程中产生的废包装材料、废原料罐、废PS版；分切和模切、打钉工序产生的废边角料、废钉线；印刷机清洗过程产生的废抹布；废气治理过程产生的废活性炭以及员工办公产生的生活垃圾。</w:t>
            </w:r>
          </w:p>
          <w:p>
            <w:pPr>
              <w:ind w:firstLine="480"/>
              <w:rPr>
                <w:rFonts w:hint="default" w:ascii="Times New Roman" w:hAnsi="Times New Roman" w:eastAsia="宋体" w:cs="Times New Roman"/>
              </w:rPr>
            </w:pPr>
            <w:r>
              <w:rPr>
                <w:rFonts w:hint="default" w:ascii="Times New Roman" w:hAnsi="Times New Roman" w:eastAsia="宋体" w:cs="Times New Roman"/>
              </w:rPr>
              <w:t>项目产污环节污染物情况汇总详见表5-1：</w:t>
            </w:r>
          </w:p>
          <w:p>
            <w:pPr>
              <w:pStyle w:val="45"/>
              <w:rPr>
                <w:rFonts w:hint="default" w:ascii="Times New Roman" w:hAnsi="Times New Roman" w:eastAsia="宋体" w:cs="Times New Roman"/>
                <w:b/>
                <w:bCs/>
              </w:rPr>
            </w:pPr>
          </w:p>
          <w:p>
            <w:pPr>
              <w:pStyle w:val="45"/>
              <w:rPr>
                <w:rFonts w:hint="default" w:ascii="Times New Roman" w:hAnsi="Times New Roman" w:eastAsia="宋体" w:cs="Times New Roman"/>
                <w:b/>
                <w:bCs/>
              </w:rPr>
            </w:pPr>
            <w:r>
              <w:rPr>
                <w:rFonts w:hint="default" w:ascii="Times New Roman" w:hAnsi="Times New Roman" w:eastAsia="宋体" w:cs="Times New Roman"/>
                <w:b/>
                <w:bCs/>
              </w:rPr>
              <w:t>表5-1 项目产污环节污染物情况汇总</w:t>
            </w:r>
          </w:p>
          <w:tbl>
            <w:tblPr>
              <w:tblStyle w:val="24"/>
              <w:tblW w:w="8662"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36"/>
              <w:gridCol w:w="1636"/>
              <w:gridCol w:w="1274"/>
              <w:gridCol w:w="1106"/>
              <w:gridCol w:w="3210"/>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436" w:type="dxa"/>
                  <w:tcBorders>
                    <w:top w:val="single" w:color="auto" w:sz="12" w:space="0"/>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代号</w:t>
                  </w:r>
                </w:p>
              </w:tc>
              <w:tc>
                <w:tcPr>
                  <w:tcW w:w="1636" w:type="dxa"/>
                  <w:tcBorders>
                    <w:top w:val="single" w:color="auto" w:sz="12" w:space="0"/>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污染源</w:t>
                  </w:r>
                </w:p>
              </w:tc>
              <w:tc>
                <w:tcPr>
                  <w:tcW w:w="1274" w:type="dxa"/>
                  <w:tcBorders>
                    <w:top w:val="single" w:color="auto" w:sz="12" w:space="0"/>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污染物类别</w:t>
                  </w:r>
                </w:p>
              </w:tc>
              <w:tc>
                <w:tcPr>
                  <w:tcW w:w="1106" w:type="dxa"/>
                  <w:tcBorders>
                    <w:top w:val="single" w:color="auto" w:sz="12" w:space="0"/>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污染因子</w:t>
                  </w:r>
                </w:p>
              </w:tc>
              <w:tc>
                <w:tcPr>
                  <w:tcW w:w="3210" w:type="dxa"/>
                  <w:tcBorders>
                    <w:top w:val="single" w:color="auto" w:sz="12" w:space="0"/>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产污工序</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4" w:hRule="atLeast"/>
              </w:trPr>
              <w:tc>
                <w:tcPr>
                  <w:tcW w:w="1436"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N</w:t>
                  </w:r>
                </w:p>
              </w:tc>
              <w:tc>
                <w:tcPr>
                  <w:tcW w:w="1636"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设备运行噪声</w:t>
                  </w:r>
                </w:p>
              </w:tc>
              <w:tc>
                <w:tcPr>
                  <w:tcW w:w="127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噪声</w:t>
                  </w:r>
                </w:p>
              </w:tc>
              <w:tc>
                <w:tcPr>
                  <w:tcW w:w="1106"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噪声</w:t>
                  </w:r>
                </w:p>
              </w:tc>
              <w:tc>
                <w:tcPr>
                  <w:tcW w:w="3210"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印刷、模切、打钉、裱纸、分切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PrEx>
              <w:trPr>
                <w:trHeight w:val="23" w:hRule="atLeast"/>
              </w:trPr>
              <w:tc>
                <w:tcPr>
                  <w:tcW w:w="1436"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G1</w:t>
                  </w:r>
                </w:p>
              </w:tc>
              <w:tc>
                <w:tcPr>
                  <w:tcW w:w="1636"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印刷废气</w:t>
                  </w:r>
                </w:p>
              </w:tc>
              <w:tc>
                <w:tcPr>
                  <w:tcW w:w="1274"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废气</w:t>
                  </w:r>
                </w:p>
              </w:tc>
              <w:tc>
                <w:tcPr>
                  <w:tcW w:w="1106"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VOCs</w:t>
                  </w:r>
                </w:p>
              </w:tc>
              <w:tc>
                <w:tcPr>
                  <w:tcW w:w="3210"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印刷</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PrEx>
              <w:trPr>
                <w:trHeight w:val="23" w:hRule="atLeast"/>
              </w:trPr>
              <w:tc>
                <w:tcPr>
                  <w:tcW w:w="1436"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G2</w:t>
                  </w:r>
                </w:p>
              </w:tc>
              <w:tc>
                <w:tcPr>
                  <w:tcW w:w="1636"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清洗废气</w:t>
                  </w:r>
                </w:p>
              </w:tc>
              <w:tc>
                <w:tcPr>
                  <w:tcW w:w="1274" w:type="dxa"/>
                  <w:vMerge w:val="continue"/>
                  <w:vAlign w:val="center"/>
                </w:tcPr>
                <w:p>
                  <w:pPr>
                    <w:pStyle w:val="46"/>
                    <w:rPr>
                      <w:rFonts w:hint="default" w:ascii="Times New Roman" w:hAnsi="Times New Roman" w:eastAsia="宋体" w:cs="Times New Roman"/>
                      <w:color w:val="auto"/>
                    </w:rPr>
                  </w:pPr>
                </w:p>
              </w:tc>
              <w:tc>
                <w:tcPr>
                  <w:tcW w:w="1106" w:type="dxa"/>
                  <w:vMerge w:val="continue"/>
                  <w:vAlign w:val="center"/>
                </w:tcPr>
                <w:p>
                  <w:pPr>
                    <w:pStyle w:val="46"/>
                    <w:rPr>
                      <w:rFonts w:hint="default" w:ascii="Times New Roman" w:hAnsi="Times New Roman" w:eastAsia="宋体" w:cs="Times New Roman"/>
                      <w:color w:val="auto"/>
                    </w:rPr>
                  </w:pPr>
                </w:p>
              </w:tc>
              <w:tc>
                <w:tcPr>
                  <w:tcW w:w="3210"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清洗</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436"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S1</w:t>
                  </w:r>
                </w:p>
              </w:tc>
              <w:tc>
                <w:tcPr>
                  <w:tcW w:w="1636"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废原料罐</w:t>
                  </w:r>
                </w:p>
              </w:tc>
              <w:tc>
                <w:tcPr>
                  <w:tcW w:w="1274"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固废</w:t>
                  </w:r>
                </w:p>
              </w:tc>
              <w:tc>
                <w:tcPr>
                  <w:tcW w:w="1106"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210"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印刷</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PrEx>
              <w:trPr>
                <w:trHeight w:val="23" w:hRule="atLeast"/>
              </w:trPr>
              <w:tc>
                <w:tcPr>
                  <w:tcW w:w="1436"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S2</w:t>
                  </w:r>
                </w:p>
              </w:tc>
              <w:tc>
                <w:tcPr>
                  <w:tcW w:w="1636"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废包装材料</w:t>
                  </w:r>
                </w:p>
              </w:tc>
              <w:tc>
                <w:tcPr>
                  <w:tcW w:w="1274" w:type="dxa"/>
                  <w:vMerge w:val="continue"/>
                  <w:vAlign w:val="center"/>
                </w:tcPr>
                <w:p>
                  <w:pPr>
                    <w:pStyle w:val="46"/>
                    <w:rPr>
                      <w:rFonts w:hint="default" w:ascii="Times New Roman" w:hAnsi="Times New Roman" w:eastAsia="宋体" w:cs="Times New Roman"/>
                      <w:color w:val="auto"/>
                    </w:rPr>
                  </w:pPr>
                </w:p>
              </w:tc>
              <w:tc>
                <w:tcPr>
                  <w:tcW w:w="1106" w:type="dxa"/>
                  <w:vMerge w:val="continue"/>
                  <w:vAlign w:val="center"/>
                </w:tcPr>
                <w:p>
                  <w:pPr>
                    <w:pStyle w:val="46"/>
                    <w:rPr>
                      <w:rFonts w:hint="default" w:ascii="Times New Roman" w:hAnsi="Times New Roman" w:eastAsia="宋体" w:cs="Times New Roman"/>
                      <w:color w:val="auto"/>
                    </w:rPr>
                  </w:pPr>
                </w:p>
              </w:tc>
              <w:tc>
                <w:tcPr>
                  <w:tcW w:w="3210"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成品、裱纸</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4" w:hRule="atLeast"/>
              </w:trPr>
              <w:tc>
                <w:tcPr>
                  <w:tcW w:w="1436"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S3</w:t>
                  </w:r>
                </w:p>
              </w:tc>
              <w:tc>
                <w:tcPr>
                  <w:tcW w:w="1636"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废边角料</w:t>
                  </w:r>
                </w:p>
              </w:tc>
              <w:tc>
                <w:tcPr>
                  <w:tcW w:w="1274" w:type="dxa"/>
                  <w:vMerge w:val="continue"/>
                  <w:vAlign w:val="center"/>
                </w:tcPr>
                <w:p>
                  <w:pPr>
                    <w:pStyle w:val="46"/>
                    <w:rPr>
                      <w:rFonts w:hint="default" w:ascii="Times New Roman" w:hAnsi="Times New Roman" w:eastAsia="宋体" w:cs="Times New Roman"/>
                      <w:color w:val="auto"/>
                    </w:rPr>
                  </w:pPr>
                </w:p>
              </w:tc>
              <w:tc>
                <w:tcPr>
                  <w:tcW w:w="1106" w:type="dxa"/>
                  <w:vMerge w:val="continue"/>
                  <w:vAlign w:val="center"/>
                </w:tcPr>
                <w:p>
                  <w:pPr>
                    <w:pStyle w:val="46"/>
                    <w:rPr>
                      <w:rFonts w:hint="default" w:ascii="Times New Roman" w:hAnsi="Times New Roman" w:eastAsia="宋体" w:cs="Times New Roman"/>
                      <w:color w:val="auto"/>
                    </w:rPr>
                  </w:pPr>
                </w:p>
              </w:tc>
              <w:tc>
                <w:tcPr>
                  <w:tcW w:w="3210"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模切、分切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436"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S4</w:t>
                  </w:r>
                </w:p>
              </w:tc>
              <w:tc>
                <w:tcPr>
                  <w:tcW w:w="1636"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废钉线</w:t>
                  </w:r>
                </w:p>
              </w:tc>
              <w:tc>
                <w:tcPr>
                  <w:tcW w:w="1274" w:type="dxa"/>
                  <w:vMerge w:val="continue"/>
                  <w:vAlign w:val="center"/>
                </w:tcPr>
                <w:p>
                  <w:pPr>
                    <w:pStyle w:val="46"/>
                    <w:rPr>
                      <w:rFonts w:hint="default" w:ascii="Times New Roman" w:hAnsi="Times New Roman" w:eastAsia="宋体" w:cs="Times New Roman"/>
                      <w:color w:val="auto"/>
                    </w:rPr>
                  </w:pPr>
                </w:p>
              </w:tc>
              <w:tc>
                <w:tcPr>
                  <w:tcW w:w="1106" w:type="dxa"/>
                  <w:vMerge w:val="continue"/>
                  <w:vAlign w:val="center"/>
                </w:tcPr>
                <w:p>
                  <w:pPr>
                    <w:pStyle w:val="46"/>
                    <w:rPr>
                      <w:rFonts w:hint="default" w:ascii="Times New Roman" w:hAnsi="Times New Roman" w:eastAsia="宋体" w:cs="Times New Roman"/>
                      <w:color w:val="auto"/>
                    </w:rPr>
                  </w:pPr>
                </w:p>
              </w:tc>
              <w:tc>
                <w:tcPr>
                  <w:tcW w:w="3210"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打钉</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436"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S5</w:t>
                  </w:r>
                </w:p>
              </w:tc>
              <w:tc>
                <w:tcPr>
                  <w:tcW w:w="1636"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废抹布</w:t>
                  </w:r>
                </w:p>
              </w:tc>
              <w:tc>
                <w:tcPr>
                  <w:tcW w:w="1274" w:type="dxa"/>
                  <w:vMerge w:val="continue"/>
                  <w:vAlign w:val="center"/>
                </w:tcPr>
                <w:p>
                  <w:pPr>
                    <w:pStyle w:val="46"/>
                    <w:rPr>
                      <w:rFonts w:hint="default" w:ascii="Times New Roman" w:hAnsi="Times New Roman" w:eastAsia="宋体" w:cs="Times New Roman"/>
                      <w:color w:val="auto"/>
                    </w:rPr>
                  </w:pPr>
                </w:p>
              </w:tc>
              <w:tc>
                <w:tcPr>
                  <w:tcW w:w="1106" w:type="dxa"/>
                  <w:vMerge w:val="continue"/>
                  <w:vAlign w:val="center"/>
                </w:tcPr>
                <w:p>
                  <w:pPr>
                    <w:pStyle w:val="46"/>
                    <w:rPr>
                      <w:rFonts w:hint="default" w:ascii="Times New Roman" w:hAnsi="Times New Roman" w:eastAsia="宋体" w:cs="Times New Roman"/>
                      <w:color w:val="auto"/>
                    </w:rPr>
                  </w:pPr>
                </w:p>
              </w:tc>
              <w:tc>
                <w:tcPr>
                  <w:tcW w:w="3210"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清洗</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436"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1636"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废活性炭</w:t>
                  </w:r>
                </w:p>
              </w:tc>
              <w:tc>
                <w:tcPr>
                  <w:tcW w:w="127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危废</w:t>
                  </w:r>
                </w:p>
              </w:tc>
              <w:tc>
                <w:tcPr>
                  <w:tcW w:w="1106"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VOCs</w:t>
                  </w:r>
                </w:p>
              </w:tc>
              <w:tc>
                <w:tcPr>
                  <w:tcW w:w="3210"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废气处理</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436" w:type="dxa"/>
                  <w:vAlign w:val="center"/>
                </w:tcPr>
                <w:p>
                  <w:pPr>
                    <w:pStyle w:val="46"/>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1636" w:type="dxa"/>
                  <w:vAlign w:val="center"/>
                </w:tcPr>
                <w:p>
                  <w:pPr>
                    <w:pStyle w:val="46"/>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废抹布</w:t>
                  </w:r>
                </w:p>
              </w:tc>
              <w:tc>
                <w:tcPr>
                  <w:tcW w:w="1274"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危废</w:t>
                  </w:r>
                </w:p>
              </w:tc>
              <w:tc>
                <w:tcPr>
                  <w:tcW w:w="1106" w:type="dxa"/>
                  <w:vAlign w:val="center"/>
                </w:tcPr>
                <w:p>
                  <w:pPr>
                    <w:pStyle w:val="46"/>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3210"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废气处理</w:t>
                  </w:r>
                </w:p>
              </w:tc>
            </w:tr>
          </w:tbl>
          <w:p>
            <w:pPr>
              <w:pStyle w:val="50"/>
              <w:tabs>
                <w:tab w:val="left" w:pos="2628"/>
              </w:tabs>
              <w:jc w:val="both"/>
              <w:outlineLvl w:val="9"/>
              <w:rPr>
                <w:rFonts w:hint="default" w:ascii="Times New Roman" w:hAnsi="Times New Roman" w:eastAsia="宋体" w:cs="Times New Roman"/>
                <w:sz w:val="24"/>
                <w:szCs w:val="24"/>
              </w:rPr>
            </w:pPr>
          </w:p>
          <w:p>
            <w:pPr>
              <w:pStyle w:val="50"/>
              <w:tabs>
                <w:tab w:val="left" w:pos="2628"/>
              </w:tabs>
              <w:jc w:val="both"/>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主要污染工序</w:t>
            </w:r>
          </w:p>
          <w:p>
            <w:pPr>
              <w:pStyle w:val="50"/>
              <w:jc w:val="both"/>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施工期污染工序：</w:t>
            </w:r>
          </w:p>
          <w:p>
            <w:pPr>
              <w:ind w:firstLine="480"/>
              <w:rPr>
                <w:rFonts w:hint="default" w:ascii="Times New Roman" w:hAnsi="Times New Roman" w:eastAsia="宋体" w:cs="Times New Roman"/>
              </w:rPr>
            </w:pPr>
            <w:r>
              <w:rPr>
                <w:rFonts w:hint="default" w:ascii="Times New Roman" w:hAnsi="Times New Roman" w:eastAsia="宋体" w:cs="Times New Roman"/>
              </w:rPr>
              <w:t>本项目租赁已建成建筑，建设期间不会新增土建工程，因此本报告不再分析评价本项目施工期的环境影响。</w:t>
            </w:r>
          </w:p>
          <w:p>
            <w:pPr>
              <w:ind w:firstLine="0" w:firstLineChars="0"/>
              <w:jc w:val="left"/>
              <w:rPr>
                <w:rFonts w:hint="default" w:ascii="Times New Roman" w:hAnsi="Times New Roman" w:eastAsia="宋体" w:cs="Times New Roman"/>
                <w:b/>
              </w:rPr>
            </w:pPr>
            <w:r>
              <w:rPr>
                <w:rFonts w:hint="default" w:ascii="Times New Roman" w:hAnsi="Times New Roman" w:eastAsia="宋体" w:cs="Times New Roman"/>
                <w:b/>
              </w:rPr>
              <w:t>营运期污染工序：</w:t>
            </w:r>
          </w:p>
          <w:p>
            <w:pPr>
              <w:numPr>
                <w:ilvl w:val="0"/>
                <w:numId w:val="15"/>
              </w:numPr>
              <w:adjustRightInd w:val="0"/>
              <w:snapToGrid w:val="0"/>
              <w:ind w:firstLine="482"/>
              <w:rPr>
                <w:rFonts w:hint="default" w:ascii="Times New Roman" w:hAnsi="Times New Roman" w:eastAsia="宋体" w:cs="Times New Roman"/>
                <w:b/>
              </w:rPr>
            </w:pPr>
            <w:r>
              <w:rPr>
                <w:rFonts w:hint="default" w:ascii="Times New Roman" w:hAnsi="Times New Roman" w:eastAsia="宋体" w:cs="Times New Roman"/>
                <w:b/>
              </w:rPr>
              <w:t>水污染源</w:t>
            </w:r>
          </w:p>
          <w:p>
            <w:pPr>
              <w:ind w:left="480" w:firstLine="0" w:firstLineChars="0"/>
              <w:rPr>
                <w:rFonts w:hint="default" w:ascii="Times New Roman" w:hAnsi="Times New Roman" w:eastAsia="宋体" w:cs="Times New Roman"/>
                <w:b/>
              </w:rPr>
            </w:pPr>
            <w:r>
              <w:rPr>
                <w:rFonts w:hint="default" w:ascii="Times New Roman" w:hAnsi="Times New Roman" w:eastAsia="宋体" w:cs="Times New Roman"/>
                <w:b/>
              </w:rPr>
              <w:t>（1）生活污水</w:t>
            </w:r>
          </w:p>
          <w:p>
            <w:pPr>
              <w:ind w:firstLine="480"/>
              <w:rPr>
                <w:rFonts w:hint="default" w:ascii="Times New Roman" w:hAnsi="Times New Roman" w:eastAsia="宋体" w:cs="Times New Roman"/>
              </w:rPr>
            </w:pPr>
            <w:r>
              <w:rPr>
                <w:rFonts w:hint="default" w:ascii="Times New Roman" w:hAnsi="Times New Roman" w:eastAsia="宋体" w:cs="Times New Roman"/>
              </w:rPr>
              <w:t>项目员工6人均不在厂内食宿。根据《广东省用水定额》（DB44/T 1461-2014），本项目员工的生活用水量以40L/（人•d）计，全年工作300天，则年用水量约72t，排污系数按0.9计，则生活污水产生量约为64.8t/a。生活污水的主要污染物为COD</w:t>
            </w:r>
            <w:r>
              <w:rPr>
                <w:rFonts w:hint="default" w:ascii="Times New Roman" w:hAnsi="Times New Roman" w:eastAsia="宋体" w:cs="Times New Roman"/>
                <w:vertAlign w:val="subscript"/>
              </w:rPr>
              <w:t>Cr</w:t>
            </w:r>
            <w:r>
              <w:rPr>
                <w:rFonts w:hint="default" w:ascii="Times New Roman" w:hAnsi="Times New Roman" w:eastAsia="宋体" w:cs="Times New Roman"/>
              </w:rPr>
              <w:t>、BOD</w:t>
            </w:r>
            <w:r>
              <w:rPr>
                <w:rFonts w:hint="default" w:ascii="Times New Roman" w:hAnsi="Times New Roman" w:eastAsia="宋体" w:cs="Times New Roman"/>
                <w:vertAlign w:val="subscript"/>
              </w:rPr>
              <w:t>5</w:t>
            </w:r>
            <w:r>
              <w:rPr>
                <w:rFonts w:hint="default" w:ascii="Times New Roman" w:hAnsi="Times New Roman" w:eastAsia="宋体" w:cs="Times New Roman"/>
              </w:rPr>
              <w:t>、SS、NH</w:t>
            </w:r>
            <w:r>
              <w:rPr>
                <w:rFonts w:hint="default" w:ascii="Times New Roman" w:hAnsi="Times New Roman" w:eastAsia="宋体" w:cs="Times New Roman"/>
                <w:vertAlign w:val="subscript"/>
              </w:rPr>
              <w:t>3</w:t>
            </w:r>
            <w:r>
              <w:rPr>
                <w:rFonts w:hint="default" w:ascii="Times New Roman" w:hAnsi="Times New Roman" w:eastAsia="宋体" w:cs="Times New Roman"/>
              </w:rPr>
              <w:t>-N等。</w:t>
            </w:r>
          </w:p>
          <w:p>
            <w:pPr>
              <w:pStyle w:val="28"/>
              <w:rPr>
                <w:rFonts w:hint="default" w:ascii="Times New Roman" w:hAnsi="Times New Roman" w:eastAsia="宋体" w:cs="Times New Roman"/>
                <w:color w:val="auto"/>
              </w:rPr>
            </w:pPr>
            <w:r>
              <w:rPr>
                <w:rFonts w:hint="default" w:ascii="Times New Roman" w:hAnsi="Times New Roman" w:eastAsia="宋体" w:cs="Times New Roman"/>
                <w:color w:val="auto"/>
              </w:rPr>
              <w:t>根据《第一次全国污染源普查城镇生活源产排污系数手册》（2008年3月），广东地区生活污水原水主要浓度为：CODcr：427mg/L、BOD</w:t>
            </w:r>
            <w:r>
              <w:rPr>
                <w:rFonts w:hint="default" w:ascii="Times New Roman" w:hAnsi="Times New Roman" w:eastAsia="宋体" w:cs="Times New Roman"/>
                <w:color w:val="auto"/>
                <w:vertAlign w:val="subscript"/>
              </w:rPr>
              <w:t>5</w:t>
            </w:r>
            <w:r>
              <w:rPr>
                <w:rFonts w:hint="default" w:ascii="Times New Roman" w:hAnsi="Times New Roman" w:eastAsia="宋体" w:cs="Times New Roman"/>
                <w:color w:val="auto"/>
              </w:rPr>
              <w:t>：178mg/L、NH</w:t>
            </w:r>
            <w:r>
              <w:rPr>
                <w:rFonts w:hint="default" w:ascii="Times New Roman" w:hAnsi="Times New Roman" w:eastAsia="宋体" w:cs="Times New Roman"/>
                <w:color w:val="auto"/>
                <w:vertAlign w:val="subscript"/>
              </w:rPr>
              <w:t>3</w:t>
            </w:r>
            <w:r>
              <w:rPr>
                <w:rFonts w:hint="default" w:ascii="Times New Roman" w:hAnsi="Times New Roman" w:eastAsia="宋体" w:cs="Times New Roman"/>
                <w:color w:val="auto"/>
              </w:rPr>
              <w:t xml:space="preserve"> -N：52mg/L、SS：240 mg/L。</w:t>
            </w:r>
          </w:p>
          <w:p>
            <w:pPr>
              <w:ind w:firstLine="480"/>
              <w:rPr>
                <w:rFonts w:hint="default" w:ascii="Times New Roman" w:hAnsi="Times New Roman" w:eastAsia="宋体" w:cs="Times New Roman"/>
              </w:rPr>
            </w:pPr>
            <w:r>
              <w:rPr>
                <w:rFonts w:hint="default" w:ascii="Times New Roman" w:hAnsi="Times New Roman" w:eastAsia="宋体" w:cs="Times New Roman"/>
              </w:rPr>
              <w:t>目前项目生活污水经三级化粪池沤肥处理后委托农户定时清运用于农田灌溉，不外排。项目具体生活污水水污染物产生情况见下表。</w:t>
            </w:r>
          </w:p>
          <w:p>
            <w:pPr>
              <w:pStyle w:val="45"/>
              <w:rPr>
                <w:rFonts w:hint="default" w:ascii="Times New Roman" w:hAnsi="Times New Roman" w:eastAsia="宋体" w:cs="Times New Roman"/>
                <w:b/>
                <w:bCs/>
              </w:rPr>
            </w:pPr>
          </w:p>
          <w:p>
            <w:pPr>
              <w:pStyle w:val="45"/>
              <w:rPr>
                <w:rFonts w:hint="default" w:ascii="Times New Roman" w:hAnsi="Times New Roman" w:eastAsia="宋体" w:cs="Times New Roman"/>
                <w:b/>
                <w:bCs/>
              </w:rPr>
            </w:pPr>
          </w:p>
          <w:p>
            <w:pPr>
              <w:pStyle w:val="45"/>
              <w:rPr>
                <w:rFonts w:hint="default" w:ascii="Times New Roman" w:hAnsi="Times New Roman" w:eastAsia="宋体" w:cs="Times New Roman"/>
                <w:b/>
                <w:bCs/>
              </w:rPr>
            </w:pPr>
          </w:p>
          <w:p>
            <w:pPr>
              <w:pStyle w:val="45"/>
              <w:rPr>
                <w:rFonts w:hint="default" w:ascii="Times New Roman" w:hAnsi="Times New Roman" w:eastAsia="宋体" w:cs="Times New Roman"/>
                <w:b/>
                <w:bCs/>
              </w:rPr>
            </w:pPr>
            <w:r>
              <w:rPr>
                <w:rFonts w:hint="default" w:ascii="Times New Roman" w:hAnsi="Times New Roman" w:eastAsia="宋体" w:cs="Times New Roman"/>
                <w:b/>
                <w:bCs/>
              </w:rPr>
              <w:t>表5-2 生活污水水污染物产生情况</w:t>
            </w:r>
          </w:p>
          <w:tbl>
            <w:tblPr>
              <w:tblStyle w:val="23"/>
              <w:tblW w:w="850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164"/>
              <w:gridCol w:w="637"/>
              <w:gridCol w:w="2497"/>
              <w:gridCol w:w="993"/>
              <w:gridCol w:w="1049"/>
              <w:gridCol w:w="1041"/>
              <w:gridCol w:w="11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73" w:hRule="atLeast"/>
                <w:jc w:val="center"/>
              </w:trPr>
              <w:tc>
                <w:tcPr>
                  <w:tcW w:w="4298" w:type="dxa"/>
                  <w:gridSpan w:val="3"/>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b/>
                      <w:bCs/>
                      <w:spacing w:val="10"/>
                      <w:sz w:val="21"/>
                      <w:szCs w:val="21"/>
                    </w:rPr>
                  </w:pPr>
                  <w:r>
                    <w:rPr>
                      <w:rFonts w:hint="default" w:ascii="Times New Roman" w:hAnsi="Times New Roman" w:eastAsia="宋体" w:cs="Times New Roman"/>
                      <w:b/>
                      <w:bCs/>
                      <w:spacing w:val="10"/>
                      <w:sz w:val="21"/>
                      <w:szCs w:val="21"/>
                    </w:rPr>
                    <w:t>污水类型</w:t>
                  </w:r>
                </w:p>
              </w:tc>
              <w:tc>
                <w:tcPr>
                  <w:tcW w:w="993"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b/>
                      <w:bCs/>
                      <w:spacing w:val="10"/>
                      <w:sz w:val="21"/>
                      <w:szCs w:val="21"/>
                    </w:rPr>
                  </w:pPr>
                  <w:r>
                    <w:rPr>
                      <w:rFonts w:hint="default" w:ascii="Times New Roman" w:hAnsi="Times New Roman" w:eastAsia="宋体" w:cs="Times New Roman"/>
                      <w:b/>
                      <w:bCs/>
                      <w:spacing w:val="10"/>
                      <w:sz w:val="21"/>
                      <w:szCs w:val="21"/>
                    </w:rPr>
                    <w:t>COD</w:t>
                  </w:r>
                  <w:r>
                    <w:rPr>
                      <w:rFonts w:hint="default" w:ascii="Times New Roman" w:hAnsi="Times New Roman" w:eastAsia="宋体" w:cs="Times New Roman"/>
                      <w:b/>
                      <w:bCs/>
                      <w:spacing w:val="10"/>
                      <w:sz w:val="21"/>
                      <w:szCs w:val="21"/>
                      <w:vertAlign w:val="subscript"/>
                    </w:rPr>
                    <w:t>Cr</w:t>
                  </w:r>
                </w:p>
              </w:tc>
              <w:tc>
                <w:tcPr>
                  <w:tcW w:w="1049"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b/>
                      <w:bCs/>
                      <w:spacing w:val="10"/>
                      <w:sz w:val="21"/>
                      <w:szCs w:val="21"/>
                    </w:rPr>
                  </w:pPr>
                  <w:r>
                    <w:rPr>
                      <w:rFonts w:hint="default" w:ascii="Times New Roman" w:hAnsi="Times New Roman" w:eastAsia="宋体" w:cs="Times New Roman"/>
                      <w:b/>
                      <w:bCs/>
                      <w:spacing w:val="10"/>
                      <w:sz w:val="21"/>
                      <w:szCs w:val="21"/>
                    </w:rPr>
                    <w:t>BOD</w:t>
                  </w:r>
                  <w:r>
                    <w:rPr>
                      <w:rFonts w:hint="default" w:ascii="Times New Roman" w:hAnsi="Times New Roman" w:eastAsia="宋体" w:cs="Times New Roman"/>
                      <w:b/>
                      <w:bCs/>
                      <w:spacing w:val="10"/>
                      <w:sz w:val="21"/>
                      <w:szCs w:val="21"/>
                      <w:vertAlign w:val="subscript"/>
                    </w:rPr>
                    <w:t>5</w:t>
                  </w:r>
                </w:p>
              </w:tc>
              <w:tc>
                <w:tcPr>
                  <w:tcW w:w="1041"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b/>
                      <w:bCs/>
                      <w:spacing w:val="10"/>
                      <w:sz w:val="21"/>
                      <w:szCs w:val="21"/>
                    </w:rPr>
                  </w:pPr>
                  <w:r>
                    <w:rPr>
                      <w:rFonts w:hint="default" w:ascii="Times New Roman" w:hAnsi="Times New Roman" w:eastAsia="宋体" w:cs="Times New Roman"/>
                      <w:b/>
                      <w:bCs/>
                      <w:spacing w:val="10"/>
                      <w:sz w:val="21"/>
                      <w:szCs w:val="21"/>
                    </w:rPr>
                    <w:t>SS</w:t>
                  </w:r>
                </w:p>
              </w:tc>
              <w:tc>
                <w:tcPr>
                  <w:tcW w:w="1119"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b/>
                      <w:bCs/>
                      <w:spacing w:val="10"/>
                      <w:sz w:val="21"/>
                      <w:szCs w:val="21"/>
                    </w:rPr>
                  </w:pPr>
                  <w:r>
                    <w:rPr>
                      <w:rFonts w:hint="default" w:ascii="Times New Roman" w:hAnsi="Times New Roman" w:eastAsia="宋体" w:cs="Times New Roman"/>
                      <w:b/>
                      <w:bCs/>
                      <w:spacing w:val="10"/>
                      <w:sz w:val="21"/>
                      <w:szCs w:val="21"/>
                    </w:rPr>
                    <w:t>NH</w:t>
                  </w:r>
                  <w:r>
                    <w:rPr>
                      <w:rFonts w:hint="default" w:ascii="Times New Roman" w:hAnsi="Times New Roman" w:eastAsia="宋体" w:cs="Times New Roman"/>
                      <w:b/>
                      <w:bCs/>
                      <w:spacing w:val="10"/>
                      <w:sz w:val="21"/>
                      <w:szCs w:val="21"/>
                      <w:vertAlign w:val="subscript"/>
                    </w:rPr>
                    <w:t>3</w:t>
                  </w:r>
                  <w:r>
                    <w:rPr>
                      <w:rFonts w:hint="default" w:ascii="Times New Roman" w:hAnsi="Times New Roman" w:eastAsia="宋体" w:cs="Times New Roman"/>
                      <w:b/>
                      <w:bCs/>
                      <w:spacing w:val="10"/>
                      <w:sz w:val="21"/>
                      <w:szCs w:val="21"/>
                    </w:rPr>
                    <w: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31" w:hRule="atLeast"/>
                <w:jc w:val="center"/>
              </w:trPr>
              <w:tc>
                <w:tcPr>
                  <w:tcW w:w="1164" w:type="dxa"/>
                  <w:vMerge w:val="restart"/>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pacing w:val="10"/>
                      <w:sz w:val="21"/>
                      <w:szCs w:val="21"/>
                    </w:rPr>
                  </w:pPr>
                  <w:r>
                    <w:rPr>
                      <w:rFonts w:hint="default" w:ascii="Times New Roman" w:hAnsi="Times New Roman" w:eastAsia="宋体" w:cs="Times New Roman"/>
                      <w:spacing w:val="10"/>
                      <w:sz w:val="21"/>
                      <w:szCs w:val="21"/>
                    </w:rPr>
                    <w:t>生活污水（64.8t/a）</w:t>
                  </w:r>
                </w:p>
              </w:tc>
              <w:tc>
                <w:tcPr>
                  <w:tcW w:w="637" w:type="dxa"/>
                  <w:vMerge w:val="restart"/>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pacing w:val="10"/>
                      <w:sz w:val="21"/>
                      <w:szCs w:val="21"/>
                    </w:rPr>
                  </w:pPr>
                  <w:r>
                    <w:rPr>
                      <w:rFonts w:hint="default" w:ascii="Times New Roman" w:hAnsi="Times New Roman" w:eastAsia="宋体" w:cs="Times New Roman"/>
                      <w:spacing w:val="10"/>
                      <w:sz w:val="21"/>
                      <w:szCs w:val="21"/>
                    </w:rPr>
                    <w:t>产生</w:t>
                  </w:r>
                </w:p>
              </w:tc>
              <w:tc>
                <w:tcPr>
                  <w:tcW w:w="2497"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pacing w:val="10"/>
                      <w:sz w:val="21"/>
                      <w:szCs w:val="21"/>
                    </w:rPr>
                  </w:pPr>
                  <w:r>
                    <w:rPr>
                      <w:rFonts w:hint="default" w:ascii="Times New Roman" w:hAnsi="Times New Roman" w:eastAsia="宋体" w:cs="Times New Roman"/>
                      <w:spacing w:val="10"/>
                      <w:sz w:val="21"/>
                      <w:szCs w:val="21"/>
                    </w:rPr>
                    <w:t>产生浓度(mg/L)</w:t>
                  </w:r>
                </w:p>
              </w:tc>
              <w:tc>
                <w:tcPr>
                  <w:tcW w:w="993" w:type="dxa"/>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rPr>
                  </w:pPr>
                  <w:r>
                    <w:rPr>
                      <w:rFonts w:hint="default" w:ascii="Times New Roman" w:hAnsi="Times New Roman" w:eastAsia="宋体" w:cs="Times New Roman"/>
                      <w:sz w:val="21"/>
                      <w:szCs w:val="21"/>
                    </w:rPr>
                    <w:t>427</w:t>
                  </w:r>
                </w:p>
              </w:tc>
              <w:tc>
                <w:tcPr>
                  <w:tcW w:w="1049" w:type="dxa"/>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178</w:t>
                  </w:r>
                </w:p>
              </w:tc>
              <w:tc>
                <w:tcPr>
                  <w:tcW w:w="1041" w:type="dxa"/>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240</w:t>
                  </w:r>
                </w:p>
              </w:tc>
              <w:tc>
                <w:tcPr>
                  <w:tcW w:w="1119" w:type="dxa"/>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8" w:hRule="atLeast"/>
                <w:jc w:val="center"/>
              </w:trPr>
              <w:tc>
                <w:tcPr>
                  <w:tcW w:w="1164" w:type="dxa"/>
                  <w:vMerge w:val="continue"/>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pacing w:val="10"/>
                      <w:sz w:val="21"/>
                      <w:szCs w:val="21"/>
                    </w:rPr>
                  </w:pPr>
                </w:p>
              </w:tc>
              <w:tc>
                <w:tcPr>
                  <w:tcW w:w="637" w:type="dxa"/>
                  <w:vMerge w:val="continue"/>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pacing w:val="10"/>
                      <w:sz w:val="21"/>
                      <w:szCs w:val="21"/>
                    </w:rPr>
                  </w:pPr>
                </w:p>
              </w:tc>
              <w:tc>
                <w:tcPr>
                  <w:tcW w:w="2497"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pacing w:val="10"/>
                      <w:sz w:val="21"/>
                      <w:szCs w:val="21"/>
                    </w:rPr>
                  </w:pPr>
                  <w:r>
                    <w:rPr>
                      <w:rFonts w:hint="default" w:ascii="Times New Roman" w:hAnsi="Times New Roman" w:eastAsia="宋体" w:cs="Times New Roman"/>
                      <w:spacing w:val="10"/>
                      <w:sz w:val="21"/>
                      <w:szCs w:val="21"/>
                    </w:rPr>
                    <w:t>污染物产生量(t/a)</w:t>
                  </w:r>
                </w:p>
              </w:tc>
              <w:tc>
                <w:tcPr>
                  <w:tcW w:w="993" w:type="dxa"/>
                  <w:tcBorders>
                    <w:tl2br w:val="nil"/>
                    <w:tr2bl w:val="nil"/>
                  </w:tcBorders>
                  <w:vAlign w:val="center"/>
                </w:tcPr>
                <w:p>
                  <w:pPr>
                    <w:widowControl/>
                    <w:spacing w:line="240" w:lineRule="auto"/>
                    <w:ind w:firstLine="0" w:firstLineChars="0"/>
                    <w:jc w:val="center"/>
                    <w:textAlignment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0.029</w:t>
                  </w:r>
                </w:p>
              </w:tc>
              <w:tc>
                <w:tcPr>
                  <w:tcW w:w="1049" w:type="dxa"/>
                  <w:tcBorders>
                    <w:tl2br w:val="nil"/>
                    <w:tr2bl w:val="nil"/>
                  </w:tcBorders>
                  <w:vAlign w:val="center"/>
                </w:tcPr>
                <w:p>
                  <w:pPr>
                    <w:widowControl/>
                    <w:spacing w:line="240" w:lineRule="auto"/>
                    <w:ind w:firstLine="0" w:firstLineChars="0"/>
                    <w:jc w:val="center"/>
                    <w:textAlignment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0.012</w:t>
                  </w:r>
                </w:p>
              </w:tc>
              <w:tc>
                <w:tcPr>
                  <w:tcW w:w="1041" w:type="dxa"/>
                  <w:tcBorders>
                    <w:tl2br w:val="nil"/>
                    <w:tr2bl w:val="nil"/>
                  </w:tcBorders>
                  <w:vAlign w:val="center"/>
                </w:tcPr>
                <w:p>
                  <w:pPr>
                    <w:widowControl/>
                    <w:spacing w:line="240" w:lineRule="auto"/>
                    <w:ind w:firstLine="0" w:firstLineChars="0"/>
                    <w:jc w:val="center"/>
                    <w:textAlignment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0.016</w:t>
                  </w:r>
                </w:p>
              </w:tc>
              <w:tc>
                <w:tcPr>
                  <w:tcW w:w="1119" w:type="dxa"/>
                  <w:tcBorders>
                    <w:tl2br w:val="nil"/>
                    <w:tr2bl w:val="nil"/>
                  </w:tcBorders>
                  <w:vAlign w:val="center"/>
                </w:tcPr>
                <w:p>
                  <w:pPr>
                    <w:widowControl/>
                    <w:spacing w:line="240" w:lineRule="auto"/>
                    <w:ind w:firstLine="0" w:firstLineChars="0"/>
                    <w:jc w:val="center"/>
                    <w:textAlignment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8" w:hRule="atLeast"/>
                <w:jc w:val="center"/>
              </w:trPr>
              <w:tc>
                <w:tcPr>
                  <w:tcW w:w="1164" w:type="dxa"/>
                  <w:vMerge w:val="continue"/>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pacing w:val="10"/>
                      <w:sz w:val="21"/>
                      <w:szCs w:val="21"/>
                    </w:rPr>
                  </w:pPr>
                </w:p>
              </w:tc>
              <w:tc>
                <w:tcPr>
                  <w:tcW w:w="637" w:type="dxa"/>
                  <w:vMerge w:val="continue"/>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pacing w:val="10"/>
                      <w:sz w:val="21"/>
                      <w:szCs w:val="21"/>
                    </w:rPr>
                  </w:pPr>
                </w:p>
              </w:tc>
              <w:tc>
                <w:tcPr>
                  <w:tcW w:w="2497"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pacing w:val="10"/>
                      <w:sz w:val="21"/>
                      <w:szCs w:val="21"/>
                    </w:rPr>
                  </w:pPr>
                  <w:r>
                    <w:rPr>
                      <w:rFonts w:hint="default" w:ascii="Times New Roman" w:hAnsi="Times New Roman" w:eastAsia="宋体" w:cs="Times New Roman"/>
                      <w:spacing w:val="10"/>
                      <w:sz w:val="21"/>
                      <w:szCs w:val="21"/>
                    </w:rPr>
                    <w:t>处理方式</w:t>
                  </w:r>
                </w:p>
              </w:tc>
              <w:tc>
                <w:tcPr>
                  <w:tcW w:w="4202" w:type="dxa"/>
                  <w:gridSpan w:val="4"/>
                  <w:tcBorders>
                    <w:tl2br w:val="nil"/>
                    <w:tr2bl w:val="nil"/>
                  </w:tcBorders>
                  <w:vAlign w:val="center"/>
                </w:tcPr>
                <w:p>
                  <w:pPr>
                    <w:widowControl/>
                    <w:spacing w:line="240" w:lineRule="auto"/>
                    <w:ind w:firstLine="0" w:firstLineChars="0"/>
                    <w:jc w:val="center"/>
                    <w:textAlignment w:val="center"/>
                    <w:rPr>
                      <w:rFonts w:hint="default" w:ascii="Times New Roman" w:hAnsi="Times New Roman" w:eastAsia="宋体" w:cs="Times New Roman"/>
                      <w:kern w:val="0"/>
                      <w:sz w:val="21"/>
                      <w:szCs w:val="21"/>
                    </w:rPr>
                  </w:pPr>
                  <w:r>
                    <w:rPr>
                      <w:rFonts w:hint="default" w:ascii="Times New Roman" w:hAnsi="Times New Roman" w:eastAsia="宋体" w:cs="Times New Roman"/>
                    </w:rPr>
                    <w:t>经三级化粪池沤肥处理后委托农户定时清运用于农田灌溉</w:t>
                  </w:r>
                </w:p>
              </w:tc>
            </w:tr>
          </w:tbl>
          <w:p>
            <w:pPr>
              <w:numPr>
                <w:ilvl w:val="0"/>
                <w:numId w:val="16"/>
              </w:numPr>
              <w:ind w:left="480" w:firstLine="0" w:firstLineChars="0"/>
              <w:rPr>
                <w:rFonts w:hint="default" w:ascii="Times New Roman" w:hAnsi="Times New Roman" w:eastAsia="宋体" w:cs="Times New Roman"/>
                <w:b/>
              </w:rPr>
            </w:pPr>
            <w:r>
              <w:rPr>
                <w:rFonts w:hint="default" w:ascii="Times New Roman" w:hAnsi="Times New Roman" w:eastAsia="宋体" w:cs="Times New Roman"/>
                <w:b/>
              </w:rPr>
              <w:t>清洗剂稀释水</w:t>
            </w:r>
          </w:p>
          <w:p>
            <w:pPr>
              <w:ind w:firstLine="480"/>
              <w:rPr>
                <w:rFonts w:hint="default" w:ascii="Times New Roman" w:hAnsi="Times New Roman" w:eastAsia="宋体" w:cs="Times New Roman"/>
              </w:rPr>
            </w:pPr>
            <w:r>
              <w:rPr>
                <w:rFonts w:hint="default" w:ascii="Times New Roman" w:hAnsi="Times New Roman" w:eastAsia="宋体" w:cs="Times New Roman"/>
              </w:rPr>
              <w:t>项目清洗印刷机时，所使用的清洗剂与水按1:1 稀释后用抹布蘸取少量溶液对印刷机墨辊进行擦拭清洗，清洗后水分全部蒸发及进入抹布中，故无清洗废水产生，清洗剂稀释水量为0.1t/a。</w:t>
            </w:r>
          </w:p>
          <w:p>
            <w:pPr>
              <w:pStyle w:val="28"/>
              <w:rPr>
                <w:rFonts w:hint="default" w:ascii="Times New Roman" w:hAnsi="Times New Roman" w:eastAsia="宋体" w:cs="Times New Roman"/>
              </w:rPr>
            </w:pPr>
            <w:r>
              <w:rPr>
                <w:rFonts w:hint="default" w:ascii="Times New Roman" w:hAnsi="Times New Roman" w:eastAsia="宋体" w:cs="Times New Roman"/>
              </w:rPr>
              <w:t>根据《污染源源强核算技术指南 准则》（HJ884-2018），项目各水污染源源强核算结果及相关参数见下表：</w:t>
            </w:r>
          </w:p>
          <w:p>
            <w:pPr>
              <w:ind w:firstLine="482"/>
              <w:jc w:val="center"/>
              <w:rPr>
                <w:rFonts w:hint="default" w:ascii="Times New Roman" w:hAnsi="Times New Roman" w:eastAsia="宋体" w:cs="Times New Roman"/>
                <w:b/>
                <w:bCs/>
              </w:rPr>
            </w:pPr>
            <w:r>
              <w:rPr>
                <w:rFonts w:hint="default" w:ascii="Times New Roman" w:hAnsi="Times New Roman" w:eastAsia="宋体" w:cs="Times New Roman"/>
                <w:b/>
                <w:bCs/>
              </w:rPr>
              <w:t>表5-3 水污染源源强核算结果及相关参数一览表</w:t>
            </w:r>
          </w:p>
          <w:tbl>
            <w:tblPr>
              <w:tblStyle w:val="23"/>
              <w:tblW w:w="9036" w:type="dxa"/>
              <w:tblInd w:w="0" w:type="dxa"/>
              <w:tblLayout w:type="autofit"/>
              <w:tblCellMar>
                <w:top w:w="0" w:type="dxa"/>
                <w:left w:w="0" w:type="dxa"/>
                <w:bottom w:w="0" w:type="dxa"/>
                <w:right w:w="0" w:type="dxa"/>
              </w:tblCellMar>
            </w:tblPr>
            <w:tblGrid>
              <w:gridCol w:w="1184"/>
              <w:gridCol w:w="1997"/>
              <w:gridCol w:w="940"/>
              <w:gridCol w:w="940"/>
              <w:gridCol w:w="940"/>
              <w:gridCol w:w="772"/>
              <w:gridCol w:w="2263"/>
            </w:tblGrid>
            <w:tr>
              <w:tblPrEx>
                <w:tblCellMar>
                  <w:top w:w="0" w:type="dxa"/>
                  <w:left w:w="0" w:type="dxa"/>
                  <w:bottom w:w="0" w:type="dxa"/>
                  <w:right w:w="0" w:type="dxa"/>
                </w:tblCellMar>
              </w:tblPrEx>
              <w:trPr>
                <w:trHeight w:val="525" w:hRule="atLeast"/>
              </w:trPr>
              <w:tc>
                <w:tcPr>
                  <w:tcW w:w="1760"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工序</w:t>
                  </w:r>
                </w:p>
              </w:tc>
              <w:tc>
                <w:tcPr>
                  <w:tcW w:w="1987" w:type="pct"/>
                  <w:gridSpan w:val="4"/>
                  <w:tcBorders>
                    <w:top w:val="single" w:color="000000" w:sz="8" w:space="0"/>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员工办公生活</w:t>
                  </w:r>
                </w:p>
              </w:tc>
              <w:tc>
                <w:tcPr>
                  <w:tcW w:w="1252" w:type="pct"/>
                  <w:tcBorders>
                    <w:top w:val="single" w:color="000000" w:sz="8" w:space="0"/>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印刷机清洗</w:t>
                  </w:r>
                </w:p>
              </w:tc>
            </w:tr>
            <w:tr>
              <w:tblPrEx>
                <w:tblCellMar>
                  <w:top w:w="0" w:type="dxa"/>
                  <w:left w:w="0" w:type="dxa"/>
                  <w:bottom w:w="0" w:type="dxa"/>
                  <w:right w:w="0" w:type="dxa"/>
                </w:tblCellMar>
              </w:tblPrEx>
              <w:trPr>
                <w:trHeight w:val="285" w:hRule="atLeast"/>
              </w:trPr>
              <w:tc>
                <w:tcPr>
                  <w:tcW w:w="1760" w:type="pct"/>
                  <w:gridSpan w:val="2"/>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装置</w:t>
                  </w:r>
                </w:p>
              </w:tc>
              <w:tc>
                <w:tcPr>
                  <w:tcW w:w="1987" w:type="pct"/>
                  <w:gridSpan w:val="4"/>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w:t>
                  </w:r>
                </w:p>
              </w:tc>
              <w:tc>
                <w:tcPr>
                  <w:tcW w:w="1252"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印刷机</w:t>
                  </w:r>
                </w:p>
              </w:tc>
            </w:tr>
            <w:tr>
              <w:tblPrEx>
                <w:tblCellMar>
                  <w:top w:w="0" w:type="dxa"/>
                  <w:left w:w="0" w:type="dxa"/>
                  <w:bottom w:w="0" w:type="dxa"/>
                  <w:right w:w="0" w:type="dxa"/>
                </w:tblCellMar>
              </w:tblPrEx>
              <w:trPr>
                <w:trHeight w:val="285" w:hRule="atLeast"/>
              </w:trPr>
              <w:tc>
                <w:tcPr>
                  <w:tcW w:w="1760" w:type="pct"/>
                  <w:gridSpan w:val="2"/>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污染源</w:t>
                  </w:r>
                </w:p>
              </w:tc>
              <w:tc>
                <w:tcPr>
                  <w:tcW w:w="1987" w:type="pct"/>
                  <w:gridSpan w:val="4"/>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生活污水</w:t>
                  </w:r>
                </w:p>
              </w:tc>
              <w:tc>
                <w:tcPr>
                  <w:tcW w:w="1252"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清洗剂稀释用水</w:t>
                  </w:r>
                </w:p>
              </w:tc>
            </w:tr>
            <w:tr>
              <w:tblPrEx>
                <w:tblCellMar>
                  <w:top w:w="0" w:type="dxa"/>
                  <w:left w:w="0" w:type="dxa"/>
                  <w:bottom w:w="0" w:type="dxa"/>
                  <w:right w:w="0" w:type="dxa"/>
                </w:tblCellMar>
              </w:tblPrEx>
              <w:trPr>
                <w:trHeight w:val="285" w:hRule="atLeast"/>
              </w:trPr>
              <w:tc>
                <w:tcPr>
                  <w:tcW w:w="1760" w:type="pct"/>
                  <w:gridSpan w:val="2"/>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污染物</w:t>
                  </w:r>
                </w:p>
              </w:tc>
              <w:tc>
                <w:tcPr>
                  <w:tcW w:w="520"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COD</w:t>
                  </w:r>
                  <w:r>
                    <w:rPr>
                      <w:rFonts w:hint="default" w:ascii="Times New Roman" w:hAnsi="Times New Roman" w:eastAsia="宋体" w:cs="Times New Roman"/>
                      <w:vertAlign w:val="subscript"/>
                    </w:rPr>
                    <w:t>cr</w:t>
                  </w:r>
                </w:p>
              </w:tc>
              <w:tc>
                <w:tcPr>
                  <w:tcW w:w="520"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BOD</w:t>
                  </w:r>
                  <w:r>
                    <w:rPr>
                      <w:rFonts w:hint="default" w:ascii="Times New Roman" w:hAnsi="Times New Roman" w:eastAsia="宋体" w:cs="Times New Roman"/>
                      <w:vertAlign w:val="subscript"/>
                    </w:rPr>
                    <w:t>5</w:t>
                  </w:r>
                </w:p>
              </w:tc>
              <w:tc>
                <w:tcPr>
                  <w:tcW w:w="520"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SS</w:t>
                  </w:r>
                </w:p>
              </w:tc>
              <w:tc>
                <w:tcPr>
                  <w:tcW w:w="426"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氨氮</w:t>
                  </w:r>
                </w:p>
              </w:tc>
              <w:tc>
                <w:tcPr>
                  <w:tcW w:w="1252" w:type="pct"/>
                  <w:vMerge w:val="restart"/>
                  <w:tcBorders>
                    <w:top w:val="nil"/>
                    <w:left w:val="nil"/>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在印刷机清洗过程中全部自然挥发无废水产生。</w:t>
                  </w:r>
                </w:p>
              </w:tc>
            </w:tr>
            <w:tr>
              <w:tblPrEx>
                <w:tblCellMar>
                  <w:top w:w="0" w:type="dxa"/>
                  <w:left w:w="0" w:type="dxa"/>
                  <w:bottom w:w="0" w:type="dxa"/>
                  <w:right w:w="0" w:type="dxa"/>
                </w:tblCellMar>
              </w:tblPrEx>
              <w:trPr>
                <w:trHeight w:val="270" w:hRule="atLeast"/>
              </w:trPr>
              <w:tc>
                <w:tcPr>
                  <w:tcW w:w="655" w:type="pct"/>
                  <w:vMerge w:val="restart"/>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污染物产生</w:t>
                  </w:r>
                </w:p>
              </w:tc>
              <w:tc>
                <w:tcPr>
                  <w:tcW w:w="1105"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核算方法</w:t>
                  </w:r>
                </w:p>
              </w:tc>
              <w:tc>
                <w:tcPr>
                  <w:tcW w:w="1987" w:type="pct"/>
                  <w:gridSpan w:val="4"/>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类比法</w:t>
                  </w:r>
                </w:p>
              </w:tc>
              <w:tc>
                <w:tcPr>
                  <w:tcW w:w="1252" w:type="pct"/>
                  <w:vMerge w:val="continue"/>
                  <w:tcBorders>
                    <w:left w:val="nil"/>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p>
              </w:tc>
            </w:tr>
            <w:tr>
              <w:tblPrEx>
                <w:tblCellMar>
                  <w:top w:w="0" w:type="dxa"/>
                  <w:left w:w="0" w:type="dxa"/>
                  <w:bottom w:w="0" w:type="dxa"/>
                  <w:right w:w="0" w:type="dxa"/>
                </w:tblCellMar>
              </w:tblPrEx>
              <w:trPr>
                <w:trHeight w:val="540" w:hRule="atLeast"/>
              </w:trPr>
              <w:tc>
                <w:tcPr>
                  <w:tcW w:w="655" w:type="pct"/>
                  <w:vMerge w:val="continue"/>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p>
              </w:tc>
              <w:tc>
                <w:tcPr>
                  <w:tcW w:w="1105"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废水产生量 m</w:t>
                  </w:r>
                  <w:r>
                    <w:rPr>
                      <w:rFonts w:hint="default" w:ascii="Times New Roman" w:hAnsi="Times New Roman" w:eastAsia="宋体" w:cs="Times New Roman"/>
                      <w:b/>
                      <w:bCs/>
                      <w:vertAlign w:val="superscript"/>
                    </w:rPr>
                    <w:t>3</w:t>
                  </w:r>
                  <w:r>
                    <w:rPr>
                      <w:rFonts w:hint="default" w:ascii="Times New Roman" w:hAnsi="Times New Roman" w:eastAsia="宋体" w:cs="Times New Roman"/>
                      <w:b/>
                      <w:bCs/>
                    </w:rPr>
                    <w:t>/a</w:t>
                  </w:r>
                </w:p>
              </w:tc>
              <w:tc>
                <w:tcPr>
                  <w:tcW w:w="1987" w:type="pct"/>
                  <w:gridSpan w:val="4"/>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64.8t/a</w:t>
                  </w:r>
                </w:p>
              </w:tc>
              <w:tc>
                <w:tcPr>
                  <w:tcW w:w="1252" w:type="pct"/>
                  <w:vMerge w:val="continue"/>
                  <w:tcBorders>
                    <w:left w:val="nil"/>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p>
              </w:tc>
            </w:tr>
            <w:tr>
              <w:tblPrEx>
                <w:tblCellMar>
                  <w:top w:w="0" w:type="dxa"/>
                  <w:left w:w="0" w:type="dxa"/>
                  <w:bottom w:w="0" w:type="dxa"/>
                  <w:right w:w="0" w:type="dxa"/>
                </w:tblCellMar>
              </w:tblPrEx>
              <w:trPr>
                <w:trHeight w:val="540" w:hRule="atLeast"/>
              </w:trPr>
              <w:tc>
                <w:tcPr>
                  <w:tcW w:w="655" w:type="pct"/>
                  <w:vMerge w:val="continue"/>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p>
              </w:tc>
              <w:tc>
                <w:tcPr>
                  <w:tcW w:w="1105"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产生浓度 mg/L</w:t>
                  </w:r>
                </w:p>
              </w:tc>
              <w:tc>
                <w:tcPr>
                  <w:tcW w:w="520"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widowControl/>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sz w:val="21"/>
                      <w:szCs w:val="21"/>
                    </w:rPr>
                    <w:t>427</w:t>
                  </w:r>
                </w:p>
              </w:tc>
              <w:tc>
                <w:tcPr>
                  <w:tcW w:w="520"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widowControl/>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sz w:val="21"/>
                      <w:szCs w:val="21"/>
                    </w:rPr>
                    <w:t>178</w:t>
                  </w:r>
                </w:p>
              </w:tc>
              <w:tc>
                <w:tcPr>
                  <w:tcW w:w="520"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widowControl/>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sz w:val="21"/>
                      <w:szCs w:val="21"/>
                    </w:rPr>
                    <w:t>240</w:t>
                  </w:r>
                </w:p>
              </w:tc>
              <w:tc>
                <w:tcPr>
                  <w:tcW w:w="426"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widowControl/>
                    <w:adjustRightInd w:val="0"/>
                    <w:snapToGrid w:val="0"/>
                    <w:spacing w:line="240" w:lineRule="auto"/>
                    <w:ind w:firstLine="0" w:firstLineChars="0"/>
                    <w:jc w:val="center"/>
                    <w:rPr>
                      <w:rFonts w:hint="default" w:ascii="Times New Roman" w:hAnsi="Times New Roman" w:eastAsia="宋体" w:cs="Times New Roman"/>
                    </w:rPr>
                  </w:pPr>
                  <w:r>
                    <w:rPr>
                      <w:rFonts w:hint="default" w:ascii="Times New Roman" w:hAnsi="Times New Roman" w:eastAsia="宋体" w:cs="Times New Roman"/>
                      <w:sz w:val="21"/>
                      <w:szCs w:val="21"/>
                    </w:rPr>
                    <w:t>52</w:t>
                  </w:r>
                </w:p>
              </w:tc>
              <w:tc>
                <w:tcPr>
                  <w:tcW w:w="1252" w:type="pct"/>
                  <w:vMerge w:val="continue"/>
                  <w:tcBorders>
                    <w:left w:val="nil"/>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p>
              </w:tc>
            </w:tr>
            <w:tr>
              <w:tblPrEx>
                <w:tblCellMar>
                  <w:top w:w="0" w:type="dxa"/>
                  <w:left w:w="0" w:type="dxa"/>
                  <w:bottom w:w="0" w:type="dxa"/>
                  <w:right w:w="0" w:type="dxa"/>
                </w:tblCellMar>
              </w:tblPrEx>
              <w:trPr>
                <w:trHeight w:val="285" w:hRule="atLeast"/>
              </w:trPr>
              <w:tc>
                <w:tcPr>
                  <w:tcW w:w="655" w:type="pct"/>
                  <w:vMerge w:val="continue"/>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p>
              </w:tc>
              <w:tc>
                <w:tcPr>
                  <w:tcW w:w="1105"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产生量 kg/a</w:t>
                  </w:r>
                </w:p>
              </w:tc>
              <w:tc>
                <w:tcPr>
                  <w:tcW w:w="520"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lang w:val="en-US" w:eastAsia="zh-CN"/>
                    </w:rPr>
                  </w:pPr>
                  <w:r>
                    <w:rPr>
                      <w:rFonts w:hint="default" w:ascii="Times New Roman" w:hAnsi="Times New Roman" w:eastAsia="宋体" w:cs="Times New Roman"/>
                      <w:kern w:val="0"/>
                      <w:sz w:val="21"/>
                      <w:szCs w:val="21"/>
                    </w:rPr>
                    <w:t>0.02</w:t>
                  </w:r>
                  <w:r>
                    <w:rPr>
                      <w:rFonts w:hint="default" w:ascii="Times New Roman" w:hAnsi="Times New Roman" w:eastAsia="宋体" w:cs="Times New Roman"/>
                      <w:kern w:val="0"/>
                      <w:sz w:val="21"/>
                      <w:szCs w:val="21"/>
                      <w:lang w:val="en-US" w:eastAsia="zh-CN"/>
                    </w:rPr>
                    <w:t>8</w:t>
                  </w:r>
                </w:p>
              </w:tc>
              <w:tc>
                <w:tcPr>
                  <w:tcW w:w="520"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rPr>
                  </w:pPr>
                  <w:r>
                    <w:rPr>
                      <w:rFonts w:hint="default" w:ascii="Times New Roman" w:hAnsi="Times New Roman" w:eastAsia="宋体" w:cs="Times New Roman"/>
                      <w:kern w:val="0"/>
                      <w:sz w:val="21"/>
                      <w:szCs w:val="21"/>
                    </w:rPr>
                    <w:t>0.012</w:t>
                  </w:r>
                </w:p>
              </w:tc>
              <w:tc>
                <w:tcPr>
                  <w:tcW w:w="520"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rPr>
                  </w:pPr>
                  <w:r>
                    <w:rPr>
                      <w:rFonts w:hint="default" w:ascii="Times New Roman" w:hAnsi="Times New Roman" w:eastAsia="宋体" w:cs="Times New Roman"/>
                      <w:kern w:val="0"/>
                      <w:sz w:val="21"/>
                      <w:szCs w:val="21"/>
                    </w:rPr>
                    <w:t>0.016</w:t>
                  </w:r>
                </w:p>
              </w:tc>
              <w:tc>
                <w:tcPr>
                  <w:tcW w:w="426"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lang w:eastAsia="zh-CN"/>
                    </w:rPr>
                  </w:pPr>
                  <w:r>
                    <w:rPr>
                      <w:rFonts w:hint="default" w:ascii="Times New Roman" w:hAnsi="Times New Roman" w:eastAsia="宋体" w:cs="Times New Roman"/>
                      <w:kern w:val="0"/>
                      <w:sz w:val="21"/>
                      <w:szCs w:val="21"/>
                    </w:rPr>
                    <w:t>0.00</w:t>
                  </w:r>
                  <w:r>
                    <w:rPr>
                      <w:rFonts w:hint="default" w:ascii="Times New Roman" w:hAnsi="Times New Roman" w:eastAsia="宋体" w:cs="Times New Roman"/>
                      <w:kern w:val="0"/>
                      <w:sz w:val="21"/>
                      <w:szCs w:val="21"/>
                      <w:lang w:val="en-US" w:eastAsia="zh-CN"/>
                    </w:rPr>
                    <w:t>3</w:t>
                  </w:r>
                </w:p>
              </w:tc>
              <w:tc>
                <w:tcPr>
                  <w:tcW w:w="1252" w:type="pct"/>
                  <w:vMerge w:val="continue"/>
                  <w:tcBorders>
                    <w:left w:val="nil"/>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p>
              </w:tc>
            </w:tr>
            <w:tr>
              <w:tblPrEx>
                <w:tblCellMar>
                  <w:top w:w="0" w:type="dxa"/>
                  <w:left w:w="0" w:type="dxa"/>
                  <w:bottom w:w="0" w:type="dxa"/>
                  <w:right w:w="0" w:type="dxa"/>
                </w:tblCellMar>
              </w:tblPrEx>
              <w:trPr>
                <w:trHeight w:val="270" w:hRule="atLeast"/>
              </w:trPr>
              <w:tc>
                <w:tcPr>
                  <w:tcW w:w="655" w:type="pct"/>
                  <w:vMerge w:val="restart"/>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治理措施</w:t>
                  </w:r>
                </w:p>
              </w:tc>
              <w:tc>
                <w:tcPr>
                  <w:tcW w:w="1105"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工艺</w:t>
                  </w:r>
                </w:p>
              </w:tc>
              <w:tc>
                <w:tcPr>
                  <w:tcW w:w="1987" w:type="pct"/>
                  <w:gridSpan w:val="4"/>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三级化粪池</w:t>
                  </w:r>
                </w:p>
              </w:tc>
              <w:tc>
                <w:tcPr>
                  <w:tcW w:w="1252" w:type="pct"/>
                  <w:vMerge w:val="continue"/>
                  <w:tcBorders>
                    <w:left w:val="nil"/>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p>
              </w:tc>
            </w:tr>
            <w:tr>
              <w:tblPrEx>
                <w:tblCellMar>
                  <w:top w:w="0" w:type="dxa"/>
                  <w:left w:w="0" w:type="dxa"/>
                  <w:bottom w:w="0" w:type="dxa"/>
                  <w:right w:w="0" w:type="dxa"/>
                </w:tblCellMar>
              </w:tblPrEx>
              <w:trPr>
                <w:trHeight w:val="285" w:hRule="atLeast"/>
              </w:trPr>
              <w:tc>
                <w:tcPr>
                  <w:tcW w:w="655" w:type="pct"/>
                  <w:vMerge w:val="continue"/>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p>
              </w:tc>
              <w:tc>
                <w:tcPr>
                  <w:tcW w:w="1105"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效率</w:t>
                  </w:r>
                </w:p>
              </w:tc>
              <w:tc>
                <w:tcPr>
                  <w:tcW w:w="1987" w:type="pct"/>
                  <w:gridSpan w:val="4"/>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w:t>
                  </w:r>
                </w:p>
              </w:tc>
              <w:tc>
                <w:tcPr>
                  <w:tcW w:w="1252" w:type="pct"/>
                  <w:vMerge w:val="continue"/>
                  <w:tcBorders>
                    <w:left w:val="nil"/>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p>
              </w:tc>
            </w:tr>
            <w:tr>
              <w:tblPrEx>
                <w:tblCellMar>
                  <w:top w:w="0" w:type="dxa"/>
                  <w:left w:w="0" w:type="dxa"/>
                  <w:bottom w:w="0" w:type="dxa"/>
                  <w:right w:w="0" w:type="dxa"/>
                </w:tblCellMar>
              </w:tblPrEx>
              <w:trPr>
                <w:trHeight w:val="270" w:hRule="atLeast"/>
              </w:trPr>
              <w:tc>
                <w:tcPr>
                  <w:tcW w:w="655" w:type="pct"/>
                  <w:vMerge w:val="restart"/>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污染物排放</w:t>
                  </w:r>
                </w:p>
              </w:tc>
              <w:tc>
                <w:tcPr>
                  <w:tcW w:w="1105"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核算方法</w:t>
                  </w:r>
                </w:p>
              </w:tc>
              <w:tc>
                <w:tcPr>
                  <w:tcW w:w="1987" w:type="pct"/>
                  <w:gridSpan w:val="4"/>
                  <w:vMerge w:val="restart"/>
                  <w:tcBorders>
                    <w:top w:val="nil"/>
                    <w:left w:val="nil"/>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委托农户定期清运，用于农田灌溉，不外排。</w:t>
                  </w:r>
                </w:p>
              </w:tc>
              <w:tc>
                <w:tcPr>
                  <w:tcW w:w="1252" w:type="pct"/>
                  <w:vMerge w:val="continue"/>
                  <w:tcBorders>
                    <w:left w:val="nil"/>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p>
              </w:tc>
            </w:tr>
            <w:tr>
              <w:tblPrEx>
                <w:tblCellMar>
                  <w:top w:w="0" w:type="dxa"/>
                  <w:left w:w="0" w:type="dxa"/>
                  <w:bottom w:w="0" w:type="dxa"/>
                  <w:right w:w="0" w:type="dxa"/>
                </w:tblCellMar>
              </w:tblPrEx>
              <w:trPr>
                <w:trHeight w:val="540" w:hRule="atLeast"/>
              </w:trPr>
              <w:tc>
                <w:tcPr>
                  <w:tcW w:w="655" w:type="pct"/>
                  <w:vMerge w:val="continue"/>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p>
              </w:tc>
              <w:tc>
                <w:tcPr>
                  <w:tcW w:w="1105"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废气排放量 m</w:t>
                  </w:r>
                  <w:r>
                    <w:rPr>
                      <w:rFonts w:hint="default" w:ascii="Times New Roman" w:hAnsi="Times New Roman" w:eastAsia="宋体" w:cs="Times New Roman"/>
                      <w:b/>
                      <w:bCs/>
                      <w:vertAlign w:val="superscript"/>
                    </w:rPr>
                    <w:t>3</w:t>
                  </w:r>
                  <w:r>
                    <w:rPr>
                      <w:rFonts w:hint="default" w:ascii="Times New Roman" w:hAnsi="Times New Roman" w:eastAsia="宋体" w:cs="Times New Roman"/>
                      <w:b/>
                      <w:bCs/>
                    </w:rPr>
                    <w:t>/a</w:t>
                  </w:r>
                </w:p>
              </w:tc>
              <w:tc>
                <w:tcPr>
                  <w:tcW w:w="1987" w:type="pct"/>
                  <w:gridSpan w:val="4"/>
                  <w:vMerge w:val="continue"/>
                  <w:tcBorders>
                    <w:left w:val="nil"/>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p>
              </w:tc>
              <w:tc>
                <w:tcPr>
                  <w:tcW w:w="1252" w:type="pct"/>
                  <w:vMerge w:val="continue"/>
                  <w:tcBorders>
                    <w:left w:val="nil"/>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p>
              </w:tc>
            </w:tr>
            <w:tr>
              <w:tblPrEx>
                <w:tblCellMar>
                  <w:top w:w="0" w:type="dxa"/>
                  <w:left w:w="0" w:type="dxa"/>
                  <w:bottom w:w="0" w:type="dxa"/>
                  <w:right w:w="0" w:type="dxa"/>
                </w:tblCellMar>
              </w:tblPrEx>
              <w:trPr>
                <w:trHeight w:val="540" w:hRule="atLeast"/>
              </w:trPr>
              <w:tc>
                <w:tcPr>
                  <w:tcW w:w="655" w:type="pct"/>
                  <w:vMerge w:val="continue"/>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p>
              </w:tc>
              <w:tc>
                <w:tcPr>
                  <w:tcW w:w="1105"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排放浓度 mg/L</w:t>
                  </w:r>
                </w:p>
              </w:tc>
              <w:tc>
                <w:tcPr>
                  <w:tcW w:w="1987" w:type="pct"/>
                  <w:gridSpan w:val="4"/>
                  <w:vMerge w:val="continue"/>
                  <w:tcBorders>
                    <w:left w:val="nil"/>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p>
              </w:tc>
              <w:tc>
                <w:tcPr>
                  <w:tcW w:w="1252" w:type="pct"/>
                  <w:vMerge w:val="continue"/>
                  <w:tcBorders>
                    <w:left w:val="nil"/>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p>
              </w:tc>
            </w:tr>
            <w:tr>
              <w:tblPrEx>
                <w:tblCellMar>
                  <w:top w:w="0" w:type="dxa"/>
                  <w:left w:w="0" w:type="dxa"/>
                  <w:bottom w:w="0" w:type="dxa"/>
                  <w:right w:w="0" w:type="dxa"/>
                </w:tblCellMar>
              </w:tblPrEx>
              <w:trPr>
                <w:trHeight w:val="285" w:hRule="atLeast"/>
              </w:trPr>
              <w:tc>
                <w:tcPr>
                  <w:tcW w:w="655" w:type="pct"/>
                  <w:vMerge w:val="continue"/>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p>
              </w:tc>
              <w:tc>
                <w:tcPr>
                  <w:tcW w:w="1105"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排放量kg/a</w:t>
                  </w:r>
                </w:p>
              </w:tc>
              <w:tc>
                <w:tcPr>
                  <w:tcW w:w="1987" w:type="pct"/>
                  <w:gridSpan w:val="4"/>
                  <w:vMerge w:val="continue"/>
                  <w:tcBorders>
                    <w:left w:val="nil"/>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p>
              </w:tc>
              <w:tc>
                <w:tcPr>
                  <w:tcW w:w="1252" w:type="pct"/>
                  <w:vMerge w:val="continue"/>
                  <w:tcBorders>
                    <w:left w:val="nil"/>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p>
              </w:tc>
            </w:tr>
            <w:tr>
              <w:tblPrEx>
                <w:tblCellMar>
                  <w:top w:w="0" w:type="dxa"/>
                  <w:left w:w="0" w:type="dxa"/>
                  <w:bottom w:w="0" w:type="dxa"/>
                  <w:right w:w="0" w:type="dxa"/>
                </w:tblCellMar>
              </w:tblPrEx>
              <w:trPr>
                <w:trHeight w:val="285" w:hRule="atLeast"/>
              </w:trPr>
              <w:tc>
                <w:tcPr>
                  <w:tcW w:w="1760" w:type="pct"/>
                  <w:gridSpan w:val="2"/>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排放时间</w:t>
                  </w:r>
                </w:p>
              </w:tc>
              <w:tc>
                <w:tcPr>
                  <w:tcW w:w="1987" w:type="pct"/>
                  <w:gridSpan w:val="4"/>
                  <w:vMerge w:val="continue"/>
                  <w:tcBorders>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p>
              </w:tc>
              <w:tc>
                <w:tcPr>
                  <w:tcW w:w="1252" w:type="pct"/>
                  <w:vMerge w:val="continue"/>
                  <w:tcBorders>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p>
              </w:tc>
            </w:tr>
          </w:tbl>
          <w:p>
            <w:pPr>
              <w:ind w:left="480" w:firstLine="0" w:firstLineChars="0"/>
              <w:rPr>
                <w:rFonts w:hint="default" w:ascii="Times New Roman" w:hAnsi="Times New Roman" w:eastAsia="宋体" w:cs="Times New Roman"/>
                <w:b/>
              </w:rPr>
            </w:pPr>
            <w:r>
              <w:rPr>
                <w:rFonts w:hint="default" w:ascii="Times New Roman" w:hAnsi="Times New Roman" w:eastAsia="宋体" w:cs="Times New Roman"/>
                <w:b/>
              </w:rPr>
              <w:t>2、大气污染源</w:t>
            </w:r>
          </w:p>
          <w:p>
            <w:pPr>
              <w:ind w:firstLine="480"/>
              <w:rPr>
                <w:rFonts w:hint="default" w:ascii="Times New Roman" w:hAnsi="Times New Roman" w:eastAsia="宋体" w:cs="Times New Roman"/>
              </w:rPr>
            </w:pPr>
            <w:r>
              <w:rPr>
                <w:rFonts w:hint="default" w:ascii="Times New Roman" w:hAnsi="Times New Roman" w:eastAsia="宋体" w:cs="Times New Roman"/>
              </w:rPr>
              <w:t>本项目主要大气污染源为有机废气。</w:t>
            </w:r>
          </w:p>
          <w:p>
            <w:pPr>
              <w:pStyle w:val="28"/>
              <w:numPr>
                <w:ilvl w:val="0"/>
                <w:numId w:val="17"/>
              </w:numPr>
              <w:ind w:firstLine="482"/>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有机废气源强计算</w:t>
            </w:r>
          </w:p>
          <w:p>
            <w:pPr>
              <w:ind w:firstLine="482"/>
              <w:rPr>
                <w:rFonts w:hint="default" w:ascii="Times New Roman" w:hAnsi="Times New Roman" w:eastAsia="宋体" w:cs="Times New Roman"/>
                <w:b/>
                <w:bCs/>
              </w:rPr>
            </w:pPr>
            <w:r>
              <w:rPr>
                <w:rFonts w:hint="default" w:ascii="Times New Roman" w:hAnsi="Times New Roman" w:eastAsia="宋体" w:cs="Times New Roman"/>
                <w:b/>
                <w:bCs/>
              </w:rPr>
              <w:t>本项目采用平版印刷的印刷方式，承印物为纸张，故印刷后无需烘干，仅在印刷和清洗时产生有机废气。</w:t>
            </w:r>
          </w:p>
          <w:p>
            <w:pPr>
              <w:ind w:firstLine="482"/>
              <w:rPr>
                <w:rFonts w:hint="default" w:ascii="Times New Roman" w:hAnsi="Times New Roman" w:eastAsia="宋体" w:cs="Times New Roman"/>
              </w:rPr>
            </w:pPr>
            <w:r>
              <w:rPr>
                <w:rFonts w:hint="default" w:ascii="Times New Roman" w:hAnsi="Times New Roman" w:eastAsia="宋体" w:cs="Times New Roman"/>
                <w:b/>
                <w:bCs/>
              </w:rPr>
              <w:t>印刷废气：</w:t>
            </w:r>
            <w:r>
              <w:rPr>
                <w:rFonts w:hint="default" w:ascii="Times New Roman" w:hAnsi="Times New Roman" w:eastAsia="宋体" w:cs="Times New Roman"/>
              </w:rPr>
              <w:t>本项目印刷工序需使用的油墨为水性油墨，印刷前添加润版液，项目油墨在使用的过程中无需添加稀释剂进行稀释，印刷时会产生少量的有机废气，污染物以总VOCs为表征，项目年使用水性油墨0.3t/a、免酒精润版液0.06t/a。根据企业提供的原辅材料MSDS报告，项目所用水性油墨VOCs含量按3%计算，润版液VOCs含量按5%计算，故本项目印刷工序的总VOCs产生量为0.012t/a。根据企业提供的资料显示，项目印刷区每天运作7-8小时，按环评最不利原则，项目印刷区按每天运作8小时计算，则每年运作2400h。</w:t>
            </w:r>
          </w:p>
          <w:p>
            <w:pPr>
              <w:ind w:firstLine="482"/>
              <w:rPr>
                <w:rFonts w:hint="default" w:ascii="Times New Roman" w:hAnsi="Times New Roman" w:eastAsia="宋体" w:cs="Times New Roman"/>
              </w:rPr>
            </w:pPr>
            <w:r>
              <w:rPr>
                <w:rFonts w:hint="default" w:ascii="Times New Roman" w:hAnsi="Times New Roman" w:eastAsia="宋体" w:cs="Times New Roman"/>
                <w:b/>
                <w:bCs/>
              </w:rPr>
              <w:t>清洗废气：项目所使用的清洗剂与水按1:1稀释后用抹布蘸取少量溶液对印刷机墨辊进行擦拭清洗，清洗后水分全部蒸发及进入抹布中，故无清洗废水产生</w:t>
            </w:r>
            <w:r>
              <w:rPr>
                <w:rFonts w:hint="default" w:ascii="Times New Roman" w:hAnsi="Times New Roman" w:eastAsia="宋体" w:cs="Times New Roman"/>
              </w:rPr>
              <w:t>。根据厂家提供的清洗剂MSDS报告中成分分析可知，项目所用清洗剂VOC含量为10%。本项目清洗剂使用量为0.1t/a，则清洗过程中的总VOCs产生量为0.01/a。根据企业提供的资料显示，项目平均每天清洗印刷机用时1h，每年约300h。</w:t>
            </w:r>
          </w:p>
          <w:p>
            <w:pPr>
              <w:ind w:firstLine="480"/>
              <w:rPr>
                <w:rFonts w:hint="default" w:ascii="Times New Roman" w:hAnsi="Times New Roman" w:eastAsia="宋体" w:cs="Times New Roman"/>
              </w:rPr>
            </w:pPr>
            <w:r>
              <w:rPr>
                <w:rFonts w:hint="default" w:ascii="Times New Roman" w:hAnsi="Times New Roman" w:eastAsia="宋体" w:cs="Times New Roman"/>
              </w:rPr>
              <w:t>本项目有机废气产生情况如下表所示。</w:t>
            </w:r>
          </w:p>
          <w:p>
            <w:pPr>
              <w:adjustRightInd w:val="0"/>
              <w:snapToGrid w:val="0"/>
              <w:spacing w:line="240" w:lineRule="auto"/>
              <w:ind w:firstLine="422"/>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0"/>
              </w:rPr>
              <w:t xml:space="preserve">表5-3 有机废气产生情况一览表 </w:t>
            </w:r>
            <w:r>
              <w:rPr>
                <w:rFonts w:hint="default" w:ascii="Times New Roman" w:hAnsi="Times New Roman" w:eastAsia="宋体" w:cs="Times New Roman"/>
                <w:b/>
                <w:bCs/>
                <w:sz w:val="21"/>
                <w:szCs w:val="21"/>
              </w:rPr>
              <w:t xml:space="preserve"> </w:t>
            </w:r>
          </w:p>
          <w:tbl>
            <w:tblPr>
              <w:tblStyle w:val="23"/>
              <w:tblW w:w="903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116"/>
              <w:gridCol w:w="1707"/>
              <w:gridCol w:w="1085"/>
              <w:gridCol w:w="1484"/>
              <w:gridCol w:w="1580"/>
              <w:gridCol w:w="16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42" w:type="dxa"/>
                  <w:gridSpan w:val="2"/>
                  <w:vMerge w:val="restart"/>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污染工序</w:t>
                  </w:r>
                </w:p>
              </w:tc>
              <w:tc>
                <w:tcPr>
                  <w:tcW w:w="1707" w:type="dxa"/>
                  <w:vMerge w:val="restart"/>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污染物产生系数</w:t>
                  </w:r>
                </w:p>
              </w:tc>
              <w:tc>
                <w:tcPr>
                  <w:tcW w:w="5787" w:type="dxa"/>
                  <w:gridSpan w:val="4"/>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印刷区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542" w:type="dxa"/>
                  <w:gridSpan w:val="2"/>
                  <w:vMerge w:val="continue"/>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用</w:t>
                  </w:r>
                </w:p>
              </w:tc>
              <w:tc>
                <w:tcPr>
                  <w:tcW w:w="1707" w:type="dxa"/>
                  <w:vMerge w:val="continue"/>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b/>
                      <w:bCs/>
                      <w:sz w:val="21"/>
                      <w:szCs w:val="21"/>
                    </w:rPr>
                  </w:pPr>
                </w:p>
              </w:tc>
              <w:tc>
                <w:tcPr>
                  <w:tcW w:w="1085"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原料用量</w:t>
                  </w:r>
                </w:p>
              </w:tc>
              <w:tc>
                <w:tcPr>
                  <w:tcW w:w="1484"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VOCs产生量</w:t>
                  </w:r>
                </w:p>
              </w:tc>
              <w:tc>
                <w:tcPr>
                  <w:tcW w:w="1580"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VOC产生时间</w:t>
                  </w:r>
                </w:p>
              </w:tc>
              <w:tc>
                <w:tcPr>
                  <w:tcW w:w="1638"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VOCs产生速率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26" w:type="dxa"/>
                  <w:vMerge w:val="restart"/>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印刷</w:t>
                  </w:r>
                </w:p>
              </w:tc>
              <w:tc>
                <w:tcPr>
                  <w:tcW w:w="1116"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水性油墨</w:t>
                  </w:r>
                </w:p>
              </w:tc>
              <w:tc>
                <w:tcPr>
                  <w:tcW w:w="1707"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排放系数按0.03</w:t>
                  </w:r>
                </w:p>
              </w:tc>
              <w:tc>
                <w:tcPr>
                  <w:tcW w:w="1085"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0.3t/a</w:t>
                  </w:r>
                </w:p>
              </w:tc>
              <w:tc>
                <w:tcPr>
                  <w:tcW w:w="1484"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0.009t/a</w:t>
                  </w:r>
                </w:p>
              </w:tc>
              <w:tc>
                <w:tcPr>
                  <w:tcW w:w="1580" w:type="dxa"/>
                  <w:vMerge w:val="restart"/>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2400h/a</w:t>
                  </w:r>
                </w:p>
              </w:tc>
              <w:tc>
                <w:tcPr>
                  <w:tcW w:w="1638" w:type="dxa"/>
                  <w:vMerge w:val="restart"/>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0.005</w:t>
                  </w:r>
                  <w:r>
                    <w:rPr>
                      <w:rFonts w:hint="default" w:ascii="Times New Roman" w:hAnsi="Times New Roman" w:eastAsia="宋体" w:cs="Times New Roman"/>
                      <w:sz w:val="21"/>
                      <w:szCs w:val="21"/>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26" w:type="dxa"/>
                  <w:vMerge w:val="continue"/>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p>
              </w:tc>
              <w:tc>
                <w:tcPr>
                  <w:tcW w:w="1116"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润版液</w:t>
                  </w:r>
                </w:p>
              </w:tc>
              <w:tc>
                <w:tcPr>
                  <w:tcW w:w="1707"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排放系数按0.05</w:t>
                  </w:r>
                </w:p>
              </w:tc>
              <w:tc>
                <w:tcPr>
                  <w:tcW w:w="1085"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0.06t/a</w:t>
                  </w:r>
                </w:p>
              </w:tc>
              <w:tc>
                <w:tcPr>
                  <w:tcW w:w="1484"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0.003t/a</w:t>
                  </w:r>
                </w:p>
              </w:tc>
              <w:tc>
                <w:tcPr>
                  <w:tcW w:w="1580" w:type="dxa"/>
                  <w:vMerge w:val="continue"/>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p>
              </w:tc>
              <w:tc>
                <w:tcPr>
                  <w:tcW w:w="1638" w:type="dxa"/>
                  <w:vMerge w:val="continue"/>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426"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清洗</w:t>
                  </w:r>
                </w:p>
              </w:tc>
              <w:tc>
                <w:tcPr>
                  <w:tcW w:w="1116"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清洗剂</w:t>
                  </w:r>
                </w:p>
              </w:tc>
              <w:tc>
                <w:tcPr>
                  <w:tcW w:w="1707"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排放系数按0.1</w:t>
                  </w:r>
                </w:p>
              </w:tc>
              <w:tc>
                <w:tcPr>
                  <w:tcW w:w="1085"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0.1t/a</w:t>
                  </w:r>
                </w:p>
              </w:tc>
              <w:tc>
                <w:tcPr>
                  <w:tcW w:w="1484"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0.01t/a</w:t>
                  </w:r>
                </w:p>
              </w:tc>
              <w:tc>
                <w:tcPr>
                  <w:tcW w:w="1580"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300h/a</w:t>
                  </w:r>
                </w:p>
              </w:tc>
              <w:tc>
                <w:tcPr>
                  <w:tcW w:w="1638"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0.033kg/h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3249" w:type="dxa"/>
                  <w:gridSpan w:val="3"/>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合计</w:t>
                  </w:r>
                </w:p>
              </w:tc>
              <w:tc>
                <w:tcPr>
                  <w:tcW w:w="1085"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484"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0.022t/a</w:t>
                  </w:r>
                </w:p>
              </w:tc>
              <w:tc>
                <w:tcPr>
                  <w:tcW w:w="1580"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638" w:type="dxa"/>
                  <w:tcBorders>
                    <w:tl2br w:val="nil"/>
                    <w:tr2bl w:val="nil"/>
                  </w:tcBorders>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bl>
          <w:p>
            <w:pPr>
              <w:ind w:firstLine="480"/>
              <w:rPr>
                <w:rFonts w:hint="default" w:ascii="Times New Roman" w:hAnsi="Times New Roman" w:eastAsia="宋体" w:cs="Times New Roman"/>
              </w:rPr>
            </w:pPr>
            <w:r>
              <w:rPr>
                <w:rFonts w:hint="default" w:ascii="Times New Roman" w:hAnsi="Times New Roman" w:eastAsia="宋体" w:cs="Times New Roman"/>
              </w:rPr>
              <w:t>由上表可知，本项目印刷区总VOCs产生量为0.022t/a</w:t>
            </w:r>
          </w:p>
          <w:p>
            <w:pPr>
              <w:pStyle w:val="28"/>
              <w:numPr>
                <w:ilvl w:val="0"/>
                <w:numId w:val="17"/>
              </w:numPr>
              <w:ind w:firstLine="482"/>
              <w:rPr>
                <w:rFonts w:hint="default" w:ascii="Times New Roman" w:hAnsi="Times New Roman" w:eastAsia="宋体" w:cs="Times New Roman"/>
                <w:b/>
                <w:color w:val="auto"/>
              </w:rPr>
            </w:pPr>
            <w:r>
              <w:rPr>
                <w:rFonts w:hint="default" w:ascii="Times New Roman" w:hAnsi="Times New Roman" w:eastAsia="宋体" w:cs="Times New Roman"/>
                <w:b/>
                <w:color w:val="auto"/>
              </w:rPr>
              <w:t>有机废气收集及治理方案</w:t>
            </w:r>
          </w:p>
          <w:p>
            <w:pPr>
              <w:pStyle w:val="28"/>
              <w:rPr>
                <w:rFonts w:hint="default" w:ascii="Times New Roman" w:hAnsi="Times New Roman" w:eastAsia="宋体" w:cs="Times New Roman"/>
              </w:rPr>
            </w:pPr>
            <w:r>
              <w:rPr>
                <w:rFonts w:hint="default" w:ascii="Times New Roman" w:hAnsi="Times New Roman" w:eastAsia="宋体" w:cs="Times New Roman"/>
                <w:color w:val="auto"/>
              </w:rPr>
              <w:t>本项目印刷区为独立密闭车间，所有印刷工序及印刷机清洗工序均在该密闭车间进行，故本项目拟设置一套“活性炭吸附装置”对印刷区进行整体密闭抽风处理，处理后的废气经15m高排气筒高空排放。</w:t>
            </w:r>
            <w:r>
              <w:rPr>
                <w:rFonts w:hint="default" w:ascii="Times New Roman" w:hAnsi="Times New Roman" w:eastAsia="宋体" w:cs="Times New Roman"/>
              </w:rPr>
              <w:t>根据《印刷工业污染防治可行技术指南》（HJ1089-2020）中D3.3.5 风量计算公式（L</w:t>
            </w:r>
            <w:r>
              <w:rPr>
                <w:rFonts w:hint="default" w:ascii="Times New Roman" w:hAnsi="Times New Roman" w:eastAsia="宋体" w:cs="Times New Roman"/>
                <w:vertAlign w:val="subscript"/>
              </w:rPr>
              <w:t>2</w:t>
            </w:r>
            <w:r>
              <w:rPr>
                <w:rFonts w:hint="default" w:ascii="Times New Roman" w:hAnsi="Times New Roman" w:eastAsia="宋体" w:cs="Times New Roman"/>
              </w:rPr>
              <w:t xml:space="preserve"> =V</w:t>
            </w:r>
            <w:r>
              <w:rPr>
                <w:rFonts w:hint="default" w:ascii="Times New Roman" w:hAnsi="Times New Roman" w:eastAsia="宋体" w:cs="Times New Roman"/>
                <w:vertAlign w:val="subscript"/>
              </w:rPr>
              <w:t>2</w:t>
            </w:r>
            <w:r>
              <w:rPr>
                <w:rFonts w:hint="default" w:ascii="Times New Roman" w:hAnsi="Times New Roman" w:eastAsia="宋体" w:cs="Times New Roman"/>
              </w:rPr>
              <w:t xml:space="preserve"> ×F</w:t>
            </w:r>
            <w:r>
              <w:rPr>
                <w:rFonts w:hint="default" w:ascii="Times New Roman" w:hAnsi="Times New Roman" w:eastAsia="宋体" w:cs="Times New Roman"/>
                <w:vertAlign w:val="subscript"/>
              </w:rPr>
              <w:t>2</w:t>
            </w:r>
            <w:r>
              <w:rPr>
                <w:rFonts w:hint="default" w:ascii="Times New Roman" w:hAnsi="Times New Roman" w:eastAsia="宋体" w:cs="Times New Roman"/>
              </w:rPr>
              <w:t xml:space="preserve"> ×3600），项目印刷区设置2个1m*2m的出入口以供员工及物料进出，故本项目V</w:t>
            </w:r>
            <w:r>
              <w:rPr>
                <w:rFonts w:hint="default" w:ascii="Times New Roman" w:hAnsi="Times New Roman" w:eastAsia="宋体" w:cs="Times New Roman"/>
                <w:vertAlign w:val="subscript"/>
              </w:rPr>
              <w:t>2</w:t>
            </w:r>
            <w:r>
              <w:rPr>
                <w:rFonts w:hint="default" w:ascii="Times New Roman" w:hAnsi="Times New Roman" w:eastAsia="宋体" w:cs="Times New Roman"/>
              </w:rPr>
              <w:t>取0.6m/s，F</w:t>
            </w:r>
            <w:r>
              <w:rPr>
                <w:rFonts w:hint="default" w:ascii="Times New Roman" w:hAnsi="Times New Roman" w:eastAsia="宋体" w:cs="Times New Roman"/>
                <w:vertAlign w:val="subscript"/>
              </w:rPr>
              <w:t>2</w:t>
            </w:r>
            <w:r>
              <w:rPr>
                <w:rFonts w:hint="default" w:ascii="Times New Roman" w:hAnsi="Times New Roman" w:eastAsia="宋体" w:cs="Times New Roman"/>
              </w:rPr>
              <w:t>取4m</w:t>
            </w:r>
            <w:r>
              <w:rPr>
                <w:rFonts w:hint="default" w:ascii="Times New Roman" w:hAnsi="Times New Roman" w:eastAsia="宋体" w:cs="Times New Roman"/>
                <w:vertAlign w:val="superscript"/>
              </w:rPr>
              <w:t>2</w:t>
            </w:r>
            <w:r>
              <w:rPr>
                <w:rFonts w:hint="default" w:ascii="Times New Roman" w:hAnsi="Times New Roman" w:eastAsia="宋体" w:cs="Times New Roman"/>
              </w:rPr>
              <w:t xml:space="preserve"> ，计算得出L2=8640m</w:t>
            </w:r>
            <w:r>
              <w:rPr>
                <w:rFonts w:hint="default" w:ascii="Times New Roman" w:hAnsi="Times New Roman" w:eastAsia="宋体" w:cs="Times New Roman"/>
                <w:vertAlign w:val="superscript"/>
              </w:rPr>
              <w:t>3</w:t>
            </w:r>
            <w:r>
              <w:rPr>
                <w:rFonts w:hint="default" w:ascii="Times New Roman" w:hAnsi="Times New Roman" w:eastAsia="宋体" w:cs="Times New Roman"/>
              </w:rPr>
              <w:t>/h，即本项目印刷区密闭抽风理论风量为8640m</w:t>
            </w:r>
            <w:r>
              <w:rPr>
                <w:rFonts w:hint="default" w:ascii="Times New Roman" w:hAnsi="Times New Roman" w:eastAsia="宋体" w:cs="Times New Roman"/>
                <w:vertAlign w:val="superscript"/>
              </w:rPr>
              <w:t>3</w:t>
            </w:r>
            <w:r>
              <w:rPr>
                <w:rFonts w:hint="default" w:ascii="Times New Roman" w:hAnsi="Times New Roman" w:eastAsia="宋体" w:cs="Times New Roman"/>
              </w:rPr>
              <w:t>/h。</w:t>
            </w:r>
          </w:p>
          <w:p>
            <w:pPr>
              <w:pStyle w:val="28"/>
              <w:rPr>
                <w:rFonts w:hint="default" w:ascii="Times New Roman" w:hAnsi="Times New Roman" w:eastAsia="宋体" w:cs="Times New Roman"/>
                <w:color w:val="auto"/>
              </w:rPr>
            </w:pPr>
            <w:r>
              <w:rPr>
                <w:rFonts w:hint="default" w:ascii="Times New Roman" w:hAnsi="Times New Roman" w:eastAsia="宋体" w:cs="Times New Roman"/>
              </w:rPr>
              <w:t>根据以上计算结果，本项目有机废气处理设计风量取值为10000m</w:t>
            </w:r>
            <w:r>
              <w:rPr>
                <w:rFonts w:hint="default" w:ascii="Times New Roman" w:hAnsi="Times New Roman" w:eastAsia="宋体" w:cs="Times New Roman"/>
                <w:vertAlign w:val="superscript"/>
              </w:rPr>
              <w:t>3</w:t>
            </w:r>
            <w:r>
              <w:rPr>
                <w:rFonts w:hint="default" w:ascii="Times New Roman" w:hAnsi="Times New Roman" w:eastAsia="宋体" w:cs="Times New Roman"/>
              </w:rPr>
              <w:t>/h&gt;8640m</w:t>
            </w:r>
            <w:r>
              <w:rPr>
                <w:rFonts w:hint="default" w:ascii="Times New Roman" w:hAnsi="Times New Roman" w:eastAsia="宋体" w:cs="Times New Roman"/>
                <w:vertAlign w:val="superscript"/>
              </w:rPr>
              <w:t>3</w:t>
            </w:r>
            <w:r>
              <w:rPr>
                <w:rFonts w:hint="default" w:ascii="Times New Roman" w:hAnsi="Times New Roman" w:eastAsia="宋体" w:cs="Times New Roman"/>
              </w:rPr>
              <w:t>/h，满足《印刷工业污染防治可行技术指南》（HJ1089-2020）的风量要求，考虑存在人员出入的情况，收集效率取值90%。</w:t>
            </w:r>
            <w:r>
              <w:rPr>
                <w:rFonts w:hint="default" w:ascii="Times New Roman" w:hAnsi="Times New Roman" w:eastAsia="宋体" w:cs="Times New Roman"/>
                <w:b/>
                <w:bCs/>
                <w:color w:val="auto"/>
              </w:rPr>
              <w:t>收集到的有机废气将引至一套“活性炭吸附装置”进行处理，其中活性炭吸附装置处理效率取70%，</w:t>
            </w:r>
            <w:r>
              <w:rPr>
                <w:rFonts w:hint="default" w:ascii="Times New Roman" w:hAnsi="Times New Roman" w:eastAsia="宋体" w:cs="Times New Roman"/>
                <w:color w:val="auto"/>
              </w:rPr>
              <w:t>经处理后的有机废气通过15m高P1排气筒高空排放。项目废气产排情况见下表。</w:t>
            </w:r>
          </w:p>
          <w:p>
            <w:pPr>
              <w:pStyle w:val="46"/>
              <w:rPr>
                <w:rFonts w:hint="default" w:ascii="Times New Roman" w:hAnsi="Times New Roman" w:eastAsia="宋体" w:cs="Times New Roman"/>
                <w:b/>
                <w:bCs/>
                <w:color w:val="auto"/>
                <w:szCs w:val="20"/>
              </w:rPr>
            </w:pPr>
            <w:r>
              <w:rPr>
                <w:rFonts w:hint="default" w:ascii="Times New Roman" w:hAnsi="Times New Roman" w:eastAsia="宋体" w:cs="Times New Roman"/>
                <w:b/>
                <w:bCs/>
                <w:color w:val="auto"/>
                <w:szCs w:val="20"/>
              </w:rPr>
              <w:t>表5-4 项目有机废气产排情况一览表</w:t>
            </w:r>
          </w:p>
          <w:tbl>
            <w:tblPr>
              <w:tblStyle w:val="23"/>
              <w:tblW w:w="903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1305"/>
              <w:gridCol w:w="1153"/>
              <w:gridCol w:w="1211"/>
              <w:gridCol w:w="1426"/>
              <w:gridCol w:w="1173"/>
              <w:gridCol w:w="1270"/>
              <w:gridCol w:w="1496"/>
            </w:tblGrid>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jc w:val="center"/>
              </w:trPr>
              <w:tc>
                <w:tcPr>
                  <w:tcW w:w="1305" w:type="dxa"/>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污染物名称</w:t>
                  </w:r>
                </w:p>
              </w:tc>
              <w:tc>
                <w:tcPr>
                  <w:tcW w:w="1153" w:type="dxa"/>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有组织收集量t/a</w:t>
                  </w:r>
                </w:p>
              </w:tc>
              <w:tc>
                <w:tcPr>
                  <w:tcW w:w="1211" w:type="dxa"/>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有组织收集速率 kg/h</w:t>
                  </w:r>
                </w:p>
              </w:tc>
              <w:tc>
                <w:tcPr>
                  <w:tcW w:w="1426" w:type="dxa"/>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有组织收集浓度mg/m</w:t>
                  </w:r>
                  <w:r>
                    <w:rPr>
                      <w:rFonts w:hint="default" w:ascii="Times New Roman" w:hAnsi="Times New Roman" w:eastAsia="宋体" w:cs="Times New Roman"/>
                      <w:b/>
                      <w:bCs/>
                      <w:vertAlign w:val="superscript"/>
                    </w:rPr>
                    <w:t>3</w:t>
                  </w:r>
                </w:p>
              </w:tc>
              <w:tc>
                <w:tcPr>
                  <w:tcW w:w="1173" w:type="dxa"/>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有组织排放量t/a</w:t>
                  </w:r>
                </w:p>
              </w:tc>
              <w:tc>
                <w:tcPr>
                  <w:tcW w:w="1270" w:type="dxa"/>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有组织排放速率 kg/h</w:t>
                  </w:r>
                </w:p>
              </w:tc>
              <w:tc>
                <w:tcPr>
                  <w:tcW w:w="1496" w:type="dxa"/>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有组织排放浓度mg/m</w:t>
                  </w:r>
                  <w:r>
                    <w:rPr>
                      <w:rFonts w:hint="default" w:ascii="Times New Roman" w:hAnsi="Times New Roman" w:eastAsia="宋体" w:cs="Times New Roman"/>
                      <w:b/>
                      <w:bCs/>
                      <w:vertAlign w:val="superscript"/>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jc w:val="center"/>
              </w:trPr>
              <w:tc>
                <w:tcPr>
                  <w:tcW w:w="1305" w:type="dxa"/>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印刷废气</w:t>
                  </w:r>
                </w:p>
              </w:tc>
              <w:tc>
                <w:tcPr>
                  <w:tcW w:w="1153" w:type="dxa"/>
                  <w:vAlign w:val="center"/>
                </w:tcPr>
                <w:p>
                  <w:pPr>
                    <w:pStyle w:val="46"/>
                    <w:rPr>
                      <w:rFonts w:hint="default" w:ascii="Times New Roman" w:hAnsi="Times New Roman" w:eastAsia="宋体" w:cs="Times New Roman"/>
                    </w:rPr>
                  </w:pPr>
                  <w:r>
                    <w:rPr>
                      <w:rFonts w:hint="default" w:ascii="Times New Roman" w:hAnsi="Times New Roman" w:eastAsia="宋体" w:cs="Times New Roman"/>
                    </w:rPr>
                    <w:t>0.011</w:t>
                  </w:r>
                </w:p>
              </w:tc>
              <w:tc>
                <w:tcPr>
                  <w:tcW w:w="1211" w:type="dxa"/>
                  <w:vAlign w:val="center"/>
                </w:tcPr>
                <w:p>
                  <w:pPr>
                    <w:pStyle w:val="46"/>
                    <w:rPr>
                      <w:rFonts w:hint="default" w:ascii="Times New Roman" w:hAnsi="Times New Roman" w:eastAsia="宋体" w:cs="Times New Roman"/>
                    </w:rPr>
                  </w:pPr>
                  <w:r>
                    <w:rPr>
                      <w:rFonts w:hint="default" w:ascii="Times New Roman" w:hAnsi="Times New Roman" w:eastAsia="宋体" w:cs="Times New Roman"/>
                    </w:rPr>
                    <w:t>0.005</w:t>
                  </w:r>
                </w:p>
              </w:tc>
              <w:tc>
                <w:tcPr>
                  <w:tcW w:w="1426" w:type="dxa"/>
                  <w:vAlign w:val="center"/>
                </w:tcPr>
                <w:p>
                  <w:pPr>
                    <w:pStyle w:val="46"/>
                    <w:rPr>
                      <w:rFonts w:hint="default" w:ascii="Times New Roman" w:hAnsi="Times New Roman" w:eastAsia="宋体" w:cs="Times New Roman"/>
                    </w:rPr>
                  </w:pPr>
                  <w:r>
                    <w:rPr>
                      <w:rFonts w:hint="default" w:ascii="Times New Roman" w:hAnsi="Times New Roman" w:eastAsia="宋体" w:cs="Times New Roman"/>
                    </w:rPr>
                    <w:t>0.45</w:t>
                  </w:r>
                </w:p>
              </w:tc>
              <w:tc>
                <w:tcPr>
                  <w:tcW w:w="1173" w:type="dxa"/>
                  <w:vMerge w:val="restart"/>
                  <w:vAlign w:val="center"/>
                </w:tcPr>
                <w:p>
                  <w:pPr>
                    <w:pStyle w:val="46"/>
                    <w:rPr>
                      <w:rFonts w:hint="default" w:ascii="Times New Roman" w:hAnsi="Times New Roman" w:eastAsia="宋体" w:cs="Times New Roman"/>
                    </w:rPr>
                  </w:pPr>
                  <w:r>
                    <w:rPr>
                      <w:rFonts w:hint="default" w:ascii="Times New Roman" w:hAnsi="Times New Roman" w:eastAsia="宋体" w:cs="Times New Roman"/>
                    </w:rPr>
                    <w:t>0.006</w:t>
                  </w:r>
                </w:p>
              </w:tc>
              <w:tc>
                <w:tcPr>
                  <w:tcW w:w="1270" w:type="dxa"/>
                  <w:vMerge w:val="restart"/>
                  <w:vAlign w:val="center"/>
                </w:tcPr>
                <w:p>
                  <w:pPr>
                    <w:pStyle w:val="46"/>
                    <w:rPr>
                      <w:rFonts w:hint="default" w:ascii="Times New Roman" w:hAnsi="Times New Roman" w:eastAsia="宋体" w:cs="Times New Roman"/>
                    </w:rPr>
                  </w:pPr>
                  <w:r>
                    <w:rPr>
                      <w:rFonts w:hint="default" w:ascii="Times New Roman" w:hAnsi="Times New Roman" w:eastAsia="宋体" w:cs="Times New Roman"/>
                    </w:rPr>
                    <w:t>0.002</w:t>
                  </w:r>
                </w:p>
              </w:tc>
              <w:tc>
                <w:tcPr>
                  <w:tcW w:w="1496" w:type="dxa"/>
                  <w:vMerge w:val="restart"/>
                  <w:vAlign w:val="center"/>
                </w:tcPr>
                <w:p>
                  <w:pPr>
                    <w:pStyle w:val="46"/>
                    <w:rPr>
                      <w:rFonts w:hint="default" w:ascii="Times New Roman" w:hAnsi="Times New Roman" w:eastAsia="宋体" w:cs="Times New Roman"/>
                    </w:rPr>
                  </w:pPr>
                  <w:r>
                    <w:rPr>
                      <w:rFonts w:hint="default" w:ascii="Times New Roman" w:hAnsi="Times New Roman" w:eastAsia="宋体" w:cs="Times New Roman"/>
                    </w:rPr>
                    <w:t>0.248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jc w:val="center"/>
              </w:trPr>
              <w:tc>
                <w:tcPr>
                  <w:tcW w:w="1305" w:type="dxa"/>
                  <w:vAlign w:val="center"/>
                </w:tcPr>
                <w:p>
                  <w:pPr>
                    <w:pStyle w:val="46"/>
                    <w:rPr>
                      <w:rFonts w:hint="default" w:ascii="Times New Roman" w:hAnsi="Times New Roman" w:eastAsia="宋体" w:cs="Times New Roman"/>
                    </w:rPr>
                  </w:pPr>
                  <w:r>
                    <w:rPr>
                      <w:rFonts w:hint="default" w:ascii="Times New Roman" w:hAnsi="Times New Roman" w:eastAsia="宋体" w:cs="Times New Roman"/>
                    </w:rPr>
                    <w:t>清洗废气</w:t>
                  </w:r>
                </w:p>
              </w:tc>
              <w:tc>
                <w:tcPr>
                  <w:tcW w:w="1153" w:type="dxa"/>
                  <w:vAlign w:val="center"/>
                </w:tcPr>
                <w:p>
                  <w:pPr>
                    <w:pStyle w:val="46"/>
                    <w:rPr>
                      <w:rFonts w:hint="default" w:ascii="Times New Roman" w:hAnsi="Times New Roman" w:eastAsia="宋体" w:cs="Times New Roman"/>
                    </w:rPr>
                  </w:pPr>
                  <w:r>
                    <w:rPr>
                      <w:rFonts w:hint="default" w:ascii="Times New Roman" w:hAnsi="Times New Roman" w:eastAsia="宋体" w:cs="Times New Roman"/>
                    </w:rPr>
                    <w:t>0.009</w:t>
                  </w:r>
                </w:p>
              </w:tc>
              <w:tc>
                <w:tcPr>
                  <w:tcW w:w="1211" w:type="dxa"/>
                  <w:vAlign w:val="center"/>
                </w:tcPr>
                <w:p>
                  <w:pPr>
                    <w:pStyle w:val="46"/>
                    <w:rPr>
                      <w:rFonts w:hint="default" w:ascii="Times New Roman" w:hAnsi="Times New Roman" w:eastAsia="宋体" w:cs="Times New Roman"/>
                    </w:rPr>
                  </w:pPr>
                  <w:r>
                    <w:rPr>
                      <w:rFonts w:hint="default" w:ascii="Times New Roman" w:hAnsi="Times New Roman" w:eastAsia="宋体" w:cs="Times New Roman"/>
                    </w:rPr>
                    <w:t>0.03</w:t>
                  </w:r>
                </w:p>
              </w:tc>
              <w:tc>
                <w:tcPr>
                  <w:tcW w:w="1426" w:type="dxa"/>
                  <w:vAlign w:val="center"/>
                </w:tcPr>
                <w:p>
                  <w:pPr>
                    <w:pStyle w:val="46"/>
                    <w:rPr>
                      <w:rFonts w:hint="default" w:ascii="Times New Roman" w:hAnsi="Times New Roman" w:eastAsia="宋体" w:cs="Times New Roman"/>
                    </w:rPr>
                  </w:pPr>
                  <w:r>
                    <w:rPr>
                      <w:rFonts w:hint="default" w:ascii="Times New Roman" w:hAnsi="Times New Roman" w:eastAsia="宋体" w:cs="Times New Roman"/>
                    </w:rPr>
                    <w:t>3.00</w:t>
                  </w:r>
                </w:p>
              </w:tc>
              <w:tc>
                <w:tcPr>
                  <w:tcW w:w="1173" w:type="dxa"/>
                  <w:vMerge w:val="continue"/>
                  <w:vAlign w:val="center"/>
                </w:tcPr>
                <w:p>
                  <w:pPr>
                    <w:pStyle w:val="46"/>
                    <w:rPr>
                      <w:rFonts w:hint="default" w:ascii="Times New Roman" w:hAnsi="Times New Roman" w:eastAsia="宋体" w:cs="Times New Roman"/>
                    </w:rPr>
                  </w:pPr>
                </w:p>
              </w:tc>
              <w:tc>
                <w:tcPr>
                  <w:tcW w:w="1270" w:type="dxa"/>
                  <w:vMerge w:val="continue"/>
                  <w:vAlign w:val="center"/>
                </w:tcPr>
                <w:p>
                  <w:pPr>
                    <w:pStyle w:val="46"/>
                    <w:rPr>
                      <w:rFonts w:hint="default" w:ascii="Times New Roman" w:hAnsi="Times New Roman" w:eastAsia="宋体" w:cs="Times New Roman"/>
                    </w:rPr>
                  </w:pPr>
                </w:p>
              </w:tc>
              <w:tc>
                <w:tcPr>
                  <w:tcW w:w="1496" w:type="dxa"/>
                  <w:vMerge w:val="continue"/>
                  <w:vAlign w:val="center"/>
                </w:tcPr>
                <w:p>
                  <w:pPr>
                    <w:pStyle w:val="46"/>
                    <w:rPr>
                      <w:rFonts w:hint="default" w:ascii="Times New Roman" w:hAnsi="Times New Roman" w:eastAsia="宋体" w:cs="Times New Roman"/>
                    </w:rPr>
                  </w:pPr>
                </w:p>
              </w:tc>
            </w:tr>
          </w:tbl>
          <w:p>
            <w:pPr>
              <w:pStyle w:val="28"/>
              <w:numPr>
                <w:ilvl w:val="0"/>
                <w:numId w:val="17"/>
              </w:numPr>
              <w:ind w:firstLine="482"/>
              <w:rPr>
                <w:rFonts w:hint="default" w:ascii="Times New Roman" w:hAnsi="Times New Roman" w:eastAsia="宋体" w:cs="Times New Roman"/>
                <w:b/>
                <w:color w:val="auto"/>
              </w:rPr>
            </w:pPr>
            <w:r>
              <w:rPr>
                <w:rFonts w:hint="default" w:ascii="Times New Roman" w:hAnsi="Times New Roman" w:eastAsia="宋体" w:cs="Times New Roman"/>
                <w:b/>
                <w:color w:val="auto"/>
              </w:rPr>
              <w:t>VOCs物料平衡</w:t>
            </w:r>
          </w:p>
          <w:p>
            <w:pPr>
              <w:ind w:firstLine="480"/>
              <w:rPr>
                <w:rFonts w:hint="default" w:ascii="Times New Roman" w:hAnsi="Times New Roman" w:eastAsia="宋体" w:cs="Times New Roman"/>
              </w:rPr>
            </w:pPr>
            <w:r>
              <w:rPr>
                <w:rFonts w:hint="default" w:ascii="Times New Roman" w:hAnsi="Times New Roman" w:eastAsia="宋体" w:cs="Times New Roman"/>
              </w:rPr>
              <w:t>本项目含VOCs 的原辅料为水性油墨（VOCs含量3%）、免酒精润版液（VOCs含量5%）和清洗剂（VOCs含量10%），项目总VOCs的物料平衡图如下所示。</w:t>
            </w:r>
          </w:p>
          <w:p>
            <w:pPr>
              <w:pStyle w:val="28"/>
              <w:jc w:val="center"/>
              <w:rPr>
                <w:rFonts w:hint="default" w:ascii="Times New Roman" w:hAnsi="Times New Roman" w:eastAsia="宋体" w:cs="Times New Roman"/>
              </w:rPr>
            </w:pPr>
            <w:r>
              <w:rPr>
                <w:rFonts w:hint="default" w:ascii="Times New Roman" w:hAnsi="Times New Roman" w:eastAsia="宋体" w:cs="Times New Roman"/>
                <w:color w:val="auto"/>
              </w:rPr>
              <w:object>
                <v:shape id="_x0000_i1027" o:spt="75" type="#_x0000_t75" style="height:214pt;width:346.15pt;" o:ole="t" filled="f" o:preferrelative="t" stroked="f" coordsize="21600,21600">
                  <v:path/>
                  <v:fill on="f" focussize="0,0"/>
                  <v:stroke on="f" joinstyle="miter"/>
                  <v:imagedata r:id="rId21" o:title=""/>
                  <o:lock v:ext="edit" aspectratio="f"/>
                  <w10:wrap type="none"/>
                  <w10:anchorlock/>
                </v:shape>
                <o:OLEObject Type="Embed" ProgID="Visio.Drawing.11" ShapeID="_x0000_i1027" DrawAspect="Content" ObjectID="_1468075727" r:id="rId20">
                  <o:LockedField>false</o:LockedField>
                </o:OLEObject>
              </w:object>
            </w:r>
          </w:p>
          <w:p>
            <w:pPr>
              <w:pStyle w:val="45"/>
              <w:rPr>
                <w:rFonts w:hint="default" w:ascii="Times New Roman" w:hAnsi="Times New Roman" w:eastAsia="宋体" w:cs="Times New Roman"/>
                <w:b/>
                <w:bCs/>
              </w:rPr>
            </w:pPr>
            <w:r>
              <w:rPr>
                <w:rFonts w:hint="default" w:ascii="Times New Roman" w:hAnsi="Times New Roman" w:eastAsia="宋体" w:cs="Times New Roman"/>
                <w:b/>
                <w:bCs/>
              </w:rPr>
              <w:t>图5-2 总VOCs 物料平衡图</w:t>
            </w:r>
          </w:p>
          <w:p>
            <w:pPr>
              <w:pStyle w:val="28"/>
              <w:rPr>
                <w:rFonts w:hint="default" w:ascii="Times New Roman" w:hAnsi="Times New Roman" w:eastAsia="宋体" w:cs="Times New Roman"/>
              </w:rPr>
            </w:pPr>
            <w:r>
              <w:rPr>
                <w:rFonts w:hint="default" w:ascii="Times New Roman" w:hAnsi="Times New Roman" w:eastAsia="宋体" w:cs="Times New Roman"/>
              </w:rPr>
              <w:t>根据《污染源源强核算技术指南 准则》（HJ884-2018），项目各工段废气污染源源强核算结果及相关参数见下表：</w:t>
            </w:r>
          </w:p>
          <w:p>
            <w:pPr>
              <w:ind w:firstLine="482"/>
              <w:jc w:val="center"/>
              <w:rPr>
                <w:rFonts w:hint="default" w:ascii="Times New Roman" w:hAnsi="Times New Roman" w:eastAsia="宋体" w:cs="Times New Roman"/>
                <w:b/>
                <w:bCs/>
              </w:rPr>
            </w:pPr>
            <w:r>
              <w:rPr>
                <w:rFonts w:hint="default" w:ascii="Times New Roman" w:hAnsi="Times New Roman" w:eastAsia="宋体" w:cs="Times New Roman"/>
                <w:b/>
                <w:bCs/>
              </w:rPr>
              <w:t>表5-5 废气污染源源强核算结果及相关参数一览表</w:t>
            </w:r>
          </w:p>
          <w:tbl>
            <w:tblPr>
              <w:tblStyle w:val="23"/>
              <w:tblW w:w="9034" w:type="dxa"/>
              <w:tblInd w:w="0" w:type="dxa"/>
              <w:tblLayout w:type="autofit"/>
              <w:tblCellMar>
                <w:top w:w="0" w:type="dxa"/>
                <w:left w:w="0" w:type="dxa"/>
                <w:bottom w:w="0" w:type="dxa"/>
                <w:right w:w="0" w:type="dxa"/>
              </w:tblCellMar>
            </w:tblPr>
            <w:tblGrid>
              <w:gridCol w:w="1453"/>
              <w:gridCol w:w="2226"/>
              <w:gridCol w:w="1158"/>
              <w:gridCol w:w="1491"/>
              <w:gridCol w:w="1290"/>
              <w:gridCol w:w="1416"/>
            </w:tblGrid>
            <w:tr>
              <w:tblPrEx>
                <w:tblCellMar>
                  <w:top w:w="0" w:type="dxa"/>
                  <w:left w:w="0" w:type="dxa"/>
                  <w:bottom w:w="0" w:type="dxa"/>
                  <w:right w:w="0" w:type="dxa"/>
                </w:tblCellMar>
              </w:tblPrEx>
              <w:trPr>
                <w:trHeight w:val="525" w:hRule="atLeast"/>
              </w:trPr>
              <w:tc>
                <w:tcPr>
                  <w:tcW w:w="2036"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工序</w:t>
                  </w:r>
                </w:p>
              </w:tc>
              <w:tc>
                <w:tcPr>
                  <w:tcW w:w="641" w:type="pct"/>
                  <w:tcBorders>
                    <w:top w:val="single" w:color="000000" w:sz="8" w:space="0"/>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印刷工序</w:t>
                  </w:r>
                </w:p>
              </w:tc>
              <w:tc>
                <w:tcPr>
                  <w:tcW w:w="825" w:type="pct"/>
                  <w:tcBorders>
                    <w:top w:val="single" w:color="000000" w:sz="8" w:space="0"/>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印刷机清洗</w:t>
                  </w:r>
                </w:p>
              </w:tc>
              <w:tc>
                <w:tcPr>
                  <w:tcW w:w="714" w:type="pct"/>
                  <w:tcBorders>
                    <w:top w:val="single" w:color="000000" w:sz="8" w:space="0"/>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印刷工序</w:t>
                  </w:r>
                </w:p>
              </w:tc>
              <w:tc>
                <w:tcPr>
                  <w:tcW w:w="782" w:type="pct"/>
                  <w:tcBorders>
                    <w:top w:val="single" w:color="000000" w:sz="8" w:space="0"/>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印刷机清洗</w:t>
                  </w:r>
                </w:p>
              </w:tc>
            </w:tr>
            <w:tr>
              <w:tblPrEx>
                <w:tblCellMar>
                  <w:top w:w="0" w:type="dxa"/>
                  <w:left w:w="0" w:type="dxa"/>
                  <w:bottom w:w="0" w:type="dxa"/>
                  <w:right w:w="0" w:type="dxa"/>
                </w:tblCellMar>
              </w:tblPrEx>
              <w:trPr>
                <w:trHeight w:val="285" w:hRule="atLeast"/>
              </w:trPr>
              <w:tc>
                <w:tcPr>
                  <w:tcW w:w="2036" w:type="pct"/>
                  <w:gridSpan w:val="2"/>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装置</w:t>
                  </w:r>
                </w:p>
              </w:tc>
              <w:tc>
                <w:tcPr>
                  <w:tcW w:w="1466" w:type="pct"/>
                  <w:gridSpan w:val="2"/>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印刷机</w:t>
                  </w:r>
                </w:p>
              </w:tc>
              <w:tc>
                <w:tcPr>
                  <w:tcW w:w="1497" w:type="pct"/>
                  <w:gridSpan w:val="2"/>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印刷机</w:t>
                  </w:r>
                </w:p>
              </w:tc>
            </w:tr>
            <w:tr>
              <w:tblPrEx>
                <w:tblCellMar>
                  <w:top w:w="0" w:type="dxa"/>
                  <w:left w:w="0" w:type="dxa"/>
                  <w:bottom w:w="0" w:type="dxa"/>
                  <w:right w:w="0" w:type="dxa"/>
                </w:tblCellMar>
              </w:tblPrEx>
              <w:trPr>
                <w:trHeight w:val="285" w:hRule="atLeast"/>
              </w:trPr>
              <w:tc>
                <w:tcPr>
                  <w:tcW w:w="2036" w:type="pct"/>
                  <w:gridSpan w:val="2"/>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污染源</w:t>
                  </w:r>
                </w:p>
              </w:tc>
              <w:tc>
                <w:tcPr>
                  <w:tcW w:w="1466" w:type="pct"/>
                  <w:gridSpan w:val="2"/>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印刷区</w:t>
                  </w:r>
                </w:p>
              </w:tc>
              <w:tc>
                <w:tcPr>
                  <w:tcW w:w="1497" w:type="pct"/>
                  <w:gridSpan w:val="2"/>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P1排气筒</w:t>
                  </w:r>
                </w:p>
              </w:tc>
            </w:tr>
            <w:tr>
              <w:tblPrEx>
                <w:tblCellMar>
                  <w:top w:w="0" w:type="dxa"/>
                  <w:left w:w="0" w:type="dxa"/>
                  <w:bottom w:w="0" w:type="dxa"/>
                  <w:right w:w="0" w:type="dxa"/>
                </w:tblCellMar>
              </w:tblPrEx>
              <w:trPr>
                <w:trHeight w:val="285" w:hRule="atLeast"/>
              </w:trPr>
              <w:tc>
                <w:tcPr>
                  <w:tcW w:w="2036" w:type="pct"/>
                  <w:gridSpan w:val="2"/>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污染物</w:t>
                  </w:r>
                </w:p>
              </w:tc>
              <w:tc>
                <w:tcPr>
                  <w:tcW w:w="1466" w:type="pct"/>
                  <w:gridSpan w:val="2"/>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VOCs</w:t>
                  </w:r>
                </w:p>
              </w:tc>
              <w:tc>
                <w:tcPr>
                  <w:tcW w:w="1497" w:type="pct"/>
                  <w:gridSpan w:val="2"/>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VOCs</w:t>
                  </w:r>
                </w:p>
              </w:tc>
            </w:tr>
            <w:tr>
              <w:tblPrEx>
                <w:tblCellMar>
                  <w:top w:w="0" w:type="dxa"/>
                  <w:left w:w="0" w:type="dxa"/>
                  <w:bottom w:w="0" w:type="dxa"/>
                  <w:right w:w="0" w:type="dxa"/>
                </w:tblCellMar>
              </w:tblPrEx>
              <w:trPr>
                <w:trHeight w:val="270" w:hRule="atLeast"/>
              </w:trPr>
              <w:tc>
                <w:tcPr>
                  <w:tcW w:w="804" w:type="pct"/>
                  <w:vMerge w:val="restart"/>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污染物产生</w:t>
                  </w:r>
                </w:p>
              </w:tc>
              <w:tc>
                <w:tcPr>
                  <w:tcW w:w="1231"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核算方法</w:t>
                  </w:r>
                </w:p>
              </w:tc>
              <w:tc>
                <w:tcPr>
                  <w:tcW w:w="1466" w:type="pct"/>
                  <w:gridSpan w:val="2"/>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物料衡算法</w:t>
                  </w:r>
                </w:p>
              </w:tc>
              <w:tc>
                <w:tcPr>
                  <w:tcW w:w="1497" w:type="pct"/>
                  <w:gridSpan w:val="2"/>
                  <w:tcBorders>
                    <w:top w:val="single" w:color="000000" w:sz="8" w:space="0"/>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物料衡算法</w:t>
                  </w:r>
                </w:p>
              </w:tc>
            </w:tr>
            <w:tr>
              <w:tblPrEx>
                <w:tblCellMar>
                  <w:top w:w="0" w:type="dxa"/>
                  <w:left w:w="0" w:type="dxa"/>
                  <w:bottom w:w="0" w:type="dxa"/>
                  <w:right w:w="0" w:type="dxa"/>
                </w:tblCellMar>
              </w:tblPrEx>
              <w:trPr>
                <w:trHeight w:val="540" w:hRule="atLeast"/>
              </w:trPr>
              <w:tc>
                <w:tcPr>
                  <w:tcW w:w="804" w:type="pct"/>
                  <w:vMerge w:val="continue"/>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p>
              </w:tc>
              <w:tc>
                <w:tcPr>
                  <w:tcW w:w="1231"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废气产生量 m</w:t>
                  </w:r>
                  <w:r>
                    <w:rPr>
                      <w:rFonts w:hint="default" w:ascii="Times New Roman" w:hAnsi="Times New Roman" w:eastAsia="宋体" w:cs="Times New Roman"/>
                      <w:b/>
                      <w:bCs/>
                      <w:vertAlign w:val="superscript"/>
                    </w:rPr>
                    <w:t>3</w:t>
                  </w:r>
                  <w:r>
                    <w:rPr>
                      <w:rFonts w:hint="default" w:ascii="Times New Roman" w:hAnsi="Times New Roman" w:eastAsia="宋体" w:cs="Times New Roman"/>
                      <w:b/>
                      <w:bCs/>
                    </w:rPr>
                    <w:t>/h</w:t>
                  </w:r>
                </w:p>
              </w:tc>
              <w:tc>
                <w:tcPr>
                  <w:tcW w:w="641"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w:t>
                  </w:r>
                </w:p>
              </w:tc>
              <w:tc>
                <w:tcPr>
                  <w:tcW w:w="825"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w:t>
                  </w:r>
                </w:p>
              </w:tc>
              <w:tc>
                <w:tcPr>
                  <w:tcW w:w="1497" w:type="pct"/>
                  <w:gridSpan w:val="2"/>
                  <w:tcBorders>
                    <w:top w:val="single" w:color="000000" w:sz="8" w:space="0"/>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10000</w:t>
                  </w:r>
                </w:p>
              </w:tc>
            </w:tr>
            <w:tr>
              <w:tblPrEx>
                <w:tblCellMar>
                  <w:top w:w="0" w:type="dxa"/>
                  <w:left w:w="0" w:type="dxa"/>
                  <w:bottom w:w="0" w:type="dxa"/>
                  <w:right w:w="0" w:type="dxa"/>
                </w:tblCellMar>
              </w:tblPrEx>
              <w:trPr>
                <w:trHeight w:val="540" w:hRule="atLeast"/>
              </w:trPr>
              <w:tc>
                <w:tcPr>
                  <w:tcW w:w="804" w:type="pct"/>
                  <w:vMerge w:val="continue"/>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p>
              </w:tc>
              <w:tc>
                <w:tcPr>
                  <w:tcW w:w="1231"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产生浓度 mg/m</w:t>
                  </w:r>
                  <w:r>
                    <w:rPr>
                      <w:rFonts w:hint="default" w:ascii="Times New Roman" w:hAnsi="Times New Roman" w:eastAsia="宋体" w:cs="Times New Roman"/>
                      <w:b/>
                      <w:bCs/>
                      <w:vertAlign w:val="superscript"/>
                    </w:rPr>
                    <w:t>3</w:t>
                  </w:r>
                </w:p>
              </w:tc>
              <w:tc>
                <w:tcPr>
                  <w:tcW w:w="641"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w:t>
                  </w:r>
                </w:p>
              </w:tc>
              <w:tc>
                <w:tcPr>
                  <w:tcW w:w="825"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w:t>
                  </w:r>
                </w:p>
              </w:tc>
              <w:tc>
                <w:tcPr>
                  <w:tcW w:w="714"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0.45</w:t>
                  </w:r>
                </w:p>
              </w:tc>
              <w:tc>
                <w:tcPr>
                  <w:tcW w:w="782" w:type="pct"/>
                  <w:tcBorders>
                    <w:top w:val="single" w:color="000000" w:sz="8" w:space="0"/>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3</w:t>
                  </w:r>
                </w:p>
              </w:tc>
            </w:tr>
            <w:tr>
              <w:tblPrEx>
                <w:tblCellMar>
                  <w:top w:w="0" w:type="dxa"/>
                  <w:left w:w="0" w:type="dxa"/>
                  <w:bottom w:w="0" w:type="dxa"/>
                  <w:right w:w="0" w:type="dxa"/>
                </w:tblCellMar>
              </w:tblPrEx>
              <w:trPr>
                <w:trHeight w:val="540" w:hRule="atLeast"/>
              </w:trPr>
              <w:tc>
                <w:tcPr>
                  <w:tcW w:w="804" w:type="pct"/>
                  <w:vMerge w:val="continue"/>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p>
              </w:tc>
              <w:tc>
                <w:tcPr>
                  <w:tcW w:w="1231"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产生速率 kg/h</w:t>
                  </w:r>
                </w:p>
              </w:tc>
              <w:tc>
                <w:tcPr>
                  <w:tcW w:w="641"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w:t>
                  </w:r>
                </w:p>
              </w:tc>
              <w:tc>
                <w:tcPr>
                  <w:tcW w:w="825"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w:t>
                  </w:r>
                </w:p>
              </w:tc>
              <w:tc>
                <w:tcPr>
                  <w:tcW w:w="714"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0.005</w:t>
                  </w:r>
                </w:p>
              </w:tc>
              <w:tc>
                <w:tcPr>
                  <w:tcW w:w="782"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0.03</w:t>
                  </w:r>
                </w:p>
              </w:tc>
            </w:tr>
            <w:tr>
              <w:tblPrEx>
                <w:tblCellMar>
                  <w:top w:w="0" w:type="dxa"/>
                  <w:left w:w="0" w:type="dxa"/>
                  <w:bottom w:w="0" w:type="dxa"/>
                  <w:right w:w="0" w:type="dxa"/>
                </w:tblCellMar>
              </w:tblPrEx>
              <w:trPr>
                <w:trHeight w:val="285" w:hRule="atLeast"/>
              </w:trPr>
              <w:tc>
                <w:tcPr>
                  <w:tcW w:w="804" w:type="pct"/>
                  <w:vMerge w:val="continue"/>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p>
              </w:tc>
              <w:tc>
                <w:tcPr>
                  <w:tcW w:w="1231"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产生量 t/a</w:t>
                  </w:r>
                </w:p>
              </w:tc>
              <w:tc>
                <w:tcPr>
                  <w:tcW w:w="641"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0.0</w:t>
                  </w:r>
                  <w:r>
                    <w:rPr>
                      <w:rFonts w:hint="default" w:ascii="Times New Roman" w:hAnsi="Times New Roman" w:eastAsia="宋体" w:cs="Times New Roman"/>
                      <w:lang w:val="en-US" w:eastAsia="zh-CN"/>
                    </w:rPr>
                    <w:t>0</w:t>
                  </w:r>
                  <w:r>
                    <w:rPr>
                      <w:rFonts w:hint="default" w:ascii="Times New Roman" w:hAnsi="Times New Roman" w:eastAsia="宋体" w:cs="Times New Roman"/>
                    </w:rPr>
                    <w:t>1</w:t>
                  </w:r>
                </w:p>
              </w:tc>
              <w:tc>
                <w:tcPr>
                  <w:tcW w:w="825"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0.0</w:t>
                  </w:r>
                  <w:r>
                    <w:rPr>
                      <w:rFonts w:hint="default" w:ascii="Times New Roman" w:hAnsi="Times New Roman" w:eastAsia="宋体" w:cs="Times New Roman"/>
                      <w:lang w:val="en-US" w:eastAsia="zh-CN"/>
                    </w:rPr>
                    <w:t>0</w:t>
                  </w:r>
                  <w:r>
                    <w:rPr>
                      <w:rFonts w:hint="default" w:ascii="Times New Roman" w:hAnsi="Times New Roman" w:eastAsia="宋体" w:cs="Times New Roman"/>
                    </w:rPr>
                    <w:t>1</w:t>
                  </w:r>
                </w:p>
              </w:tc>
              <w:tc>
                <w:tcPr>
                  <w:tcW w:w="714"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0.011</w:t>
                  </w:r>
                </w:p>
              </w:tc>
              <w:tc>
                <w:tcPr>
                  <w:tcW w:w="782"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0.009</w:t>
                  </w:r>
                </w:p>
              </w:tc>
            </w:tr>
            <w:tr>
              <w:tblPrEx>
                <w:tblCellMar>
                  <w:top w:w="0" w:type="dxa"/>
                  <w:left w:w="0" w:type="dxa"/>
                  <w:bottom w:w="0" w:type="dxa"/>
                  <w:right w:w="0" w:type="dxa"/>
                </w:tblCellMar>
              </w:tblPrEx>
              <w:trPr>
                <w:trHeight w:val="270" w:hRule="atLeast"/>
              </w:trPr>
              <w:tc>
                <w:tcPr>
                  <w:tcW w:w="804" w:type="pct"/>
                  <w:vMerge w:val="restart"/>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治理措施</w:t>
                  </w:r>
                </w:p>
              </w:tc>
              <w:tc>
                <w:tcPr>
                  <w:tcW w:w="1231"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工艺</w:t>
                  </w:r>
                </w:p>
              </w:tc>
              <w:tc>
                <w:tcPr>
                  <w:tcW w:w="1466" w:type="pct"/>
                  <w:gridSpan w:val="2"/>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车间通风</w:t>
                  </w:r>
                </w:p>
              </w:tc>
              <w:tc>
                <w:tcPr>
                  <w:tcW w:w="1497" w:type="pct"/>
                  <w:gridSpan w:val="2"/>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活性炭吸附</w:t>
                  </w:r>
                </w:p>
              </w:tc>
            </w:tr>
            <w:tr>
              <w:tblPrEx>
                <w:tblCellMar>
                  <w:top w:w="0" w:type="dxa"/>
                  <w:left w:w="0" w:type="dxa"/>
                  <w:bottom w:w="0" w:type="dxa"/>
                  <w:right w:w="0" w:type="dxa"/>
                </w:tblCellMar>
              </w:tblPrEx>
              <w:trPr>
                <w:trHeight w:val="285" w:hRule="atLeast"/>
              </w:trPr>
              <w:tc>
                <w:tcPr>
                  <w:tcW w:w="804" w:type="pct"/>
                  <w:vMerge w:val="continue"/>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p>
              </w:tc>
              <w:tc>
                <w:tcPr>
                  <w:tcW w:w="1231"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效率</w:t>
                  </w:r>
                </w:p>
              </w:tc>
              <w:tc>
                <w:tcPr>
                  <w:tcW w:w="1466" w:type="pct"/>
                  <w:gridSpan w:val="2"/>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1497" w:type="pct"/>
                  <w:gridSpan w:val="2"/>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rPr>
                    <w:t>70%</w:t>
                  </w:r>
                </w:p>
              </w:tc>
            </w:tr>
            <w:tr>
              <w:tblPrEx>
                <w:tblCellMar>
                  <w:top w:w="0" w:type="dxa"/>
                  <w:left w:w="0" w:type="dxa"/>
                  <w:bottom w:w="0" w:type="dxa"/>
                  <w:right w:w="0" w:type="dxa"/>
                </w:tblCellMar>
              </w:tblPrEx>
              <w:trPr>
                <w:trHeight w:val="141" w:hRule="atLeast"/>
              </w:trPr>
              <w:tc>
                <w:tcPr>
                  <w:tcW w:w="804" w:type="pct"/>
                  <w:vMerge w:val="restart"/>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污染物排放</w:t>
                  </w:r>
                </w:p>
              </w:tc>
              <w:tc>
                <w:tcPr>
                  <w:tcW w:w="1231"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核算方法</w:t>
                  </w:r>
                </w:p>
              </w:tc>
              <w:tc>
                <w:tcPr>
                  <w:tcW w:w="1466" w:type="pct"/>
                  <w:gridSpan w:val="2"/>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物料衡算法</w:t>
                  </w:r>
                </w:p>
              </w:tc>
              <w:tc>
                <w:tcPr>
                  <w:tcW w:w="1497" w:type="pct"/>
                  <w:gridSpan w:val="2"/>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物料衡算法</w:t>
                  </w:r>
                </w:p>
              </w:tc>
            </w:tr>
            <w:tr>
              <w:tblPrEx>
                <w:tblCellMar>
                  <w:top w:w="0" w:type="dxa"/>
                  <w:left w:w="0" w:type="dxa"/>
                  <w:bottom w:w="0" w:type="dxa"/>
                  <w:right w:w="0" w:type="dxa"/>
                </w:tblCellMar>
              </w:tblPrEx>
              <w:trPr>
                <w:trHeight w:val="332" w:hRule="atLeast"/>
              </w:trPr>
              <w:tc>
                <w:tcPr>
                  <w:tcW w:w="804" w:type="pct"/>
                  <w:vMerge w:val="continue"/>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p>
              </w:tc>
              <w:tc>
                <w:tcPr>
                  <w:tcW w:w="1231"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废气排放量 m</w:t>
                  </w:r>
                  <w:r>
                    <w:rPr>
                      <w:rFonts w:hint="default" w:ascii="Times New Roman" w:hAnsi="Times New Roman" w:eastAsia="宋体" w:cs="Times New Roman"/>
                      <w:b/>
                      <w:bCs/>
                      <w:color w:val="auto"/>
                      <w:vertAlign w:val="superscript"/>
                    </w:rPr>
                    <w:t>3</w:t>
                  </w:r>
                  <w:r>
                    <w:rPr>
                      <w:rFonts w:hint="default" w:ascii="Times New Roman" w:hAnsi="Times New Roman" w:eastAsia="宋体" w:cs="Times New Roman"/>
                      <w:b/>
                      <w:bCs/>
                      <w:color w:val="auto"/>
                    </w:rPr>
                    <w:t>/h</w:t>
                  </w:r>
                </w:p>
              </w:tc>
              <w:tc>
                <w:tcPr>
                  <w:tcW w:w="641"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825"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1497" w:type="pct"/>
                  <w:gridSpan w:val="2"/>
                  <w:tcBorders>
                    <w:top w:val="single" w:color="000000" w:sz="8" w:space="0"/>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10000</w:t>
                  </w:r>
                </w:p>
              </w:tc>
            </w:tr>
            <w:tr>
              <w:tblPrEx>
                <w:tblCellMar>
                  <w:top w:w="0" w:type="dxa"/>
                  <w:left w:w="0" w:type="dxa"/>
                  <w:bottom w:w="0" w:type="dxa"/>
                  <w:right w:w="0" w:type="dxa"/>
                </w:tblCellMar>
              </w:tblPrEx>
              <w:trPr>
                <w:trHeight w:val="364" w:hRule="atLeast"/>
              </w:trPr>
              <w:tc>
                <w:tcPr>
                  <w:tcW w:w="804" w:type="pct"/>
                  <w:vMerge w:val="continue"/>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p>
              </w:tc>
              <w:tc>
                <w:tcPr>
                  <w:tcW w:w="1231"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排放浓度 mg/m</w:t>
                  </w:r>
                  <w:r>
                    <w:rPr>
                      <w:rFonts w:hint="default" w:ascii="Times New Roman" w:hAnsi="Times New Roman" w:eastAsia="宋体" w:cs="Times New Roman"/>
                      <w:b/>
                      <w:bCs/>
                      <w:color w:val="auto"/>
                      <w:vertAlign w:val="superscript"/>
                    </w:rPr>
                    <w:t>3</w:t>
                  </w:r>
                </w:p>
              </w:tc>
              <w:tc>
                <w:tcPr>
                  <w:tcW w:w="641"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825"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1497" w:type="pct"/>
                  <w:gridSpan w:val="2"/>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0.248</w:t>
                  </w:r>
                </w:p>
              </w:tc>
            </w:tr>
            <w:tr>
              <w:tblPrEx>
                <w:tblCellMar>
                  <w:top w:w="0" w:type="dxa"/>
                  <w:left w:w="0" w:type="dxa"/>
                  <w:bottom w:w="0" w:type="dxa"/>
                  <w:right w:w="0" w:type="dxa"/>
                </w:tblCellMar>
              </w:tblPrEx>
              <w:trPr>
                <w:trHeight w:val="284" w:hRule="atLeast"/>
              </w:trPr>
              <w:tc>
                <w:tcPr>
                  <w:tcW w:w="804" w:type="pct"/>
                  <w:vMerge w:val="continue"/>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p>
              </w:tc>
              <w:tc>
                <w:tcPr>
                  <w:tcW w:w="1231"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排放速率 kg/h</w:t>
                  </w:r>
                </w:p>
              </w:tc>
              <w:tc>
                <w:tcPr>
                  <w:tcW w:w="641"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825"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1497" w:type="pct"/>
                  <w:gridSpan w:val="2"/>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0.002</w:t>
                  </w:r>
                </w:p>
              </w:tc>
            </w:tr>
            <w:tr>
              <w:tblPrEx>
                <w:tblCellMar>
                  <w:top w:w="0" w:type="dxa"/>
                  <w:left w:w="0" w:type="dxa"/>
                  <w:bottom w:w="0" w:type="dxa"/>
                  <w:right w:w="0" w:type="dxa"/>
                </w:tblCellMar>
              </w:tblPrEx>
              <w:trPr>
                <w:trHeight w:val="285" w:hRule="atLeast"/>
              </w:trPr>
              <w:tc>
                <w:tcPr>
                  <w:tcW w:w="804" w:type="pct"/>
                  <w:vMerge w:val="continue"/>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p>
              </w:tc>
              <w:tc>
                <w:tcPr>
                  <w:tcW w:w="1231"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排放量 t/a</w:t>
                  </w:r>
                </w:p>
              </w:tc>
              <w:tc>
                <w:tcPr>
                  <w:tcW w:w="641"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w:t>
                  </w:r>
                  <w:r>
                    <w:rPr>
                      <w:rFonts w:hint="default" w:ascii="Times New Roman" w:hAnsi="Times New Roman" w:eastAsia="宋体" w:cs="Times New Roman"/>
                      <w:color w:val="auto"/>
                      <w:lang w:val="en-US" w:eastAsia="zh-CN"/>
                    </w:rPr>
                    <w:t>0</w:t>
                  </w:r>
                  <w:r>
                    <w:rPr>
                      <w:rFonts w:hint="default" w:ascii="Times New Roman" w:hAnsi="Times New Roman" w:eastAsia="宋体" w:cs="Times New Roman"/>
                      <w:color w:val="auto"/>
                    </w:rPr>
                    <w:t>1</w:t>
                  </w:r>
                </w:p>
              </w:tc>
              <w:tc>
                <w:tcPr>
                  <w:tcW w:w="825"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w:t>
                  </w:r>
                  <w:r>
                    <w:rPr>
                      <w:rFonts w:hint="default" w:ascii="Times New Roman" w:hAnsi="Times New Roman" w:eastAsia="宋体" w:cs="Times New Roman"/>
                      <w:color w:val="auto"/>
                      <w:lang w:val="en-US" w:eastAsia="zh-CN"/>
                    </w:rPr>
                    <w:t>0</w:t>
                  </w:r>
                  <w:r>
                    <w:rPr>
                      <w:rFonts w:hint="default" w:ascii="Times New Roman" w:hAnsi="Times New Roman" w:eastAsia="宋体" w:cs="Times New Roman"/>
                      <w:color w:val="auto"/>
                    </w:rPr>
                    <w:t>01</w:t>
                  </w:r>
                </w:p>
              </w:tc>
              <w:tc>
                <w:tcPr>
                  <w:tcW w:w="1497" w:type="pct"/>
                  <w:gridSpan w:val="2"/>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0.006</w:t>
                  </w:r>
                </w:p>
              </w:tc>
            </w:tr>
            <w:tr>
              <w:tblPrEx>
                <w:tblCellMar>
                  <w:top w:w="0" w:type="dxa"/>
                  <w:left w:w="0" w:type="dxa"/>
                  <w:bottom w:w="0" w:type="dxa"/>
                  <w:right w:w="0" w:type="dxa"/>
                </w:tblCellMar>
              </w:tblPrEx>
              <w:trPr>
                <w:trHeight w:val="285" w:hRule="atLeast"/>
              </w:trPr>
              <w:tc>
                <w:tcPr>
                  <w:tcW w:w="2036" w:type="pct"/>
                  <w:gridSpan w:val="2"/>
                  <w:tcBorders>
                    <w:top w:val="nil"/>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排放时间</w:t>
                  </w:r>
                </w:p>
              </w:tc>
              <w:tc>
                <w:tcPr>
                  <w:tcW w:w="641"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2400</w:t>
                  </w:r>
                </w:p>
              </w:tc>
              <w:tc>
                <w:tcPr>
                  <w:tcW w:w="825"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300</w:t>
                  </w:r>
                </w:p>
              </w:tc>
              <w:tc>
                <w:tcPr>
                  <w:tcW w:w="714"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2400</w:t>
                  </w:r>
                </w:p>
              </w:tc>
              <w:tc>
                <w:tcPr>
                  <w:tcW w:w="782" w:type="pct"/>
                  <w:tcBorders>
                    <w:top w:val="nil"/>
                    <w:left w:val="nil"/>
                    <w:bottom w:val="single" w:color="000000" w:sz="8" w:space="0"/>
                    <w:right w:val="single" w:color="000000" w:sz="8"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300</w:t>
                  </w:r>
                </w:p>
              </w:tc>
            </w:tr>
          </w:tbl>
          <w:p>
            <w:pPr>
              <w:ind w:firstLine="241" w:firstLineChars="100"/>
              <w:rPr>
                <w:rFonts w:hint="default" w:ascii="Times New Roman" w:hAnsi="Times New Roman" w:eastAsia="宋体" w:cs="Times New Roman"/>
                <w:b/>
              </w:rPr>
            </w:pPr>
            <w:r>
              <w:rPr>
                <w:rFonts w:hint="default" w:ascii="Times New Roman" w:hAnsi="Times New Roman" w:eastAsia="宋体" w:cs="Times New Roman"/>
                <w:b/>
              </w:rPr>
              <w:t>3、噪声污染源</w:t>
            </w:r>
          </w:p>
          <w:p>
            <w:pPr>
              <w:ind w:firstLine="480"/>
              <w:rPr>
                <w:rFonts w:hint="default" w:ascii="Times New Roman" w:hAnsi="Times New Roman" w:eastAsia="宋体" w:cs="Times New Roman"/>
              </w:rPr>
            </w:pPr>
            <w:r>
              <w:rPr>
                <w:rFonts w:hint="default" w:ascii="Times New Roman" w:hAnsi="Times New Roman" w:eastAsia="宋体" w:cs="Times New Roman"/>
              </w:rPr>
              <w:t>项目噪声源主要为印刷机、模切机等生产设备运行时产生的噪声，其噪声的强度值为65～80dB(A)之间。噪声特征以连续性噪声为主，间歇性噪声为辅。</w:t>
            </w:r>
          </w:p>
          <w:p>
            <w:pPr>
              <w:pStyle w:val="28"/>
              <w:rPr>
                <w:rFonts w:hint="default" w:ascii="Times New Roman" w:hAnsi="Times New Roman" w:eastAsia="宋体" w:cs="Times New Roman"/>
              </w:rPr>
            </w:pPr>
            <w:r>
              <w:rPr>
                <w:rFonts w:hint="default" w:ascii="Times New Roman" w:hAnsi="Times New Roman" w:eastAsia="宋体" w:cs="Times New Roman"/>
              </w:rPr>
              <w:t>根据《污染源源强核算技术指南 准则》（HJ884-2018），项目噪声污染源源强核算结果及相关参数见下表：</w:t>
            </w:r>
          </w:p>
          <w:p>
            <w:pPr>
              <w:pStyle w:val="28"/>
              <w:ind w:firstLine="482"/>
              <w:jc w:val="center"/>
              <w:rPr>
                <w:rFonts w:hint="default" w:ascii="Times New Roman" w:hAnsi="Times New Roman" w:eastAsia="宋体" w:cs="Times New Roman"/>
                <w:b/>
                <w:bCs/>
              </w:rPr>
            </w:pPr>
            <w:r>
              <w:rPr>
                <w:rFonts w:hint="default" w:ascii="Times New Roman" w:hAnsi="Times New Roman" w:eastAsia="宋体" w:cs="Times New Roman"/>
                <w:b/>
                <w:bCs/>
                <w:color w:val="auto"/>
              </w:rPr>
              <w:t>表5-6 项目噪声污染源</w:t>
            </w:r>
            <w:r>
              <w:rPr>
                <w:rFonts w:hint="default" w:ascii="Times New Roman" w:hAnsi="Times New Roman" w:eastAsia="宋体" w:cs="Times New Roman"/>
                <w:b/>
                <w:bCs/>
              </w:rPr>
              <w:t>源强核算结果及相关参数一览表</w:t>
            </w:r>
          </w:p>
          <w:tbl>
            <w:tblPr>
              <w:tblStyle w:val="23"/>
              <w:tblW w:w="9033" w:type="dxa"/>
              <w:tblInd w:w="0" w:type="dxa"/>
              <w:tblLayout w:type="autofit"/>
              <w:tblCellMar>
                <w:top w:w="0" w:type="dxa"/>
                <w:left w:w="0" w:type="dxa"/>
                <w:bottom w:w="0" w:type="dxa"/>
                <w:right w:w="0" w:type="dxa"/>
              </w:tblCellMar>
            </w:tblPr>
            <w:tblGrid>
              <w:gridCol w:w="813"/>
              <w:gridCol w:w="1227"/>
              <w:gridCol w:w="733"/>
              <w:gridCol w:w="864"/>
              <w:gridCol w:w="733"/>
              <w:gridCol w:w="804"/>
              <w:gridCol w:w="768"/>
              <w:gridCol w:w="771"/>
              <w:gridCol w:w="768"/>
              <w:gridCol w:w="768"/>
              <w:gridCol w:w="784"/>
            </w:tblGrid>
            <w:tr>
              <w:tblPrEx>
                <w:tblCellMar>
                  <w:top w:w="0" w:type="dxa"/>
                  <w:left w:w="0" w:type="dxa"/>
                  <w:bottom w:w="0" w:type="dxa"/>
                  <w:right w:w="0" w:type="dxa"/>
                </w:tblCellMar>
              </w:tblPrEx>
              <w:trPr>
                <w:trHeight w:val="460" w:hRule="atLeast"/>
              </w:trPr>
              <w:tc>
                <w:tcPr>
                  <w:tcW w:w="1129"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工序</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模切</w:t>
                  </w:r>
                </w:p>
              </w:tc>
              <w:tc>
                <w:tcPr>
                  <w:tcW w:w="4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打钉</w:t>
                  </w:r>
                </w:p>
              </w:tc>
              <w:tc>
                <w:tcPr>
                  <w:tcW w:w="1703" w:type="pct"/>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印刷</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打孔</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切纸</w:t>
                  </w: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裱纸</w:t>
                  </w:r>
                </w:p>
              </w:tc>
            </w:tr>
            <w:tr>
              <w:tblPrEx>
                <w:tblCellMar>
                  <w:top w:w="0" w:type="dxa"/>
                  <w:left w:w="0" w:type="dxa"/>
                  <w:bottom w:w="0" w:type="dxa"/>
                  <w:right w:w="0" w:type="dxa"/>
                </w:tblCellMar>
              </w:tblPrEx>
              <w:trPr>
                <w:trHeight w:val="720" w:hRule="atLeast"/>
              </w:trPr>
              <w:tc>
                <w:tcPr>
                  <w:tcW w:w="1129"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装置</w:t>
                  </w:r>
                </w:p>
              </w:tc>
              <w:tc>
                <w:tcPr>
                  <w:tcW w:w="4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模切机</w:t>
                  </w:r>
                </w:p>
              </w:tc>
              <w:tc>
                <w:tcPr>
                  <w:tcW w:w="47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打钉机</w:t>
                  </w:r>
                </w:p>
              </w:tc>
              <w:tc>
                <w:tcPr>
                  <w:tcW w:w="4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双色胶印机</w:t>
                  </w:r>
                </w:p>
              </w:tc>
              <w:tc>
                <w:tcPr>
                  <w:tcW w:w="44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小商标印刷机</w:t>
                  </w:r>
                </w:p>
              </w:tc>
              <w:tc>
                <w:tcPr>
                  <w:tcW w:w="4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四色胶印机</w:t>
                  </w:r>
                </w:p>
              </w:tc>
              <w:tc>
                <w:tcPr>
                  <w:tcW w:w="42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表格打印机</w:t>
                  </w:r>
                </w:p>
              </w:tc>
              <w:tc>
                <w:tcPr>
                  <w:tcW w:w="4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啤机</w:t>
                  </w:r>
                </w:p>
              </w:tc>
              <w:tc>
                <w:tcPr>
                  <w:tcW w:w="4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切纸机</w:t>
                  </w:r>
                </w:p>
              </w:tc>
              <w:tc>
                <w:tcPr>
                  <w:tcW w:w="4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裱纸机</w:t>
                  </w:r>
                </w:p>
              </w:tc>
            </w:tr>
            <w:tr>
              <w:tblPrEx>
                <w:tblCellMar>
                  <w:top w:w="0" w:type="dxa"/>
                  <w:left w:w="0" w:type="dxa"/>
                  <w:bottom w:w="0" w:type="dxa"/>
                  <w:right w:w="0" w:type="dxa"/>
                </w:tblCellMar>
              </w:tblPrEx>
              <w:trPr>
                <w:trHeight w:val="270" w:hRule="atLeast"/>
              </w:trPr>
              <w:tc>
                <w:tcPr>
                  <w:tcW w:w="1129"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噪声源</w:t>
                  </w:r>
                </w:p>
              </w:tc>
              <w:tc>
                <w:tcPr>
                  <w:tcW w:w="4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车间</w:t>
                  </w:r>
                </w:p>
              </w:tc>
              <w:tc>
                <w:tcPr>
                  <w:tcW w:w="47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车间</w:t>
                  </w:r>
                </w:p>
              </w:tc>
              <w:tc>
                <w:tcPr>
                  <w:tcW w:w="4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车间</w:t>
                  </w:r>
                </w:p>
              </w:tc>
              <w:tc>
                <w:tcPr>
                  <w:tcW w:w="44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车间</w:t>
                  </w:r>
                </w:p>
              </w:tc>
              <w:tc>
                <w:tcPr>
                  <w:tcW w:w="4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车间</w:t>
                  </w:r>
                </w:p>
              </w:tc>
              <w:tc>
                <w:tcPr>
                  <w:tcW w:w="42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车间</w:t>
                  </w:r>
                </w:p>
              </w:tc>
              <w:tc>
                <w:tcPr>
                  <w:tcW w:w="4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车间</w:t>
                  </w:r>
                </w:p>
              </w:tc>
              <w:tc>
                <w:tcPr>
                  <w:tcW w:w="4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车间</w:t>
                  </w:r>
                </w:p>
              </w:tc>
              <w:tc>
                <w:tcPr>
                  <w:tcW w:w="4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车间</w:t>
                  </w:r>
                </w:p>
              </w:tc>
            </w:tr>
            <w:tr>
              <w:tblPrEx>
                <w:tblCellMar>
                  <w:top w:w="0" w:type="dxa"/>
                  <w:left w:w="0" w:type="dxa"/>
                  <w:bottom w:w="0" w:type="dxa"/>
                  <w:right w:w="0" w:type="dxa"/>
                </w:tblCellMar>
              </w:tblPrEx>
              <w:trPr>
                <w:trHeight w:val="270" w:hRule="atLeast"/>
              </w:trPr>
              <w:tc>
                <w:tcPr>
                  <w:tcW w:w="1129"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声源类型</w:t>
                  </w:r>
                </w:p>
              </w:tc>
              <w:tc>
                <w:tcPr>
                  <w:tcW w:w="4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频发</w:t>
                  </w:r>
                </w:p>
              </w:tc>
              <w:tc>
                <w:tcPr>
                  <w:tcW w:w="47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频发</w:t>
                  </w:r>
                </w:p>
              </w:tc>
              <w:tc>
                <w:tcPr>
                  <w:tcW w:w="4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频发</w:t>
                  </w:r>
                </w:p>
              </w:tc>
              <w:tc>
                <w:tcPr>
                  <w:tcW w:w="44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频发</w:t>
                  </w:r>
                </w:p>
              </w:tc>
              <w:tc>
                <w:tcPr>
                  <w:tcW w:w="4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频发</w:t>
                  </w:r>
                </w:p>
              </w:tc>
              <w:tc>
                <w:tcPr>
                  <w:tcW w:w="42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频发</w:t>
                  </w:r>
                </w:p>
              </w:tc>
              <w:tc>
                <w:tcPr>
                  <w:tcW w:w="4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频发</w:t>
                  </w:r>
                </w:p>
              </w:tc>
              <w:tc>
                <w:tcPr>
                  <w:tcW w:w="4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频发</w:t>
                  </w:r>
                </w:p>
              </w:tc>
              <w:tc>
                <w:tcPr>
                  <w:tcW w:w="4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频发</w:t>
                  </w:r>
                </w:p>
              </w:tc>
            </w:tr>
            <w:tr>
              <w:tblPrEx>
                <w:tblCellMar>
                  <w:top w:w="0" w:type="dxa"/>
                  <w:left w:w="0" w:type="dxa"/>
                  <w:bottom w:w="0" w:type="dxa"/>
                  <w:right w:w="0" w:type="dxa"/>
                </w:tblCellMar>
              </w:tblPrEx>
              <w:trPr>
                <w:trHeight w:val="270" w:hRule="atLeast"/>
              </w:trPr>
              <w:tc>
                <w:tcPr>
                  <w:tcW w:w="450"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噪声源强</w:t>
                  </w:r>
                </w:p>
              </w:tc>
              <w:tc>
                <w:tcPr>
                  <w:tcW w:w="67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核算方法</w:t>
                  </w:r>
                </w:p>
              </w:tc>
              <w:tc>
                <w:tcPr>
                  <w:tcW w:w="4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类比</w:t>
                  </w:r>
                </w:p>
              </w:tc>
              <w:tc>
                <w:tcPr>
                  <w:tcW w:w="47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类比</w:t>
                  </w:r>
                </w:p>
              </w:tc>
              <w:tc>
                <w:tcPr>
                  <w:tcW w:w="4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类比</w:t>
                  </w:r>
                </w:p>
              </w:tc>
              <w:tc>
                <w:tcPr>
                  <w:tcW w:w="44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类比</w:t>
                  </w:r>
                </w:p>
              </w:tc>
              <w:tc>
                <w:tcPr>
                  <w:tcW w:w="4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类比</w:t>
                  </w:r>
                </w:p>
              </w:tc>
              <w:tc>
                <w:tcPr>
                  <w:tcW w:w="42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类比</w:t>
                  </w:r>
                </w:p>
              </w:tc>
              <w:tc>
                <w:tcPr>
                  <w:tcW w:w="4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类比</w:t>
                  </w:r>
                </w:p>
              </w:tc>
              <w:tc>
                <w:tcPr>
                  <w:tcW w:w="4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类比</w:t>
                  </w:r>
                </w:p>
              </w:tc>
              <w:tc>
                <w:tcPr>
                  <w:tcW w:w="4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类比</w:t>
                  </w:r>
                </w:p>
              </w:tc>
            </w:tr>
            <w:tr>
              <w:tblPrEx>
                <w:tblCellMar>
                  <w:top w:w="0" w:type="dxa"/>
                  <w:left w:w="0" w:type="dxa"/>
                  <w:bottom w:w="0" w:type="dxa"/>
                  <w:right w:w="0" w:type="dxa"/>
                </w:tblCellMar>
              </w:tblPrEx>
              <w:trPr>
                <w:trHeight w:val="510" w:hRule="atLeast"/>
              </w:trPr>
              <w:tc>
                <w:tcPr>
                  <w:tcW w:w="450"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p>
              </w:tc>
              <w:tc>
                <w:tcPr>
                  <w:tcW w:w="67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单台设备噪声值 dB(A)</w:t>
                  </w:r>
                </w:p>
              </w:tc>
              <w:tc>
                <w:tcPr>
                  <w:tcW w:w="4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65-75</w:t>
                  </w:r>
                </w:p>
              </w:tc>
              <w:tc>
                <w:tcPr>
                  <w:tcW w:w="47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70-80</w:t>
                  </w:r>
                </w:p>
              </w:tc>
              <w:tc>
                <w:tcPr>
                  <w:tcW w:w="4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70-80</w:t>
                  </w:r>
                </w:p>
              </w:tc>
              <w:tc>
                <w:tcPr>
                  <w:tcW w:w="44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65-70</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70-80</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65-70</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70-80</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65-75</w:t>
                  </w: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65-75</w:t>
                  </w:r>
                </w:p>
              </w:tc>
            </w:tr>
            <w:tr>
              <w:tblPrEx>
                <w:tblCellMar>
                  <w:top w:w="0" w:type="dxa"/>
                  <w:left w:w="0" w:type="dxa"/>
                  <w:bottom w:w="0" w:type="dxa"/>
                  <w:right w:w="0" w:type="dxa"/>
                </w:tblCellMar>
              </w:tblPrEx>
              <w:trPr>
                <w:trHeight w:val="270" w:hRule="atLeast"/>
              </w:trPr>
              <w:tc>
                <w:tcPr>
                  <w:tcW w:w="450"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治理措施</w:t>
                  </w:r>
                </w:p>
              </w:tc>
              <w:tc>
                <w:tcPr>
                  <w:tcW w:w="67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工艺</w:t>
                  </w:r>
                </w:p>
              </w:tc>
              <w:tc>
                <w:tcPr>
                  <w:tcW w:w="4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车间隔声</w:t>
                  </w:r>
                </w:p>
              </w:tc>
              <w:tc>
                <w:tcPr>
                  <w:tcW w:w="47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车间隔声</w:t>
                  </w:r>
                </w:p>
              </w:tc>
              <w:tc>
                <w:tcPr>
                  <w:tcW w:w="4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车间隔声</w:t>
                  </w:r>
                </w:p>
              </w:tc>
              <w:tc>
                <w:tcPr>
                  <w:tcW w:w="44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车间隔声</w:t>
                  </w:r>
                </w:p>
              </w:tc>
              <w:tc>
                <w:tcPr>
                  <w:tcW w:w="4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车间隔声</w:t>
                  </w:r>
                </w:p>
              </w:tc>
              <w:tc>
                <w:tcPr>
                  <w:tcW w:w="42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车间隔声</w:t>
                  </w:r>
                </w:p>
              </w:tc>
              <w:tc>
                <w:tcPr>
                  <w:tcW w:w="4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车间隔声</w:t>
                  </w:r>
                </w:p>
              </w:tc>
              <w:tc>
                <w:tcPr>
                  <w:tcW w:w="4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车间隔声</w:t>
                  </w:r>
                </w:p>
              </w:tc>
              <w:tc>
                <w:tcPr>
                  <w:tcW w:w="4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车间隔声</w:t>
                  </w:r>
                </w:p>
              </w:tc>
            </w:tr>
            <w:tr>
              <w:tblPrEx>
                <w:tblCellMar>
                  <w:top w:w="0" w:type="dxa"/>
                  <w:left w:w="0" w:type="dxa"/>
                  <w:bottom w:w="0" w:type="dxa"/>
                  <w:right w:w="0" w:type="dxa"/>
                </w:tblCellMar>
              </w:tblPrEx>
              <w:trPr>
                <w:trHeight w:val="270" w:hRule="atLeast"/>
              </w:trPr>
              <w:tc>
                <w:tcPr>
                  <w:tcW w:w="450"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p>
              </w:tc>
              <w:tc>
                <w:tcPr>
                  <w:tcW w:w="67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降噪效果</w:t>
                  </w:r>
                </w:p>
              </w:tc>
              <w:tc>
                <w:tcPr>
                  <w:tcW w:w="4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良好</w:t>
                  </w:r>
                </w:p>
              </w:tc>
              <w:tc>
                <w:tcPr>
                  <w:tcW w:w="47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良好</w:t>
                  </w:r>
                </w:p>
              </w:tc>
              <w:tc>
                <w:tcPr>
                  <w:tcW w:w="4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良好</w:t>
                  </w:r>
                </w:p>
              </w:tc>
              <w:tc>
                <w:tcPr>
                  <w:tcW w:w="44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良好</w:t>
                  </w:r>
                </w:p>
              </w:tc>
              <w:tc>
                <w:tcPr>
                  <w:tcW w:w="4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良好</w:t>
                  </w:r>
                </w:p>
              </w:tc>
              <w:tc>
                <w:tcPr>
                  <w:tcW w:w="42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良好</w:t>
                  </w:r>
                </w:p>
              </w:tc>
              <w:tc>
                <w:tcPr>
                  <w:tcW w:w="4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良好</w:t>
                  </w:r>
                </w:p>
              </w:tc>
              <w:tc>
                <w:tcPr>
                  <w:tcW w:w="4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良好</w:t>
                  </w:r>
                </w:p>
              </w:tc>
              <w:tc>
                <w:tcPr>
                  <w:tcW w:w="4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良好</w:t>
                  </w:r>
                </w:p>
              </w:tc>
            </w:tr>
            <w:tr>
              <w:tblPrEx>
                <w:tblCellMar>
                  <w:top w:w="0" w:type="dxa"/>
                  <w:left w:w="0" w:type="dxa"/>
                  <w:bottom w:w="0" w:type="dxa"/>
                  <w:right w:w="0" w:type="dxa"/>
                </w:tblCellMar>
              </w:tblPrEx>
              <w:trPr>
                <w:trHeight w:val="270" w:hRule="atLeast"/>
              </w:trPr>
              <w:tc>
                <w:tcPr>
                  <w:tcW w:w="450"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噪声排放值</w:t>
                  </w:r>
                </w:p>
              </w:tc>
              <w:tc>
                <w:tcPr>
                  <w:tcW w:w="67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核算方法</w:t>
                  </w:r>
                </w:p>
              </w:tc>
              <w:tc>
                <w:tcPr>
                  <w:tcW w:w="4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类比</w:t>
                  </w:r>
                </w:p>
              </w:tc>
              <w:tc>
                <w:tcPr>
                  <w:tcW w:w="47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类比</w:t>
                  </w:r>
                </w:p>
              </w:tc>
              <w:tc>
                <w:tcPr>
                  <w:tcW w:w="4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类比</w:t>
                  </w:r>
                </w:p>
              </w:tc>
              <w:tc>
                <w:tcPr>
                  <w:tcW w:w="44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类比</w:t>
                  </w:r>
                </w:p>
              </w:tc>
              <w:tc>
                <w:tcPr>
                  <w:tcW w:w="4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类比</w:t>
                  </w:r>
                </w:p>
              </w:tc>
              <w:tc>
                <w:tcPr>
                  <w:tcW w:w="42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类比</w:t>
                  </w:r>
                </w:p>
              </w:tc>
              <w:tc>
                <w:tcPr>
                  <w:tcW w:w="4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类比</w:t>
                  </w:r>
                </w:p>
              </w:tc>
              <w:tc>
                <w:tcPr>
                  <w:tcW w:w="4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类比</w:t>
                  </w:r>
                </w:p>
              </w:tc>
              <w:tc>
                <w:tcPr>
                  <w:tcW w:w="4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rPr>
                  </w:pPr>
                  <w:r>
                    <w:rPr>
                      <w:rFonts w:hint="default" w:ascii="Times New Roman" w:hAnsi="Times New Roman" w:eastAsia="宋体" w:cs="Times New Roman"/>
                    </w:rPr>
                    <w:t>类比</w:t>
                  </w:r>
                </w:p>
              </w:tc>
            </w:tr>
            <w:tr>
              <w:tblPrEx>
                <w:tblCellMar>
                  <w:top w:w="0" w:type="dxa"/>
                  <w:left w:w="0" w:type="dxa"/>
                  <w:bottom w:w="0" w:type="dxa"/>
                  <w:right w:w="0" w:type="dxa"/>
                </w:tblCellMar>
              </w:tblPrEx>
              <w:trPr>
                <w:trHeight w:val="270" w:hRule="atLeast"/>
              </w:trPr>
              <w:tc>
                <w:tcPr>
                  <w:tcW w:w="450"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p>
              </w:tc>
              <w:tc>
                <w:tcPr>
                  <w:tcW w:w="67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噪声值 dB(A)</w:t>
                  </w:r>
                </w:p>
              </w:tc>
              <w:tc>
                <w:tcPr>
                  <w:tcW w:w="4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40-55</w:t>
                  </w:r>
                </w:p>
              </w:tc>
              <w:tc>
                <w:tcPr>
                  <w:tcW w:w="47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55-65</w:t>
                  </w:r>
                </w:p>
              </w:tc>
              <w:tc>
                <w:tcPr>
                  <w:tcW w:w="4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55-65</w:t>
                  </w:r>
                </w:p>
              </w:tc>
              <w:tc>
                <w:tcPr>
                  <w:tcW w:w="44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40-55</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55-65</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40-55</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55-65</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40-60</w:t>
                  </w: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40-60</w:t>
                  </w:r>
                </w:p>
              </w:tc>
            </w:tr>
            <w:tr>
              <w:tblPrEx>
                <w:tblCellMar>
                  <w:top w:w="0" w:type="dxa"/>
                  <w:left w:w="0" w:type="dxa"/>
                  <w:bottom w:w="0" w:type="dxa"/>
                  <w:right w:w="0" w:type="dxa"/>
                </w:tblCellMar>
              </w:tblPrEx>
              <w:trPr>
                <w:trHeight w:val="270" w:hRule="atLeast"/>
              </w:trPr>
              <w:tc>
                <w:tcPr>
                  <w:tcW w:w="1129"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排放时间</w:t>
                  </w:r>
                </w:p>
              </w:tc>
              <w:tc>
                <w:tcPr>
                  <w:tcW w:w="3870" w:type="pct"/>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2400</w:t>
                  </w:r>
                </w:p>
              </w:tc>
            </w:tr>
          </w:tbl>
          <w:p>
            <w:pPr>
              <w:ind w:firstLine="723" w:firstLineChars="300"/>
              <w:rPr>
                <w:rFonts w:hint="default" w:ascii="Times New Roman" w:hAnsi="Times New Roman" w:eastAsia="宋体" w:cs="Times New Roman"/>
                <w:b/>
              </w:rPr>
            </w:pPr>
            <w:r>
              <w:rPr>
                <w:rFonts w:hint="default" w:ascii="Times New Roman" w:hAnsi="Times New Roman" w:eastAsia="宋体" w:cs="Times New Roman"/>
                <w:b/>
              </w:rPr>
              <w:t>4、固体废物</w:t>
            </w:r>
          </w:p>
          <w:p>
            <w:pPr>
              <w:ind w:firstLine="480"/>
              <w:rPr>
                <w:rFonts w:hint="default" w:ascii="Times New Roman" w:hAnsi="Times New Roman" w:eastAsia="宋体" w:cs="Times New Roman"/>
                <w:kern w:val="0"/>
              </w:rPr>
            </w:pPr>
            <w:r>
              <w:rPr>
                <w:rFonts w:hint="default" w:ascii="Times New Roman" w:hAnsi="Times New Roman" w:eastAsia="宋体" w:cs="Times New Roman"/>
              </w:rPr>
              <w:t>项目产生的固体废物有员工生活垃圾</w:t>
            </w:r>
            <w:r>
              <w:rPr>
                <w:rFonts w:hint="default" w:ascii="Times New Roman" w:hAnsi="Times New Roman" w:eastAsia="宋体" w:cs="Times New Roman"/>
                <w:kern w:val="0"/>
              </w:rPr>
              <w:t>、一般工业固废及危险废物等。</w:t>
            </w:r>
          </w:p>
          <w:p>
            <w:pPr>
              <w:ind w:firstLine="482"/>
              <w:rPr>
                <w:rFonts w:hint="default" w:ascii="Times New Roman" w:hAnsi="Times New Roman" w:eastAsia="宋体" w:cs="Times New Roman"/>
                <w:b/>
                <w:bCs/>
              </w:rPr>
            </w:pPr>
            <w:r>
              <w:rPr>
                <w:rFonts w:hint="default" w:ascii="Times New Roman" w:hAnsi="Times New Roman" w:eastAsia="宋体" w:cs="Times New Roman"/>
                <w:b/>
                <w:bCs/>
              </w:rPr>
              <w:t>（1）生活垃圾</w:t>
            </w:r>
          </w:p>
          <w:p>
            <w:pPr>
              <w:ind w:firstLine="480"/>
              <w:rPr>
                <w:rFonts w:hint="default" w:ascii="Times New Roman" w:hAnsi="Times New Roman" w:eastAsia="宋体" w:cs="Times New Roman"/>
              </w:rPr>
            </w:pPr>
            <w:r>
              <w:rPr>
                <w:rFonts w:hint="default" w:ascii="Times New Roman" w:hAnsi="Times New Roman" w:eastAsia="宋体" w:cs="Times New Roman"/>
              </w:rPr>
              <w:t>项目共有员工6人，年工作300天。本项目取用人均办公垃圾为0.5kg/人·d计算，则项目年生活垃圾产生量为0.9t/a。经分类收集后交由环卫部门统一清运处理。</w:t>
            </w:r>
          </w:p>
          <w:p>
            <w:pPr>
              <w:ind w:firstLine="482"/>
              <w:rPr>
                <w:rFonts w:hint="default" w:ascii="Times New Roman" w:hAnsi="Times New Roman" w:eastAsia="宋体" w:cs="Times New Roman"/>
                <w:b/>
                <w:bCs/>
              </w:rPr>
            </w:pPr>
            <w:r>
              <w:rPr>
                <w:rFonts w:hint="default" w:ascii="Times New Roman" w:hAnsi="Times New Roman" w:eastAsia="宋体" w:cs="Times New Roman"/>
                <w:b/>
                <w:bCs/>
              </w:rPr>
              <w:t>（2）废边角料、废包装材料、废PS版和废钉线</w:t>
            </w:r>
          </w:p>
          <w:p>
            <w:pPr>
              <w:ind w:firstLine="480"/>
              <w:rPr>
                <w:rFonts w:hint="default" w:ascii="Times New Roman" w:hAnsi="Times New Roman" w:eastAsia="宋体" w:cs="Times New Roman"/>
              </w:rPr>
            </w:pPr>
            <w:r>
              <w:rPr>
                <w:rFonts w:hint="default" w:ascii="Times New Roman" w:hAnsi="Times New Roman" w:eastAsia="宋体" w:cs="Times New Roman"/>
              </w:rPr>
              <w:t>项目生产过程中会产生一定量的废边角料、废包装材料、废PS版和废钉线，废边角料主要为废纸废边角料；废包装材料主要为废包装纸废包装带；废PS版主要为废弃的印版；废钉线主要为打钉工序产生的废弃装订线和钉子，均为一般工业固体废物，根据建设单位提供资料，废边角料产生量约0.1t/a；废包装材料产生量约0.05t/a；废钉线产生量约0.01t/a；废PS版产生量500张/a，收集后外售综合处理。</w:t>
            </w:r>
          </w:p>
          <w:p>
            <w:pPr>
              <w:ind w:firstLine="482"/>
              <w:rPr>
                <w:rFonts w:hint="default" w:ascii="Times New Roman" w:hAnsi="Times New Roman" w:eastAsia="宋体" w:cs="Times New Roman"/>
                <w:b/>
                <w:bCs/>
              </w:rPr>
            </w:pPr>
            <w:r>
              <w:rPr>
                <w:rFonts w:hint="default" w:ascii="Times New Roman" w:hAnsi="Times New Roman" w:eastAsia="宋体" w:cs="Times New Roman"/>
                <w:b/>
                <w:bCs/>
              </w:rPr>
              <w:t>（3）废原料空罐/桶</w:t>
            </w:r>
          </w:p>
          <w:p>
            <w:pPr>
              <w:ind w:firstLine="480"/>
              <w:rPr>
                <w:rFonts w:hint="default" w:ascii="Times New Roman" w:hAnsi="Times New Roman" w:eastAsia="宋体" w:cs="Times New Roman"/>
              </w:rPr>
            </w:pPr>
            <w:r>
              <w:rPr>
                <w:rFonts w:hint="default" w:ascii="Times New Roman" w:hAnsi="Times New Roman" w:eastAsia="宋体" w:cs="Times New Roman"/>
              </w:rPr>
              <w:t>根据建设单位提供资料可知，项目部分原料使用桶或罐装，会产生少量废原料桶和原料罐等废包装物，产生量约为0.01t/a。由于原料包装物有少量原料残留，收集后交由生产商回收利用。根据《固体废物鉴别标准通则 》（GB34330--2017）中 固体废物“是指在生产、生活和其他活动中产生的丧失原有利用价值或者虽未丧失利用价值但被抛弃或者放弃的固态、半固态和置于容器中的气态的物品、物质以及法律、行政法规规定纳入固体废物管理的物品、物质”。本项目废原料空罐/桶收集后交由原料生产商回收用于盛装同种原料。可见，本项目废原料空罐/桶并未丧失原有利用价值，因此本项目废原料空罐/桶不属于固体废物。</w:t>
            </w:r>
          </w:p>
          <w:p>
            <w:pPr>
              <w:ind w:firstLine="482"/>
              <w:rPr>
                <w:rFonts w:hint="default" w:ascii="Times New Roman" w:hAnsi="Times New Roman" w:eastAsia="宋体" w:cs="Times New Roman"/>
              </w:rPr>
            </w:pPr>
            <w:r>
              <w:rPr>
                <w:rFonts w:hint="default" w:ascii="Times New Roman" w:hAnsi="Times New Roman" w:eastAsia="宋体" w:cs="Times New Roman"/>
                <w:b/>
                <w:bCs/>
              </w:rPr>
              <w:t>（4）废抹布</w:t>
            </w:r>
          </w:p>
          <w:p>
            <w:pPr>
              <w:ind w:firstLine="480"/>
              <w:rPr>
                <w:rFonts w:hint="default" w:ascii="Times New Roman" w:hAnsi="Times New Roman" w:eastAsia="宋体" w:cs="Times New Roman"/>
              </w:rPr>
            </w:pPr>
            <w:r>
              <w:rPr>
                <w:rFonts w:hint="default" w:ascii="Times New Roman" w:hAnsi="Times New Roman" w:eastAsia="宋体" w:cs="Times New Roman"/>
              </w:rPr>
              <w:t>本项目印刷设备需用抹布沾取适量清洗剂清洗，抹布上沾有废油墨、清洗剂和极少量水，属于危险废物，危险类别为HW49，代码为900-041-49。项目废抹布产生量为0.03t/a。集中收集于危废暂存间，定期委托有资质单位处理。</w:t>
            </w:r>
          </w:p>
          <w:p>
            <w:pPr>
              <w:pStyle w:val="21"/>
              <w:ind w:firstLine="482"/>
              <w:rPr>
                <w:rFonts w:hint="default" w:ascii="Times New Roman" w:hAnsi="Times New Roman" w:eastAsia="宋体" w:cs="Times New Roman"/>
                <w:b/>
                <w:bCs w:val="0"/>
              </w:rPr>
            </w:pPr>
            <w:r>
              <w:rPr>
                <w:rFonts w:hint="default" w:ascii="Times New Roman" w:hAnsi="Times New Roman" w:eastAsia="宋体" w:cs="Times New Roman"/>
                <w:b/>
                <w:bCs w:val="0"/>
              </w:rPr>
              <w:t>（5）废活性炭</w:t>
            </w:r>
          </w:p>
          <w:p>
            <w:pPr>
              <w:ind w:firstLine="480"/>
              <w:rPr>
                <w:rFonts w:hint="default" w:ascii="Times New Roman" w:hAnsi="Times New Roman" w:eastAsia="宋体" w:cs="Times New Roman"/>
              </w:rPr>
            </w:pPr>
            <w:r>
              <w:rPr>
                <w:rFonts w:hint="default" w:ascii="Times New Roman" w:hAnsi="Times New Roman" w:eastAsia="宋体" w:cs="Times New Roman"/>
              </w:rPr>
              <w:t>本项目产生的总VOCs量为0.022t/a，收集后引至“活性炭吸附装置”处理，处理效率取70%，本项目VOCs有组织收集量为0.02t/a，其中活性炭处理的VOCs量为0.014t/a。根据《现代涂装手册》（化学工业出版社，陈治良主编），活性炭吸附容量一般为25%，因此理论上需要新鲜活性炭量0.056t/a。</w:t>
            </w:r>
          </w:p>
          <w:p>
            <w:pPr>
              <w:ind w:firstLine="480"/>
              <w:rPr>
                <w:rFonts w:hint="default" w:ascii="Times New Roman" w:hAnsi="Times New Roman" w:eastAsia="宋体" w:cs="Times New Roman"/>
              </w:rPr>
            </w:pPr>
            <w:r>
              <w:rPr>
                <w:rFonts w:hint="default" w:ascii="Times New Roman" w:hAnsi="Times New Roman" w:eastAsia="宋体" w:cs="Times New Roman"/>
              </w:rPr>
              <w:t>建设单位拟设计活性炭装置内含活性炭重量约80kg，每半年更换一次，一年更换2次，则全年产生废活性炭约0.16t/a（含被吸附的VOCs重量）&gt;0.056t/a，可以满足要求不影响废气处理效率。该废活性炭属于《国家危险废物名录》（2016）中废物类别为HW49其他废物，废物代码为900-041-49 ，需交由有危险废物处理资质单位处理。</w:t>
            </w:r>
          </w:p>
          <w:p>
            <w:pPr>
              <w:ind w:firstLine="480"/>
              <w:rPr>
                <w:rFonts w:hint="default" w:ascii="Times New Roman" w:hAnsi="Times New Roman" w:eastAsia="宋体" w:cs="Times New Roman"/>
              </w:rPr>
            </w:pPr>
            <w:r>
              <w:rPr>
                <w:rFonts w:hint="default" w:ascii="Times New Roman" w:hAnsi="Times New Roman" w:eastAsia="宋体" w:cs="Times New Roman"/>
              </w:rPr>
              <w:t>根据《污染源源强核算技术指南 准则》（HJ 884-2018），项目固体污染源源强核算结果及相关参数见下表：</w:t>
            </w:r>
          </w:p>
          <w:p>
            <w:pPr>
              <w:pStyle w:val="45"/>
              <w:rPr>
                <w:rFonts w:hint="default" w:ascii="Times New Roman" w:hAnsi="Times New Roman" w:eastAsia="宋体" w:cs="Times New Roman"/>
                <w:b/>
                <w:bCs/>
              </w:rPr>
            </w:pPr>
            <w:r>
              <w:rPr>
                <w:rFonts w:hint="default" w:ascii="Times New Roman" w:hAnsi="Times New Roman" w:eastAsia="宋体" w:cs="Times New Roman"/>
                <w:b/>
                <w:bCs/>
              </w:rPr>
              <w:t>表5-7 项目固体废物排放情况一览表</w:t>
            </w:r>
          </w:p>
          <w:tbl>
            <w:tblPr>
              <w:tblStyle w:val="24"/>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72"/>
              <w:gridCol w:w="797"/>
              <w:gridCol w:w="1341"/>
              <w:gridCol w:w="1372"/>
              <w:gridCol w:w="895"/>
              <w:gridCol w:w="1084"/>
              <w:gridCol w:w="990"/>
              <w:gridCol w:w="118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759" w:type="pct"/>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产生工序</w:t>
                  </w:r>
                </w:p>
              </w:tc>
              <w:tc>
                <w:tcPr>
                  <w:tcW w:w="441" w:type="pct"/>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废物属性</w:t>
                  </w:r>
                </w:p>
              </w:tc>
              <w:tc>
                <w:tcPr>
                  <w:tcW w:w="742" w:type="pct"/>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固体废物名称</w:t>
                  </w:r>
                </w:p>
              </w:tc>
              <w:tc>
                <w:tcPr>
                  <w:tcW w:w="1254" w:type="pct"/>
                  <w:gridSpan w:val="2"/>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产生情况</w:t>
                  </w:r>
                </w:p>
              </w:tc>
              <w:tc>
                <w:tcPr>
                  <w:tcW w:w="1148" w:type="pct"/>
                  <w:gridSpan w:val="2"/>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处理措施</w:t>
                  </w:r>
                </w:p>
              </w:tc>
              <w:tc>
                <w:tcPr>
                  <w:tcW w:w="654" w:type="pct"/>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处置去向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759" w:type="pct"/>
                  <w:vMerge w:val="continue"/>
                  <w:tcBorders>
                    <w:tl2br w:val="nil"/>
                    <w:tr2bl w:val="nil"/>
                  </w:tcBorders>
                  <w:vAlign w:val="center"/>
                </w:tcPr>
                <w:p>
                  <w:pPr>
                    <w:pStyle w:val="46"/>
                    <w:rPr>
                      <w:rFonts w:hint="default" w:ascii="Times New Roman" w:hAnsi="Times New Roman" w:eastAsia="宋体" w:cs="Times New Roman"/>
                      <w:b/>
                      <w:bCs/>
                    </w:rPr>
                  </w:pPr>
                </w:p>
              </w:tc>
              <w:tc>
                <w:tcPr>
                  <w:tcW w:w="441" w:type="pct"/>
                  <w:vMerge w:val="continue"/>
                  <w:tcBorders>
                    <w:tl2br w:val="nil"/>
                    <w:tr2bl w:val="nil"/>
                  </w:tcBorders>
                  <w:vAlign w:val="center"/>
                </w:tcPr>
                <w:p>
                  <w:pPr>
                    <w:pStyle w:val="46"/>
                    <w:rPr>
                      <w:rFonts w:hint="default" w:ascii="Times New Roman" w:hAnsi="Times New Roman" w:eastAsia="宋体" w:cs="Times New Roman"/>
                      <w:b/>
                      <w:bCs/>
                    </w:rPr>
                  </w:pPr>
                </w:p>
              </w:tc>
              <w:tc>
                <w:tcPr>
                  <w:tcW w:w="742" w:type="pct"/>
                  <w:vMerge w:val="continue"/>
                  <w:tcBorders>
                    <w:tl2br w:val="nil"/>
                    <w:tr2bl w:val="nil"/>
                  </w:tcBorders>
                  <w:vAlign w:val="center"/>
                </w:tcPr>
                <w:p>
                  <w:pPr>
                    <w:pStyle w:val="46"/>
                    <w:rPr>
                      <w:rFonts w:hint="default" w:ascii="Times New Roman" w:hAnsi="Times New Roman" w:eastAsia="宋体" w:cs="Times New Roman"/>
                      <w:b/>
                      <w:bCs/>
                    </w:rPr>
                  </w:pPr>
                </w:p>
              </w:tc>
              <w:tc>
                <w:tcPr>
                  <w:tcW w:w="759" w:type="pct"/>
                  <w:tcBorders>
                    <w:tl2br w:val="nil"/>
                    <w:tr2bl w:val="nil"/>
                  </w:tcBorders>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核算方法</w:t>
                  </w:r>
                </w:p>
              </w:tc>
              <w:tc>
                <w:tcPr>
                  <w:tcW w:w="495" w:type="pct"/>
                  <w:tcBorders>
                    <w:tl2br w:val="nil"/>
                    <w:tr2bl w:val="nil"/>
                  </w:tcBorders>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color w:val="auto"/>
                    </w:rPr>
                    <w:t>产生量（t/a）</w:t>
                  </w:r>
                </w:p>
              </w:tc>
              <w:tc>
                <w:tcPr>
                  <w:tcW w:w="600" w:type="pct"/>
                  <w:tcBorders>
                    <w:tl2br w:val="nil"/>
                    <w:tr2bl w:val="nil"/>
                  </w:tcBorders>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工艺</w:t>
                  </w:r>
                </w:p>
              </w:tc>
              <w:tc>
                <w:tcPr>
                  <w:tcW w:w="547" w:type="pct"/>
                  <w:tcBorders>
                    <w:tl2br w:val="nil"/>
                    <w:tr2bl w:val="nil"/>
                  </w:tcBorders>
                  <w:vAlign w:val="center"/>
                </w:tcPr>
                <w:p>
                  <w:pPr>
                    <w:pStyle w:val="46"/>
                    <w:rPr>
                      <w:rFonts w:hint="default" w:ascii="Times New Roman" w:hAnsi="Times New Roman" w:eastAsia="宋体" w:cs="Times New Roman"/>
                      <w:b/>
                      <w:bCs/>
                    </w:rPr>
                  </w:pPr>
                  <w:r>
                    <w:rPr>
                      <w:rFonts w:hint="default" w:ascii="Times New Roman" w:hAnsi="Times New Roman" w:eastAsia="宋体" w:cs="Times New Roman"/>
                      <w:b/>
                      <w:bCs/>
                    </w:rPr>
                    <w:t>处置量（t/a）</w:t>
                  </w:r>
                </w:p>
              </w:tc>
              <w:tc>
                <w:tcPr>
                  <w:tcW w:w="654" w:type="pct"/>
                  <w:vMerge w:val="continue"/>
                  <w:tcBorders>
                    <w:tl2br w:val="nil"/>
                    <w:tr2bl w:val="nil"/>
                  </w:tcBorders>
                  <w:vAlign w:val="center"/>
                </w:tcPr>
                <w:p>
                  <w:pPr>
                    <w:pStyle w:val="46"/>
                    <w:rPr>
                      <w:rFonts w:hint="default" w:ascii="Times New Roman" w:hAnsi="Times New Roman" w:eastAsia="宋体" w:cs="Times New Roma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59"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日常办公</w:t>
                  </w:r>
                </w:p>
              </w:tc>
              <w:tc>
                <w:tcPr>
                  <w:tcW w:w="1183" w:type="pct"/>
                  <w:gridSpan w:val="2"/>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生活垃圾</w:t>
                  </w:r>
                </w:p>
              </w:tc>
              <w:tc>
                <w:tcPr>
                  <w:tcW w:w="759"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产污系数法</w:t>
                  </w:r>
                </w:p>
              </w:tc>
              <w:tc>
                <w:tcPr>
                  <w:tcW w:w="495"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0.93</w:t>
                  </w:r>
                </w:p>
              </w:tc>
              <w:tc>
                <w:tcPr>
                  <w:tcW w:w="600"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交给环卫清运</w:t>
                  </w:r>
                </w:p>
              </w:tc>
              <w:tc>
                <w:tcPr>
                  <w:tcW w:w="547"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0.93</w:t>
                  </w:r>
                </w:p>
              </w:tc>
              <w:tc>
                <w:tcPr>
                  <w:tcW w:w="654"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交给环卫清运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59"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原辅料使用</w:t>
                  </w:r>
                </w:p>
              </w:tc>
              <w:tc>
                <w:tcPr>
                  <w:tcW w:w="1183" w:type="pct"/>
                  <w:gridSpan w:val="2"/>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废原料空罐/桶</w:t>
                  </w:r>
                </w:p>
              </w:tc>
              <w:tc>
                <w:tcPr>
                  <w:tcW w:w="759"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物料平衡法</w:t>
                  </w:r>
                </w:p>
              </w:tc>
              <w:tc>
                <w:tcPr>
                  <w:tcW w:w="495"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0.01</w:t>
                  </w:r>
                </w:p>
              </w:tc>
              <w:tc>
                <w:tcPr>
                  <w:tcW w:w="600"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生产商回收利用</w:t>
                  </w:r>
                </w:p>
              </w:tc>
              <w:tc>
                <w:tcPr>
                  <w:tcW w:w="547"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0.01</w:t>
                  </w:r>
                </w:p>
              </w:tc>
              <w:tc>
                <w:tcPr>
                  <w:tcW w:w="654"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生产商回收利用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59"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分切、模切</w:t>
                  </w:r>
                </w:p>
              </w:tc>
              <w:tc>
                <w:tcPr>
                  <w:tcW w:w="441" w:type="pct"/>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一般工业废物</w:t>
                  </w:r>
                </w:p>
              </w:tc>
              <w:tc>
                <w:tcPr>
                  <w:tcW w:w="742"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废边角料</w:t>
                  </w:r>
                </w:p>
              </w:tc>
              <w:tc>
                <w:tcPr>
                  <w:tcW w:w="759"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物料平衡法</w:t>
                  </w:r>
                </w:p>
              </w:tc>
              <w:tc>
                <w:tcPr>
                  <w:tcW w:w="495"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0.1</w:t>
                  </w:r>
                </w:p>
              </w:tc>
              <w:tc>
                <w:tcPr>
                  <w:tcW w:w="600" w:type="pct"/>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外售综合处理</w:t>
                  </w:r>
                </w:p>
              </w:tc>
              <w:tc>
                <w:tcPr>
                  <w:tcW w:w="547"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0.1</w:t>
                  </w:r>
                </w:p>
              </w:tc>
              <w:tc>
                <w:tcPr>
                  <w:tcW w:w="654" w:type="pct"/>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外售综合处理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59"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原辅料使用</w:t>
                  </w:r>
                </w:p>
              </w:tc>
              <w:tc>
                <w:tcPr>
                  <w:tcW w:w="441"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742"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废包装材料</w:t>
                  </w:r>
                </w:p>
              </w:tc>
              <w:tc>
                <w:tcPr>
                  <w:tcW w:w="759"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物料平衡法</w:t>
                  </w:r>
                </w:p>
              </w:tc>
              <w:tc>
                <w:tcPr>
                  <w:tcW w:w="495"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0.05</w:t>
                  </w:r>
                </w:p>
              </w:tc>
              <w:tc>
                <w:tcPr>
                  <w:tcW w:w="600"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547"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0.05</w:t>
                  </w:r>
                </w:p>
              </w:tc>
              <w:tc>
                <w:tcPr>
                  <w:tcW w:w="654" w:type="pct"/>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59"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原辅料使用</w:t>
                  </w:r>
                </w:p>
              </w:tc>
              <w:tc>
                <w:tcPr>
                  <w:tcW w:w="441"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742"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废PS版</w:t>
                  </w:r>
                </w:p>
              </w:tc>
              <w:tc>
                <w:tcPr>
                  <w:tcW w:w="759"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物料平衡法</w:t>
                  </w:r>
                </w:p>
              </w:tc>
              <w:tc>
                <w:tcPr>
                  <w:tcW w:w="495"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500张</w:t>
                  </w:r>
                </w:p>
              </w:tc>
              <w:tc>
                <w:tcPr>
                  <w:tcW w:w="600"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547"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500张</w:t>
                  </w:r>
                </w:p>
              </w:tc>
              <w:tc>
                <w:tcPr>
                  <w:tcW w:w="654" w:type="pct"/>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59"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打钉</w:t>
                  </w:r>
                </w:p>
              </w:tc>
              <w:tc>
                <w:tcPr>
                  <w:tcW w:w="441"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742"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废钉线</w:t>
                  </w:r>
                </w:p>
              </w:tc>
              <w:tc>
                <w:tcPr>
                  <w:tcW w:w="759"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物料平衡法</w:t>
                  </w:r>
                </w:p>
              </w:tc>
              <w:tc>
                <w:tcPr>
                  <w:tcW w:w="495"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0.01</w:t>
                  </w:r>
                </w:p>
              </w:tc>
              <w:tc>
                <w:tcPr>
                  <w:tcW w:w="600"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547"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0.01</w:t>
                  </w:r>
                </w:p>
              </w:tc>
              <w:tc>
                <w:tcPr>
                  <w:tcW w:w="654" w:type="pct"/>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59"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清洗</w:t>
                  </w:r>
                </w:p>
              </w:tc>
              <w:tc>
                <w:tcPr>
                  <w:tcW w:w="441" w:type="pct"/>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危险废物</w:t>
                  </w:r>
                </w:p>
              </w:tc>
              <w:tc>
                <w:tcPr>
                  <w:tcW w:w="742"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废抹布</w:t>
                  </w:r>
                </w:p>
              </w:tc>
              <w:tc>
                <w:tcPr>
                  <w:tcW w:w="759"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物料平衡法</w:t>
                  </w:r>
                </w:p>
              </w:tc>
              <w:tc>
                <w:tcPr>
                  <w:tcW w:w="495"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0.03</w:t>
                  </w:r>
                </w:p>
              </w:tc>
              <w:tc>
                <w:tcPr>
                  <w:tcW w:w="600" w:type="pct"/>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交由有危险废物处理资质的单位处置</w:t>
                  </w:r>
                </w:p>
              </w:tc>
              <w:tc>
                <w:tcPr>
                  <w:tcW w:w="547"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0.03</w:t>
                  </w:r>
                </w:p>
              </w:tc>
              <w:tc>
                <w:tcPr>
                  <w:tcW w:w="654" w:type="pct"/>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交由有危险废物处理资质的单位处置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59"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废气处理</w:t>
                  </w:r>
                </w:p>
              </w:tc>
              <w:tc>
                <w:tcPr>
                  <w:tcW w:w="441"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742"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废活性炭</w:t>
                  </w:r>
                </w:p>
              </w:tc>
              <w:tc>
                <w:tcPr>
                  <w:tcW w:w="759"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物料平衡法</w:t>
                  </w:r>
                </w:p>
              </w:tc>
              <w:tc>
                <w:tcPr>
                  <w:tcW w:w="495"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0.16</w:t>
                  </w:r>
                </w:p>
              </w:tc>
              <w:tc>
                <w:tcPr>
                  <w:tcW w:w="600"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547"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0.16</w:t>
                  </w:r>
                </w:p>
              </w:tc>
              <w:tc>
                <w:tcPr>
                  <w:tcW w:w="654" w:type="pct"/>
                  <w:vMerge w:val="continue"/>
                  <w:tcBorders>
                    <w:tl2br w:val="nil"/>
                    <w:tr2bl w:val="nil"/>
                  </w:tcBorders>
                  <w:vAlign w:val="center"/>
                </w:tcPr>
                <w:p>
                  <w:pPr>
                    <w:pStyle w:val="46"/>
                    <w:rPr>
                      <w:rFonts w:hint="default" w:ascii="Times New Roman" w:hAnsi="Times New Roman" w:eastAsia="宋体" w:cs="Times New Roman"/>
                      <w:color w:val="auto"/>
                    </w:rPr>
                  </w:pPr>
                </w:p>
              </w:tc>
            </w:tr>
          </w:tbl>
          <w:p>
            <w:pPr>
              <w:ind w:firstLine="480"/>
              <w:rPr>
                <w:rFonts w:hint="default" w:ascii="Times New Roman" w:hAnsi="Times New Roman" w:eastAsia="宋体" w:cs="Times New Roman"/>
              </w:rPr>
            </w:pPr>
            <w:r>
              <w:rPr>
                <w:rFonts w:hint="default" w:ascii="Times New Roman" w:hAnsi="Times New Roman" w:eastAsia="宋体" w:cs="Times New Roman"/>
              </w:rPr>
              <w:t>项目危险废物汇总表请见下表。</w:t>
            </w:r>
          </w:p>
          <w:p>
            <w:pPr>
              <w:pStyle w:val="45"/>
              <w:rPr>
                <w:rFonts w:hint="default" w:ascii="Times New Roman" w:hAnsi="Times New Roman" w:eastAsia="宋体" w:cs="Times New Roman"/>
                <w:b/>
                <w:bCs/>
              </w:rPr>
            </w:pPr>
            <w:r>
              <w:rPr>
                <w:rFonts w:hint="default" w:ascii="Times New Roman" w:hAnsi="Times New Roman" w:eastAsia="宋体" w:cs="Times New Roman"/>
                <w:b/>
                <w:bCs/>
              </w:rPr>
              <w:t>表5-8 项目危险废物排放情况一览表</w:t>
            </w:r>
          </w:p>
          <w:tbl>
            <w:tblPr>
              <w:tblStyle w:val="24"/>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2"/>
              <w:gridCol w:w="718"/>
              <w:gridCol w:w="969"/>
              <w:gridCol w:w="1248"/>
              <w:gridCol w:w="955"/>
              <w:gridCol w:w="1060"/>
              <w:gridCol w:w="700"/>
              <w:gridCol w:w="698"/>
              <w:gridCol w:w="750"/>
              <w:gridCol w:w="727"/>
              <w:gridCol w:w="7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5" w:hRule="atLeast"/>
                <w:tblHeader/>
                <w:jc w:val="center"/>
              </w:trPr>
              <w:tc>
                <w:tcPr>
                  <w:tcW w:w="261" w:type="pct"/>
                  <w:tcBorders>
                    <w:tl2br w:val="nil"/>
                    <w:tr2bl w:val="nil"/>
                  </w:tcBorders>
                  <w:vAlign w:val="center"/>
                </w:tcPr>
                <w:p>
                  <w:pPr>
                    <w:pStyle w:val="46"/>
                    <w:bidi w:val="0"/>
                    <w:rPr>
                      <w:rFonts w:hint="default" w:ascii="Times New Roman" w:hAnsi="Times New Roman" w:eastAsia="宋体" w:cs="Times New Roman"/>
                      <w:b/>
                      <w:bCs/>
                    </w:rPr>
                  </w:pPr>
                  <w:r>
                    <w:rPr>
                      <w:rFonts w:hint="default" w:ascii="Times New Roman" w:hAnsi="Times New Roman" w:eastAsia="宋体" w:cs="Times New Roman"/>
                      <w:b/>
                      <w:bCs/>
                    </w:rPr>
                    <w:t>序号</w:t>
                  </w:r>
                </w:p>
              </w:tc>
              <w:tc>
                <w:tcPr>
                  <w:tcW w:w="397" w:type="pct"/>
                  <w:tcBorders>
                    <w:tl2br w:val="nil"/>
                    <w:tr2bl w:val="nil"/>
                  </w:tcBorders>
                  <w:vAlign w:val="center"/>
                </w:tcPr>
                <w:p>
                  <w:pPr>
                    <w:pStyle w:val="46"/>
                    <w:bidi w:val="0"/>
                    <w:rPr>
                      <w:rFonts w:hint="default" w:ascii="Times New Roman" w:hAnsi="Times New Roman" w:eastAsia="宋体" w:cs="Times New Roman"/>
                      <w:b/>
                      <w:bCs/>
                    </w:rPr>
                  </w:pPr>
                  <w:r>
                    <w:rPr>
                      <w:rFonts w:hint="default" w:ascii="Times New Roman" w:hAnsi="Times New Roman" w:eastAsia="宋体" w:cs="Times New Roman"/>
                      <w:b/>
                      <w:bCs/>
                    </w:rPr>
                    <w:t>危险废物名称</w:t>
                  </w:r>
                </w:p>
              </w:tc>
              <w:tc>
                <w:tcPr>
                  <w:tcW w:w="536" w:type="pct"/>
                  <w:tcBorders>
                    <w:tl2br w:val="nil"/>
                    <w:tr2bl w:val="nil"/>
                  </w:tcBorders>
                  <w:vAlign w:val="center"/>
                </w:tcPr>
                <w:p>
                  <w:pPr>
                    <w:pStyle w:val="46"/>
                    <w:bidi w:val="0"/>
                    <w:rPr>
                      <w:rFonts w:hint="default" w:ascii="Times New Roman" w:hAnsi="Times New Roman" w:eastAsia="宋体" w:cs="Times New Roman"/>
                      <w:b/>
                      <w:bCs/>
                    </w:rPr>
                  </w:pPr>
                  <w:r>
                    <w:rPr>
                      <w:rFonts w:hint="default" w:ascii="Times New Roman" w:hAnsi="Times New Roman" w:eastAsia="宋体" w:cs="Times New Roman"/>
                      <w:b/>
                      <w:bCs/>
                    </w:rPr>
                    <w:t>危险废物类别</w:t>
                  </w:r>
                </w:p>
              </w:tc>
              <w:tc>
                <w:tcPr>
                  <w:tcW w:w="690" w:type="pct"/>
                  <w:tcBorders>
                    <w:tl2br w:val="nil"/>
                    <w:tr2bl w:val="nil"/>
                  </w:tcBorders>
                  <w:vAlign w:val="center"/>
                </w:tcPr>
                <w:p>
                  <w:pPr>
                    <w:pStyle w:val="46"/>
                    <w:bidi w:val="0"/>
                    <w:rPr>
                      <w:rFonts w:hint="default" w:ascii="Times New Roman" w:hAnsi="Times New Roman" w:eastAsia="宋体" w:cs="Times New Roman"/>
                      <w:b/>
                      <w:bCs/>
                    </w:rPr>
                  </w:pPr>
                  <w:r>
                    <w:rPr>
                      <w:rFonts w:hint="default" w:ascii="Times New Roman" w:hAnsi="Times New Roman" w:eastAsia="宋体" w:cs="Times New Roman"/>
                      <w:b/>
                      <w:bCs/>
                    </w:rPr>
                    <w:t>危险废物代码</w:t>
                  </w:r>
                </w:p>
              </w:tc>
              <w:tc>
                <w:tcPr>
                  <w:tcW w:w="528" w:type="pct"/>
                  <w:tcBorders>
                    <w:tl2br w:val="nil"/>
                    <w:tr2bl w:val="nil"/>
                  </w:tcBorders>
                  <w:vAlign w:val="center"/>
                </w:tcPr>
                <w:p>
                  <w:pPr>
                    <w:pStyle w:val="46"/>
                    <w:bidi w:val="0"/>
                    <w:rPr>
                      <w:rFonts w:hint="default" w:ascii="Times New Roman" w:hAnsi="Times New Roman" w:eastAsia="宋体" w:cs="Times New Roman"/>
                      <w:b/>
                      <w:bCs/>
                    </w:rPr>
                  </w:pPr>
                  <w:r>
                    <w:rPr>
                      <w:rFonts w:hint="default" w:ascii="Times New Roman" w:hAnsi="Times New Roman" w:eastAsia="宋体" w:cs="Times New Roman"/>
                      <w:b/>
                      <w:bCs/>
                    </w:rPr>
                    <w:t>产生量（t/a）</w:t>
                  </w:r>
                </w:p>
              </w:tc>
              <w:tc>
                <w:tcPr>
                  <w:tcW w:w="586" w:type="pct"/>
                  <w:tcBorders>
                    <w:tl2br w:val="nil"/>
                    <w:tr2bl w:val="nil"/>
                  </w:tcBorders>
                  <w:vAlign w:val="center"/>
                </w:tcPr>
                <w:p>
                  <w:pPr>
                    <w:pStyle w:val="46"/>
                    <w:bidi w:val="0"/>
                    <w:rPr>
                      <w:rFonts w:hint="default" w:ascii="Times New Roman" w:hAnsi="Times New Roman" w:eastAsia="宋体" w:cs="Times New Roman"/>
                      <w:b/>
                      <w:bCs/>
                    </w:rPr>
                  </w:pPr>
                  <w:r>
                    <w:rPr>
                      <w:rFonts w:hint="default" w:ascii="Times New Roman" w:hAnsi="Times New Roman" w:eastAsia="宋体" w:cs="Times New Roman"/>
                      <w:b/>
                      <w:bCs/>
                    </w:rPr>
                    <w:t>产生工序或装置</w:t>
                  </w:r>
                </w:p>
              </w:tc>
              <w:tc>
                <w:tcPr>
                  <w:tcW w:w="387" w:type="pct"/>
                  <w:tcBorders>
                    <w:tl2br w:val="nil"/>
                    <w:tr2bl w:val="nil"/>
                  </w:tcBorders>
                  <w:vAlign w:val="center"/>
                </w:tcPr>
                <w:p>
                  <w:pPr>
                    <w:pStyle w:val="46"/>
                    <w:bidi w:val="0"/>
                    <w:rPr>
                      <w:rFonts w:hint="default" w:ascii="Times New Roman" w:hAnsi="Times New Roman" w:eastAsia="宋体" w:cs="Times New Roman"/>
                      <w:b/>
                      <w:bCs/>
                    </w:rPr>
                  </w:pPr>
                  <w:r>
                    <w:rPr>
                      <w:rFonts w:hint="default" w:ascii="Times New Roman" w:hAnsi="Times New Roman" w:eastAsia="宋体" w:cs="Times New Roman"/>
                      <w:b/>
                      <w:bCs/>
                    </w:rPr>
                    <w:t>形态</w:t>
                  </w:r>
                </w:p>
              </w:tc>
              <w:tc>
                <w:tcPr>
                  <w:tcW w:w="386" w:type="pct"/>
                  <w:tcBorders>
                    <w:tl2br w:val="nil"/>
                    <w:tr2bl w:val="nil"/>
                  </w:tcBorders>
                  <w:vAlign w:val="center"/>
                </w:tcPr>
                <w:p>
                  <w:pPr>
                    <w:pStyle w:val="46"/>
                    <w:bidi w:val="0"/>
                    <w:rPr>
                      <w:rFonts w:hint="default" w:ascii="Times New Roman" w:hAnsi="Times New Roman" w:eastAsia="宋体" w:cs="Times New Roman"/>
                      <w:b/>
                      <w:bCs/>
                    </w:rPr>
                  </w:pPr>
                  <w:r>
                    <w:rPr>
                      <w:rFonts w:hint="default" w:ascii="Times New Roman" w:hAnsi="Times New Roman" w:eastAsia="宋体" w:cs="Times New Roman"/>
                      <w:b/>
                      <w:bCs/>
                    </w:rPr>
                    <w:t>主要成分</w:t>
                  </w:r>
                </w:p>
              </w:tc>
              <w:tc>
                <w:tcPr>
                  <w:tcW w:w="415" w:type="pct"/>
                  <w:tcBorders>
                    <w:tl2br w:val="nil"/>
                    <w:tr2bl w:val="nil"/>
                  </w:tcBorders>
                  <w:vAlign w:val="center"/>
                </w:tcPr>
                <w:p>
                  <w:pPr>
                    <w:pStyle w:val="46"/>
                    <w:bidi w:val="0"/>
                    <w:rPr>
                      <w:rFonts w:hint="default" w:ascii="Times New Roman" w:hAnsi="Times New Roman" w:eastAsia="宋体" w:cs="Times New Roman"/>
                      <w:b/>
                      <w:bCs/>
                    </w:rPr>
                  </w:pPr>
                  <w:r>
                    <w:rPr>
                      <w:rFonts w:hint="default" w:ascii="Times New Roman" w:hAnsi="Times New Roman" w:eastAsia="宋体" w:cs="Times New Roman"/>
                      <w:b/>
                      <w:bCs/>
                    </w:rPr>
                    <w:t>产废周期</w:t>
                  </w:r>
                </w:p>
              </w:tc>
              <w:tc>
                <w:tcPr>
                  <w:tcW w:w="402" w:type="pct"/>
                  <w:tcBorders>
                    <w:tl2br w:val="nil"/>
                    <w:tr2bl w:val="nil"/>
                  </w:tcBorders>
                  <w:vAlign w:val="center"/>
                </w:tcPr>
                <w:p>
                  <w:pPr>
                    <w:pStyle w:val="46"/>
                    <w:bidi w:val="0"/>
                    <w:rPr>
                      <w:rFonts w:hint="default" w:ascii="Times New Roman" w:hAnsi="Times New Roman" w:eastAsia="宋体" w:cs="Times New Roman"/>
                      <w:b/>
                      <w:bCs/>
                    </w:rPr>
                  </w:pPr>
                  <w:r>
                    <w:rPr>
                      <w:rFonts w:hint="default" w:ascii="Times New Roman" w:hAnsi="Times New Roman" w:eastAsia="宋体" w:cs="Times New Roman"/>
                      <w:b/>
                      <w:bCs/>
                    </w:rPr>
                    <w:t>危险特性</w:t>
                  </w:r>
                </w:p>
              </w:tc>
              <w:tc>
                <w:tcPr>
                  <w:tcW w:w="407" w:type="pct"/>
                  <w:tcBorders>
                    <w:tl2br w:val="nil"/>
                    <w:tr2bl w:val="nil"/>
                  </w:tcBorders>
                  <w:vAlign w:val="center"/>
                </w:tcPr>
                <w:p>
                  <w:pPr>
                    <w:pStyle w:val="46"/>
                    <w:bidi w:val="0"/>
                    <w:rPr>
                      <w:rFonts w:hint="default" w:ascii="Times New Roman" w:hAnsi="Times New Roman" w:eastAsia="宋体" w:cs="Times New Roman"/>
                      <w:b/>
                      <w:bCs/>
                    </w:rPr>
                  </w:pPr>
                  <w:r>
                    <w:rPr>
                      <w:rFonts w:hint="default" w:ascii="Times New Roman" w:hAnsi="Times New Roman" w:eastAsia="宋体" w:cs="Times New Roman"/>
                      <w:b/>
                      <w:bCs/>
                    </w:rPr>
                    <w:t>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9" w:hRule="atLeast"/>
                <w:tblHeader/>
                <w:jc w:val="center"/>
              </w:trPr>
              <w:tc>
                <w:tcPr>
                  <w:tcW w:w="261" w:type="pct"/>
                  <w:tcBorders>
                    <w:tl2br w:val="nil"/>
                    <w:tr2bl w:val="nil"/>
                  </w:tcBorders>
                  <w:vAlign w:val="center"/>
                </w:tcPr>
                <w:p>
                  <w:pPr>
                    <w:pStyle w:val="46"/>
                    <w:bidi w:val="0"/>
                    <w:rPr>
                      <w:rFonts w:hint="default" w:ascii="Times New Roman" w:hAnsi="Times New Roman" w:eastAsia="宋体" w:cs="Times New Roman"/>
                    </w:rPr>
                  </w:pPr>
                  <w:r>
                    <w:rPr>
                      <w:rFonts w:hint="default" w:ascii="Times New Roman" w:hAnsi="Times New Roman" w:eastAsia="宋体" w:cs="Times New Roman"/>
                    </w:rPr>
                    <w:t>1</w:t>
                  </w:r>
                </w:p>
              </w:tc>
              <w:tc>
                <w:tcPr>
                  <w:tcW w:w="397" w:type="pct"/>
                  <w:tcBorders>
                    <w:tl2br w:val="nil"/>
                    <w:tr2bl w:val="nil"/>
                  </w:tcBorders>
                  <w:vAlign w:val="center"/>
                </w:tcPr>
                <w:p>
                  <w:pPr>
                    <w:pStyle w:val="46"/>
                    <w:bidi w:val="0"/>
                    <w:rPr>
                      <w:rFonts w:hint="default" w:ascii="Times New Roman" w:hAnsi="Times New Roman" w:eastAsia="宋体" w:cs="Times New Roman"/>
                    </w:rPr>
                  </w:pPr>
                  <w:r>
                    <w:rPr>
                      <w:rFonts w:hint="default" w:ascii="Times New Roman" w:hAnsi="Times New Roman" w:eastAsia="宋体" w:cs="Times New Roman"/>
                    </w:rPr>
                    <w:t>废活性炭</w:t>
                  </w:r>
                </w:p>
              </w:tc>
              <w:tc>
                <w:tcPr>
                  <w:tcW w:w="536" w:type="pct"/>
                  <w:tcBorders>
                    <w:tl2br w:val="nil"/>
                    <w:tr2bl w:val="nil"/>
                  </w:tcBorders>
                  <w:vAlign w:val="center"/>
                </w:tcPr>
                <w:p>
                  <w:pPr>
                    <w:pStyle w:val="46"/>
                    <w:bidi w:val="0"/>
                    <w:rPr>
                      <w:rFonts w:hint="default" w:ascii="Times New Roman" w:hAnsi="Times New Roman" w:eastAsia="宋体" w:cs="Times New Roman"/>
                    </w:rPr>
                  </w:pPr>
                  <w:r>
                    <w:rPr>
                      <w:rFonts w:hint="default" w:ascii="Times New Roman" w:hAnsi="Times New Roman" w:eastAsia="宋体" w:cs="Times New Roman"/>
                    </w:rPr>
                    <w:t>HW49</w:t>
                  </w:r>
                </w:p>
              </w:tc>
              <w:tc>
                <w:tcPr>
                  <w:tcW w:w="690" w:type="pct"/>
                  <w:tcBorders>
                    <w:tl2br w:val="nil"/>
                    <w:tr2bl w:val="nil"/>
                  </w:tcBorders>
                  <w:vAlign w:val="center"/>
                </w:tcPr>
                <w:p>
                  <w:pPr>
                    <w:pStyle w:val="46"/>
                    <w:bidi w:val="0"/>
                    <w:rPr>
                      <w:rFonts w:hint="default" w:ascii="Times New Roman" w:hAnsi="Times New Roman" w:eastAsia="宋体" w:cs="Times New Roman"/>
                    </w:rPr>
                  </w:pPr>
                  <w:r>
                    <w:rPr>
                      <w:rFonts w:hint="default" w:ascii="Times New Roman" w:hAnsi="Times New Roman" w:eastAsia="宋体" w:cs="Times New Roman"/>
                    </w:rPr>
                    <w:t>900-041-49</w:t>
                  </w:r>
                </w:p>
              </w:tc>
              <w:tc>
                <w:tcPr>
                  <w:tcW w:w="528" w:type="pct"/>
                  <w:tcBorders>
                    <w:tl2br w:val="nil"/>
                    <w:tr2bl w:val="nil"/>
                  </w:tcBorders>
                  <w:vAlign w:val="center"/>
                </w:tcPr>
                <w:p>
                  <w:pPr>
                    <w:pStyle w:val="46"/>
                    <w:bidi w:val="0"/>
                    <w:rPr>
                      <w:rFonts w:hint="default" w:ascii="Times New Roman" w:hAnsi="Times New Roman" w:eastAsia="宋体" w:cs="Times New Roman"/>
                    </w:rPr>
                  </w:pPr>
                  <w:r>
                    <w:rPr>
                      <w:rFonts w:hint="default" w:ascii="Times New Roman" w:hAnsi="Times New Roman" w:eastAsia="宋体" w:cs="Times New Roman"/>
                    </w:rPr>
                    <w:t>0.16</w:t>
                  </w:r>
                </w:p>
              </w:tc>
              <w:tc>
                <w:tcPr>
                  <w:tcW w:w="586" w:type="pct"/>
                  <w:tcBorders>
                    <w:tl2br w:val="nil"/>
                    <w:tr2bl w:val="nil"/>
                  </w:tcBorders>
                  <w:vAlign w:val="center"/>
                </w:tcPr>
                <w:p>
                  <w:pPr>
                    <w:pStyle w:val="46"/>
                    <w:bidi w:val="0"/>
                    <w:rPr>
                      <w:rFonts w:hint="default" w:ascii="Times New Roman" w:hAnsi="Times New Roman" w:eastAsia="宋体" w:cs="Times New Roman"/>
                    </w:rPr>
                  </w:pPr>
                  <w:r>
                    <w:rPr>
                      <w:rFonts w:hint="default" w:ascii="Times New Roman" w:hAnsi="Times New Roman" w:eastAsia="宋体" w:cs="Times New Roman"/>
                    </w:rPr>
                    <w:t>活性炭吸附装置</w:t>
                  </w:r>
                </w:p>
              </w:tc>
              <w:tc>
                <w:tcPr>
                  <w:tcW w:w="387" w:type="pct"/>
                  <w:tcBorders>
                    <w:tl2br w:val="nil"/>
                    <w:tr2bl w:val="nil"/>
                  </w:tcBorders>
                  <w:vAlign w:val="center"/>
                </w:tcPr>
                <w:p>
                  <w:pPr>
                    <w:pStyle w:val="46"/>
                    <w:bidi w:val="0"/>
                    <w:rPr>
                      <w:rFonts w:hint="default" w:ascii="Times New Roman" w:hAnsi="Times New Roman" w:eastAsia="宋体" w:cs="Times New Roman"/>
                    </w:rPr>
                  </w:pPr>
                  <w:r>
                    <w:rPr>
                      <w:rFonts w:hint="default" w:ascii="Times New Roman" w:hAnsi="Times New Roman" w:eastAsia="宋体" w:cs="Times New Roman"/>
                    </w:rPr>
                    <w:t>固态</w:t>
                  </w:r>
                </w:p>
              </w:tc>
              <w:tc>
                <w:tcPr>
                  <w:tcW w:w="386" w:type="pct"/>
                  <w:tcBorders>
                    <w:tl2br w:val="nil"/>
                    <w:tr2bl w:val="nil"/>
                  </w:tcBorders>
                  <w:vAlign w:val="center"/>
                </w:tcPr>
                <w:p>
                  <w:pPr>
                    <w:pStyle w:val="46"/>
                    <w:bidi w:val="0"/>
                    <w:rPr>
                      <w:rFonts w:hint="default" w:ascii="Times New Roman" w:hAnsi="Times New Roman" w:eastAsia="宋体" w:cs="Times New Roman"/>
                    </w:rPr>
                  </w:pPr>
                  <w:r>
                    <w:rPr>
                      <w:rFonts w:hint="default" w:ascii="Times New Roman" w:hAnsi="Times New Roman" w:eastAsia="宋体" w:cs="Times New Roman"/>
                    </w:rPr>
                    <w:t>废活性炭</w:t>
                  </w:r>
                </w:p>
              </w:tc>
              <w:tc>
                <w:tcPr>
                  <w:tcW w:w="415" w:type="pct"/>
                  <w:tcBorders>
                    <w:tl2br w:val="nil"/>
                    <w:tr2bl w:val="nil"/>
                  </w:tcBorders>
                  <w:vAlign w:val="center"/>
                </w:tcPr>
                <w:p>
                  <w:pPr>
                    <w:pStyle w:val="46"/>
                    <w:bidi w:val="0"/>
                    <w:rPr>
                      <w:rFonts w:hint="default" w:ascii="Times New Roman" w:hAnsi="Times New Roman" w:eastAsia="宋体" w:cs="Times New Roman"/>
                    </w:rPr>
                  </w:pPr>
                  <w:r>
                    <w:rPr>
                      <w:rFonts w:hint="default" w:ascii="Times New Roman" w:hAnsi="Times New Roman" w:eastAsia="宋体" w:cs="Times New Roman"/>
                    </w:rPr>
                    <w:t>半年</w:t>
                  </w:r>
                </w:p>
              </w:tc>
              <w:tc>
                <w:tcPr>
                  <w:tcW w:w="402" w:type="pct"/>
                  <w:tcBorders>
                    <w:tl2br w:val="nil"/>
                    <w:tr2bl w:val="nil"/>
                  </w:tcBorders>
                  <w:vAlign w:val="center"/>
                </w:tcPr>
                <w:p>
                  <w:pPr>
                    <w:pStyle w:val="46"/>
                    <w:bidi w:val="0"/>
                    <w:rPr>
                      <w:rFonts w:hint="default" w:ascii="Times New Roman" w:hAnsi="Times New Roman" w:eastAsia="宋体" w:cs="Times New Roman"/>
                    </w:rPr>
                  </w:pPr>
                  <w:r>
                    <w:rPr>
                      <w:rFonts w:hint="default" w:ascii="Times New Roman" w:hAnsi="Times New Roman" w:eastAsia="宋体" w:cs="Times New Roman"/>
                    </w:rPr>
                    <w:t>T/In</w:t>
                  </w:r>
                </w:p>
              </w:tc>
              <w:tc>
                <w:tcPr>
                  <w:tcW w:w="407" w:type="pct"/>
                  <w:vMerge w:val="restart"/>
                  <w:tcBorders>
                    <w:tl2br w:val="nil"/>
                    <w:tr2bl w:val="nil"/>
                  </w:tcBorders>
                  <w:vAlign w:val="center"/>
                </w:tcPr>
                <w:p>
                  <w:pPr>
                    <w:pStyle w:val="46"/>
                    <w:bidi w:val="0"/>
                    <w:rPr>
                      <w:rFonts w:hint="default" w:ascii="Times New Roman" w:hAnsi="Times New Roman" w:eastAsia="宋体" w:cs="Times New Roman"/>
                    </w:rPr>
                  </w:pPr>
                  <w:r>
                    <w:rPr>
                      <w:rFonts w:hint="default" w:ascii="Times New Roman" w:hAnsi="Times New Roman" w:eastAsia="宋体" w:cs="Times New Roman"/>
                    </w:rPr>
                    <w:t>交有危废资质单位处理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9" w:hRule="atLeast"/>
                <w:tblHeader/>
                <w:jc w:val="center"/>
              </w:trPr>
              <w:tc>
                <w:tcPr>
                  <w:tcW w:w="261" w:type="pct"/>
                  <w:tcBorders>
                    <w:tl2br w:val="nil"/>
                    <w:tr2bl w:val="nil"/>
                  </w:tcBorders>
                  <w:vAlign w:val="center"/>
                </w:tcPr>
                <w:p>
                  <w:pPr>
                    <w:pStyle w:val="46"/>
                    <w:bidi w:val="0"/>
                    <w:rPr>
                      <w:rFonts w:hint="default" w:ascii="Times New Roman" w:hAnsi="Times New Roman" w:eastAsia="宋体" w:cs="Times New Roman"/>
                    </w:rPr>
                  </w:pPr>
                  <w:r>
                    <w:rPr>
                      <w:rFonts w:hint="default" w:ascii="Times New Roman" w:hAnsi="Times New Roman" w:eastAsia="宋体" w:cs="Times New Roman"/>
                    </w:rPr>
                    <w:t>2</w:t>
                  </w:r>
                </w:p>
              </w:tc>
              <w:tc>
                <w:tcPr>
                  <w:tcW w:w="397" w:type="pct"/>
                  <w:tcBorders>
                    <w:tl2br w:val="nil"/>
                    <w:tr2bl w:val="nil"/>
                  </w:tcBorders>
                  <w:vAlign w:val="center"/>
                </w:tcPr>
                <w:p>
                  <w:pPr>
                    <w:pStyle w:val="46"/>
                    <w:bidi w:val="0"/>
                    <w:rPr>
                      <w:rFonts w:hint="default" w:ascii="Times New Roman" w:hAnsi="Times New Roman" w:eastAsia="宋体" w:cs="Times New Roman"/>
                    </w:rPr>
                  </w:pPr>
                  <w:r>
                    <w:rPr>
                      <w:rFonts w:hint="default" w:ascii="Times New Roman" w:hAnsi="Times New Roman" w:eastAsia="宋体" w:cs="Times New Roman"/>
                    </w:rPr>
                    <w:t>废抹布</w:t>
                  </w:r>
                </w:p>
              </w:tc>
              <w:tc>
                <w:tcPr>
                  <w:tcW w:w="536" w:type="pct"/>
                  <w:tcBorders>
                    <w:tl2br w:val="nil"/>
                    <w:tr2bl w:val="nil"/>
                  </w:tcBorders>
                  <w:vAlign w:val="center"/>
                </w:tcPr>
                <w:p>
                  <w:pPr>
                    <w:pStyle w:val="46"/>
                    <w:bidi w:val="0"/>
                    <w:rPr>
                      <w:rFonts w:hint="default" w:ascii="Times New Roman" w:hAnsi="Times New Roman" w:eastAsia="宋体" w:cs="Times New Roman"/>
                    </w:rPr>
                  </w:pPr>
                  <w:r>
                    <w:rPr>
                      <w:rFonts w:hint="default" w:ascii="Times New Roman" w:hAnsi="Times New Roman" w:eastAsia="宋体" w:cs="Times New Roman"/>
                    </w:rPr>
                    <w:t>HW49</w:t>
                  </w:r>
                </w:p>
              </w:tc>
              <w:tc>
                <w:tcPr>
                  <w:tcW w:w="690" w:type="pct"/>
                  <w:tcBorders>
                    <w:tl2br w:val="nil"/>
                    <w:tr2bl w:val="nil"/>
                  </w:tcBorders>
                  <w:vAlign w:val="center"/>
                </w:tcPr>
                <w:p>
                  <w:pPr>
                    <w:pStyle w:val="46"/>
                    <w:bidi w:val="0"/>
                    <w:rPr>
                      <w:rFonts w:hint="default" w:ascii="Times New Roman" w:hAnsi="Times New Roman" w:eastAsia="宋体" w:cs="Times New Roman"/>
                    </w:rPr>
                  </w:pPr>
                  <w:r>
                    <w:rPr>
                      <w:rFonts w:hint="default" w:ascii="Times New Roman" w:hAnsi="Times New Roman" w:eastAsia="宋体" w:cs="Times New Roman"/>
                    </w:rPr>
                    <w:t>900-041-49</w:t>
                  </w:r>
                </w:p>
              </w:tc>
              <w:tc>
                <w:tcPr>
                  <w:tcW w:w="528" w:type="pct"/>
                  <w:tcBorders>
                    <w:tl2br w:val="nil"/>
                    <w:tr2bl w:val="nil"/>
                  </w:tcBorders>
                  <w:vAlign w:val="center"/>
                </w:tcPr>
                <w:p>
                  <w:pPr>
                    <w:pStyle w:val="46"/>
                    <w:bidi w:val="0"/>
                    <w:rPr>
                      <w:rFonts w:hint="default" w:ascii="Times New Roman" w:hAnsi="Times New Roman" w:eastAsia="宋体" w:cs="Times New Roman"/>
                    </w:rPr>
                  </w:pPr>
                  <w:r>
                    <w:rPr>
                      <w:rFonts w:hint="default" w:ascii="Times New Roman" w:hAnsi="Times New Roman" w:eastAsia="宋体" w:cs="Times New Roman"/>
                    </w:rPr>
                    <w:t>0.03</w:t>
                  </w:r>
                </w:p>
              </w:tc>
              <w:tc>
                <w:tcPr>
                  <w:tcW w:w="586" w:type="pct"/>
                  <w:tcBorders>
                    <w:tl2br w:val="nil"/>
                    <w:tr2bl w:val="nil"/>
                  </w:tcBorders>
                  <w:vAlign w:val="center"/>
                </w:tcPr>
                <w:p>
                  <w:pPr>
                    <w:pStyle w:val="46"/>
                    <w:bidi w:val="0"/>
                    <w:rPr>
                      <w:rFonts w:hint="default" w:ascii="Times New Roman" w:hAnsi="Times New Roman" w:eastAsia="宋体" w:cs="Times New Roman"/>
                    </w:rPr>
                  </w:pPr>
                  <w:r>
                    <w:rPr>
                      <w:rFonts w:hint="default" w:ascii="Times New Roman" w:hAnsi="Times New Roman" w:eastAsia="宋体" w:cs="Times New Roman"/>
                    </w:rPr>
                    <w:t>印刷设备清洗</w:t>
                  </w:r>
                </w:p>
              </w:tc>
              <w:tc>
                <w:tcPr>
                  <w:tcW w:w="387" w:type="pct"/>
                  <w:tcBorders>
                    <w:tl2br w:val="nil"/>
                    <w:tr2bl w:val="nil"/>
                  </w:tcBorders>
                  <w:vAlign w:val="center"/>
                </w:tcPr>
                <w:p>
                  <w:pPr>
                    <w:pStyle w:val="46"/>
                    <w:bidi w:val="0"/>
                    <w:rPr>
                      <w:rFonts w:hint="default" w:ascii="Times New Roman" w:hAnsi="Times New Roman" w:eastAsia="宋体" w:cs="Times New Roman"/>
                    </w:rPr>
                  </w:pPr>
                  <w:r>
                    <w:rPr>
                      <w:rFonts w:hint="default" w:ascii="Times New Roman" w:hAnsi="Times New Roman" w:eastAsia="宋体" w:cs="Times New Roman"/>
                    </w:rPr>
                    <w:t>固态</w:t>
                  </w:r>
                </w:p>
              </w:tc>
              <w:tc>
                <w:tcPr>
                  <w:tcW w:w="386" w:type="pct"/>
                  <w:tcBorders>
                    <w:tl2br w:val="nil"/>
                    <w:tr2bl w:val="nil"/>
                  </w:tcBorders>
                  <w:vAlign w:val="center"/>
                </w:tcPr>
                <w:p>
                  <w:pPr>
                    <w:pStyle w:val="46"/>
                    <w:bidi w:val="0"/>
                    <w:rPr>
                      <w:rFonts w:hint="default" w:ascii="Times New Roman" w:hAnsi="Times New Roman" w:eastAsia="宋体" w:cs="Times New Roman"/>
                    </w:rPr>
                  </w:pPr>
                  <w:r>
                    <w:rPr>
                      <w:rFonts w:hint="default" w:ascii="Times New Roman" w:hAnsi="Times New Roman" w:eastAsia="宋体" w:cs="Times New Roman"/>
                    </w:rPr>
                    <w:t>抹布</w:t>
                  </w:r>
                </w:p>
              </w:tc>
              <w:tc>
                <w:tcPr>
                  <w:tcW w:w="415" w:type="pct"/>
                  <w:tcBorders>
                    <w:tl2br w:val="nil"/>
                    <w:tr2bl w:val="nil"/>
                  </w:tcBorders>
                  <w:vAlign w:val="center"/>
                </w:tcPr>
                <w:p>
                  <w:pPr>
                    <w:pStyle w:val="46"/>
                    <w:bidi w:val="0"/>
                    <w:rPr>
                      <w:rFonts w:hint="default" w:ascii="Times New Roman" w:hAnsi="Times New Roman" w:eastAsia="宋体" w:cs="Times New Roman"/>
                    </w:rPr>
                  </w:pPr>
                  <w:r>
                    <w:rPr>
                      <w:rFonts w:hint="default" w:ascii="Times New Roman" w:hAnsi="Times New Roman" w:eastAsia="宋体" w:cs="Times New Roman"/>
                    </w:rPr>
                    <w:t>每天</w:t>
                  </w:r>
                </w:p>
              </w:tc>
              <w:tc>
                <w:tcPr>
                  <w:tcW w:w="402" w:type="pct"/>
                  <w:tcBorders>
                    <w:tl2br w:val="nil"/>
                    <w:tr2bl w:val="nil"/>
                  </w:tcBorders>
                  <w:vAlign w:val="center"/>
                </w:tcPr>
                <w:p>
                  <w:pPr>
                    <w:pStyle w:val="46"/>
                    <w:bidi w:val="0"/>
                    <w:rPr>
                      <w:rFonts w:hint="default" w:ascii="Times New Roman" w:hAnsi="Times New Roman" w:eastAsia="宋体" w:cs="Times New Roman"/>
                    </w:rPr>
                  </w:pPr>
                  <w:r>
                    <w:rPr>
                      <w:rFonts w:hint="default" w:ascii="Times New Roman" w:hAnsi="Times New Roman" w:eastAsia="宋体" w:cs="Times New Roman"/>
                    </w:rPr>
                    <w:t>T/In</w:t>
                  </w:r>
                </w:p>
              </w:tc>
              <w:tc>
                <w:tcPr>
                  <w:tcW w:w="407" w:type="pct"/>
                  <w:vMerge w:val="continue"/>
                  <w:tcBorders>
                    <w:tl2br w:val="nil"/>
                    <w:tr2bl w:val="nil"/>
                  </w:tcBorders>
                  <w:vAlign w:val="center"/>
                </w:tcPr>
                <w:p>
                  <w:pPr>
                    <w:pStyle w:val="46"/>
                    <w:bidi w:val="0"/>
                    <w:rPr>
                      <w:rFonts w:hint="default" w:ascii="Times New Roman" w:hAnsi="Times New Roman" w:eastAsia="宋体" w:cs="Times New Roman"/>
                    </w:rPr>
                  </w:pPr>
                </w:p>
              </w:tc>
            </w:tr>
          </w:tbl>
          <w:p>
            <w:pPr>
              <w:pStyle w:val="50"/>
              <w:jc w:val="both"/>
              <w:outlineLvl w:val="9"/>
              <w:rPr>
                <w:rFonts w:hint="default" w:ascii="Times New Roman" w:hAnsi="Times New Roman" w:eastAsia="宋体" w:cs="Times New Roman"/>
                <w:b w:val="0"/>
                <w:bCs w:val="0"/>
                <w:kern w:val="0"/>
                <w:sz w:val="24"/>
                <w:szCs w:val="24"/>
              </w:rPr>
            </w:pPr>
          </w:p>
        </w:tc>
      </w:tr>
    </w:tbl>
    <w:p>
      <w:pPr>
        <w:ind w:firstLine="480"/>
        <w:rPr>
          <w:rFonts w:hint="default" w:ascii="Times New Roman" w:hAnsi="Times New Roman" w:eastAsia="宋体" w:cs="Times New Roman"/>
        </w:rPr>
      </w:pPr>
      <w:r>
        <w:rPr>
          <w:rFonts w:hint="default" w:ascii="Times New Roman" w:hAnsi="Times New Roman" w:eastAsia="宋体" w:cs="Times New Roman"/>
        </w:rPr>
        <w:br w:type="page"/>
      </w:r>
    </w:p>
    <w:p>
      <w:pPr>
        <w:numPr>
          <w:ilvl w:val="0"/>
          <w:numId w:val="7"/>
        </w:numPr>
        <w:ind w:firstLine="0" w:firstLineChars="0"/>
        <w:outlineLvl w:val="0"/>
        <w:rPr>
          <w:rFonts w:hint="default" w:ascii="Times New Roman" w:hAnsi="Times New Roman" w:eastAsia="宋体" w:cs="Times New Roman"/>
          <w:b/>
          <w:sz w:val="32"/>
        </w:rPr>
      </w:pPr>
      <w:bookmarkStart w:id="8" w:name="_Toc4808"/>
      <w:r>
        <w:rPr>
          <w:rFonts w:hint="default" w:ascii="Times New Roman" w:hAnsi="Times New Roman" w:eastAsia="宋体" w:cs="Times New Roman"/>
          <w:b/>
          <w:sz w:val="32"/>
        </w:rPr>
        <w:t>项目主要污染物产生及预计排放情况</w:t>
      </w:r>
      <w:bookmarkEnd w:id="8"/>
    </w:p>
    <w:tbl>
      <w:tblPr>
        <w:tblStyle w:val="23"/>
        <w:tblW w:w="9020" w:type="dxa"/>
        <w:tblInd w:w="-26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1093"/>
        <w:gridCol w:w="1532"/>
        <w:gridCol w:w="729"/>
        <w:gridCol w:w="883"/>
        <w:gridCol w:w="557"/>
        <w:gridCol w:w="490"/>
        <w:gridCol w:w="1572"/>
        <w:gridCol w:w="216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10" w:hRule="atLeast"/>
        </w:trPr>
        <w:tc>
          <w:tcPr>
            <w:tcW w:w="1093" w:type="dxa"/>
            <w:tcBorders>
              <w:top w:val="single" w:color="auto" w:sz="6" w:space="0"/>
              <w:left w:val="single" w:color="auto" w:sz="6" w:space="0"/>
              <w:tl2br w:val="single" w:color="auto" w:sz="6" w:space="0"/>
            </w:tcBorders>
          </w:tcPr>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 xml:space="preserve">  内容</w:t>
            </w:r>
          </w:p>
          <w:p>
            <w:pPr>
              <w:pStyle w:val="44"/>
              <w:jc w:val="both"/>
              <w:rPr>
                <w:rFonts w:hint="default" w:ascii="Times New Roman" w:hAnsi="Times New Roman" w:eastAsia="宋体" w:cs="Times New Roman"/>
                <w:b/>
                <w:szCs w:val="21"/>
              </w:rPr>
            </w:pPr>
            <w:r>
              <w:rPr>
                <w:rFonts w:hint="default" w:ascii="Times New Roman" w:hAnsi="Times New Roman" w:eastAsia="宋体" w:cs="Times New Roman"/>
                <w:b/>
                <w:szCs w:val="21"/>
              </w:rPr>
              <w:t>类型</w:t>
            </w:r>
          </w:p>
        </w:tc>
        <w:tc>
          <w:tcPr>
            <w:tcW w:w="1532" w:type="dxa"/>
            <w:tcBorders>
              <w:top w:val="single" w:color="auto" w:sz="6" w:space="0"/>
            </w:tcBorders>
            <w:vAlign w:val="center"/>
          </w:tcPr>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排放源</w:t>
            </w:r>
          </w:p>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（编号）</w:t>
            </w:r>
          </w:p>
        </w:tc>
        <w:tc>
          <w:tcPr>
            <w:tcW w:w="1612" w:type="dxa"/>
            <w:gridSpan w:val="2"/>
            <w:tcBorders>
              <w:top w:val="single" w:color="auto" w:sz="6" w:space="0"/>
            </w:tcBorders>
            <w:vAlign w:val="center"/>
          </w:tcPr>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污染物名称</w:t>
            </w:r>
          </w:p>
        </w:tc>
        <w:tc>
          <w:tcPr>
            <w:tcW w:w="2619" w:type="dxa"/>
            <w:gridSpan w:val="3"/>
            <w:tcBorders>
              <w:top w:val="single" w:color="auto" w:sz="6" w:space="0"/>
            </w:tcBorders>
            <w:vAlign w:val="center"/>
          </w:tcPr>
          <w:p>
            <w:pPr>
              <w:pStyle w:val="51"/>
              <w:spacing w:line="4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bCs/>
                <w:sz w:val="21"/>
                <w:szCs w:val="21"/>
              </w:rPr>
              <w:t>产生量及产生浓度</w:t>
            </w:r>
          </w:p>
        </w:tc>
        <w:tc>
          <w:tcPr>
            <w:tcW w:w="2164" w:type="dxa"/>
            <w:tcBorders>
              <w:top w:val="single" w:color="auto" w:sz="6" w:space="0"/>
              <w:right w:val="single" w:color="auto" w:sz="6" w:space="0"/>
            </w:tcBorders>
            <w:vAlign w:val="center"/>
          </w:tcPr>
          <w:p>
            <w:pPr>
              <w:pStyle w:val="51"/>
              <w:spacing w:line="4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bCs/>
                <w:sz w:val="21"/>
                <w:szCs w:val="21"/>
              </w:rPr>
              <w:t>排放浓度及排放量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10" w:hRule="atLeast"/>
        </w:trPr>
        <w:tc>
          <w:tcPr>
            <w:tcW w:w="1093" w:type="dxa"/>
            <w:vMerge w:val="restart"/>
            <w:tcBorders>
              <w:left w:val="single" w:color="auto" w:sz="6" w:space="0"/>
            </w:tcBorders>
            <w:vAlign w:val="center"/>
          </w:tcPr>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水</w:t>
            </w:r>
          </w:p>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污</w:t>
            </w:r>
          </w:p>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染</w:t>
            </w:r>
          </w:p>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物</w:t>
            </w:r>
          </w:p>
        </w:tc>
        <w:tc>
          <w:tcPr>
            <w:tcW w:w="1532" w:type="dxa"/>
            <w:vMerge w:val="restart"/>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生活污水（64.8t/a）</w:t>
            </w:r>
          </w:p>
        </w:tc>
        <w:tc>
          <w:tcPr>
            <w:tcW w:w="1612" w:type="dxa"/>
            <w:gridSpan w:val="2"/>
            <w:tcBorders>
              <w:bottom w:val="single" w:color="auto" w:sz="8"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COD</w:t>
            </w:r>
            <w:r>
              <w:rPr>
                <w:rFonts w:hint="default" w:ascii="Times New Roman" w:hAnsi="Times New Roman" w:eastAsia="宋体" w:cs="Times New Roman"/>
                <w:szCs w:val="21"/>
                <w:vertAlign w:val="subscript"/>
              </w:rPr>
              <w:t>Cr</w:t>
            </w:r>
          </w:p>
        </w:tc>
        <w:tc>
          <w:tcPr>
            <w:tcW w:w="1047" w:type="dxa"/>
            <w:gridSpan w:val="2"/>
            <w:tcBorders>
              <w:bottom w:val="single" w:color="auto" w:sz="8" w:space="0"/>
              <w:right w:val="single" w:color="auto" w:sz="8"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427mg/L</w:t>
            </w:r>
          </w:p>
        </w:tc>
        <w:tc>
          <w:tcPr>
            <w:tcW w:w="1572" w:type="dxa"/>
            <w:tcBorders>
              <w:left w:val="single" w:color="auto" w:sz="8" w:space="0"/>
              <w:bottom w:val="single" w:color="auto" w:sz="8"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0.028t/a</w:t>
            </w:r>
          </w:p>
        </w:tc>
        <w:tc>
          <w:tcPr>
            <w:tcW w:w="2164" w:type="dxa"/>
            <w:vMerge w:val="restart"/>
            <w:tcBorders>
              <w:left w:val="single" w:color="auto" w:sz="8" w:space="0"/>
              <w:right w:val="single" w:color="auto" w:sz="8"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委托农户的定期清运用于农田灌溉，不外排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84" w:hRule="atLeast"/>
        </w:trPr>
        <w:tc>
          <w:tcPr>
            <w:tcW w:w="1093" w:type="dxa"/>
            <w:vMerge w:val="continue"/>
            <w:tcBorders>
              <w:left w:val="single" w:color="auto" w:sz="6" w:space="0"/>
            </w:tcBorders>
            <w:vAlign w:val="center"/>
          </w:tcPr>
          <w:p>
            <w:pPr>
              <w:pStyle w:val="44"/>
              <w:rPr>
                <w:rFonts w:hint="default" w:ascii="Times New Roman" w:hAnsi="Times New Roman" w:eastAsia="宋体" w:cs="Times New Roman"/>
                <w:b/>
                <w:szCs w:val="21"/>
              </w:rPr>
            </w:pPr>
          </w:p>
        </w:tc>
        <w:tc>
          <w:tcPr>
            <w:tcW w:w="1532" w:type="dxa"/>
            <w:vMerge w:val="continue"/>
            <w:vAlign w:val="center"/>
          </w:tcPr>
          <w:p>
            <w:pPr>
              <w:pStyle w:val="44"/>
              <w:rPr>
                <w:rFonts w:hint="default" w:ascii="Times New Roman" w:hAnsi="Times New Roman" w:eastAsia="宋体" w:cs="Times New Roman"/>
                <w:szCs w:val="21"/>
              </w:rPr>
            </w:pPr>
          </w:p>
        </w:tc>
        <w:tc>
          <w:tcPr>
            <w:tcW w:w="1612" w:type="dxa"/>
            <w:gridSpan w:val="2"/>
            <w:tcBorders>
              <w:bottom w:val="single" w:color="auto" w:sz="8"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BOD</w:t>
            </w:r>
            <w:r>
              <w:rPr>
                <w:rFonts w:hint="default" w:ascii="Times New Roman" w:hAnsi="Times New Roman" w:eastAsia="宋体" w:cs="Times New Roman"/>
                <w:szCs w:val="21"/>
                <w:vertAlign w:val="subscript"/>
              </w:rPr>
              <w:t>5</w:t>
            </w:r>
          </w:p>
        </w:tc>
        <w:tc>
          <w:tcPr>
            <w:tcW w:w="1047" w:type="dxa"/>
            <w:gridSpan w:val="2"/>
            <w:tcBorders>
              <w:bottom w:val="single" w:color="auto" w:sz="8" w:space="0"/>
              <w:right w:val="single" w:color="auto" w:sz="8"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178mg/L</w:t>
            </w:r>
          </w:p>
        </w:tc>
        <w:tc>
          <w:tcPr>
            <w:tcW w:w="1572" w:type="dxa"/>
            <w:tcBorders>
              <w:left w:val="single" w:color="auto" w:sz="8" w:space="0"/>
              <w:bottom w:val="single" w:color="auto" w:sz="8"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0.012t/a</w:t>
            </w:r>
          </w:p>
        </w:tc>
        <w:tc>
          <w:tcPr>
            <w:tcW w:w="2164" w:type="dxa"/>
            <w:vMerge w:val="continue"/>
            <w:tcBorders>
              <w:left w:val="single" w:color="auto" w:sz="8" w:space="0"/>
              <w:right w:val="single" w:color="auto" w:sz="8" w:space="0"/>
            </w:tcBorders>
            <w:vAlign w:val="center"/>
          </w:tcPr>
          <w:p>
            <w:pPr>
              <w:pStyle w:val="44"/>
              <w:rPr>
                <w:rFonts w:hint="default" w:ascii="Times New Roman" w:hAnsi="Times New Roman" w:eastAsia="宋体" w:cs="Times New Roman"/>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10" w:hRule="atLeast"/>
        </w:trPr>
        <w:tc>
          <w:tcPr>
            <w:tcW w:w="1093" w:type="dxa"/>
            <w:vMerge w:val="continue"/>
            <w:tcBorders>
              <w:left w:val="single" w:color="auto" w:sz="6" w:space="0"/>
            </w:tcBorders>
            <w:vAlign w:val="center"/>
          </w:tcPr>
          <w:p>
            <w:pPr>
              <w:pStyle w:val="44"/>
              <w:rPr>
                <w:rFonts w:hint="default" w:ascii="Times New Roman" w:hAnsi="Times New Roman" w:eastAsia="宋体" w:cs="Times New Roman"/>
                <w:b/>
                <w:szCs w:val="21"/>
              </w:rPr>
            </w:pPr>
          </w:p>
        </w:tc>
        <w:tc>
          <w:tcPr>
            <w:tcW w:w="1532" w:type="dxa"/>
            <w:vMerge w:val="continue"/>
            <w:vAlign w:val="center"/>
          </w:tcPr>
          <w:p>
            <w:pPr>
              <w:pStyle w:val="44"/>
              <w:rPr>
                <w:rFonts w:hint="default" w:ascii="Times New Roman" w:hAnsi="Times New Roman" w:eastAsia="宋体" w:cs="Times New Roman"/>
                <w:szCs w:val="21"/>
              </w:rPr>
            </w:pPr>
          </w:p>
        </w:tc>
        <w:tc>
          <w:tcPr>
            <w:tcW w:w="1612" w:type="dxa"/>
            <w:gridSpan w:val="2"/>
            <w:tcBorders>
              <w:bottom w:val="single" w:color="auto" w:sz="8"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SS</w:t>
            </w:r>
          </w:p>
        </w:tc>
        <w:tc>
          <w:tcPr>
            <w:tcW w:w="1047" w:type="dxa"/>
            <w:gridSpan w:val="2"/>
            <w:tcBorders>
              <w:bottom w:val="single" w:color="auto" w:sz="8" w:space="0"/>
              <w:right w:val="single" w:color="auto" w:sz="8"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240mg/L</w:t>
            </w:r>
          </w:p>
        </w:tc>
        <w:tc>
          <w:tcPr>
            <w:tcW w:w="1572" w:type="dxa"/>
            <w:tcBorders>
              <w:left w:val="single" w:color="auto" w:sz="8" w:space="0"/>
              <w:bottom w:val="single" w:color="auto" w:sz="8"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0.016t/a</w:t>
            </w:r>
          </w:p>
        </w:tc>
        <w:tc>
          <w:tcPr>
            <w:tcW w:w="2164" w:type="dxa"/>
            <w:vMerge w:val="continue"/>
            <w:tcBorders>
              <w:left w:val="single" w:color="auto" w:sz="8" w:space="0"/>
              <w:right w:val="single" w:color="auto" w:sz="8" w:space="0"/>
            </w:tcBorders>
            <w:vAlign w:val="center"/>
          </w:tcPr>
          <w:p>
            <w:pPr>
              <w:pStyle w:val="44"/>
              <w:rPr>
                <w:rFonts w:hint="default" w:ascii="Times New Roman" w:hAnsi="Times New Roman" w:eastAsia="宋体" w:cs="Times New Roman"/>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10" w:hRule="atLeast"/>
        </w:trPr>
        <w:tc>
          <w:tcPr>
            <w:tcW w:w="1093" w:type="dxa"/>
            <w:vMerge w:val="continue"/>
            <w:tcBorders>
              <w:left w:val="single" w:color="auto" w:sz="6" w:space="0"/>
            </w:tcBorders>
            <w:vAlign w:val="center"/>
          </w:tcPr>
          <w:p>
            <w:pPr>
              <w:pStyle w:val="44"/>
              <w:rPr>
                <w:rFonts w:hint="default" w:ascii="Times New Roman" w:hAnsi="Times New Roman" w:eastAsia="宋体" w:cs="Times New Roman"/>
                <w:b/>
                <w:szCs w:val="21"/>
              </w:rPr>
            </w:pPr>
          </w:p>
        </w:tc>
        <w:tc>
          <w:tcPr>
            <w:tcW w:w="1532" w:type="dxa"/>
            <w:vMerge w:val="continue"/>
            <w:vAlign w:val="center"/>
          </w:tcPr>
          <w:p>
            <w:pPr>
              <w:pStyle w:val="44"/>
              <w:rPr>
                <w:rFonts w:hint="default" w:ascii="Times New Roman" w:hAnsi="Times New Roman" w:eastAsia="宋体" w:cs="Times New Roman"/>
                <w:szCs w:val="21"/>
              </w:rPr>
            </w:pPr>
          </w:p>
        </w:tc>
        <w:tc>
          <w:tcPr>
            <w:tcW w:w="1612" w:type="dxa"/>
            <w:gridSpan w:val="2"/>
            <w:tcBorders>
              <w:bottom w:val="single" w:color="auto" w:sz="8"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NH</w:t>
            </w:r>
            <w:r>
              <w:rPr>
                <w:rFonts w:hint="default" w:ascii="Times New Roman" w:hAnsi="Times New Roman" w:eastAsia="宋体" w:cs="Times New Roman"/>
                <w:szCs w:val="21"/>
                <w:vertAlign w:val="subscript"/>
              </w:rPr>
              <w:t>3</w:t>
            </w:r>
            <w:r>
              <w:rPr>
                <w:rFonts w:hint="default" w:ascii="Times New Roman" w:hAnsi="Times New Roman" w:eastAsia="宋体" w:cs="Times New Roman"/>
                <w:szCs w:val="21"/>
              </w:rPr>
              <w:t>-N</w:t>
            </w:r>
          </w:p>
        </w:tc>
        <w:tc>
          <w:tcPr>
            <w:tcW w:w="1047" w:type="dxa"/>
            <w:gridSpan w:val="2"/>
            <w:tcBorders>
              <w:bottom w:val="single" w:color="auto" w:sz="8" w:space="0"/>
              <w:right w:val="single" w:color="auto" w:sz="8"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52mg/L</w:t>
            </w:r>
          </w:p>
        </w:tc>
        <w:tc>
          <w:tcPr>
            <w:tcW w:w="1572" w:type="dxa"/>
            <w:tcBorders>
              <w:left w:val="single" w:color="auto" w:sz="8" w:space="0"/>
              <w:bottom w:val="single" w:color="auto" w:sz="8"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0.003t/a</w:t>
            </w:r>
          </w:p>
        </w:tc>
        <w:tc>
          <w:tcPr>
            <w:tcW w:w="2164" w:type="dxa"/>
            <w:vMerge w:val="continue"/>
            <w:tcBorders>
              <w:left w:val="single" w:color="auto" w:sz="8" w:space="0"/>
              <w:bottom w:val="single" w:color="auto" w:sz="8" w:space="0"/>
              <w:right w:val="single" w:color="auto" w:sz="8" w:space="0"/>
            </w:tcBorders>
            <w:vAlign w:val="center"/>
          </w:tcPr>
          <w:p>
            <w:pPr>
              <w:pStyle w:val="44"/>
              <w:rPr>
                <w:rFonts w:hint="default" w:ascii="Times New Roman" w:hAnsi="Times New Roman" w:eastAsia="宋体" w:cs="Times New Roman"/>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11" w:hRule="atLeast"/>
        </w:trPr>
        <w:tc>
          <w:tcPr>
            <w:tcW w:w="1093" w:type="dxa"/>
            <w:vMerge w:val="restart"/>
            <w:tcBorders>
              <w:left w:val="single" w:color="auto" w:sz="6" w:space="0"/>
            </w:tcBorders>
            <w:vAlign w:val="center"/>
          </w:tcPr>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大</w:t>
            </w:r>
          </w:p>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气</w:t>
            </w:r>
          </w:p>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污</w:t>
            </w:r>
          </w:p>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染</w:t>
            </w:r>
          </w:p>
        </w:tc>
        <w:tc>
          <w:tcPr>
            <w:tcW w:w="1532" w:type="dxa"/>
            <w:vMerge w:val="restart"/>
            <w:tcBorders>
              <w:top w:val="single" w:color="auto" w:sz="8"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有机废气</w:t>
            </w:r>
          </w:p>
        </w:tc>
        <w:tc>
          <w:tcPr>
            <w:tcW w:w="729" w:type="dxa"/>
            <w:vMerge w:val="restart"/>
            <w:tcBorders>
              <w:top w:val="single" w:color="auto" w:sz="2" w:space="0"/>
              <w:right w:val="single" w:color="auto" w:sz="4"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VOCs</w:t>
            </w:r>
          </w:p>
        </w:tc>
        <w:tc>
          <w:tcPr>
            <w:tcW w:w="883" w:type="dxa"/>
            <w:vMerge w:val="restart"/>
            <w:tcBorders>
              <w:top w:val="single" w:color="auto" w:sz="2" w:space="0"/>
              <w:left w:val="single" w:color="auto" w:sz="4"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有组织</w:t>
            </w:r>
          </w:p>
        </w:tc>
        <w:tc>
          <w:tcPr>
            <w:tcW w:w="557" w:type="dxa"/>
            <w:tcBorders>
              <w:top w:val="single" w:color="auto" w:sz="2" w:space="0"/>
              <w:bottom w:val="single" w:color="auto" w:sz="4" w:space="0"/>
            </w:tcBorders>
            <w:vAlign w:val="center"/>
          </w:tcPr>
          <w:p>
            <w:pPr>
              <w:pStyle w:val="44"/>
              <w:rPr>
                <w:rFonts w:hint="default" w:ascii="Times New Roman" w:hAnsi="Times New Roman" w:eastAsia="宋体" w:cs="Times New Roman"/>
              </w:rPr>
            </w:pPr>
            <w:r>
              <w:rPr>
                <w:rFonts w:hint="default" w:ascii="Times New Roman" w:hAnsi="Times New Roman" w:eastAsia="宋体" w:cs="Times New Roman"/>
              </w:rPr>
              <w:t>印刷废气</w:t>
            </w:r>
          </w:p>
        </w:tc>
        <w:tc>
          <w:tcPr>
            <w:tcW w:w="2062" w:type="dxa"/>
            <w:gridSpan w:val="2"/>
            <w:tcBorders>
              <w:top w:val="single" w:color="auto" w:sz="2" w:space="0"/>
              <w:bottom w:val="single" w:color="auto" w:sz="4"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0.011t/a；0.45mg/m</w:t>
            </w:r>
            <w:r>
              <w:rPr>
                <w:rFonts w:hint="default" w:ascii="Times New Roman" w:hAnsi="Times New Roman" w:eastAsia="宋体" w:cs="Times New Roman"/>
                <w:szCs w:val="21"/>
                <w:vertAlign w:val="superscript"/>
              </w:rPr>
              <w:t>3</w:t>
            </w:r>
          </w:p>
        </w:tc>
        <w:tc>
          <w:tcPr>
            <w:tcW w:w="2164" w:type="dxa"/>
            <w:vMerge w:val="restart"/>
            <w:tcBorders>
              <w:top w:val="single" w:color="auto" w:sz="2" w:space="0"/>
              <w:right w:val="single" w:color="auto" w:sz="6" w:space="0"/>
            </w:tcBorders>
            <w:vAlign w:val="center"/>
          </w:tcPr>
          <w:p>
            <w:pPr>
              <w:pStyle w:val="44"/>
              <w:rPr>
                <w:rFonts w:hint="default" w:ascii="Times New Roman" w:hAnsi="Times New Roman" w:eastAsia="宋体" w:cs="Times New Roman"/>
                <w:szCs w:val="21"/>
                <w:highlight w:val="red"/>
              </w:rPr>
            </w:pPr>
            <w:r>
              <w:rPr>
                <w:rFonts w:hint="default" w:ascii="Times New Roman" w:hAnsi="Times New Roman" w:eastAsia="宋体" w:cs="Times New Roman"/>
                <w:szCs w:val="21"/>
              </w:rPr>
              <w:t>0.248mg/m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；0.006t/a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11" w:hRule="atLeast"/>
        </w:trPr>
        <w:tc>
          <w:tcPr>
            <w:tcW w:w="1093" w:type="dxa"/>
            <w:vMerge w:val="continue"/>
            <w:tcBorders>
              <w:left w:val="single" w:color="auto" w:sz="6" w:space="0"/>
            </w:tcBorders>
            <w:vAlign w:val="center"/>
          </w:tcPr>
          <w:p>
            <w:pPr>
              <w:pStyle w:val="44"/>
              <w:rPr>
                <w:rFonts w:hint="default" w:ascii="Times New Roman" w:hAnsi="Times New Roman" w:eastAsia="宋体" w:cs="Times New Roman"/>
              </w:rPr>
            </w:pPr>
          </w:p>
        </w:tc>
        <w:tc>
          <w:tcPr>
            <w:tcW w:w="1532" w:type="dxa"/>
            <w:vMerge w:val="continue"/>
            <w:vAlign w:val="center"/>
          </w:tcPr>
          <w:p>
            <w:pPr>
              <w:pStyle w:val="44"/>
              <w:rPr>
                <w:rFonts w:hint="default" w:ascii="Times New Roman" w:hAnsi="Times New Roman" w:eastAsia="宋体" w:cs="Times New Roman"/>
              </w:rPr>
            </w:pPr>
          </w:p>
        </w:tc>
        <w:tc>
          <w:tcPr>
            <w:tcW w:w="729" w:type="dxa"/>
            <w:vMerge w:val="continue"/>
            <w:tcBorders>
              <w:right w:val="single" w:color="auto" w:sz="4" w:space="0"/>
            </w:tcBorders>
            <w:vAlign w:val="center"/>
          </w:tcPr>
          <w:p>
            <w:pPr>
              <w:pStyle w:val="44"/>
              <w:rPr>
                <w:rFonts w:hint="default" w:ascii="Times New Roman" w:hAnsi="Times New Roman" w:eastAsia="宋体" w:cs="Times New Roman"/>
              </w:rPr>
            </w:pPr>
          </w:p>
        </w:tc>
        <w:tc>
          <w:tcPr>
            <w:tcW w:w="883" w:type="dxa"/>
            <w:vMerge w:val="continue"/>
            <w:tcBorders>
              <w:left w:val="single" w:color="auto" w:sz="4" w:space="0"/>
            </w:tcBorders>
            <w:vAlign w:val="center"/>
          </w:tcPr>
          <w:p>
            <w:pPr>
              <w:pStyle w:val="44"/>
              <w:rPr>
                <w:rFonts w:hint="default" w:ascii="Times New Roman" w:hAnsi="Times New Roman" w:eastAsia="宋体" w:cs="Times New Roman"/>
              </w:rPr>
            </w:pPr>
          </w:p>
        </w:tc>
        <w:tc>
          <w:tcPr>
            <w:tcW w:w="557" w:type="dxa"/>
            <w:tcBorders>
              <w:top w:val="single" w:color="auto" w:sz="2" w:space="0"/>
              <w:bottom w:val="single" w:color="auto" w:sz="4" w:space="0"/>
            </w:tcBorders>
            <w:vAlign w:val="center"/>
          </w:tcPr>
          <w:p>
            <w:pPr>
              <w:pStyle w:val="44"/>
              <w:rPr>
                <w:rFonts w:hint="default" w:ascii="Times New Roman" w:hAnsi="Times New Roman" w:eastAsia="宋体" w:cs="Times New Roman"/>
              </w:rPr>
            </w:pPr>
            <w:r>
              <w:rPr>
                <w:rFonts w:hint="default" w:ascii="Times New Roman" w:hAnsi="Times New Roman" w:eastAsia="宋体" w:cs="Times New Roman"/>
              </w:rPr>
              <w:t>清洗废气</w:t>
            </w:r>
          </w:p>
        </w:tc>
        <w:tc>
          <w:tcPr>
            <w:tcW w:w="2062" w:type="dxa"/>
            <w:gridSpan w:val="2"/>
            <w:tcBorders>
              <w:top w:val="single" w:color="auto" w:sz="2" w:space="0"/>
              <w:bottom w:val="single" w:color="auto" w:sz="4" w:space="0"/>
            </w:tcBorders>
            <w:vAlign w:val="center"/>
          </w:tcPr>
          <w:p>
            <w:pPr>
              <w:pStyle w:val="44"/>
              <w:rPr>
                <w:rFonts w:hint="default" w:ascii="Times New Roman" w:hAnsi="Times New Roman" w:eastAsia="宋体" w:cs="Times New Roman"/>
              </w:rPr>
            </w:pPr>
            <w:r>
              <w:rPr>
                <w:rFonts w:hint="default" w:ascii="Times New Roman" w:hAnsi="Times New Roman" w:eastAsia="宋体" w:cs="Times New Roman"/>
                <w:szCs w:val="21"/>
              </w:rPr>
              <w:t>0.009t/a；3mg/m</w:t>
            </w:r>
            <w:r>
              <w:rPr>
                <w:rFonts w:hint="default" w:ascii="Times New Roman" w:hAnsi="Times New Roman" w:eastAsia="宋体" w:cs="Times New Roman"/>
                <w:szCs w:val="21"/>
                <w:vertAlign w:val="superscript"/>
              </w:rPr>
              <w:t>3</w:t>
            </w:r>
          </w:p>
        </w:tc>
        <w:tc>
          <w:tcPr>
            <w:tcW w:w="2164" w:type="dxa"/>
            <w:vMerge w:val="continue"/>
            <w:tcBorders>
              <w:bottom w:val="single" w:color="auto" w:sz="4" w:space="0"/>
              <w:right w:val="single" w:color="auto" w:sz="6" w:space="0"/>
            </w:tcBorders>
            <w:vAlign w:val="center"/>
          </w:tcPr>
          <w:p>
            <w:pPr>
              <w:pStyle w:val="44"/>
              <w:rPr>
                <w:rFonts w:hint="default" w:ascii="Times New Roman" w:hAnsi="Times New Roman" w:eastAsia="宋体" w:cs="Times New Roma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617" w:hRule="atLeast"/>
        </w:trPr>
        <w:tc>
          <w:tcPr>
            <w:tcW w:w="1093" w:type="dxa"/>
            <w:vMerge w:val="continue"/>
            <w:tcBorders>
              <w:left w:val="single" w:color="auto" w:sz="6" w:space="0"/>
            </w:tcBorders>
            <w:vAlign w:val="center"/>
          </w:tcPr>
          <w:p>
            <w:pPr>
              <w:pStyle w:val="44"/>
              <w:rPr>
                <w:rFonts w:hint="default" w:ascii="Times New Roman" w:hAnsi="Times New Roman" w:eastAsia="宋体" w:cs="Times New Roman"/>
                <w:b/>
                <w:szCs w:val="21"/>
              </w:rPr>
            </w:pPr>
          </w:p>
        </w:tc>
        <w:tc>
          <w:tcPr>
            <w:tcW w:w="1532" w:type="dxa"/>
            <w:vMerge w:val="continue"/>
            <w:vAlign w:val="center"/>
          </w:tcPr>
          <w:p>
            <w:pPr>
              <w:pStyle w:val="44"/>
              <w:rPr>
                <w:rFonts w:hint="default" w:ascii="Times New Roman" w:hAnsi="Times New Roman" w:eastAsia="宋体" w:cs="Times New Roman"/>
                <w:szCs w:val="21"/>
              </w:rPr>
            </w:pPr>
          </w:p>
        </w:tc>
        <w:tc>
          <w:tcPr>
            <w:tcW w:w="729" w:type="dxa"/>
            <w:vMerge w:val="continue"/>
            <w:tcBorders>
              <w:right w:val="single" w:color="auto" w:sz="4" w:space="0"/>
            </w:tcBorders>
            <w:vAlign w:val="center"/>
          </w:tcPr>
          <w:p>
            <w:pPr>
              <w:pStyle w:val="44"/>
              <w:rPr>
                <w:rFonts w:hint="default" w:ascii="Times New Roman" w:hAnsi="Times New Roman" w:eastAsia="宋体" w:cs="Times New Roman"/>
                <w:szCs w:val="21"/>
              </w:rPr>
            </w:pPr>
          </w:p>
        </w:tc>
        <w:tc>
          <w:tcPr>
            <w:tcW w:w="883" w:type="dxa"/>
            <w:tcBorders>
              <w:top w:val="single" w:color="auto" w:sz="2" w:space="0"/>
              <w:left w:val="single" w:color="auto" w:sz="4"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无组织</w:t>
            </w:r>
          </w:p>
        </w:tc>
        <w:tc>
          <w:tcPr>
            <w:tcW w:w="2619" w:type="dxa"/>
            <w:gridSpan w:val="3"/>
            <w:tcBorders>
              <w:top w:val="single" w:color="auto" w:sz="2" w:space="0"/>
              <w:bottom w:val="single" w:color="auto" w:sz="4"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0.002t/a</w:t>
            </w:r>
          </w:p>
        </w:tc>
        <w:tc>
          <w:tcPr>
            <w:tcW w:w="2164" w:type="dxa"/>
            <w:tcBorders>
              <w:top w:val="single" w:color="auto" w:sz="2" w:space="0"/>
              <w:bottom w:val="single" w:color="auto" w:sz="4" w:space="0"/>
              <w:right w:val="single" w:color="auto" w:sz="6"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0.002t/a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76" w:hRule="atLeast"/>
        </w:trPr>
        <w:tc>
          <w:tcPr>
            <w:tcW w:w="1093" w:type="dxa"/>
            <w:vMerge w:val="restart"/>
            <w:tcBorders>
              <w:top w:val="single" w:color="auto" w:sz="4" w:space="0"/>
              <w:left w:val="single" w:color="auto" w:sz="6" w:space="0"/>
            </w:tcBorders>
            <w:vAlign w:val="center"/>
          </w:tcPr>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固</w:t>
            </w:r>
          </w:p>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体</w:t>
            </w:r>
          </w:p>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废</w:t>
            </w:r>
          </w:p>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物</w:t>
            </w:r>
          </w:p>
        </w:tc>
        <w:tc>
          <w:tcPr>
            <w:tcW w:w="1532" w:type="dxa"/>
            <w:tcBorders>
              <w:top w:val="single" w:color="auto" w:sz="4" w:space="0"/>
              <w:bottom w:val="single" w:color="auto" w:sz="2"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员工办公</w:t>
            </w:r>
          </w:p>
        </w:tc>
        <w:tc>
          <w:tcPr>
            <w:tcW w:w="1612" w:type="dxa"/>
            <w:gridSpan w:val="2"/>
            <w:tcBorders>
              <w:bottom w:val="single" w:color="auto" w:sz="2"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生活垃圾</w:t>
            </w:r>
          </w:p>
        </w:tc>
        <w:tc>
          <w:tcPr>
            <w:tcW w:w="2619" w:type="dxa"/>
            <w:gridSpan w:val="3"/>
            <w:tcBorders>
              <w:bottom w:val="single" w:color="auto" w:sz="2"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0.93t/a</w:t>
            </w:r>
          </w:p>
        </w:tc>
        <w:tc>
          <w:tcPr>
            <w:tcW w:w="2164" w:type="dxa"/>
            <w:tcBorders>
              <w:bottom w:val="single" w:color="auto" w:sz="2" w:space="0"/>
              <w:right w:val="single" w:color="auto" w:sz="6"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0t/a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87" w:hRule="atLeast"/>
        </w:trPr>
        <w:tc>
          <w:tcPr>
            <w:tcW w:w="1093" w:type="dxa"/>
            <w:vMerge w:val="continue"/>
            <w:tcBorders>
              <w:left w:val="single" w:color="auto" w:sz="6" w:space="0"/>
            </w:tcBorders>
            <w:vAlign w:val="center"/>
          </w:tcPr>
          <w:p>
            <w:pPr>
              <w:pStyle w:val="44"/>
              <w:rPr>
                <w:rFonts w:hint="default" w:ascii="Times New Roman" w:hAnsi="Times New Roman" w:eastAsia="宋体" w:cs="Times New Roman"/>
                <w:szCs w:val="21"/>
              </w:rPr>
            </w:pPr>
          </w:p>
        </w:tc>
        <w:tc>
          <w:tcPr>
            <w:tcW w:w="1532" w:type="dxa"/>
            <w:vMerge w:val="restart"/>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一般固体废物</w:t>
            </w:r>
          </w:p>
        </w:tc>
        <w:tc>
          <w:tcPr>
            <w:tcW w:w="1612" w:type="dxa"/>
            <w:gridSpan w:val="2"/>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废边角料</w:t>
            </w:r>
          </w:p>
        </w:tc>
        <w:tc>
          <w:tcPr>
            <w:tcW w:w="2619" w:type="dxa"/>
            <w:gridSpan w:val="3"/>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0.1t/a</w:t>
            </w:r>
          </w:p>
        </w:tc>
        <w:tc>
          <w:tcPr>
            <w:tcW w:w="2164" w:type="dxa"/>
            <w:tcBorders>
              <w:bottom w:val="single" w:color="auto" w:sz="2" w:space="0"/>
              <w:right w:val="single" w:color="auto" w:sz="6"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0t/a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87" w:hRule="atLeast"/>
        </w:trPr>
        <w:tc>
          <w:tcPr>
            <w:tcW w:w="1093" w:type="dxa"/>
            <w:vMerge w:val="continue"/>
            <w:tcBorders>
              <w:left w:val="single" w:color="auto" w:sz="6" w:space="0"/>
            </w:tcBorders>
            <w:vAlign w:val="center"/>
          </w:tcPr>
          <w:p>
            <w:pPr>
              <w:pStyle w:val="44"/>
              <w:rPr>
                <w:rFonts w:hint="default" w:ascii="Times New Roman" w:hAnsi="Times New Roman" w:eastAsia="宋体" w:cs="Times New Roman"/>
                <w:szCs w:val="21"/>
              </w:rPr>
            </w:pPr>
          </w:p>
        </w:tc>
        <w:tc>
          <w:tcPr>
            <w:tcW w:w="1532" w:type="dxa"/>
            <w:vMerge w:val="continue"/>
            <w:vAlign w:val="center"/>
          </w:tcPr>
          <w:p>
            <w:pPr>
              <w:pStyle w:val="44"/>
              <w:rPr>
                <w:rFonts w:hint="default" w:ascii="Times New Roman" w:hAnsi="Times New Roman" w:eastAsia="宋体" w:cs="Times New Roman"/>
                <w:szCs w:val="21"/>
              </w:rPr>
            </w:pPr>
          </w:p>
        </w:tc>
        <w:tc>
          <w:tcPr>
            <w:tcW w:w="1612" w:type="dxa"/>
            <w:gridSpan w:val="2"/>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废包装材料</w:t>
            </w:r>
          </w:p>
        </w:tc>
        <w:tc>
          <w:tcPr>
            <w:tcW w:w="2619" w:type="dxa"/>
            <w:gridSpan w:val="3"/>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0.05t/a</w:t>
            </w:r>
          </w:p>
        </w:tc>
        <w:tc>
          <w:tcPr>
            <w:tcW w:w="2164" w:type="dxa"/>
            <w:tcBorders>
              <w:bottom w:val="single" w:color="auto" w:sz="2" w:space="0"/>
              <w:right w:val="single" w:color="auto" w:sz="6"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0t/a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87" w:hRule="atLeast"/>
        </w:trPr>
        <w:tc>
          <w:tcPr>
            <w:tcW w:w="1093" w:type="dxa"/>
            <w:vMerge w:val="continue"/>
            <w:tcBorders>
              <w:left w:val="single" w:color="auto" w:sz="6" w:space="0"/>
            </w:tcBorders>
            <w:vAlign w:val="center"/>
          </w:tcPr>
          <w:p>
            <w:pPr>
              <w:pStyle w:val="44"/>
              <w:rPr>
                <w:rFonts w:hint="default" w:ascii="Times New Roman" w:hAnsi="Times New Roman" w:eastAsia="宋体" w:cs="Times New Roman"/>
                <w:szCs w:val="21"/>
              </w:rPr>
            </w:pPr>
          </w:p>
        </w:tc>
        <w:tc>
          <w:tcPr>
            <w:tcW w:w="1532" w:type="dxa"/>
            <w:vMerge w:val="continue"/>
            <w:vAlign w:val="center"/>
          </w:tcPr>
          <w:p>
            <w:pPr>
              <w:pStyle w:val="44"/>
              <w:rPr>
                <w:rFonts w:hint="default" w:ascii="Times New Roman" w:hAnsi="Times New Roman" w:eastAsia="宋体" w:cs="Times New Roman"/>
                <w:szCs w:val="21"/>
              </w:rPr>
            </w:pPr>
          </w:p>
        </w:tc>
        <w:tc>
          <w:tcPr>
            <w:tcW w:w="1612" w:type="dxa"/>
            <w:gridSpan w:val="2"/>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废PS版</w:t>
            </w:r>
          </w:p>
        </w:tc>
        <w:tc>
          <w:tcPr>
            <w:tcW w:w="2619" w:type="dxa"/>
            <w:gridSpan w:val="3"/>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500张/a</w:t>
            </w:r>
          </w:p>
        </w:tc>
        <w:tc>
          <w:tcPr>
            <w:tcW w:w="2164" w:type="dxa"/>
            <w:tcBorders>
              <w:bottom w:val="single" w:color="auto" w:sz="2" w:space="0"/>
              <w:right w:val="single" w:color="auto" w:sz="6"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500张/a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87" w:hRule="atLeast"/>
        </w:trPr>
        <w:tc>
          <w:tcPr>
            <w:tcW w:w="1093" w:type="dxa"/>
            <w:vMerge w:val="continue"/>
            <w:tcBorders>
              <w:left w:val="single" w:color="auto" w:sz="6" w:space="0"/>
            </w:tcBorders>
            <w:vAlign w:val="center"/>
          </w:tcPr>
          <w:p>
            <w:pPr>
              <w:pStyle w:val="44"/>
              <w:rPr>
                <w:rFonts w:hint="default" w:ascii="Times New Roman" w:hAnsi="Times New Roman" w:eastAsia="宋体" w:cs="Times New Roman"/>
                <w:szCs w:val="21"/>
              </w:rPr>
            </w:pPr>
          </w:p>
        </w:tc>
        <w:tc>
          <w:tcPr>
            <w:tcW w:w="1532" w:type="dxa"/>
            <w:vMerge w:val="continue"/>
            <w:vAlign w:val="center"/>
          </w:tcPr>
          <w:p>
            <w:pPr>
              <w:pStyle w:val="44"/>
              <w:rPr>
                <w:rFonts w:hint="default" w:ascii="Times New Roman" w:hAnsi="Times New Roman" w:eastAsia="宋体" w:cs="Times New Roman"/>
                <w:szCs w:val="21"/>
              </w:rPr>
            </w:pPr>
          </w:p>
        </w:tc>
        <w:tc>
          <w:tcPr>
            <w:tcW w:w="1612" w:type="dxa"/>
            <w:gridSpan w:val="2"/>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废钉线</w:t>
            </w:r>
          </w:p>
        </w:tc>
        <w:tc>
          <w:tcPr>
            <w:tcW w:w="2619" w:type="dxa"/>
            <w:gridSpan w:val="3"/>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0.01t/a</w:t>
            </w:r>
          </w:p>
        </w:tc>
        <w:tc>
          <w:tcPr>
            <w:tcW w:w="2164" w:type="dxa"/>
            <w:tcBorders>
              <w:bottom w:val="single" w:color="auto" w:sz="2" w:space="0"/>
              <w:right w:val="single" w:color="auto" w:sz="6"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0t/a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23" w:hRule="atLeast"/>
        </w:trPr>
        <w:tc>
          <w:tcPr>
            <w:tcW w:w="1093" w:type="dxa"/>
            <w:vMerge w:val="continue"/>
            <w:tcBorders>
              <w:left w:val="single" w:color="auto" w:sz="6" w:space="0"/>
            </w:tcBorders>
            <w:vAlign w:val="center"/>
          </w:tcPr>
          <w:p>
            <w:pPr>
              <w:pStyle w:val="44"/>
              <w:rPr>
                <w:rFonts w:hint="default" w:ascii="Times New Roman" w:hAnsi="Times New Roman" w:eastAsia="宋体" w:cs="Times New Roman"/>
                <w:szCs w:val="21"/>
              </w:rPr>
            </w:pPr>
          </w:p>
        </w:tc>
        <w:tc>
          <w:tcPr>
            <w:tcW w:w="1532" w:type="dxa"/>
            <w:vMerge w:val="restart"/>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危险废物</w:t>
            </w:r>
          </w:p>
        </w:tc>
        <w:tc>
          <w:tcPr>
            <w:tcW w:w="1612" w:type="dxa"/>
            <w:gridSpan w:val="2"/>
            <w:tcBorders>
              <w:top w:val="single" w:color="auto" w:sz="2"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废抹布</w:t>
            </w:r>
          </w:p>
        </w:tc>
        <w:tc>
          <w:tcPr>
            <w:tcW w:w="2619" w:type="dxa"/>
            <w:gridSpan w:val="3"/>
            <w:tcBorders>
              <w:top w:val="single" w:color="auto" w:sz="2"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0.03t/a</w:t>
            </w:r>
          </w:p>
        </w:tc>
        <w:tc>
          <w:tcPr>
            <w:tcW w:w="2164" w:type="dxa"/>
            <w:tcBorders>
              <w:top w:val="single" w:color="auto" w:sz="2" w:space="0"/>
              <w:bottom w:val="single" w:color="auto" w:sz="2" w:space="0"/>
              <w:right w:val="single" w:color="auto" w:sz="6"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0t/a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194" w:hRule="atLeast"/>
        </w:trPr>
        <w:tc>
          <w:tcPr>
            <w:tcW w:w="1093" w:type="dxa"/>
            <w:vMerge w:val="continue"/>
            <w:tcBorders>
              <w:left w:val="single" w:color="auto" w:sz="6" w:space="0"/>
            </w:tcBorders>
            <w:vAlign w:val="center"/>
          </w:tcPr>
          <w:p>
            <w:pPr>
              <w:pStyle w:val="44"/>
              <w:rPr>
                <w:rFonts w:hint="default" w:ascii="Times New Roman" w:hAnsi="Times New Roman" w:eastAsia="宋体" w:cs="Times New Roman"/>
                <w:szCs w:val="21"/>
              </w:rPr>
            </w:pPr>
          </w:p>
        </w:tc>
        <w:tc>
          <w:tcPr>
            <w:tcW w:w="1532" w:type="dxa"/>
            <w:vMerge w:val="continue"/>
            <w:vAlign w:val="center"/>
          </w:tcPr>
          <w:p>
            <w:pPr>
              <w:pStyle w:val="44"/>
              <w:rPr>
                <w:rFonts w:hint="default" w:ascii="Times New Roman" w:hAnsi="Times New Roman" w:eastAsia="宋体" w:cs="Times New Roman"/>
                <w:szCs w:val="21"/>
              </w:rPr>
            </w:pPr>
          </w:p>
        </w:tc>
        <w:tc>
          <w:tcPr>
            <w:tcW w:w="1612" w:type="dxa"/>
            <w:gridSpan w:val="2"/>
            <w:tcBorders>
              <w:top w:val="single" w:color="auto" w:sz="2" w:space="0"/>
              <w:bottom w:val="single" w:color="auto" w:sz="4"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废活性炭</w:t>
            </w:r>
          </w:p>
        </w:tc>
        <w:tc>
          <w:tcPr>
            <w:tcW w:w="2619" w:type="dxa"/>
            <w:gridSpan w:val="3"/>
            <w:tcBorders>
              <w:top w:val="single" w:color="auto" w:sz="2" w:space="0"/>
              <w:bottom w:val="single" w:color="auto" w:sz="4"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0.16t/a</w:t>
            </w:r>
          </w:p>
        </w:tc>
        <w:tc>
          <w:tcPr>
            <w:tcW w:w="2164" w:type="dxa"/>
            <w:tcBorders>
              <w:top w:val="single" w:color="auto" w:sz="2" w:space="0"/>
              <w:bottom w:val="single" w:color="auto" w:sz="4" w:space="0"/>
              <w:right w:val="single" w:color="auto" w:sz="6"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0t/a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675" w:hRule="atLeast"/>
        </w:trPr>
        <w:tc>
          <w:tcPr>
            <w:tcW w:w="1093" w:type="dxa"/>
            <w:tcBorders>
              <w:left w:val="single" w:color="auto" w:sz="6" w:space="0"/>
            </w:tcBorders>
            <w:vAlign w:val="center"/>
          </w:tcPr>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噪声</w:t>
            </w:r>
          </w:p>
        </w:tc>
        <w:tc>
          <w:tcPr>
            <w:tcW w:w="1532" w:type="dxa"/>
            <w:tcBorders>
              <w:right w:val="single" w:color="auto" w:sz="2"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设备运行</w:t>
            </w:r>
          </w:p>
        </w:tc>
        <w:tc>
          <w:tcPr>
            <w:tcW w:w="1612" w:type="dxa"/>
            <w:gridSpan w:val="2"/>
            <w:tcBorders>
              <w:left w:val="single" w:color="auto" w:sz="2" w:space="0"/>
              <w:right w:val="single" w:color="auto" w:sz="2"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噪声</w:t>
            </w:r>
          </w:p>
        </w:tc>
        <w:tc>
          <w:tcPr>
            <w:tcW w:w="2619" w:type="dxa"/>
            <w:gridSpan w:val="3"/>
            <w:tcBorders>
              <w:left w:val="single" w:color="auto" w:sz="2" w:space="0"/>
              <w:right w:val="single" w:color="auto" w:sz="2"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65~80dB（A）</w:t>
            </w:r>
          </w:p>
        </w:tc>
        <w:tc>
          <w:tcPr>
            <w:tcW w:w="2164" w:type="dxa"/>
            <w:tcBorders>
              <w:left w:val="single" w:color="auto" w:sz="2" w:space="0"/>
              <w:right w:val="single" w:color="auto" w:sz="6"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昼间≤60dB（A）</w:t>
            </w:r>
          </w:p>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夜间≤50dB（A）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242" w:hRule="atLeast"/>
        </w:trPr>
        <w:tc>
          <w:tcPr>
            <w:tcW w:w="9020" w:type="dxa"/>
            <w:gridSpan w:val="8"/>
            <w:tcBorders>
              <w:left w:val="single" w:color="auto" w:sz="6" w:space="0"/>
              <w:bottom w:val="single" w:color="auto" w:sz="6" w:space="0"/>
              <w:right w:val="single" w:color="auto" w:sz="6" w:space="0"/>
            </w:tcBorders>
          </w:tcPr>
          <w:p>
            <w:pPr>
              <w:pStyle w:val="21"/>
              <w:ind w:firstLine="0" w:firstLineChars="0"/>
              <w:rPr>
                <w:rFonts w:hint="default" w:ascii="Times New Roman" w:hAnsi="Times New Roman" w:eastAsia="宋体" w:cs="Times New Roman"/>
                <w:b/>
                <w:sz w:val="28"/>
              </w:rPr>
            </w:pPr>
            <w:r>
              <w:rPr>
                <w:rFonts w:hint="default" w:ascii="Times New Roman" w:hAnsi="Times New Roman" w:eastAsia="宋体" w:cs="Times New Roman"/>
                <w:b/>
                <w:sz w:val="28"/>
              </w:rPr>
              <w:t>主要生态影响：</w:t>
            </w:r>
          </w:p>
          <w:p>
            <w:pPr>
              <w:ind w:firstLine="480"/>
              <w:rPr>
                <w:rFonts w:hint="default" w:ascii="Times New Roman" w:hAnsi="Times New Roman" w:eastAsia="宋体" w:cs="Times New Roman"/>
              </w:rPr>
            </w:pPr>
            <w:r>
              <w:rPr>
                <w:rFonts w:hint="default" w:ascii="Times New Roman" w:hAnsi="Times New Roman" w:eastAsia="宋体" w:cs="Times New Roman"/>
              </w:rPr>
              <w:t>项目四周无古居、古木、风景名胜及其它需重点保护的敏感生态保护目标。因此，建设项目在营运期应重点考虑废水、废气、固废和噪声对附近环境的影响，做好废水、废气、固废和噪声的达标排放工作，根据上面所列污染物类型﹑浓度﹑排放量情况及处理措施分析，项目对环境产生的污染负荷将会很小，该项目对生态环境的影响较小。</w:t>
            </w:r>
          </w:p>
        </w:tc>
      </w:tr>
    </w:tbl>
    <w:p>
      <w:pPr>
        <w:ind w:firstLine="480"/>
        <w:rPr>
          <w:rFonts w:hint="default" w:ascii="Times New Roman" w:hAnsi="Times New Roman" w:eastAsia="宋体" w:cs="Times New Roman"/>
        </w:rPr>
      </w:pPr>
    </w:p>
    <w:p>
      <w:pPr>
        <w:ind w:firstLine="480"/>
        <w:rPr>
          <w:rFonts w:hint="default" w:ascii="Times New Roman" w:hAnsi="Times New Roman" w:eastAsia="宋体" w:cs="Times New Roman"/>
        </w:rPr>
      </w:pPr>
    </w:p>
    <w:p>
      <w:pPr>
        <w:ind w:firstLine="480"/>
        <w:rPr>
          <w:rFonts w:hint="default" w:ascii="Times New Roman" w:hAnsi="Times New Roman" w:eastAsia="宋体" w:cs="Times New Roman"/>
        </w:rPr>
      </w:pPr>
    </w:p>
    <w:p>
      <w:pPr>
        <w:ind w:firstLine="480"/>
        <w:rPr>
          <w:rFonts w:hint="default" w:ascii="Times New Roman" w:hAnsi="Times New Roman" w:eastAsia="宋体" w:cs="Times New Roman"/>
        </w:rPr>
      </w:pPr>
    </w:p>
    <w:p>
      <w:pPr>
        <w:numPr>
          <w:ilvl w:val="0"/>
          <w:numId w:val="7"/>
        </w:numPr>
        <w:ind w:firstLine="0" w:firstLineChars="0"/>
        <w:outlineLvl w:val="0"/>
        <w:rPr>
          <w:rFonts w:hint="default" w:ascii="Times New Roman" w:hAnsi="Times New Roman" w:eastAsia="宋体" w:cs="Times New Roman"/>
          <w:b/>
          <w:sz w:val="30"/>
        </w:rPr>
      </w:pPr>
      <w:bookmarkStart w:id="9" w:name="_Toc17118"/>
      <w:r>
        <w:rPr>
          <w:rFonts w:hint="default" w:ascii="Times New Roman" w:hAnsi="Times New Roman" w:eastAsia="宋体" w:cs="Times New Roman"/>
          <w:b/>
          <w:sz w:val="30"/>
        </w:rPr>
        <w:t>环境影响分析</w:t>
      </w:r>
      <w:bookmarkEnd w:id="9"/>
    </w:p>
    <w:tbl>
      <w:tblPr>
        <w:tblStyle w:val="23"/>
        <w:tblW w:w="9576" w:type="dxa"/>
        <w:tblInd w:w="-288"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957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347" w:hRule="atLeast"/>
        </w:trPr>
        <w:tc>
          <w:tcPr>
            <w:tcW w:w="9576" w:type="dxa"/>
          </w:tcPr>
          <w:p>
            <w:pPr>
              <w:spacing w:before="120"/>
              <w:ind w:firstLine="0" w:firstLineChars="0"/>
              <w:rPr>
                <w:rFonts w:hint="default" w:ascii="Times New Roman" w:hAnsi="Times New Roman" w:eastAsia="宋体" w:cs="Times New Roman"/>
                <w:b/>
                <w:sz w:val="28"/>
              </w:rPr>
            </w:pPr>
            <w:r>
              <w:rPr>
                <w:rFonts w:hint="default" w:ascii="Times New Roman" w:hAnsi="Times New Roman" w:eastAsia="宋体" w:cs="Times New Roman"/>
                <w:b/>
                <w:sz w:val="28"/>
              </w:rPr>
              <w:t>施工期环境影响简要分析：</w:t>
            </w:r>
          </w:p>
          <w:p>
            <w:pPr>
              <w:spacing w:before="120"/>
              <w:ind w:firstLine="480"/>
              <w:rPr>
                <w:rFonts w:hint="default" w:ascii="Times New Roman" w:hAnsi="Times New Roman" w:eastAsia="宋体" w:cs="Times New Roman"/>
              </w:rPr>
            </w:pPr>
            <w:r>
              <w:rPr>
                <w:rFonts w:hint="default" w:ascii="Times New Roman" w:hAnsi="Times New Roman" w:eastAsia="宋体" w:cs="Times New Roman"/>
              </w:rPr>
              <w:t>本项目租用已建成的厂房，建设期间不会新增土建工程，仅作简单装修及设备安装，因此，本环评不再对施工期的环境影响进行分析。</w:t>
            </w:r>
          </w:p>
          <w:p>
            <w:pPr>
              <w:spacing w:before="120"/>
              <w:ind w:firstLine="0" w:firstLineChars="0"/>
              <w:rPr>
                <w:rFonts w:hint="default" w:ascii="Times New Roman" w:hAnsi="Times New Roman" w:eastAsia="宋体" w:cs="Times New Roman"/>
                <w:b/>
                <w:sz w:val="28"/>
              </w:rPr>
            </w:pPr>
            <w:r>
              <w:rPr>
                <w:rFonts w:hint="default" w:ascii="Times New Roman" w:hAnsi="Times New Roman" w:eastAsia="宋体" w:cs="Times New Roman"/>
                <w:b/>
                <w:sz w:val="28"/>
              </w:rPr>
              <w:t>营运期环境影响分析：</w:t>
            </w:r>
          </w:p>
          <w:p>
            <w:pPr>
              <w:numPr>
                <w:ilvl w:val="0"/>
                <w:numId w:val="18"/>
              </w:numPr>
              <w:spacing w:before="120"/>
              <w:ind w:firstLine="0" w:firstLineChars="0"/>
              <w:rPr>
                <w:rFonts w:hint="default" w:ascii="Times New Roman" w:hAnsi="Times New Roman" w:eastAsia="宋体" w:cs="Times New Roman"/>
                <w:b/>
              </w:rPr>
            </w:pPr>
            <w:r>
              <w:rPr>
                <w:rFonts w:hint="default" w:ascii="Times New Roman" w:hAnsi="Times New Roman" w:eastAsia="宋体" w:cs="Times New Roman"/>
                <w:b/>
              </w:rPr>
              <w:t>水环境影响分析</w:t>
            </w:r>
          </w:p>
          <w:p>
            <w:pPr>
              <w:ind w:firstLine="480"/>
              <w:rPr>
                <w:rFonts w:hint="default" w:ascii="Times New Roman" w:hAnsi="Times New Roman" w:eastAsia="宋体" w:cs="Times New Roman"/>
              </w:rPr>
            </w:pPr>
            <w:r>
              <w:rPr>
                <w:rFonts w:hint="default" w:ascii="Times New Roman" w:hAnsi="Times New Roman" w:eastAsia="宋体" w:cs="Times New Roman"/>
              </w:rPr>
              <w:t>本项目无工艺废水产生，项目营运期废水污染源主要是生活污水，生活污水产生量为64.8t/a，主要污染物因子为COD</w:t>
            </w:r>
            <w:r>
              <w:rPr>
                <w:rFonts w:hint="default" w:ascii="Times New Roman" w:hAnsi="Times New Roman" w:eastAsia="宋体" w:cs="Times New Roman"/>
                <w:vertAlign w:val="subscript"/>
              </w:rPr>
              <w:t>cr</w:t>
            </w:r>
            <w:r>
              <w:rPr>
                <w:rFonts w:hint="default" w:ascii="Times New Roman" w:hAnsi="Times New Roman" w:eastAsia="宋体" w:cs="Times New Roman"/>
              </w:rPr>
              <w:t>、BOD</w:t>
            </w:r>
            <w:r>
              <w:rPr>
                <w:rFonts w:hint="default" w:ascii="Times New Roman" w:hAnsi="Times New Roman" w:eastAsia="宋体" w:cs="Times New Roman"/>
                <w:vertAlign w:val="subscript"/>
              </w:rPr>
              <w:t>5</w:t>
            </w:r>
            <w:r>
              <w:rPr>
                <w:rFonts w:hint="default" w:ascii="Times New Roman" w:hAnsi="Times New Roman" w:eastAsia="宋体" w:cs="Times New Roman"/>
              </w:rPr>
              <w:t>、SS、NH</w:t>
            </w:r>
            <w:r>
              <w:rPr>
                <w:rFonts w:hint="default" w:ascii="Times New Roman" w:hAnsi="Times New Roman" w:eastAsia="宋体" w:cs="Times New Roman"/>
                <w:vertAlign w:val="subscript"/>
              </w:rPr>
              <w:t>3</w:t>
            </w:r>
            <w:r>
              <w:rPr>
                <w:rFonts w:hint="default" w:ascii="Times New Roman" w:hAnsi="Times New Roman" w:eastAsia="宋体" w:cs="Times New Roman"/>
              </w:rPr>
              <w:t>-N等，生活污水经三级化粪池沤肥处理后委托农户定期清运用于农田灌溉，不外排，且污染物浓度不高，因此对环境影响不大。</w:t>
            </w:r>
          </w:p>
          <w:p>
            <w:pPr>
              <w:pStyle w:val="21"/>
              <w:numPr>
                <w:ilvl w:val="0"/>
                <w:numId w:val="19"/>
              </w:numPr>
              <w:ind w:left="845" w:firstLineChars="0"/>
              <w:rPr>
                <w:rFonts w:hint="default" w:ascii="Times New Roman" w:hAnsi="Times New Roman" w:eastAsia="宋体" w:cs="Times New Roman"/>
                <w:b/>
              </w:rPr>
            </w:pPr>
            <w:r>
              <w:rPr>
                <w:rFonts w:hint="default" w:ascii="Times New Roman" w:hAnsi="Times New Roman" w:eastAsia="宋体" w:cs="Times New Roman"/>
                <w:b/>
              </w:rPr>
              <w:t>评价工作</w:t>
            </w:r>
            <w:r>
              <w:rPr>
                <w:rFonts w:hint="default" w:ascii="Times New Roman" w:hAnsi="Times New Roman" w:eastAsia="宋体" w:cs="Times New Roman"/>
                <w:b/>
                <w:bCs w:val="0"/>
              </w:rPr>
              <w:t>等级</w:t>
            </w:r>
            <w:r>
              <w:rPr>
                <w:rFonts w:hint="default" w:ascii="Times New Roman" w:hAnsi="Times New Roman" w:eastAsia="宋体" w:cs="Times New Roman"/>
                <w:b/>
              </w:rPr>
              <w:t>确定</w:t>
            </w:r>
          </w:p>
          <w:p>
            <w:pPr>
              <w:ind w:firstLine="480"/>
              <w:rPr>
                <w:rFonts w:hint="default" w:ascii="Times New Roman" w:hAnsi="Times New Roman" w:eastAsia="宋体" w:cs="Times New Roman"/>
              </w:rPr>
            </w:pPr>
            <w:r>
              <w:rPr>
                <w:rFonts w:hint="default" w:ascii="Times New Roman" w:hAnsi="Times New Roman" w:eastAsia="宋体" w:cs="Times New Roman"/>
              </w:rPr>
              <w:t>建设项目地表水环境影响评价等级按照影响类型、排放方式、排放量或影响情况、受纳水体环境质量现状、水环境保护目标等综合确定，划分评价等级见表7-1。</w:t>
            </w:r>
          </w:p>
          <w:p>
            <w:pPr>
              <w:pStyle w:val="45"/>
              <w:rPr>
                <w:rFonts w:hint="default" w:ascii="Times New Roman" w:hAnsi="Times New Roman" w:eastAsia="宋体" w:cs="Times New Roman"/>
                <w:b/>
                <w:bCs/>
              </w:rPr>
            </w:pPr>
            <w:r>
              <w:rPr>
                <w:rFonts w:hint="default" w:ascii="Times New Roman" w:hAnsi="Times New Roman" w:eastAsia="宋体" w:cs="Times New Roman"/>
                <w:b/>
                <w:bCs/>
              </w:rPr>
              <w:t>表7-1 水污染影响型建设项目评价等级判定</w:t>
            </w:r>
          </w:p>
          <w:tbl>
            <w:tblPr>
              <w:tblStyle w:val="24"/>
              <w:tblW w:w="907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22"/>
              <w:gridCol w:w="3025"/>
              <w:gridCol w:w="30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2" w:type="dxa"/>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评价等级</w:t>
                  </w:r>
                </w:p>
              </w:tc>
              <w:tc>
                <w:tcPr>
                  <w:tcW w:w="6049" w:type="dxa"/>
                  <w:gridSpan w:val="2"/>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判定依据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2" w:type="dxa"/>
                  <w:vMerge w:val="continue"/>
                  <w:tcBorders>
                    <w:tl2br w:val="nil"/>
                    <w:tr2bl w:val="nil"/>
                  </w:tcBorders>
                  <w:vAlign w:val="center"/>
                </w:tcPr>
                <w:p>
                  <w:pPr>
                    <w:pStyle w:val="46"/>
                    <w:rPr>
                      <w:rFonts w:hint="default" w:ascii="Times New Roman" w:hAnsi="Times New Roman" w:eastAsia="宋体" w:cs="Times New Roman"/>
                      <w:b/>
                      <w:bCs/>
                      <w:color w:val="auto"/>
                    </w:rPr>
                  </w:pPr>
                </w:p>
              </w:tc>
              <w:tc>
                <w:tcPr>
                  <w:tcW w:w="3025"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排放方式</w:t>
                  </w:r>
                </w:p>
              </w:tc>
              <w:tc>
                <w:tcPr>
                  <w:tcW w:w="3024"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废水排放量Q /（m3/d ）；水污染物当量数W/（无量纲）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2" w:type="dxa"/>
                  <w:tcBorders>
                    <w:tl2br w:val="nil"/>
                    <w:tr2bl w:val="nil"/>
                  </w:tcBorders>
                  <w:vAlign w:val="center"/>
                </w:tcPr>
                <w:p>
                  <w:pPr>
                    <w:pStyle w:val="46"/>
                    <w:rPr>
                      <w:rFonts w:hint="default" w:ascii="Times New Roman" w:hAnsi="Times New Roman" w:eastAsia="宋体" w:cs="Times New Roman"/>
                      <w:color w:val="auto"/>
                      <w:lang w:val="zh-CN"/>
                    </w:rPr>
                  </w:pPr>
                  <w:r>
                    <w:rPr>
                      <w:rFonts w:hint="default" w:ascii="Times New Roman" w:hAnsi="Times New Roman" w:eastAsia="宋体" w:cs="Times New Roman"/>
                      <w:color w:val="auto"/>
                      <w:lang w:val="zh-CN"/>
                    </w:rPr>
                    <w:t>一级</w:t>
                  </w:r>
                </w:p>
              </w:tc>
              <w:tc>
                <w:tcPr>
                  <w:tcW w:w="3025" w:type="dxa"/>
                  <w:tcBorders>
                    <w:tl2br w:val="nil"/>
                    <w:tr2bl w:val="nil"/>
                  </w:tcBorders>
                  <w:vAlign w:val="center"/>
                </w:tcPr>
                <w:p>
                  <w:pPr>
                    <w:pStyle w:val="46"/>
                    <w:rPr>
                      <w:rFonts w:hint="default" w:ascii="Times New Roman" w:hAnsi="Times New Roman" w:eastAsia="宋体" w:cs="Times New Roman"/>
                      <w:color w:val="auto"/>
                      <w:lang w:val="zh-CN"/>
                    </w:rPr>
                  </w:pPr>
                  <w:r>
                    <w:rPr>
                      <w:rFonts w:hint="default" w:ascii="Times New Roman" w:hAnsi="Times New Roman" w:eastAsia="宋体" w:cs="Times New Roman"/>
                      <w:color w:val="auto"/>
                      <w:lang w:val="zh-CN"/>
                    </w:rPr>
                    <w:t>直接排放</w:t>
                  </w:r>
                </w:p>
              </w:tc>
              <w:tc>
                <w:tcPr>
                  <w:tcW w:w="3024" w:type="dxa"/>
                  <w:tcBorders>
                    <w:tl2br w:val="nil"/>
                    <w:tr2bl w:val="nil"/>
                  </w:tcBorders>
                  <w:vAlign w:val="center"/>
                </w:tcPr>
                <w:p>
                  <w:pPr>
                    <w:pStyle w:val="46"/>
                    <w:rPr>
                      <w:rFonts w:hint="default" w:ascii="Times New Roman" w:hAnsi="Times New Roman" w:eastAsia="宋体" w:cs="Times New Roman"/>
                      <w:color w:val="auto"/>
                      <w:lang w:val="zh-CN"/>
                    </w:rPr>
                  </w:pPr>
                  <w:r>
                    <w:rPr>
                      <w:rFonts w:hint="default" w:ascii="Times New Roman" w:hAnsi="Times New Roman" w:eastAsia="宋体" w:cs="Times New Roman"/>
                      <w:color w:val="auto"/>
                      <w:lang w:val="zh-CN"/>
                    </w:rPr>
                    <w:t>Q≥20000 或 W≥600000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2" w:type="dxa"/>
                  <w:tcBorders>
                    <w:tl2br w:val="nil"/>
                    <w:tr2bl w:val="nil"/>
                  </w:tcBorders>
                  <w:shd w:val="clear" w:color="auto" w:fill="auto"/>
                  <w:vAlign w:val="center"/>
                </w:tcPr>
                <w:p>
                  <w:pPr>
                    <w:pStyle w:val="46"/>
                    <w:rPr>
                      <w:rFonts w:hint="default" w:ascii="Times New Roman" w:hAnsi="Times New Roman" w:eastAsia="宋体" w:cs="Times New Roman"/>
                      <w:color w:val="auto"/>
                      <w:lang w:val="zh-CN"/>
                    </w:rPr>
                  </w:pPr>
                  <w:r>
                    <w:rPr>
                      <w:rFonts w:hint="default" w:ascii="Times New Roman" w:hAnsi="Times New Roman" w:eastAsia="宋体" w:cs="Times New Roman"/>
                      <w:color w:val="auto"/>
                      <w:lang w:val="zh-CN"/>
                    </w:rPr>
                    <w:t>二级</w:t>
                  </w:r>
                </w:p>
              </w:tc>
              <w:tc>
                <w:tcPr>
                  <w:tcW w:w="3025" w:type="dxa"/>
                  <w:tcBorders>
                    <w:tl2br w:val="nil"/>
                    <w:tr2bl w:val="nil"/>
                  </w:tcBorders>
                  <w:shd w:val="clear" w:color="auto" w:fill="auto"/>
                  <w:vAlign w:val="center"/>
                </w:tcPr>
                <w:p>
                  <w:pPr>
                    <w:pStyle w:val="46"/>
                    <w:rPr>
                      <w:rFonts w:hint="default" w:ascii="Times New Roman" w:hAnsi="Times New Roman" w:eastAsia="宋体" w:cs="Times New Roman"/>
                      <w:color w:val="auto"/>
                      <w:lang w:val="zh-CN"/>
                    </w:rPr>
                  </w:pPr>
                  <w:r>
                    <w:rPr>
                      <w:rFonts w:hint="default" w:ascii="Times New Roman" w:hAnsi="Times New Roman" w:eastAsia="宋体" w:cs="Times New Roman"/>
                      <w:color w:val="auto"/>
                      <w:lang w:val="zh-CN"/>
                    </w:rPr>
                    <w:t>直接排放</w:t>
                  </w:r>
                </w:p>
              </w:tc>
              <w:tc>
                <w:tcPr>
                  <w:tcW w:w="3024" w:type="dxa"/>
                  <w:tcBorders>
                    <w:tl2br w:val="nil"/>
                    <w:tr2bl w:val="nil"/>
                  </w:tcBorders>
                  <w:shd w:val="clear" w:color="auto" w:fill="auto"/>
                  <w:vAlign w:val="center"/>
                </w:tcPr>
                <w:p>
                  <w:pPr>
                    <w:pStyle w:val="46"/>
                    <w:rPr>
                      <w:rFonts w:hint="default" w:ascii="Times New Roman" w:hAnsi="Times New Roman" w:eastAsia="宋体" w:cs="Times New Roman"/>
                      <w:color w:val="auto"/>
                      <w:lang w:val="zh-CN"/>
                    </w:rPr>
                  </w:pPr>
                  <w:r>
                    <w:rPr>
                      <w:rFonts w:hint="default" w:ascii="Times New Roman" w:hAnsi="Times New Roman" w:eastAsia="宋体" w:cs="Times New Roman"/>
                      <w:color w:val="auto"/>
                      <w:lang w:val="zh-CN"/>
                    </w:rPr>
                    <w:t>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2" w:type="dxa"/>
                  <w:tcBorders>
                    <w:tl2br w:val="nil"/>
                    <w:tr2bl w:val="nil"/>
                  </w:tcBorders>
                  <w:shd w:val="clear" w:color="auto" w:fill="auto"/>
                  <w:vAlign w:val="center"/>
                </w:tcPr>
                <w:p>
                  <w:pPr>
                    <w:pStyle w:val="46"/>
                    <w:rPr>
                      <w:rFonts w:hint="default" w:ascii="Times New Roman" w:hAnsi="Times New Roman" w:eastAsia="宋体" w:cs="Times New Roman"/>
                      <w:color w:val="auto"/>
                      <w:lang w:val="zh-CN"/>
                    </w:rPr>
                  </w:pPr>
                  <w:r>
                    <w:rPr>
                      <w:rFonts w:hint="default" w:ascii="Times New Roman" w:hAnsi="Times New Roman" w:eastAsia="宋体" w:cs="Times New Roman"/>
                      <w:color w:val="auto"/>
                      <w:lang w:val="zh-CN"/>
                    </w:rPr>
                    <w:t>三级A</w:t>
                  </w:r>
                </w:p>
              </w:tc>
              <w:tc>
                <w:tcPr>
                  <w:tcW w:w="3025" w:type="dxa"/>
                  <w:tcBorders>
                    <w:tl2br w:val="nil"/>
                    <w:tr2bl w:val="nil"/>
                  </w:tcBorders>
                  <w:shd w:val="clear" w:color="auto" w:fill="auto"/>
                  <w:vAlign w:val="center"/>
                </w:tcPr>
                <w:p>
                  <w:pPr>
                    <w:pStyle w:val="46"/>
                    <w:rPr>
                      <w:rFonts w:hint="default" w:ascii="Times New Roman" w:hAnsi="Times New Roman" w:eastAsia="宋体" w:cs="Times New Roman"/>
                      <w:color w:val="auto"/>
                      <w:lang w:val="zh-CN"/>
                    </w:rPr>
                  </w:pPr>
                  <w:r>
                    <w:rPr>
                      <w:rFonts w:hint="default" w:ascii="Times New Roman" w:hAnsi="Times New Roman" w:eastAsia="宋体" w:cs="Times New Roman"/>
                      <w:color w:val="auto"/>
                      <w:lang w:val="zh-CN"/>
                    </w:rPr>
                    <w:t>直接排放</w:t>
                  </w:r>
                </w:p>
              </w:tc>
              <w:tc>
                <w:tcPr>
                  <w:tcW w:w="3024" w:type="dxa"/>
                  <w:tcBorders>
                    <w:tl2br w:val="nil"/>
                    <w:tr2bl w:val="nil"/>
                  </w:tcBorders>
                  <w:shd w:val="clear" w:color="auto" w:fill="auto"/>
                  <w:vAlign w:val="center"/>
                </w:tcPr>
                <w:p>
                  <w:pPr>
                    <w:pStyle w:val="46"/>
                    <w:rPr>
                      <w:rFonts w:hint="default" w:ascii="Times New Roman" w:hAnsi="Times New Roman" w:eastAsia="宋体" w:cs="Times New Roman"/>
                      <w:color w:val="auto"/>
                      <w:lang w:val="zh-CN"/>
                    </w:rPr>
                  </w:pPr>
                  <w:r>
                    <w:rPr>
                      <w:rFonts w:hint="default" w:ascii="Times New Roman" w:hAnsi="Times New Roman" w:eastAsia="宋体" w:cs="Times New Roman"/>
                      <w:color w:val="auto"/>
                      <w:lang w:val="zh-CN"/>
                    </w:rPr>
                    <w:t>Q＜200 且 W＜6000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2" w:type="dxa"/>
                  <w:tcBorders>
                    <w:tl2br w:val="nil"/>
                    <w:tr2bl w:val="nil"/>
                  </w:tcBorders>
                  <w:shd w:val="clear" w:color="auto" w:fill="D7D7D7" w:themeFill="background1" w:themeFillShade="D8"/>
                  <w:vAlign w:val="center"/>
                </w:tcPr>
                <w:p>
                  <w:pPr>
                    <w:pStyle w:val="46"/>
                    <w:rPr>
                      <w:rFonts w:hint="default" w:ascii="Times New Roman" w:hAnsi="Times New Roman" w:eastAsia="宋体" w:cs="Times New Roman"/>
                      <w:color w:val="auto"/>
                      <w:lang w:val="zh-CN"/>
                    </w:rPr>
                  </w:pPr>
                  <w:r>
                    <w:rPr>
                      <w:rFonts w:hint="default" w:ascii="Times New Roman" w:hAnsi="Times New Roman" w:eastAsia="宋体" w:cs="Times New Roman"/>
                      <w:color w:val="auto"/>
                      <w:lang w:val="zh-CN"/>
                    </w:rPr>
                    <w:t>三级B</w:t>
                  </w:r>
                </w:p>
              </w:tc>
              <w:tc>
                <w:tcPr>
                  <w:tcW w:w="3025" w:type="dxa"/>
                  <w:tcBorders>
                    <w:tl2br w:val="nil"/>
                    <w:tr2bl w:val="nil"/>
                  </w:tcBorders>
                  <w:shd w:val="clear" w:color="auto" w:fill="D7D7D7" w:themeFill="background1" w:themeFillShade="D8"/>
                  <w:vAlign w:val="center"/>
                </w:tcPr>
                <w:p>
                  <w:pPr>
                    <w:pStyle w:val="46"/>
                    <w:rPr>
                      <w:rFonts w:hint="default" w:ascii="Times New Roman" w:hAnsi="Times New Roman" w:eastAsia="宋体" w:cs="Times New Roman"/>
                      <w:color w:val="auto"/>
                      <w:lang w:val="zh-CN"/>
                    </w:rPr>
                  </w:pPr>
                  <w:r>
                    <w:rPr>
                      <w:rFonts w:hint="default" w:ascii="Times New Roman" w:hAnsi="Times New Roman" w:eastAsia="宋体" w:cs="Times New Roman"/>
                      <w:color w:val="auto"/>
                      <w:lang w:val="zh-CN"/>
                    </w:rPr>
                    <w:t>间接排放</w:t>
                  </w:r>
                </w:p>
              </w:tc>
              <w:tc>
                <w:tcPr>
                  <w:tcW w:w="3024" w:type="dxa"/>
                  <w:tcBorders>
                    <w:tl2br w:val="nil"/>
                    <w:tr2bl w:val="nil"/>
                  </w:tcBorders>
                  <w:shd w:val="clear" w:color="auto" w:fill="D7D7D7" w:themeFill="background1" w:themeFillShade="D8"/>
                  <w:vAlign w:val="center"/>
                </w:tcPr>
                <w:p>
                  <w:pPr>
                    <w:pStyle w:val="46"/>
                    <w:rPr>
                      <w:rFonts w:hint="default" w:ascii="Times New Roman" w:hAnsi="Times New Roman" w:eastAsia="宋体" w:cs="Times New Roman"/>
                      <w:color w:val="auto"/>
                      <w:lang w:val="zh-CN"/>
                    </w:rPr>
                  </w:pPr>
                  <w:r>
                    <w:rPr>
                      <w:rFonts w:hint="default" w:ascii="Times New Roman" w:hAnsi="Times New Roman" w:eastAsia="宋体" w:cs="Times New Roman"/>
                      <w:color w:val="auto"/>
                      <w:lang w:val="zh-CN"/>
                    </w:rPr>
                    <w:t>--</w:t>
                  </w:r>
                </w:p>
              </w:tc>
            </w:tr>
          </w:tbl>
          <w:p>
            <w:pPr>
              <w:ind w:firstLine="480"/>
              <w:rPr>
                <w:rFonts w:hint="default" w:ascii="Times New Roman" w:hAnsi="Times New Roman" w:eastAsia="宋体" w:cs="Times New Roman"/>
              </w:rPr>
            </w:pPr>
            <w:r>
              <w:rPr>
                <w:rFonts w:hint="default" w:ascii="Times New Roman" w:hAnsi="Times New Roman" w:eastAsia="宋体" w:cs="Times New Roman"/>
              </w:rPr>
              <w:t>本项目清洗剂稀释用水在使用过程中自然挥发，无生产废水产生；生活污水经三级化粪池沤肥处理后委托农户定期清运用于农田灌溉，不外排。</w:t>
            </w:r>
          </w:p>
          <w:p>
            <w:pPr>
              <w:ind w:firstLine="480"/>
              <w:rPr>
                <w:rFonts w:hint="default" w:ascii="Times New Roman" w:hAnsi="Times New Roman" w:eastAsia="宋体" w:cs="Times New Roman"/>
              </w:rPr>
            </w:pPr>
            <w:r>
              <w:rPr>
                <w:rFonts w:hint="default" w:ascii="Times New Roman" w:hAnsi="Times New Roman" w:eastAsia="宋体" w:cs="Times New Roman"/>
              </w:rPr>
              <w:t>根据《环境影响评价技术导则 地面水环境》（HJ 2.3-2018），本项目地表水环境影响评价等级为三级B，水环境影响评价从简分析，不设预测评价范围。</w:t>
            </w:r>
          </w:p>
          <w:p>
            <w:pPr>
              <w:pStyle w:val="21"/>
              <w:numPr>
                <w:ilvl w:val="0"/>
                <w:numId w:val="19"/>
              </w:numPr>
              <w:ind w:left="845" w:firstLineChars="0"/>
              <w:rPr>
                <w:rFonts w:hint="default" w:ascii="Times New Roman" w:hAnsi="Times New Roman" w:eastAsia="宋体" w:cs="Times New Roman"/>
                <w:b/>
              </w:rPr>
            </w:pPr>
            <w:r>
              <w:rPr>
                <w:rFonts w:hint="default" w:ascii="Times New Roman" w:hAnsi="Times New Roman" w:eastAsia="宋体" w:cs="Times New Roman"/>
                <w:b/>
              </w:rPr>
              <w:t>水污染控制和水环境影响减缓措施有效性分析</w:t>
            </w:r>
          </w:p>
          <w:p>
            <w:pPr>
              <w:pStyle w:val="28"/>
              <w:rPr>
                <w:rFonts w:hint="default" w:ascii="Times New Roman" w:hAnsi="Times New Roman" w:eastAsia="宋体" w:cs="Times New Roman"/>
                <w:color w:val="auto"/>
              </w:rPr>
            </w:pPr>
            <w:r>
              <w:rPr>
                <w:rFonts w:hint="default" w:ascii="Times New Roman" w:hAnsi="Times New Roman" w:eastAsia="宋体" w:cs="Times New Roman"/>
                <w:color w:val="auto"/>
              </w:rPr>
              <w:t>项目生活污水产生量为64.8t/a，主要污染物是 COD</w:t>
            </w:r>
            <w:r>
              <w:rPr>
                <w:rFonts w:hint="default" w:ascii="Times New Roman" w:hAnsi="Times New Roman" w:eastAsia="宋体" w:cs="Times New Roman"/>
                <w:color w:val="auto"/>
                <w:vertAlign w:val="subscript"/>
              </w:rPr>
              <w:t>Cr</w:t>
            </w:r>
            <w:r>
              <w:rPr>
                <w:rFonts w:hint="default" w:ascii="Times New Roman" w:hAnsi="Times New Roman" w:eastAsia="宋体" w:cs="Times New Roman"/>
                <w:color w:val="auto"/>
              </w:rPr>
              <w:t xml:space="preserve"> 、BOD</w:t>
            </w:r>
            <w:r>
              <w:rPr>
                <w:rFonts w:hint="default" w:ascii="Times New Roman" w:hAnsi="Times New Roman" w:eastAsia="宋体" w:cs="Times New Roman"/>
                <w:color w:val="auto"/>
                <w:vertAlign w:val="subscript"/>
              </w:rPr>
              <w:t>5</w:t>
            </w:r>
            <w:r>
              <w:rPr>
                <w:rFonts w:hint="default" w:ascii="Times New Roman" w:hAnsi="Times New Roman" w:eastAsia="宋体" w:cs="Times New Roman"/>
                <w:color w:val="auto"/>
              </w:rPr>
              <w:t xml:space="preserve"> 、SS、氨氮等，生活污水若不经过处理排入水体，其所含污染物将消耗水中一定的溶解氧，使水体出现缺氧现象，使鱼类等水生动物死亡，而厌氧的微生物大量繁衍，改变群落结构，产生甲烷、乙酸等物质，导致水体发黑发臭，恶化环境质量。由于项目尚未覆盖市政污水管网可收集该区域产生的生活污水，拟将生活污水排入化粪池沤肥预处理（通过微生物使里面的有机物分解，变成植物容易吸收的养分），沤肥后的生活污水委托农户定期转移，作为农田农家肥综合利用，无生活污水排放。不会对周围地表水体产生影响。</w:t>
            </w:r>
          </w:p>
          <w:p>
            <w:pPr>
              <w:pStyle w:val="21"/>
              <w:numPr>
                <w:ilvl w:val="0"/>
                <w:numId w:val="19"/>
              </w:numPr>
              <w:ind w:left="845" w:firstLineChars="0"/>
              <w:rPr>
                <w:rFonts w:hint="default" w:ascii="Times New Roman" w:hAnsi="Times New Roman" w:eastAsia="宋体" w:cs="Times New Roman"/>
                <w:b/>
              </w:rPr>
            </w:pPr>
            <w:r>
              <w:rPr>
                <w:rFonts w:hint="default" w:ascii="Times New Roman" w:hAnsi="Times New Roman" w:eastAsia="宋体" w:cs="Times New Roman"/>
                <w:b/>
              </w:rPr>
              <w:t>项目生活污水回用于农田灌溉的可行性分析</w:t>
            </w:r>
          </w:p>
          <w:p>
            <w:pPr>
              <w:ind w:firstLine="480"/>
              <w:rPr>
                <w:rFonts w:hint="default" w:ascii="Times New Roman" w:hAnsi="Times New Roman" w:eastAsia="宋体" w:cs="Times New Roman"/>
              </w:rPr>
            </w:pPr>
            <w:r>
              <w:rPr>
                <w:rFonts w:hint="default" w:ascii="Times New Roman" w:hAnsi="Times New Roman" w:eastAsia="宋体" w:cs="Times New Roman"/>
              </w:rPr>
              <w:t>建设单位已与南溪村村民吴先生达成协议，将本项目产生的生活污水免费提供给吴先生用于其承包的4.6亩农田灌溉。协议农田位于长沙八一南溪开发区南溪村，常年种植瓜菜等作物，接收生活污水灌溉农田协议见附件五。</w:t>
            </w:r>
          </w:p>
          <w:p>
            <w:pPr>
              <w:pStyle w:val="28"/>
              <w:rPr>
                <w:rFonts w:hint="default" w:ascii="Times New Roman" w:hAnsi="Times New Roman" w:eastAsia="宋体" w:cs="Times New Roman"/>
                <w:color w:val="auto"/>
              </w:rPr>
            </w:pPr>
            <w:r>
              <w:rPr>
                <w:rFonts w:hint="default" w:ascii="Times New Roman" w:hAnsi="Times New Roman" w:eastAsia="宋体" w:cs="Times New Roman"/>
                <w:color w:val="auto"/>
              </w:rPr>
              <w:t>根据接收生活污水灌溉农田协议，灌溉面积约为3067平方米（4.6亩）。参照《广东省用水定额》（DB44/T1461-2014）中城市绿化管理中的以公共绿化面积为基准，定额值为2L/m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rPr>
              <w:t>·日，根据开平市多年气象统计资料，年平均降雨日数为168天，约有197天无降雨，绿化全年用水按晴天数计算，则绿化用水为6.13m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/d（12088.4m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/a），而本项目生活废水产生量为64.8m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/a&lt;12088.4m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/a，则协议农田完全可以消耗本项目产生的废水，本项目污水产生量较少，污水水质简单，项目生活污水经三级化粪池处理后回用于农田灌溉措施可行。</w:t>
            </w:r>
          </w:p>
          <w:p>
            <w:pPr>
              <w:pStyle w:val="21"/>
              <w:numPr>
                <w:ilvl w:val="0"/>
                <w:numId w:val="19"/>
              </w:numPr>
              <w:ind w:left="845" w:firstLineChars="0"/>
              <w:rPr>
                <w:rFonts w:hint="default" w:ascii="Times New Roman" w:hAnsi="Times New Roman" w:eastAsia="宋体" w:cs="Times New Roman"/>
                <w:b/>
              </w:rPr>
            </w:pPr>
            <w:r>
              <w:rPr>
                <w:rFonts w:hint="default" w:ascii="Times New Roman" w:hAnsi="Times New Roman" w:eastAsia="宋体" w:cs="Times New Roman"/>
                <w:b/>
              </w:rPr>
              <w:t>建设项目水污染物排放信息</w:t>
            </w:r>
          </w:p>
          <w:p>
            <w:pPr>
              <w:pStyle w:val="28"/>
              <w:rPr>
                <w:rFonts w:hint="default" w:ascii="Times New Roman" w:hAnsi="Times New Roman" w:eastAsia="宋体" w:cs="Times New Roman"/>
                <w:color w:val="auto"/>
              </w:rPr>
            </w:pPr>
            <w:r>
              <w:rPr>
                <w:rFonts w:hint="default" w:ascii="Times New Roman" w:hAnsi="Times New Roman" w:eastAsia="宋体" w:cs="Times New Roman"/>
                <w:color w:val="auto"/>
              </w:rPr>
              <w:t>①废水类别、污染物情况及治理设施信息，见下表。</w:t>
            </w:r>
          </w:p>
          <w:p>
            <w:pPr>
              <w:pStyle w:val="45"/>
              <w:rPr>
                <w:rFonts w:hint="default" w:ascii="Times New Roman" w:hAnsi="Times New Roman" w:eastAsia="宋体" w:cs="Times New Roman"/>
                <w:b/>
                <w:bCs/>
              </w:rPr>
            </w:pPr>
            <w:r>
              <w:rPr>
                <w:rFonts w:hint="default" w:ascii="Times New Roman" w:hAnsi="Times New Roman" w:eastAsia="宋体" w:cs="Times New Roman"/>
                <w:b/>
                <w:bCs/>
              </w:rPr>
              <w:t>表7-2 废水类别、污染物情况及治理设施信息表</w:t>
            </w:r>
          </w:p>
          <w:tbl>
            <w:tblPr>
              <w:tblStyle w:val="23"/>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6"/>
              <w:gridCol w:w="895"/>
              <w:gridCol w:w="953"/>
              <w:gridCol w:w="837"/>
              <w:gridCol w:w="916"/>
              <w:gridCol w:w="916"/>
              <w:gridCol w:w="790"/>
              <w:gridCol w:w="738"/>
              <w:gridCol w:w="902"/>
              <w:gridCol w:w="17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废水类别</w:t>
                  </w:r>
                </w:p>
              </w:tc>
              <w:tc>
                <w:tcPr>
                  <w:tcW w:w="478" w:type="pct"/>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污染物种类</w:t>
                  </w:r>
                </w:p>
              </w:tc>
              <w:tc>
                <w:tcPr>
                  <w:tcW w:w="509" w:type="pct"/>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排放去向</w:t>
                  </w:r>
                </w:p>
              </w:tc>
              <w:tc>
                <w:tcPr>
                  <w:tcW w:w="447" w:type="pct"/>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排放规律</w:t>
                  </w:r>
                </w:p>
              </w:tc>
              <w:tc>
                <w:tcPr>
                  <w:tcW w:w="1400" w:type="pct"/>
                  <w:gridSpan w:val="3"/>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污染治理设施</w:t>
                  </w:r>
                </w:p>
              </w:tc>
              <w:tc>
                <w:tcPr>
                  <w:tcW w:w="394" w:type="pct"/>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排放口编号</w:t>
                  </w:r>
                </w:p>
              </w:tc>
              <w:tc>
                <w:tcPr>
                  <w:tcW w:w="482" w:type="pct"/>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排放口设置是否符合要求</w:t>
                  </w:r>
                </w:p>
              </w:tc>
              <w:tc>
                <w:tcPr>
                  <w:tcW w:w="919" w:type="pct"/>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Merge w:val="continue"/>
                  <w:tcBorders>
                    <w:tl2br w:val="nil"/>
                    <w:tr2bl w:val="nil"/>
                  </w:tcBorders>
                  <w:vAlign w:val="center"/>
                </w:tcPr>
                <w:p>
                  <w:pPr>
                    <w:pStyle w:val="46"/>
                    <w:rPr>
                      <w:rFonts w:hint="default" w:ascii="Times New Roman" w:hAnsi="Times New Roman" w:eastAsia="宋体" w:cs="Times New Roman"/>
                      <w:b/>
                      <w:bCs/>
                      <w:color w:val="auto"/>
                    </w:rPr>
                  </w:pPr>
                </w:p>
              </w:tc>
              <w:tc>
                <w:tcPr>
                  <w:tcW w:w="478" w:type="pct"/>
                  <w:vMerge w:val="continue"/>
                  <w:tcBorders>
                    <w:tl2br w:val="nil"/>
                    <w:tr2bl w:val="nil"/>
                  </w:tcBorders>
                  <w:vAlign w:val="center"/>
                </w:tcPr>
                <w:p>
                  <w:pPr>
                    <w:pStyle w:val="46"/>
                    <w:rPr>
                      <w:rFonts w:hint="default" w:ascii="Times New Roman" w:hAnsi="Times New Roman" w:eastAsia="宋体" w:cs="Times New Roman"/>
                      <w:b/>
                      <w:bCs/>
                      <w:color w:val="auto"/>
                    </w:rPr>
                  </w:pPr>
                </w:p>
              </w:tc>
              <w:tc>
                <w:tcPr>
                  <w:tcW w:w="509" w:type="pct"/>
                  <w:vMerge w:val="continue"/>
                  <w:tcBorders>
                    <w:tl2br w:val="nil"/>
                    <w:tr2bl w:val="nil"/>
                  </w:tcBorders>
                  <w:vAlign w:val="center"/>
                </w:tcPr>
                <w:p>
                  <w:pPr>
                    <w:pStyle w:val="46"/>
                    <w:rPr>
                      <w:rFonts w:hint="default" w:ascii="Times New Roman" w:hAnsi="Times New Roman" w:eastAsia="宋体" w:cs="Times New Roman"/>
                      <w:b/>
                      <w:bCs/>
                      <w:color w:val="auto"/>
                    </w:rPr>
                  </w:pPr>
                </w:p>
              </w:tc>
              <w:tc>
                <w:tcPr>
                  <w:tcW w:w="447" w:type="pct"/>
                  <w:vMerge w:val="continue"/>
                  <w:tcBorders>
                    <w:tl2br w:val="nil"/>
                    <w:tr2bl w:val="nil"/>
                  </w:tcBorders>
                  <w:vAlign w:val="center"/>
                </w:tcPr>
                <w:p>
                  <w:pPr>
                    <w:pStyle w:val="46"/>
                    <w:rPr>
                      <w:rFonts w:hint="default" w:ascii="Times New Roman" w:hAnsi="Times New Roman" w:eastAsia="宋体" w:cs="Times New Roman"/>
                      <w:b/>
                      <w:bCs/>
                      <w:color w:val="auto"/>
                    </w:rPr>
                  </w:pPr>
                </w:p>
              </w:tc>
              <w:tc>
                <w:tcPr>
                  <w:tcW w:w="489" w:type="pc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污染治理设施编号</w:t>
                  </w:r>
                </w:p>
              </w:tc>
              <w:tc>
                <w:tcPr>
                  <w:tcW w:w="489" w:type="pc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污染治理设施名称</w:t>
                  </w:r>
                </w:p>
              </w:tc>
              <w:tc>
                <w:tcPr>
                  <w:tcW w:w="421" w:type="pc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污染治理工艺</w:t>
                  </w:r>
                </w:p>
              </w:tc>
              <w:tc>
                <w:tcPr>
                  <w:tcW w:w="394" w:type="pct"/>
                  <w:vMerge w:val="continue"/>
                  <w:tcBorders>
                    <w:tl2br w:val="nil"/>
                    <w:tr2bl w:val="nil"/>
                  </w:tcBorders>
                  <w:vAlign w:val="center"/>
                </w:tcPr>
                <w:p>
                  <w:pPr>
                    <w:pStyle w:val="46"/>
                    <w:rPr>
                      <w:rFonts w:hint="default" w:ascii="Times New Roman" w:hAnsi="Times New Roman" w:eastAsia="宋体" w:cs="Times New Roman"/>
                      <w:b/>
                      <w:bCs/>
                      <w:color w:val="auto"/>
                    </w:rPr>
                  </w:pPr>
                </w:p>
              </w:tc>
              <w:tc>
                <w:tcPr>
                  <w:tcW w:w="482" w:type="pct"/>
                  <w:vMerge w:val="continue"/>
                  <w:tcBorders>
                    <w:tl2br w:val="nil"/>
                    <w:tr2bl w:val="nil"/>
                  </w:tcBorders>
                  <w:vAlign w:val="center"/>
                </w:tcPr>
                <w:p>
                  <w:pPr>
                    <w:pStyle w:val="46"/>
                    <w:rPr>
                      <w:rFonts w:hint="default" w:ascii="Times New Roman" w:hAnsi="Times New Roman" w:eastAsia="宋体" w:cs="Times New Roman"/>
                      <w:b/>
                      <w:bCs/>
                      <w:color w:val="auto"/>
                    </w:rPr>
                  </w:pPr>
                </w:p>
              </w:tc>
              <w:tc>
                <w:tcPr>
                  <w:tcW w:w="919" w:type="pct"/>
                  <w:vMerge w:val="continue"/>
                  <w:tcBorders>
                    <w:tl2br w:val="nil"/>
                    <w:tr2bl w:val="nil"/>
                  </w:tcBorders>
                  <w:vAlign w:val="center"/>
                </w:tcPr>
                <w:p>
                  <w:pPr>
                    <w:pStyle w:val="46"/>
                    <w:rPr>
                      <w:rFonts w:hint="default" w:ascii="Times New Roman" w:hAnsi="Times New Roman" w:eastAsia="宋体" w:cs="Times New Roman"/>
                      <w:b/>
                      <w:bCs/>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生活污水</w:t>
                  </w:r>
                </w:p>
              </w:tc>
              <w:tc>
                <w:tcPr>
                  <w:tcW w:w="478"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CODcr</w:t>
                  </w:r>
                </w:p>
              </w:tc>
              <w:tc>
                <w:tcPr>
                  <w:tcW w:w="509" w:type="pct"/>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农田灌溉</w:t>
                  </w:r>
                </w:p>
              </w:tc>
              <w:tc>
                <w:tcPr>
                  <w:tcW w:w="447" w:type="pct"/>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489" w:type="pct"/>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H1</w:t>
                  </w:r>
                </w:p>
              </w:tc>
              <w:tc>
                <w:tcPr>
                  <w:tcW w:w="489" w:type="pct"/>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化粪池</w:t>
                  </w:r>
                </w:p>
              </w:tc>
              <w:tc>
                <w:tcPr>
                  <w:tcW w:w="421" w:type="pct"/>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化粪池</w:t>
                  </w:r>
                </w:p>
              </w:tc>
              <w:tc>
                <w:tcPr>
                  <w:tcW w:w="394" w:type="pct"/>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482" w:type="pct"/>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sym w:font="Wingdings 2" w:char="00A3"/>
                  </w:r>
                  <w:r>
                    <w:rPr>
                      <w:rFonts w:hint="default" w:ascii="Times New Roman" w:hAnsi="Times New Roman" w:eastAsia="宋体" w:cs="Times New Roman"/>
                      <w:color w:val="auto"/>
                    </w:rPr>
                    <w:t>是</w:t>
                  </w:r>
                </w:p>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sym w:font="Wingdings 2" w:char="00A3"/>
                  </w:r>
                  <w:r>
                    <w:rPr>
                      <w:rFonts w:hint="default" w:ascii="Times New Roman" w:hAnsi="Times New Roman" w:eastAsia="宋体" w:cs="Times New Roman"/>
                      <w:color w:val="auto"/>
                    </w:rPr>
                    <w:t>否</w:t>
                  </w:r>
                </w:p>
              </w:tc>
              <w:tc>
                <w:tcPr>
                  <w:tcW w:w="919" w:type="pct"/>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sym w:font="Wingdings 2" w:char="00A3"/>
                  </w:r>
                  <w:r>
                    <w:rPr>
                      <w:rFonts w:hint="default" w:ascii="Times New Roman" w:hAnsi="Times New Roman" w:eastAsia="宋体" w:cs="Times New Roman"/>
                      <w:color w:val="auto"/>
                    </w:rPr>
                    <w:t>企业总排</w:t>
                  </w:r>
                </w:p>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sym w:font="Wingdings 2" w:char="00A3"/>
                  </w:r>
                  <w:r>
                    <w:rPr>
                      <w:rFonts w:hint="default" w:ascii="Times New Roman" w:hAnsi="Times New Roman" w:eastAsia="宋体" w:cs="Times New Roman"/>
                      <w:color w:val="auto"/>
                    </w:rPr>
                    <w:t>雨水排放</w:t>
                  </w:r>
                </w:p>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sym w:font="Wingdings 2" w:char="00A3"/>
                  </w:r>
                  <w:r>
                    <w:rPr>
                      <w:rFonts w:hint="default" w:ascii="Times New Roman" w:hAnsi="Times New Roman" w:eastAsia="宋体" w:cs="Times New Roman"/>
                      <w:color w:val="auto"/>
                    </w:rPr>
                    <w:t>清净下水排放</w:t>
                  </w:r>
                </w:p>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sym w:font="Wingdings 2" w:char="00A3"/>
                  </w:r>
                  <w:r>
                    <w:rPr>
                      <w:rFonts w:hint="default" w:ascii="Times New Roman" w:hAnsi="Times New Roman" w:eastAsia="宋体" w:cs="Times New Roman"/>
                      <w:color w:val="auto"/>
                    </w:rPr>
                    <w:t>温排水排放</w:t>
                  </w:r>
                </w:p>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sym w:font="Wingdings 2" w:char="00A3"/>
                  </w:r>
                  <w:r>
                    <w:rPr>
                      <w:rFonts w:hint="default" w:ascii="Times New Roman" w:hAnsi="Times New Roman" w:eastAsia="宋体" w:cs="Times New Roman"/>
                      <w:color w:val="auto"/>
                    </w:rPr>
                    <w:t>车间或车间处理设施排放口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478"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BOD</w:t>
                  </w:r>
                  <w:r>
                    <w:rPr>
                      <w:rFonts w:hint="default" w:ascii="Times New Roman" w:hAnsi="Times New Roman" w:eastAsia="宋体" w:cs="Times New Roman"/>
                      <w:color w:val="auto"/>
                      <w:vertAlign w:val="subscript"/>
                    </w:rPr>
                    <w:t>5</w:t>
                  </w:r>
                </w:p>
              </w:tc>
              <w:tc>
                <w:tcPr>
                  <w:tcW w:w="509"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447"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489"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489"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421"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394"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482"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919" w:type="pct"/>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478"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NH</w:t>
                  </w:r>
                  <w:r>
                    <w:rPr>
                      <w:rFonts w:hint="default" w:ascii="Times New Roman" w:hAnsi="Times New Roman" w:eastAsia="宋体" w:cs="Times New Roman"/>
                      <w:color w:val="auto"/>
                      <w:vertAlign w:val="subscript"/>
                    </w:rPr>
                    <w:t>3</w:t>
                  </w:r>
                  <w:r>
                    <w:rPr>
                      <w:rFonts w:hint="default" w:ascii="Times New Roman" w:hAnsi="Times New Roman" w:eastAsia="宋体" w:cs="Times New Roman"/>
                      <w:color w:val="auto"/>
                    </w:rPr>
                    <w:t>-N</w:t>
                  </w:r>
                </w:p>
              </w:tc>
              <w:tc>
                <w:tcPr>
                  <w:tcW w:w="509"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447"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489"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489"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421"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394"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482"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919" w:type="pct"/>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478"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SS</w:t>
                  </w:r>
                </w:p>
              </w:tc>
              <w:tc>
                <w:tcPr>
                  <w:tcW w:w="509"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447"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489"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489"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421"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394"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482"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919" w:type="pct"/>
                  <w:vMerge w:val="continue"/>
                  <w:tcBorders>
                    <w:tl2br w:val="nil"/>
                    <w:tr2bl w:val="nil"/>
                  </w:tcBorders>
                  <w:vAlign w:val="center"/>
                </w:tcPr>
                <w:p>
                  <w:pPr>
                    <w:pStyle w:val="46"/>
                    <w:rPr>
                      <w:rFonts w:hint="default" w:ascii="Times New Roman" w:hAnsi="Times New Roman" w:eastAsia="宋体" w:cs="Times New Roman"/>
                      <w:color w:val="auto"/>
                    </w:rPr>
                  </w:pPr>
                </w:p>
              </w:tc>
            </w:tr>
          </w:tbl>
          <w:p>
            <w:pPr>
              <w:numPr>
                <w:ilvl w:val="0"/>
                <w:numId w:val="18"/>
              </w:numPr>
              <w:spacing w:before="120"/>
              <w:ind w:firstLine="0" w:firstLineChars="0"/>
              <w:rPr>
                <w:rFonts w:hint="default" w:ascii="Times New Roman" w:hAnsi="Times New Roman" w:eastAsia="宋体" w:cs="Times New Roman"/>
                <w:b/>
                <w:bCs/>
              </w:rPr>
            </w:pPr>
            <w:r>
              <w:rPr>
                <w:rFonts w:hint="default" w:ascii="Times New Roman" w:hAnsi="Times New Roman" w:eastAsia="宋体" w:cs="Times New Roman"/>
                <w:b/>
                <w:bCs/>
              </w:rPr>
              <w:t>地下水环境影响分析</w:t>
            </w:r>
          </w:p>
          <w:p>
            <w:pPr>
              <w:ind w:firstLine="480"/>
              <w:rPr>
                <w:rFonts w:hint="default" w:ascii="Times New Roman" w:hAnsi="Times New Roman" w:eastAsia="宋体" w:cs="Times New Roman"/>
              </w:rPr>
            </w:pPr>
            <w:r>
              <w:rPr>
                <w:rFonts w:hint="default" w:ascii="Times New Roman" w:hAnsi="Times New Roman" w:eastAsia="宋体" w:cs="Times New Roman"/>
              </w:rPr>
              <w:t>根据《环境影响评价技术导则地下水环境》（HJ610-2016）附录A，本项目为“N轻工”中的“114、印刷；文教、体育、娱乐用品制造；磁材料制造”类，所以本项目地下水环境影响评价项目类别为Ⅳ类。本项目可不开展地下水环境影响评价。</w:t>
            </w:r>
          </w:p>
          <w:p>
            <w:pPr>
              <w:numPr>
                <w:ilvl w:val="0"/>
                <w:numId w:val="18"/>
              </w:numPr>
              <w:spacing w:before="120"/>
              <w:ind w:firstLine="0" w:firstLineChars="0"/>
              <w:rPr>
                <w:rFonts w:hint="default" w:ascii="Times New Roman" w:hAnsi="Times New Roman" w:eastAsia="宋体" w:cs="Times New Roman"/>
                <w:b/>
                <w:bCs/>
              </w:rPr>
            </w:pPr>
            <w:r>
              <w:rPr>
                <w:rFonts w:hint="default" w:ascii="Times New Roman" w:hAnsi="Times New Roman" w:eastAsia="宋体" w:cs="Times New Roman"/>
                <w:b/>
                <w:bCs/>
              </w:rPr>
              <w:t>大气环境影响分析</w:t>
            </w:r>
          </w:p>
          <w:p>
            <w:pPr>
              <w:numPr>
                <w:ilvl w:val="0"/>
                <w:numId w:val="20"/>
              </w:numPr>
              <w:ind w:left="845" w:firstLineChars="0"/>
              <w:rPr>
                <w:rFonts w:hint="default" w:ascii="Times New Roman" w:hAnsi="Times New Roman" w:eastAsia="宋体" w:cs="Times New Roman"/>
                <w:b/>
                <w:bCs/>
              </w:rPr>
            </w:pPr>
            <w:r>
              <w:rPr>
                <w:rFonts w:hint="default" w:ascii="Times New Roman" w:hAnsi="Times New Roman" w:eastAsia="宋体" w:cs="Times New Roman"/>
                <w:b/>
                <w:bCs/>
              </w:rPr>
              <w:t>有机废气分析</w:t>
            </w:r>
          </w:p>
          <w:p>
            <w:pPr>
              <w:numPr>
                <w:ilvl w:val="0"/>
                <w:numId w:val="21"/>
              </w:numPr>
              <w:ind w:left="840" w:firstLineChars="0"/>
              <w:rPr>
                <w:rFonts w:hint="default" w:ascii="Times New Roman" w:hAnsi="Times New Roman" w:eastAsia="宋体" w:cs="Times New Roman"/>
                <w:b/>
                <w:bCs/>
              </w:rPr>
            </w:pPr>
            <w:r>
              <w:rPr>
                <w:rFonts w:hint="default" w:ascii="Times New Roman" w:hAnsi="Times New Roman" w:eastAsia="宋体" w:cs="Times New Roman"/>
                <w:b/>
                <w:bCs/>
              </w:rPr>
              <w:t>有机废气环境影响分析</w:t>
            </w:r>
          </w:p>
          <w:p>
            <w:pPr>
              <w:ind w:firstLine="480"/>
              <w:rPr>
                <w:rFonts w:hint="default" w:ascii="Times New Roman" w:hAnsi="Times New Roman" w:eastAsia="宋体" w:cs="Times New Roman"/>
              </w:rPr>
            </w:pPr>
            <w:r>
              <w:rPr>
                <w:rFonts w:hint="default" w:ascii="Times New Roman" w:hAnsi="Times New Roman" w:eastAsia="宋体" w:cs="Times New Roman"/>
              </w:rPr>
              <w:t>本项目在印刷工序和设备清洗过程会产生有机废气，根据前文工序分析：建设单位拟在印刷区为独立密闭车间，所有印刷工序均在该密闭车间内进行，本项目对印刷区进行整体密闭抽风，总设计风量为10000m</w:t>
            </w:r>
            <w:r>
              <w:rPr>
                <w:rFonts w:hint="default" w:ascii="Times New Roman" w:hAnsi="Times New Roman" w:eastAsia="宋体" w:cs="Times New Roman"/>
                <w:vertAlign w:val="superscript"/>
              </w:rPr>
              <w:t>3</w:t>
            </w:r>
            <w:r>
              <w:rPr>
                <w:rFonts w:hint="default" w:ascii="Times New Roman" w:hAnsi="Times New Roman" w:eastAsia="宋体" w:cs="Times New Roman"/>
              </w:rPr>
              <w:t>/h；项目有机废气经收集后统一采用“活性炭吸附”处理工艺，处理后由15m高P1排气筒排放，收集效率取90%，综合处理效率取70%。</w:t>
            </w:r>
          </w:p>
          <w:p>
            <w:pPr>
              <w:ind w:firstLine="480"/>
              <w:rPr>
                <w:rFonts w:hint="default" w:ascii="Times New Roman" w:hAnsi="Times New Roman" w:eastAsia="宋体" w:cs="Times New Roman"/>
              </w:rPr>
            </w:pPr>
            <w:r>
              <w:rPr>
                <w:rFonts w:hint="default" w:ascii="Times New Roman" w:hAnsi="Times New Roman" w:eastAsia="宋体" w:cs="Times New Roman"/>
              </w:rPr>
              <w:t>项目有机废气有组织排放满足广东省地方标准《印刷行业挥发性有机化合物排放标准》（DB44/815-2010）表2中“平版印刷（不含以金属、陶瓷、玻璃为承印物的平版印刷）、柔性版印刷”第Ⅱ时段标准的要求；未被收集和逸散出来的有机废气通过加强通风换气在车间无组织排放，有机废气无组织排放满足广东省《印刷行业挥发性有机化合物排放标准》（DB44/815-2010）表3无组织排放监控点浓度限值标准。</w:t>
            </w:r>
          </w:p>
          <w:p>
            <w:pPr>
              <w:numPr>
                <w:ilvl w:val="0"/>
                <w:numId w:val="21"/>
              </w:numPr>
              <w:ind w:left="840" w:firstLineChars="0"/>
              <w:rPr>
                <w:rFonts w:hint="default" w:ascii="Times New Roman" w:hAnsi="Times New Roman" w:eastAsia="宋体" w:cs="Times New Roman"/>
                <w:b/>
                <w:bCs/>
              </w:rPr>
            </w:pPr>
            <w:r>
              <w:rPr>
                <w:rFonts w:hint="default" w:ascii="Times New Roman" w:hAnsi="Times New Roman" w:eastAsia="宋体" w:cs="Times New Roman"/>
                <w:b/>
                <w:bCs/>
              </w:rPr>
              <w:t>处理效率可行性分析</w:t>
            </w:r>
          </w:p>
          <w:p>
            <w:pPr>
              <w:ind w:firstLine="480"/>
              <w:rPr>
                <w:rFonts w:hint="default" w:ascii="Times New Roman" w:hAnsi="Times New Roman" w:eastAsia="宋体" w:cs="Times New Roman"/>
              </w:rPr>
            </w:pPr>
            <w:r>
              <w:rPr>
                <w:rFonts w:hint="default" w:ascii="Times New Roman" w:hAnsi="Times New Roman" w:eastAsia="宋体" w:cs="Times New Roman"/>
              </w:rPr>
              <w:t>项目有机废气处理流程图如下所示：</w:t>
            </w:r>
          </w:p>
          <w:p>
            <w:pPr>
              <w:pStyle w:val="52"/>
              <w:ind w:firstLine="0" w:firstLineChars="0"/>
              <w:jc w:val="center"/>
              <w:rPr>
                <w:rFonts w:hint="default" w:ascii="Times New Roman" w:hAnsi="Times New Roman" w:eastAsia="宋体" w:cs="Times New Roman"/>
                <w:b/>
                <w:bCs/>
                <w:szCs w:val="24"/>
              </w:rPr>
            </w:pPr>
            <w:r>
              <w:rPr>
                <w:rFonts w:hint="default" w:ascii="Times New Roman" w:hAnsi="Times New Roman" w:eastAsia="宋体" w:cs="Times New Roman"/>
              </w:rPr>
              <w:drawing>
                <wp:inline distT="0" distB="0" distL="114300" distR="114300">
                  <wp:extent cx="5941060" cy="1504950"/>
                  <wp:effectExtent l="0" t="0" r="2540" b="0"/>
                  <wp:docPr id="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9"/>
                          <pic:cNvPicPr>
                            <a:picLocks noChangeAspect="1"/>
                          </pic:cNvPicPr>
                        </pic:nvPicPr>
                        <pic:blipFill>
                          <a:blip r:embed="rId22"/>
                          <a:stretch>
                            <a:fillRect/>
                          </a:stretch>
                        </pic:blipFill>
                        <pic:spPr>
                          <a:xfrm>
                            <a:off x="0" y="0"/>
                            <a:ext cx="5941060" cy="1504950"/>
                          </a:xfrm>
                          <a:prstGeom prst="rect">
                            <a:avLst/>
                          </a:prstGeom>
                          <a:noFill/>
                          <a:ln>
                            <a:noFill/>
                          </a:ln>
                        </pic:spPr>
                      </pic:pic>
                    </a:graphicData>
                  </a:graphic>
                </wp:inline>
              </w:drawing>
            </w:r>
          </w:p>
          <w:p>
            <w:pPr>
              <w:pStyle w:val="45"/>
              <w:rPr>
                <w:rFonts w:hint="default" w:ascii="Times New Roman" w:hAnsi="Times New Roman" w:eastAsia="宋体" w:cs="Times New Roman"/>
                <w:b/>
                <w:bCs/>
              </w:rPr>
            </w:pPr>
            <w:r>
              <w:rPr>
                <w:rFonts w:hint="default" w:ascii="Times New Roman" w:hAnsi="Times New Roman" w:eastAsia="宋体" w:cs="Times New Roman"/>
                <w:b/>
                <w:bCs/>
              </w:rPr>
              <w:t>图7-2废气处理工艺流程</w:t>
            </w:r>
          </w:p>
          <w:p>
            <w:pPr>
              <w:ind w:firstLine="482"/>
              <w:rPr>
                <w:rFonts w:hint="default" w:ascii="Times New Roman" w:hAnsi="Times New Roman" w:eastAsia="宋体" w:cs="Times New Roman"/>
                <w:b/>
              </w:rPr>
            </w:pPr>
            <w:r>
              <w:rPr>
                <w:rFonts w:hint="default" w:ascii="Times New Roman" w:hAnsi="Times New Roman" w:eastAsia="宋体" w:cs="Times New Roman"/>
                <w:b/>
              </w:rPr>
              <w:t>活性炭吸附原理</w:t>
            </w:r>
          </w:p>
          <w:p>
            <w:pPr>
              <w:ind w:firstLine="480"/>
              <w:rPr>
                <w:rFonts w:hint="default" w:ascii="Times New Roman" w:hAnsi="Times New Roman" w:eastAsia="宋体" w:cs="Times New Roman"/>
              </w:rPr>
            </w:pPr>
            <w:r>
              <w:rPr>
                <w:rFonts w:hint="default" w:ascii="Times New Roman" w:hAnsi="Times New Roman" w:eastAsia="宋体" w:cs="Times New Roman"/>
              </w:rPr>
              <w:t>在一定的温度和压力下，当活性炭与有机废气接触时，有机废气吸附于活性炭的细孔中。气、固相开始接触时，对有机废气中的挥发性物质的吸附是主要过程，在活性炭的众多微孔中分为大中小三种孔，只有微小孔是吸附的主力军，活性炭具有微晶结构，微晶排列完全不规则，晶体中有微孔（半径小于20〔埃〕＝10-10米）、过渡孔（半径20～1000）、大孔（半径1000～100000），使它具有很大的内表面，比表面积为500～1700m</w:t>
            </w:r>
            <w:r>
              <w:rPr>
                <w:rFonts w:hint="default" w:ascii="Times New Roman" w:hAnsi="Times New Roman" w:eastAsia="宋体" w:cs="Times New Roman"/>
                <w:vertAlign w:val="superscript"/>
              </w:rPr>
              <w:t>2</w:t>
            </w:r>
            <w:r>
              <w:rPr>
                <w:rFonts w:hint="default" w:ascii="Times New Roman" w:hAnsi="Times New Roman" w:eastAsia="宋体" w:cs="Times New Roman"/>
              </w:rPr>
              <w:t>/克。这决定了活性炭具有良好的吸附性，可以吸附废水和废气中的金属离子、有害气体、有机污染物、色素等。工业上应用活性炭还要求机械强度大、耐磨性能好，它的结构力求稳定，吸附所需能量小，以有利于再生。活性炭用于油脂、饮料、食品、饮用水的脱色、脱味，气体分离、溶剂回收和空气调节，用作催化剂载体和防毒面具的吸附剂。随着时间的延长，活性炭细孔中吸附质浓度的不断增大，吸附速度会不断减慢，直到活性炭达到饱和状态。此时，吸附速度和解吸速度达到动态平衡，气、固相之间的传递相等。活性炭在这时需要进行解吸脱附再生。</w:t>
            </w:r>
          </w:p>
          <w:p>
            <w:pPr>
              <w:pStyle w:val="28"/>
              <w:ind w:firstLine="482"/>
              <w:rPr>
                <w:rFonts w:hint="default" w:ascii="Times New Roman" w:hAnsi="Times New Roman" w:eastAsia="宋体" w:cs="Times New Roman"/>
              </w:rPr>
            </w:pPr>
            <w:r>
              <w:rPr>
                <w:rFonts w:hint="default" w:ascii="Times New Roman" w:hAnsi="Times New Roman" w:eastAsia="宋体" w:cs="Times New Roman"/>
                <w:b/>
                <w:bCs/>
                <w:color w:val="auto"/>
              </w:rPr>
              <w:t>处理效率可行性分析：</w:t>
            </w:r>
            <w:r>
              <w:rPr>
                <w:rFonts w:hint="default" w:ascii="Times New Roman" w:hAnsi="Times New Roman" w:eastAsia="宋体" w:cs="Times New Roman"/>
                <w:color w:val="auto"/>
              </w:rPr>
              <w:t>根据《广东省印刷行业挥发性有机化合物废气治理技术指南》（2013年11月15日实施）中印刷行业常见治理设施治理效率中吸附法的治理效率为50~80%，活性炭吸附技术为成熟稳定废气处理技术，</w:t>
            </w:r>
            <w:r>
              <w:rPr>
                <w:rFonts w:hint="default" w:ascii="Times New Roman" w:hAnsi="Times New Roman" w:eastAsia="宋体" w:cs="Times New Roman"/>
                <w:color w:val="auto"/>
                <w:lang w:val="en-US" w:eastAsia="zh-CN"/>
              </w:rPr>
              <w:t>本项目</w:t>
            </w:r>
            <w:r>
              <w:rPr>
                <w:rFonts w:hint="default" w:ascii="Times New Roman" w:hAnsi="Times New Roman" w:eastAsia="宋体" w:cs="Times New Roman"/>
                <w:color w:val="auto"/>
              </w:rPr>
              <w:t>按照相关技术规范、标准进行设计、建设后可具有稳定可靠的处理效果，类比同类型项目，活性炭吸附有机废气处理效率应不低于70%，本次评价活性碳吸附装置处理效率取70%</w:t>
            </w:r>
          </w:p>
          <w:p>
            <w:pPr>
              <w:numPr>
                <w:ilvl w:val="0"/>
                <w:numId w:val="20"/>
              </w:numPr>
              <w:ind w:left="845" w:firstLineChars="0"/>
              <w:rPr>
                <w:rFonts w:hint="default" w:ascii="Times New Roman" w:hAnsi="Times New Roman" w:eastAsia="宋体" w:cs="Times New Roman"/>
                <w:b/>
                <w:bCs/>
              </w:rPr>
            </w:pPr>
            <w:r>
              <w:rPr>
                <w:rFonts w:hint="default" w:ascii="Times New Roman" w:hAnsi="Times New Roman" w:eastAsia="宋体" w:cs="Times New Roman"/>
                <w:b/>
                <w:bCs/>
              </w:rPr>
              <w:t>项目废气预测</w:t>
            </w:r>
          </w:p>
          <w:p>
            <w:pPr>
              <w:ind w:firstLine="480"/>
              <w:rPr>
                <w:rFonts w:hint="default" w:ascii="Times New Roman" w:hAnsi="Times New Roman" w:eastAsia="宋体" w:cs="Times New Roman"/>
              </w:rPr>
            </w:pPr>
            <w:r>
              <w:rPr>
                <w:rFonts w:hint="default" w:ascii="Times New Roman" w:hAnsi="Times New Roman" w:eastAsia="宋体" w:cs="Times New Roman"/>
              </w:rPr>
              <w:t>依据《环境影响评价技术导则-大气环境》(HJ2.2-2018)中5.3节工作等级的确定方法，结合项目工程分析结果，选择正常排放的主要污染物及排放参数，采用附录A推荐模型中的AERSCREEN模式计算项目污染源的最大环境影响，然后按评价工作分级判据进行分级。</w:t>
            </w:r>
          </w:p>
          <w:p>
            <w:pPr>
              <w:numPr>
                <w:ilvl w:val="0"/>
                <w:numId w:val="22"/>
              </w:numPr>
              <w:ind w:left="840" w:firstLineChars="0"/>
              <w:rPr>
                <w:rFonts w:hint="default" w:ascii="Times New Roman" w:hAnsi="Times New Roman" w:eastAsia="宋体" w:cs="Times New Roman"/>
                <w:b/>
                <w:bCs/>
              </w:rPr>
            </w:pPr>
            <w:r>
              <w:rPr>
                <w:rFonts w:hint="default" w:ascii="Times New Roman" w:hAnsi="Times New Roman" w:eastAsia="宋体" w:cs="Times New Roman"/>
                <w:b/>
                <w:bCs/>
              </w:rPr>
              <w:t>评价因子和评价标准、估算模型参数、污染源参数：</w:t>
            </w:r>
          </w:p>
          <w:p>
            <w:pPr>
              <w:ind w:firstLine="480"/>
              <w:rPr>
                <w:rFonts w:hint="default" w:ascii="Times New Roman" w:hAnsi="Times New Roman" w:eastAsia="宋体" w:cs="Times New Roman"/>
              </w:rPr>
            </w:pPr>
            <w:r>
              <w:rPr>
                <w:rFonts w:hint="default" w:ascii="Times New Roman" w:hAnsi="Times New Roman" w:eastAsia="宋体" w:cs="Times New Roman"/>
              </w:rPr>
              <w:t>评价因子和评价标准根据《环境影响评价技术导则大气环境》（HJ2.2-2018），大气环境影响评价因子主要为项目排放的基本污染物及其他污染物。根据项目生产工艺，结合项目工程分析的污染物分析，本次评价确定选取项目TVOC作为评价因子，评价因子和评价标准表见表7-7，估算模型参数见表7-8。</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表7-3 评价因子和评价标准表</w:t>
            </w:r>
          </w:p>
          <w:tbl>
            <w:tblPr>
              <w:tblStyle w:val="23"/>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3"/>
              <w:gridCol w:w="1758"/>
              <w:gridCol w:w="2347"/>
              <w:gridCol w:w="394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1" w:hRule="atLeast"/>
                <w:tblHeader/>
                <w:jc w:val="center"/>
              </w:trPr>
              <w:tc>
                <w:tcPr>
                  <w:tcW w:w="696" w:type="pct"/>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评价因子</w:t>
                  </w:r>
                </w:p>
              </w:tc>
              <w:tc>
                <w:tcPr>
                  <w:tcW w:w="939" w:type="pct"/>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平均时段</w:t>
                  </w:r>
                </w:p>
              </w:tc>
              <w:tc>
                <w:tcPr>
                  <w:tcW w:w="1254" w:type="pct"/>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标准值(ug/m</w:t>
                  </w:r>
                  <w:r>
                    <w:rPr>
                      <w:rFonts w:hint="default" w:ascii="Times New Roman" w:hAnsi="Times New Roman" w:eastAsia="宋体" w:cs="Times New Roman"/>
                      <w:b/>
                      <w:bCs/>
                      <w:color w:val="auto"/>
                      <w:vertAlign w:val="superscript"/>
                    </w:rPr>
                    <w:t>3</w:t>
                  </w:r>
                  <w:r>
                    <w:rPr>
                      <w:rFonts w:hint="default" w:ascii="Times New Roman" w:hAnsi="Times New Roman" w:eastAsia="宋体" w:cs="Times New Roman"/>
                      <w:b/>
                      <w:bCs/>
                      <w:color w:val="auto"/>
                    </w:rPr>
                    <w:t>)</w:t>
                  </w:r>
                </w:p>
              </w:tc>
              <w:tc>
                <w:tcPr>
                  <w:tcW w:w="2109" w:type="pct"/>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标准来源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561" w:hRule="atLeast"/>
                <w:jc w:val="center"/>
              </w:trPr>
              <w:tc>
                <w:tcPr>
                  <w:tcW w:w="696"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TVOC</w:t>
                  </w:r>
                </w:p>
              </w:tc>
              <w:tc>
                <w:tcPr>
                  <w:tcW w:w="939"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8小时平均</w:t>
                  </w:r>
                </w:p>
              </w:tc>
              <w:tc>
                <w:tcPr>
                  <w:tcW w:w="1254"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600</w:t>
                  </w:r>
                </w:p>
              </w:tc>
              <w:tc>
                <w:tcPr>
                  <w:tcW w:w="2109" w:type="pct"/>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《环境影响评价技术导则-大气环境》 HJ 2.2-2018 附录D</w:t>
                  </w:r>
                </w:p>
              </w:tc>
            </w:tr>
          </w:tbl>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表7-4  估算模型参数表</w:t>
            </w:r>
          </w:p>
          <w:tbl>
            <w:tblPr>
              <w:tblStyle w:val="23"/>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67"/>
              <w:gridCol w:w="4766"/>
              <w:gridCol w:w="252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3650" w:type="pct"/>
                  <w:gridSpan w:val="2"/>
                  <w:tcBorders>
                    <w:tl2br w:val="nil"/>
                    <w:tr2bl w:val="nil"/>
                  </w:tcBorders>
                  <w:shd w:val="clear" w:color="auto" w:fill="auto"/>
                  <w:vAlign w:val="center"/>
                </w:tcPr>
                <w:p>
                  <w:pPr>
                    <w:pStyle w:val="53"/>
                    <w:ind w:firstLine="422"/>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参数</w:t>
                  </w:r>
                </w:p>
              </w:tc>
              <w:tc>
                <w:tcPr>
                  <w:tcW w:w="1349" w:type="pct"/>
                  <w:tcBorders>
                    <w:tl2br w:val="nil"/>
                    <w:tr2bl w:val="nil"/>
                  </w:tcBorders>
                  <w:shd w:val="clear" w:color="auto" w:fill="auto"/>
                  <w:noWrap/>
                  <w:vAlign w:val="center"/>
                </w:tcPr>
                <w:p>
                  <w:pPr>
                    <w:pStyle w:val="53"/>
                    <w:ind w:firstLine="422"/>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取值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4" w:type="pct"/>
                  <w:vMerge w:val="restart"/>
                  <w:tcBorders>
                    <w:tl2br w:val="nil"/>
                    <w:tr2bl w:val="nil"/>
                  </w:tcBorders>
                  <w:shd w:val="clear" w:color="auto" w:fill="auto"/>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城市/农村选项</w:t>
                  </w:r>
                </w:p>
              </w:tc>
              <w:tc>
                <w:tcPr>
                  <w:tcW w:w="2545" w:type="pct"/>
                  <w:tcBorders>
                    <w:tl2br w:val="nil"/>
                    <w:tr2bl w:val="nil"/>
                  </w:tcBorders>
                  <w:shd w:val="clear" w:color="auto" w:fill="auto"/>
                  <w:noWrap/>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城市/农村</w:t>
                  </w:r>
                </w:p>
              </w:tc>
              <w:tc>
                <w:tcPr>
                  <w:tcW w:w="1349" w:type="pct"/>
                  <w:tcBorders>
                    <w:tl2br w:val="nil"/>
                    <w:tr2bl w:val="nil"/>
                  </w:tcBorders>
                  <w:shd w:val="clear" w:color="auto" w:fill="auto"/>
                  <w:noWrap/>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城市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4" w:type="pct"/>
                  <w:vMerge w:val="continue"/>
                  <w:tcBorders>
                    <w:tl2br w:val="nil"/>
                    <w:tr2bl w:val="nil"/>
                  </w:tcBorders>
                  <w:shd w:val="clear" w:color="auto" w:fill="auto"/>
                  <w:vAlign w:val="center"/>
                </w:tcPr>
                <w:p>
                  <w:pPr>
                    <w:pStyle w:val="53"/>
                    <w:ind w:firstLine="420"/>
                    <w:rPr>
                      <w:rFonts w:hint="default" w:ascii="Times New Roman" w:hAnsi="Times New Roman" w:eastAsia="宋体" w:cs="Times New Roman"/>
                      <w:color w:val="auto"/>
                      <w:szCs w:val="21"/>
                    </w:rPr>
                  </w:pPr>
                </w:p>
              </w:tc>
              <w:tc>
                <w:tcPr>
                  <w:tcW w:w="2545" w:type="pct"/>
                  <w:tcBorders>
                    <w:tl2br w:val="nil"/>
                    <w:tr2bl w:val="nil"/>
                  </w:tcBorders>
                  <w:shd w:val="clear" w:color="auto" w:fill="auto"/>
                  <w:noWrap/>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人口数（城市选项时）</w:t>
                  </w:r>
                </w:p>
              </w:tc>
              <w:tc>
                <w:tcPr>
                  <w:tcW w:w="1349" w:type="pct"/>
                  <w:tcBorders>
                    <w:tl2br w:val="nil"/>
                    <w:tr2bl w:val="nil"/>
                  </w:tcBorders>
                  <w:shd w:val="clear" w:color="auto" w:fill="auto"/>
                  <w:noWrap/>
                  <w:vAlign w:val="center"/>
                </w:tcPr>
                <w:p>
                  <w:pPr>
                    <w:pStyle w:val="53"/>
                    <w:ind w:firstLineChars="0"/>
                    <w:rPr>
                      <w:rFonts w:hint="default" w:ascii="Times New Roman" w:hAnsi="Times New Roman" w:eastAsia="宋体" w:cs="Times New Roman"/>
                      <w:color w:val="auto"/>
                      <w:szCs w:val="21"/>
                    </w:rPr>
                  </w:pPr>
                  <w:r>
                    <w:rPr>
                      <w:rStyle w:val="27"/>
                      <w:rFonts w:hint="default" w:ascii="Times New Roman" w:hAnsi="Times New Roman" w:eastAsia="宋体" w:cs="Times New Roman"/>
                      <w:snapToGrid/>
                      <w:color w:val="auto"/>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0" w:type="pct"/>
                  <w:gridSpan w:val="2"/>
                  <w:tcBorders>
                    <w:tl2br w:val="nil"/>
                    <w:tr2bl w:val="nil"/>
                  </w:tcBorders>
                  <w:shd w:val="clear" w:color="auto" w:fill="auto"/>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最高环境温度℃</w:t>
                  </w:r>
                </w:p>
              </w:tc>
              <w:tc>
                <w:tcPr>
                  <w:tcW w:w="1349" w:type="pct"/>
                  <w:tcBorders>
                    <w:tl2br w:val="nil"/>
                    <w:tr2bl w:val="nil"/>
                  </w:tcBorders>
                  <w:shd w:val="clear" w:color="auto" w:fill="auto"/>
                  <w:noWrap/>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39.4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0" w:type="pct"/>
                  <w:gridSpan w:val="2"/>
                  <w:tcBorders>
                    <w:tl2br w:val="nil"/>
                    <w:tr2bl w:val="nil"/>
                  </w:tcBorders>
                  <w:shd w:val="clear" w:color="auto" w:fill="auto"/>
                  <w:vAlign w:val="center"/>
                </w:tcPr>
                <w:p>
                  <w:pPr>
                    <w:pStyle w:val="53"/>
                    <w:ind w:firstLineChars="0"/>
                    <w:rPr>
                      <w:rFonts w:hint="default" w:ascii="Times New Roman" w:hAnsi="Times New Roman" w:eastAsia="宋体" w:cs="Times New Roman"/>
                      <w:color w:val="auto"/>
                    </w:rPr>
                  </w:pPr>
                  <w:r>
                    <w:rPr>
                      <w:rFonts w:hint="default" w:ascii="Times New Roman" w:hAnsi="Times New Roman" w:eastAsia="宋体" w:cs="Times New Roman"/>
                      <w:color w:val="auto"/>
                      <w:szCs w:val="21"/>
                    </w:rPr>
                    <w:t>最低环境温度 ℃</w:t>
                  </w:r>
                </w:p>
              </w:tc>
              <w:tc>
                <w:tcPr>
                  <w:tcW w:w="1349" w:type="pct"/>
                  <w:tcBorders>
                    <w:tl2br w:val="nil"/>
                    <w:tr2bl w:val="nil"/>
                  </w:tcBorders>
                  <w:shd w:val="clear" w:color="auto" w:fill="auto"/>
                  <w:noWrap/>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0" w:type="pct"/>
                  <w:gridSpan w:val="2"/>
                  <w:tcBorders>
                    <w:tl2br w:val="nil"/>
                    <w:tr2bl w:val="nil"/>
                  </w:tcBorders>
                  <w:shd w:val="clear" w:color="auto" w:fill="auto"/>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土地利用类型</w:t>
                  </w:r>
                </w:p>
              </w:tc>
              <w:tc>
                <w:tcPr>
                  <w:tcW w:w="1349" w:type="pct"/>
                  <w:tcBorders>
                    <w:tl2br w:val="nil"/>
                    <w:tr2bl w:val="nil"/>
                  </w:tcBorders>
                  <w:shd w:val="clear" w:color="auto" w:fill="auto"/>
                  <w:noWrap/>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城市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0" w:type="pct"/>
                  <w:gridSpan w:val="2"/>
                  <w:tcBorders>
                    <w:tl2br w:val="nil"/>
                    <w:tr2bl w:val="nil"/>
                  </w:tcBorders>
                  <w:shd w:val="clear" w:color="auto" w:fill="auto"/>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区域湿度条件</w:t>
                  </w:r>
                </w:p>
              </w:tc>
              <w:tc>
                <w:tcPr>
                  <w:tcW w:w="1349" w:type="pct"/>
                  <w:tcBorders>
                    <w:tl2br w:val="nil"/>
                    <w:tr2bl w:val="nil"/>
                  </w:tcBorders>
                  <w:shd w:val="clear" w:color="auto" w:fill="auto"/>
                  <w:noWrap/>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湿润区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4" w:type="pct"/>
                  <w:vMerge w:val="restart"/>
                  <w:tcBorders>
                    <w:tl2br w:val="nil"/>
                    <w:tr2bl w:val="nil"/>
                  </w:tcBorders>
                  <w:shd w:val="clear" w:color="auto" w:fill="auto"/>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是否考虑地形</w:t>
                  </w:r>
                </w:p>
              </w:tc>
              <w:tc>
                <w:tcPr>
                  <w:tcW w:w="2545" w:type="pct"/>
                  <w:tcBorders>
                    <w:tl2br w:val="nil"/>
                    <w:tr2bl w:val="nil"/>
                  </w:tcBorders>
                  <w:shd w:val="clear" w:color="auto" w:fill="auto"/>
                  <w:noWrap/>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考虑地形</w:t>
                  </w:r>
                </w:p>
              </w:tc>
              <w:tc>
                <w:tcPr>
                  <w:tcW w:w="1349" w:type="pct"/>
                  <w:tcBorders>
                    <w:tl2br w:val="nil"/>
                    <w:tr2bl w:val="nil"/>
                  </w:tcBorders>
                  <w:shd w:val="clear" w:color="auto" w:fill="auto"/>
                  <w:noWrap/>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□是  ■否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4" w:type="pct"/>
                  <w:vMerge w:val="continue"/>
                  <w:tcBorders>
                    <w:tl2br w:val="nil"/>
                    <w:tr2bl w:val="nil"/>
                  </w:tcBorders>
                  <w:shd w:val="clear" w:color="auto" w:fill="auto"/>
                  <w:vAlign w:val="center"/>
                </w:tcPr>
                <w:p>
                  <w:pPr>
                    <w:pStyle w:val="53"/>
                    <w:ind w:firstLine="420"/>
                    <w:rPr>
                      <w:rFonts w:hint="default" w:ascii="Times New Roman" w:hAnsi="Times New Roman" w:eastAsia="宋体" w:cs="Times New Roman"/>
                      <w:color w:val="auto"/>
                      <w:szCs w:val="21"/>
                    </w:rPr>
                  </w:pPr>
                </w:p>
              </w:tc>
              <w:tc>
                <w:tcPr>
                  <w:tcW w:w="2545" w:type="pct"/>
                  <w:tcBorders>
                    <w:tl2br w:val="nil"/>
                    <w:tr2bl w:val="nil"/>
                  </w:tcBorders>
                  <w:shd w:val="clear" w:color="auto" w:fill="auto"/>
                  <w:noWrap/>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地形数据分辨率 m</w:t>
                  </w:r>
                </w:p>
              </w:tc>
              <w:tc>
                <w:tcPr>
                  <w:tcW w:w="1349" w:type="pct"/>
                  <w:tcBorders>
                    <w:tl2br w:val="nil"/>
                    <w:tr2bl w:val="nil"/>
                  </w:tcBorders>
                  <w:shd w:val="clear" w:color="auto" w:fill="auto"/>
                  <w:noWrap/>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4" w:type="pct"/>
                  <w:vMerge w:val="restart"/>
                  <w:tcBorders>
                    <w:tl2br w:val="nil"/>
                    <w:tr2bl w:val="nil"/>
                  </w:tcBorders>
                  <w:shd w:val="clear" w:color="auto" w:fill="auto"/>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是否考虑岸线熏烟</w:t>
                  </w:r>
                </w:p>
              </w:tc>
              <w:tc>
                <w:tcPr>
                  <w:tcW w:w="2545" w:type="pct"/>
                  <w:tcBorders>
                    <w:tl2br w:val="nil"/>
                    <w:tr2bl w:val="nil"/>
                  </w:tcBorders>
                  <w:shd w:val="clear" w:color="auto" w:fill="auto"/>
                  <w:noWrap/>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考虑岸线熏烟</w:t>
                  </w:r>
                </w:p>
              </w:tc>
              <w:tc>
                <w:tcPr>
                  <w:tcW w:w="1349" w:type="pct"/>
                  <w:tcBorders>
                    <w:tl2br w:val="nil"/>
                    <w:tr2bl w:val="nil"/>
                  </w:tcBorders>
                  <w:shd w:val="clear" w:color="auto" w:fill="auto"/>
                  <w:noWrap/>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□是  ■否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4" w:type="pct"/>
                  <w:vMerge w:val="continue"/>
                  <w:tcBorders>
                    <w:tl2br w:val="nil"/>
                    <w:tr2bl w:val="nil"/>
                  </w:tcBorders>
                  <w:shd w:val="clear" w:color="auto" w:fill="auto"/>
                  <w:vAlign w:val="center"/>
                </w:tcPr>
                <w:p>
                  <w:pPr>
                    <w:pStyle w:val="53"/>
                    <w:ind w:firstLine="420"/>
                    <w:rPr>
                      <w:rFonts w:hint="default" w:ascii="Times New Roman" w:hAnsi="Times New Roman" w:eastAsia="宋体" w:cs="Times New Roman"/>
                      <w:color w:val="auto"/>
                      <w:szCs w:val="21"/>
                    </w:rPr>
                  </w:pPr>
                </w:p>
              </w:tc>
              <w:tc>
                <w:tcPr>
                  <w:tcW w:w="2545" w:type="pct"/>
                  <w:tcBorders>
                    <w:tl2br w:val="nil"/>
                    <w:tr2bl w:val="nil"/>
                  </w:tcBorders>
                  <w:shd w:val="clear" w:color="auto" w:fill="auto"/>
                  <w:noWrap/>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岸线距离km</w:t>
                  </w:r>
                </w:p>
              </w:tc>
              <w:tc>
                <w:tcPr>
                  <w:tcW w:w="1349" w:type="pct"/>
                  <w:tcBorders>
                    <w:tl2br w:val="nil"/>
                    <w:tr2bl w:val="nil"/>
                  </w:tcBorders>
                  <w:shd w:val="clear" w:color="auto" w:fill="auto"/>
                  <w:noWrap/>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4" w:type="pct"/>
                  <w:vMerge w:val="continue"/>
                  <w:tcBorders>
                    <w:tl2br w:val="nil"/>
                    <w:tr2bl w:val="nil"/>
                  </w:tcBorders>
                  <w:shd w:val="clear" w:color="auto" w:fill="auto"/>
                  <w:vAlign w:val="center"/>
                </w:tcPr>
                <w:p>
                  <w:pPr>
                    <w:pStyle w:val="53"/>
                    <w:ind w:firstLine="420"/>
                    <w:rPr>
                      <w:rFonts w:hint="default" w:ascii="Times New Roman" w:hAnsi="Times New Roman" w:eastAsia="宋体" w:cs="Times New Roman"/>
                      <w:color w:val="auto"/>
                      <w:szCs w:val="21"/>
                    </w:rPr>
                  </w:pPr>
                </w:p>
              </w:tc>
              <w:tc>
                <w:tcPr>
                  <w:tcW w:w="2545" w:type="pct"/>
                  <w:tcBorders>
                    <w:tl2br w:val="nil"/>
                    <w:tr2bl w:val="nil"/>
                  </w:tcBorders>
                  <w:shd w:val="clear" w:color="auto" w:fill="auto"/>
                  <w:noWrap/>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岸线方向°</w:t>
                  </w:r>
                </w:p>
              </w:tc>
              <w:tc>
                <w:tcPr>
                  <w:tcW w:w="1349" w:type="pct"/>
                  <w:tcBorders>
                    <w:tl2br w:val="nil"/>
                    <w:tr2bl w:val="nil"/>
                  </w:tcBorders>
                  <w:shd w:val="clear" w:color="auto" w:fill="auto"/>
                  <w:noWrap/>
                  <w:vAlign w:val="center"/>
                </w:tcPr>
                <w:p>
                  <w:pPr>
                    <w:pStyle w:val="53"/>
                    <w:ind w:firstLineChars="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r>
          </w:tbl>
          <w:p>
            <w:pPr>
              <w:pStyle w:val="28"/>
              <w:rPr>
                <w:rFonts w:hint="default" w:ascii="Times New Roman" w:hAnsi="Times New Roman" w:eastAsia="宋体" w:cs="Times New Roman"/>
                <w:b/>
                <w:bCs/>
                <w:color w:val="auto"/>
              </w:rPr>
            </w:pPr>
            <w:r>
              <w:rPr>
                <w:rFonts w:hint="default" w:ascii="Times New Roman" w:hAnsi="Times New Roman" w:eastAsia="宋体" w:cs="Times New Roman"/>
                <w:color w:val="auto"/>
              </w:rPr>
              <w:t>污染源参数下表：</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表7-5 主要废气污染源参数一览表(点源)</w:t>
            </w:r>
          </w:p>
          <w:tbl>
            <w:tblPr>
              <w:tblStyle w:val="23"/>
              <w:tblW w:w="911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680"/>
              <w:gridCol w:w="675"/>
              <w:gridCol w:w="863"/>
              <w:gridCol w:w="719"/>
              <w:gridCol w:w="722"/>
              <w:gridCol w:w="953"/>
              <w:gridCol w:w="745"/>
              <w:gridCol w:w="727"/>
              <w:gridCol w:w="550"/>
              <w:gridCol w:w="791"/>
              <w:gridCol w:w="94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746" w:type="dxa"/>
                  <w:vMerge w:val="restart"/>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污染源名称</w:t>
                  </w:r>
                </w:p>
              </w:tc>
              <w:tc>
                <w:tcPr>
                  <w:tcW w:w="1355" w:type="dxa"/>
                  <w:gridSpan w:val="2"/>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排气筒底部中心坐标m</w:t>
                  </w:r>
                </w:p>
              </w:tc>
              <w:tc>
                <w:tcPr>
                  <w:tcW w:w="863" w:type="dxa"/>
                  <w:vMerge w:val="restart"/>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排气筒底部海</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拔高度m</w:t>
                  </w:r>
                </w:p>
              </w:tc>
              <w:tc>
                <w:tcPr>
                  <w:tcW w:w="719" w:type="dxa"/>
                  <w:vMerge w:val="restart"/>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排气</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筒高</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度m</w:t>
                  </w:r>
                </w:p>
              </w:tc>
              <w:tc>
                <w:tcPr>
                  <w:tcW w:w="722" w:type="dxa"/>
                  <w:vMerge w:val="restart"/>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排气筒出口内</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径/m</w:t>
                  </w:r>
                </w:p>
              </w:tc>
              <w:tc>
                <w:tcPr>
                  <w:tcW w:w="953" w:type="dxa"/>
                  <w:vMerge w:val="restart"/>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烟气</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流速（m/s）</w:t>
                  </w:r>
                </w:p>
              </w:tc>
              <w:tc>
                <w:tcPr>
                  <w:tcW w:w="745" w:type="dxa"/>
                  <w:vMerge w:val="restart"/>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烟气温度</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w:t>
                  </w:r>
                </w:p>
              </w:tc>
              <w:tc>
                <w:tcPr>
                  <w:tcW w:w="727" w:type="dxa"/>
                  <w:vMerge w:val="restart"/>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年排放小时数h</w:t>
                  </w:r>
                </w:p>
              </w:tc>
              <w:tc>
                <w:tcPr>
                  <w:tcW w:w="550" w:type="dxa"/>
                  <w:vMerge w:val="restart"/>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排放</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工况</w:t>
                  </w:r>
                </w:p>
              </w:tc>
              <w:tc>
                <w:tcPr>
                  <w:tcW w:w="1737" w:type="dxa"/>
                  <w:gridSpan w:val="2"/>
                  <w:vMerge w:val="restart"/>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污染物排放速率</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(kg/h)</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46" w:type="dxa"/>
                  <w:vMerge w:val="continue"/>
                  <w:tcBorders>
                    <w:tl2br w:val="nil"/>
                    <w:tr2bl w:val="nil"/>
                  </w:tcBorders>
                  <w:shd w:val="clear" w:color="auto" w:fill="auto"/>
                  <w:vAlign w:val="center"/>
                </w:tcPr>
                <w:p>
                  <w:pPr>
                    <w:pStyle w:val="46"/>
                    <w:rPr>
                      <w:rFonts w:hint="default" w:ascii="Times New Roman" w:hAnsi="Times New Roman" w:eastAsia="宋体" w:cs="Times New Roman"/>
                      <w:b/>
                      <w:bCs/>
                      <w:color w:val="auto"/>
                    </w:rPr>
                  </w:pPr>
                </w:p>
              </w:tc>
              <w:tc>
                <w:tcPr>
                  <w:tcW w:w="680" w:type="dxa"/>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X</w:t>
                  </w:r>
                </w:p>
              </w:tc>
              <w:tc>
                <w:tcPr>
                  <w:tcW w:w="675" w:type="dxa"/>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Y</w:t>
                  </w:r>
                </w:p>
              </w:tc>
              <w:tc>
                <w:tcPr>
                  <w:tcW w:w="863" w:type="dxa"/>
                  <w:vMerge w:val="continue"/>
                  <w:tcBorders>
                    <w:tl2br w:val="nil"/>
                    <w:tr2bl w:val="nil"/>
                  </w:tcBorders>
                  <w:shd w:val="clear" w:color="auto" w:fill="auto"/>
                  <w:vAlign w:val="center"/>
                </w:tcPr>
                <w:p>
                  <w:pPr>
                    <w:pStyle w:val="46"/>
                    <w:rPr>
                      <w:rFonts w:hint="default" w:ascii="Times New Roman" w:hAnsi="Times New Roman" w:eastAsia="宋体" w:cs="Times New Roman"/>
                      <w:b/>
                      <w:bCs/>
                      <w:color w:val="auto"/>
                    </w:rPr>
                  </w:pPr>
                </w:p>
              </w:tc>
              <w:tc>
                <w:tcPr>
                  <w:tcW w:w="719" w:type="dxa"/>
                  <w:vMerge w:val="continue"/>
                  <w:tcBorders>
                    <w:tl2br w:val="nil"/>
                    <w:tr2bl w:val="nil"/>
                  </w:tcBorders>
                  <w:shd w:val="clear" w:color="auto" w:fill="auto"/>
                  <w:vAlign w:val="center"/>
                </w:tcPr>
                <w:p>
                  <w:pPr>
                    <w:pStyle w:val="46"/>
                    <w:rPr>
                      <w:rFonts w:hint="default" w:ascii="Times New Roman" w:hAnsi="Times New Roman" w:eastAsia="宋体" w:cs="Times New Roman"/>
                      <w:b/>
                      <w:bCs/>
                      <w:color w:val="auto"/>
                    </w:rPr>
                  </w:pPr>
                </w:p>
              </w:tc>
              <w:tc>
                <w:tcPr>
                  <w:tcW w:w="722" w:type="dxa"/>
                  <w:vMerge w:val="continue"/>
                  <w:tcBorders>
                    <w:tl2br w:val="nil"/>
                    <w:tr2bl w:val="nil"/>
                  </w:tcBorders>
                  <w:shd w:val="clear" w:color="auto" w:fill="auto"/>
                  <w:vAlign w:val="center"/>
                </w:tcPr>
                <w:p>
                  <w:pPr>
                    <w:pStyle w:val="46"/>
                    <w:rPr>
                      <w:rFonts w:hint="default" w:ascii="Times New Roman" w:hAnsi="Times New Roman" w:eastAsia="宋体" w:cs="Times New Roman"/>
                      <w:b/>
                      <w:bCs/>
                      <w:color w:val="auto"/>
                    </w:rPr>
                  </w:pPr>
                </w:p>
              </w:tc>
              <w:tc>
                <w:tcPr>
                  <w:tcW w:w="953" w:type="dxa"/>
                  <w:vMerge w:val="continue"/>
                  <w:tcBorders>
                    <w:tl2br w:val="nil"/>
                    <w:tr2bl w:val="nil"/>
                  </w:tcBorders>
                  <w:shd w:val="clear" w:color="auto" w:fill="auto"/>
                  <w:vAlign w:val="center"/>
                </w:tcPr>
                <w:p>
                  <w:pPr>
                    <w:pStyle w:val="46"/>
                    <w:rPr>
                      <w:rFonts w:hint="default" w:ascii="Times New Roman" w:hAnsi="Times New Roman" w:eastAsia="宋体" w:cs="Times New Roman"/>
                      <w:b/>
                      <w:bCs/>
                      <w:color w:val="auto"/>
                    </w:rPr>
                  </w:pPr>
                </w:p>
              </w:tc>
              <w:tc>
                <w:tcPr>
                  <w:tcW w:w="745" w:type="dxa"/>
                  <w:vMerge w:val="continue"/>
                  <w:tcBorders>
                    <w:tl2br w:val="nil"/>
                    <w:tr2bl w:val="nil"/>
                  </w:tcBorders>
                  <w:shd w:val="clear" w:color="auto" w:fill="auto"/>
                  <w:vAlign w:val="center"/>
                </w:tcPr>
                <w:p>
                  <w:pPr>
                    <w:pStyle w:val="46"/>
                    <w:rPr>
                      <w:rFonts w:hint="default" w:ascii="Times New Roman" w:hAnsi="Times New Roman" w:eastAsia="宋体" w:cs="Times New Roman"/>
                      <w:b/>
                      <w:bCs/>
                      <w:color w:val="auto"/>
                    </w:rPr>
                  </w:pPr>
                </w:p>
              </w:tc>
              <w:tc>
                <w:tcPr>
                  <w:tcW w:w="727" w:type="dxa"/>
                  <w:vMerge w:val="continue"/>
                  <w:tcBorders>
                    <w:tl2br w:val="nil"/>
                    <w:tr2bl w:val="nil"/>
                  </w:tcBorders>
                  <w:shd w:val="clear" w:color="auto" w:fill="auto"/>
                  <w:vAlign w:val="center"/>
                </w:tcPr>
                <w:p>
                  <w:pPr>
                    <w:pStyle w:val="46"/>
                    <w:rPr>
                      <w:rFonts w:hint="default" w:ascii="Times New Roman" w:hAnsi="Times New Roman" w:eastAsia="宋体" w:cs="Times New Roman"/>
                      <w:b/>
                      <w:bCs/>
                      <w:color w:val="auto"/>
                    </w:rPr>
                  </w:pPr>
                </w:p>
              </w:tc>
              <w:tc>
                <w:tcPr>
                  <w:tcW w:w="550" w:type="dxa"/>
                  <w:vMerge w:val="continue"/>
                  <w:tcBorders>
                    <w:tl2br w:val="nil"/>
                    <w:tr2bl w:val="nil"/>
                  </w:tcBorders>
                  <w:shd w:val="clear" w:color="auto" w:fill="auto"/>
                  <w:vAlign w:val="center"/>
                </w:tcPr>
                <w:p>
                  <w:pPr>
                    <w:pStyle w:val="46"/>
                    <w:rPr>
                      <w:rFonts w:hint="default" w:ascii="Times New Roman" w:hAnsi="Times New Roman" w:eastAsia="宋体" w:cs="Times New Roman"/>
                      <w:b/>
                      <w:bCs/>
                      <w:color w:val="auto"/>
                    </w:rPr>
                  </w:pPr>
                </w:p>
              </w:tc>
              <w:tc>
                <w:tcPr>
                  <w:tcW w:w="1737" w:type="dxa"/>
                  <w:gridSpan w:val="2"/>
                  <w:vMerge w:val="continue"/>
                  <w:tcBorders>
                    <w:tl2br w:val="nil"/>
                    <w:tr2bl w:val="nil"/>
                  </w:tcBorders>
                  <w:shd w:val="clear" w:color="auto" w:fill="auto"/>
                  <w:vAlign w:val="center"/>
                </w:tcPr>
                <w:p>
                  <w:pPr>
                    <w:pStyle w:val="46"/>
                    <w:rPr>
                      <w:rFonts w:hint="default" w:ascii="Times New Roman" w:hAnsi="Times New Roman" w:eastAsia="宋体" w:cs="Times New Roman"/>
                      <w:b/>
                      <w:bCs/>
                      <w:color w:val="auto"/>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46"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点源</w:t>
                  </w:r>
                </w:p>
              </w:tc>
              <w:tc>
                <w:tcPr>
                  <w:tcW w:w="680"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675"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8</w:t>
                  </w:r>
                </w:p>
              </w:tc>
              <w:tc>
                <w:tcPr>
                  <w:tcW w:w="863"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719"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15</w:t>
                  </w:r>
                </w:p>
              </w:tc>
              <w:tc>
                <w:tcPr>
                  <w:tcW w:w="722"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0.8</w:t>
                  </w:r>
                </w:p>
              </w:tc>
              <w:tc>
                <w:tcPr>
                  <w:tcW w:w="953"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5.53</w:t>
                  </w:r>
                </w:p>
              </w:tc>
              <w:tc>
                <w:tcPr>
                  <w:tcW w:w="745"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25</w:t>
                  </w:r>
                </w:p>
              </w:tc>
              <w:tc>
                <w:tcPr>
                  <w:tcW w:w="727"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2400</w:t>
                  </w:r>
                </w:p>
              </w:tc>
              <w:tc>
                <w:tcPr>
                  <w:tcW w:w="550"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正常</w:t>
                  </w:r>
                </w:p>
              </w:tc>
              <w:tc>
                <w:tcPr>
                  <w:tcW w:w="791"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VOCs</w:t>
                  </w:r>
                </w:p>
              </w:tc>
              <w:tc>
                <w:tcPr>
                  <w:tcW w:w="946"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0.002</w:t>
                  </w:r>
                </w:p>
              </w:tc>
            </w:tr>
          </w:tbl>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表7-6 主要废气污染源参数一览表(面源）</w:t>
            </w:r>
          </w:p>
          <w:tbl>
            <w:tblPr>
              <w:tblStyle w:val="24"/>
              <w:tblW w:w="900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4"/>
              <w:gridCol w:w="699"/>
              <w:gridCol w:w="742"/>
              <w:gridCol w:w="763"/>
              <w:gridCol w:w="762"/>
              <w:gridCol w:w="762"/>
              <w:gridCol w:w="763"/>
              <w:gridCol w:w="779"/>
              <w:gridCol w:w="565"/>
              <w:gridCol w:w="915"/>
              <w:gridCol w:w="10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74" w:type="dxa"/>
                  <w:vMerge w:val="restart"/>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污染源名称</w:t>
                  </w:r>
                </w:p>
              </w:tc>
              <w:tc>
                <w:tcPr>
                  <w:tcW w:w="1441" w:type="dxa"/>
                  <w:gridSpan w:val="2"/>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面源中心</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坐标/m</w:t>
                  </w:r>
                </w:p>
              </w:tc>
              <w:tc>
                <w:tcPr>
                  <w:tcW w:w="763" w:type="dxa"/>
                  <w:vMerge w:val="restart"/>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面源海拔高度</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m</w:t>
                  </w:r>
                </w:p>
              </w:tc>
              <w:tc>
                <w:tcPr>
                  <w:tcW w:w="762" w:type="dxa"/>
                  <w:vMerge w:val="restart"/>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面源</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长度</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m</w:t>
                  </w:r>
                </w:p>
              </w:tc>
              <w:tc>
                <w:tcPr>
                  <w:tcW w:w="762" w:type="dxa"/>
                  <w:vMerge w:val="restart"/>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面源</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宽度m</w:t>
                  </w:r>
                </w:p>
              </w:tc>
              <w:tc>
                <w:tcPr>
                  <w:tcW w:w="763" w:type="dxa"/>
                  <w:vMerge w:val="restart"/>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面源有效排放高度m</w:t>
                  </w:r>
                </w:p>
              </w:tc>
              <w:tc>
                <w:tcPr>
                  <w:tcW w:w="779" w:type="dxa"/>
                  <w:vMerge w:val="restart"/>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年排放小时数/h</w:t>
                  </w:r>
                </w:p>
              </w:tc>
              <w:tc>
                <w:tcPr>
                  <w:tcW w:w="565" w:type="dxa"/>
                  <w:vMerge w:val="restart"/>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排放</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工况</w:t>
                  </w:r>
                </w:p>
              </w:tc>
              <w:tc>
                <w:tcPr>
                  <w:tcW w:w="2000" w:type="dxa"/>
                  <w:gridSpan w:val="2"/>
                  <w:vMerge w:val="restart"/>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污染物排放速率</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74" w:type="dxa"/>
                  <w:vMerge w:val="continue"/>
                  <w:tcBorders>
                    <w:tl2br w:val="nil"/>
                    <w:tr2bl w:val="nil"/>
                  </w:tcBorders>
                  <w:shd w:val="clear" w:color="auto" w:fill="auto"/>
                  <w:vAlign w:val="center"/>
                </w:tcPr>
                <w:p>
                  <w:pPr>
                    <w:pStyle w:val="46"/>
                    <w:rPr>
                      <w:rFonts w:hint="default" w:ascii="Times New Roman" w:hAnsi="Times New Roman" w:eastAsia="宋体" w:cs="Times New Roman"/>
                      <w:b/>
                      <w:bCs/>
                      <w:color w:val="auto"/>
                    </w:rPr>
                  </w:pPr>
                </w:p>
              </w:tc>
              <w:tc>
                <w:tcPr>
                  <w:tcW w:w="699" w:type="dxa"/>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X</w:t>
                  </w:r>
                </w:p>
              </w:tc>
              <w:tc>
                <w:tcPr>
                  <w:tcW w:w="742" w:type="dxa"/>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Y</w:t>
                  </w:r>
                </w:p>
              </w:tc>
              <w:tc>
                <w:tcPr>
                  <w:tcW w:w="763" w:type="dxa"/>
                  <w:vMerge w:val="continue"/>
                  <w:tcBorders>
                    <w:tl2br w:val="nil"/>
                    <w:tr2bl w:val="nil"/>
                  </w:tcBorders>
                  <w:shd w:val="clear" w:color="auto" w:fill="auto"/>
                  <w:vAlign w:val="center"/>
                </w:tcPr>
                <w:p>
                  <w:pPr>
                    <w:pStyle w:val="46"/>
                    <w:rPr>
                      <w:rFonts w:hint="default" w:ascii="Times New Roman" w:hAnsi="Times New Roman" w:eastAsia="宋体" w:cs="Times New Roman"/>
                      <w:b/>
                      <w:bCs/>
                      <w:color w:val="auto"/>
                    </w:rPr>
                  </w:pPr>
                </w:p>
              </w:tc>
              <w:tc>
                <w:tcPr>
                  <w:tcW w:w="762" w:type="dxa"/>
                  <w:vMerge w:val="continue"/>
                  <w:tcBorders>
                    <w:tl2br w:val="nil"/>
                    <w:tr2bl w:val="nil"/>
                  </w:tcBorders>
                  <w:shd w:val="clear" w:color="auto" w:fill="auto"/>
                  <w:vAlign w:val="center"/>
                </w:tcPr>
                <w:p>
                  <w:pPr>
                    <w:pStyle w:val="46"/>
                    <w:rPr>
                      <w:rFonts w:hint="default" w:ascii="Times New Roman" w:hAnsi="Times New Roman" w:eastAsia="宋体" w:cs="Times New Roman"/>
                      <w:b/>
                      <w:bCs/>
                      <w:color w:val="auto"/>
                    </w:rPr>
                  </w:pPr>
                </w:p>
              </w:tc>
              <w:tc>
                <w:tcPr>
                  <w:tcW w:w="762" w:type="dxa"/>
                  <w:vMerge w:val="continue"/>
                  <w:tcBorders>
                    <w:tl2br w:val="nil"/>
                    <w:tr2bl w:val="nil"/>
                  </w:tcBorders>
                  <w:shd w:val="clear" w:color="auto" w:fill="auto"/>
                  <w:vAlign w:val="center"/>
                </w:tcPr>
                <w:p>
                  <w:pPr>
                    <w:pStyle w:val="46"/>
                    <w:rPr>
                      <w:rFonts w:hint="default" w:ascii="Times New Roman" w:hAnsi="Times New Roman" w:eastAsia="宋体" w:cs="Times New Roman"/>
                      <w:b/>
                      <w:bCs/>
                      <w:color w:val="auto"/>
                    </w:rPr>
                  </w:pPr>
                </w:p>
              </w:tc>
              <w:tc>
                <w:tcPr>
                  <w:tcW w:w="763" w:type="dxa"/>
                  <w:vMerge w:val="continue"/>
                  <w:tcBorders>
                    <w:tl2br w:val="nil"/>
                    <w:tr2bl w:val="nil"/>
                  </w:tcBorders>
                  <w:shd w:val="clear" w:color="auto" w:fill="auto"/>
                  <w:vAlign w:val="center"/>
                </w:tcPr>
                <w:p>
                  <w:pPr>
                    <w:pStyle w:val="46"/>
                    <w:rPr>
                      <w:rFonts w:hint="default" w:ascii="Times New Roman" w:hAnsi="Times New Roman" w:eastAsia="宋体" w:cs="Times New Roman"/>
                      <w:b/>
                      <w:bCs/>
                      <w:color w:val="auto"/>
                    </w:rPr>
                  </w:pPr>
                </w:p>
              </w:tc>
              <w:tc>
                <w:tcPr>
                  <w:tcW w:w="779" w:type="dxa"/>
                  <w:vMerge w:val="continue"/>
                  <w:tcBorders>
                    <w:tl2br w:val="nil"/>
                    <w:tr2bl w:val="nil"/>
                  </w:tcBorders>
                  <w:shd w:val="clear" w:color="auto" w:fill="auto"/>
                  <w:vAlign w:val="center"/>
                </w:tcPr>
                <w:p>
                  <w:pPr>
                    <w:pStyle w:val="46"/>
                    <w:rPr>
                      <w:rFonts w:hint="default" w:ascii="Times New Roman" w:hAnsi="Times New Roman" w:eastAsia="宋体" w:cs="Times New Roman"/>
                      <w:b/>
                      <w:bCs/>
                      <w:color w:val="auto"/>
                    </w:rPr>
                  </w:pPr>
                </w:p>
              </w:tc>
              <w:tc>
                <w:tcPr>
                  <w:tcW w:w="565" w:type="dxa"/>
                  <w:vMerge w:val="continue"/>
                  <w:tcBorders>
                    <w:tl2br w:val="nil"/>
                    <w:tr2bl w:val="nil"/>
                  </w:tcBorders>
                  <w:shd w:val="clear" w:color="auto" w:fill="auto"/>
                  <w:vAlign w:val="center"/>
                </w:tcPr>
                <w:p>
                  <w:pPr>
                    <w:pStyle w:val="46"/>
                    <w:rPr>
                      <w:rFonts w:hint="default" w:ascii="Times New Roman" w:hAnsi="Times New Roman" w:eastAsia="宋体" w:cs="Times New Roman"/>
                      <w:b/>
                      <w:bCs/>
                      <w:color w:val="auto"/>
                    </w:rPr>
                  </w:pPr>
                </w:p>
              </w:tc>
              <w:tc>
                <w:tcPr>
                  <w:tcW w:w="2000" w:type="dxa"/>
                  <w:gridSpan w:val="2"/>
                  <w:vMerge w:val="continue"/>
                  <w:tcBorders>
                    <w:tl2br w:val="nil"/>
                    <w:tr2bl w:val="nil"/>
                  </w:tcBorders>
                  <w:shd w:val="clear" w:color="auto" w:fill="auto"/>
                  <w:vAlign w:val="center"/>
                </w:tcPr>
                <w:p>
                  <w:pPr>
                    <w:pStyle w:val="46"/>
                    <w:rPr>
                      <w:rFonts w:hint="default" w:ascii="Times New Roman" w:hAnsi="Times New Roman" w:eastAsia="宋体" w:cs="Times New Roman"/>
                      <w:b/>
                      <w:bCs/>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74"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面源</w:t>
                  </w:r>
                </w:p>
              </w:tc>
              <w:tc>
                <w:tcPr>
                  <w:tcW w:w="699"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742"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763"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762"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20</w:t>
                  </w:r>
                </w:p>
              </w:tc>
              <w:tc>
                <w:tcPr>
                  <w:tcW w:w="762"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12</w:t>
                  </w:r>
                </w:p>
              </w:tc>
              <w:tc>
                <w:tcPr>
                  <w:tcW w:w="763"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779"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2400</w:t>
                  </w:r>
                </w:p>
              </w:tc>
              <w:tc>
                <w:tcPr>
                  <w:tcW w:w="565"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正常</w:t>
                  </w:r>
                </w:p>
              </w:tc>
              <w:tc>
                <w:tcPr>
                  <w:tcW w:w="915"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VOCs</w:t>
                  </w:r>
                </w:p>
              </w:tc>
              <w:tc>
                <w:tcPr>
                  <w:tcW w:w="1085"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0.0003</w:t>
                  </w:r>
                </w:p>
              </w:tc>
            </w:tr>
          </w:tbl>
          <w:p>
            <w:pPr>
              <w:spacing w:line="480" w:lineRule="exact"/>
              <w:ind w:left="420" w:firstLine="0" w:firstLineChars="0"/>
              <w:jc w:val="left"/>
              <w:rPr>
                <w:rFonts w:hint="default" w:ascii="Times New Roman" w:hAnsi="Times New Roman" w:eastAsia="宋体" w:cs="Times New Roman"/>
              </w:rPr>
            </w:pPr>
            <w:r>
              <w:rPr>
                <w:rFonts w:hint="default" w:ascii="Times New Roman" w:hAnsi="Times New Roman" w:eastAsia="宋体" w:cs="Times New Roman"/>
              </w:rPr>
              <w:t>注：①本次预测以项目中心为坐标原点（0，0）；</w:t>
            </w:r>
          </w:p>
          <w:p>
            <w:pPr>
              <w:pStyle w:val="28"/>
              <w:rPr>
                <w:rFonts w:hint="default" w:ascii="Times New Roman" w:hAnsi="Times New Roman" w:eastAsia="宋体" w:cs="Times New Roman"/>
              </w:rPr>
            </w:pPr>
            <w:r>
              <w:rPr>
                <w:rFonts w:hint="default" w:ascii="Times New Roman" w:hAnsi="Times New Roman" w:eastAsia="宋体" w:cs="Times New Roman"/>
                <w:color w:val="auto"/>
              </w:rPr>
              <w:t>②项目厂房高度为10m，无组织排放均从厂房窗户排出，有效高度为5m</w:t>
            </w:r>
          </w:p>
          <w:p>
            <w:pPr>
              <w:numPr>
                <w:ilvl w:val="0"/>
                <w:numId w:val="23"/>
              </w:numPr>
              <w:spacing w:line="480" w:lineRule="exact"/>
              <w:ind w:left="840" w:firstLineChars="0"/>
              <w:jc w:val="left"/>
              <w:rPr>
                <w:rFonts w:hint="default" w:ascii="Times New Roman" w:hAnsi="Times New Roman" w:eastAsia="宋体" w:cs="Times New Roman"/>
                <w:b/>
                <w:bCs/>
              </w:rPr>
            </w:pPr>
            <w:r>
              <w:rPr>
                <w:rFonts w:hint="default" w:ascii="Times New Roman" w:hAnsi="Times New Roman" w:eastAsia="宋体" w:cs="Times New Roman"/>
                <w:b/>
                <w:bCs/>
              </w:rPr>
              <w:t>评级工作等级确定</w:t>
            </w:r>
          </w:p>
          <w:p>
            <w:pPr>
              <w:pStyle w:val="28"/>
              <w:rPr>
                <w:rFonts w:hint="default" w:ascii="Times New Roman" w:hAnsi="Times New Roman" w:eastAsia="宋体" w:cs="Times New Roman"/>
                <w:color w:val="auto"/>
              </w:rPr>
            </w:pPr>
            <w:r>
              <w:rPr>
                <w:rFonts w:hint="default" w:ascii="Times New Roman" w:hAnsi="Times New Roman" w:eastAsia="宋体" w:cs="Times New Roman"/>
                <w:color w:val="auto"/>
              </w:rPr>
              <w:t>本项目以AERSCREEN估算模型进行软件模拟，估算模型输入参数见下表：</w:t>
            </w:r>
          </w:p>
          <w:p>
            <w:pPr>
              <w:ind w:firstLine="482"/>
              <w:jc w:val="center"/>
              <w:rPr>
                <w:rFonts w:hint="default" w:ascii="Times New Roman" w:hAnsi="Times New Roman" w:eastAsia="宋体" w:cs="Times New Roman"/>
                <w:b/>
                <w:bCs/>
              </w:rPr>
            </w:pPr>
          </w:p>
          <w:p>
            <w:pPr>
              <w:ind w:firstLine="482"/>
              <w:jc w:val="center"/>
              <w:rPr>
                <w:rFonts w:hint="default" w:ascii="Times New Roman" w:hAnsi="Times New Roman" w:eastAsia="宋体" w:cs="Times New Roman"/>
                <w:b/>
                <w:bCs/>
              </w:rPr>
            </w:pPr>
          </w:p>
          <w:p>
            <w:pPr>
              <w:ind w:firstLine="482"/>
              <w:jc w:val="center"/>
              <w:rPr>
                <w:rFonts w:hint="default" w:ascii="Times New Roman" w:hAnsi="Times New Roman" w:eastAsia="宋体" w:cs="Times New Roman"/>
                <w:b/>
                <w:bCs/>
              </w:rPr>
            </w:pPr>
          </w:p>
          <w:p>
            <w:pPr>
              <w:ind w:firstLine="482"/>
              <w:jc w:val="center"/>
              <w:rPr>
                <w:rFonts w:hint="default" w:ascii="Times New Roman" w:hAnsi="Times New Roman" w:eastAsia="宋体" w:cs="Times New Roman"/>
                <w:b/>
                <w:bCs/>
              </w:rPr>
            </w:pPr>
          </w:p>
          <w:p>
            <w:pPr>
              <w:ind w:firstLine="482"/>
              <w:jc w:val="center"/>
              <w:rPr>
                <w:rFonts w:hint="default" w:ascii="Times New Roman" w:hAnsi="Times New Roman" w:eastAsia="宋体" w:cs="Times New Roman"/>
                <w:b/>
                <w:bCs/>
              </w:rPr>
            </w:pPr>
          </w:p>
          <w:p>
            <w:pPr>
              <w:ind w:firstLine="482"/>
              <w:jc w:val="center"/>
              <w:rPr>
                <w:rFonts w:hint="default" w:ascii="Times New Roman" w:hAnsi="Times New Roman" w:eastAsia="宋体" w:cs="Times New Roman"/>
                <w:b/>
                <w:bCs/>
              </w:rPr>
            </w:pPr>
            <w:r>
              <w:rPr>
                <w:rFonts w:hint="default" w:ascii="Times New Roman" w:hAnsi="Times New Roman" w:eastAsia="宋体" w:cs="Times New Roman"/>
                <w:b/>
                <w:bCs/>
              </w:rPr>
              <w:t>表7-7 估算模型输入参数截图一览表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0" w:type="dxa"/>
                </w:tcPr>
                <w:p>
                  <w:pPr>
                    <w:ind w:firstLine="482"/>
                    <w:rPr>
                      <w:rFonts w:hint="default" w:ascii="Times New Roman" w:hAnsi="Times New Roman" w:eastAsia="宋体" w:cs="Times New Roman"/>
                      <w:b/>
                      <w:bCs/>
                    </w:rPr>
                  </w:pPr>
                  <w:r>
                    <w:rPr>
                      <w:rFonts w:hint="default" w:ascii="Times New Roman" w:hAnsi="Times New Roman" w:eastAsia="宋体" w:cs="Times New Roman"/>
                      <w:b/>
                      <w:bCs/>
                    </w:rPr>
                    <w:t>筛选气象参数输入截图：</w:t>
                  </w:r>
                </w:p>
                <w:p>
                  <w:pPr>
                    <w:ind w:firstLine="0" w:firstLineChars="0"/>
                    <w:jc w:val="center"/>
                    <w:rPr>
                      <w:rFonts w:hint="default" w:ascii="Times New Roman" w:hAnsi="Times New Roman" w:eastAsia="宋体" w:cs="Times New Roman"/>
                      <w:b/>
                      <w:bCs/>
                    </w:rPr>
                  </w:pPr>
                  <w:r>
                    <w:rPr>
                      <w:rFonts w:hint="default" w:ascii="Times New Roman" w:hAnsi="Times New Roman" w:eastAsia="宋体" w:cs="Times New Roman"/>
                    </w:rPr>
                    <w:drawing>
                      <wp:inline distT="0" distB="0" distL="114300" distR="114300">
                        <wp:extent cx="5400040" cy="3775075"/>
                        <wp:effectExtent l="0" t="0" r="10160" b="15875"/>
                        <wp:docPr id="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1"/>
                                <pic:cNvPicPr>
                                  <a:picLocks noChangeAspect="1"/>
                                </pic:cNvPicPr>
                              </pic:nvPicPr>
                              <pic:blipFill>
                                <a:blip r:embed="rId23"/>
                                <a:stretch>
                                  <a:fillRect/>
                                </a:stretch>
                              </pic:blipFill>
                              <pic:spPr>
                                <a:xfrm>
                                  <a:off x="0" y="0"/>
                                  <a:ext cx="5400040" cy="37750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0" w:type="dxa"/>
                </w:tcPr>
                <w:p>
                  <w:pPr>
                    <w:ind w:firstLine="482"/>
                    <w:rPr>
                      <w:rFonts w:hint="default" w:ascii="Times New Roman" w:hAnsi="Times New Roman" w:eastAsia="宋体" w:cs="Times New Roman"/>
                      <w:b/>
                      <w:bCs/>
                    </w:rPr>
                  </w:pPr>
                  <w:r>
                    <w:rPr>
                      <w:rFonts w:hint="default" w:ascii="Times New Roman" w:hAnsi="Times New Roman" w:eastAsia="宋体" w:cs="Times New Roman"/>
                      <w:b/>
                      <w:bCs/>
                    </w:rPr>
                    <w:t>点源参数输入截图：</w:t>
                  </w:r>
                </w:p>
                <w:p>
                  <w:pPr>
                    <w:ind w:firstLine="0" w:firstLineChars="0"/>
                    <w:jc w:val="center"/>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5400040" cy="3775075"/>
                        <wp:effectExtent l="0" t="0" r="10160" b="15875"/>
                        <wp:docPr id="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2"/>
                                <pic:cNvPicPr>
                                  <a:picLocks noChangeAspect="1"/>
                                </pic:cNvPicPr>
                              </pic:nvPicPr>
                              <pic:blipFill>
                                <a:blip r:embed="rId24"/>
                                <a:stretch>
                                  <a:fillRect/>
                                </a:stretch>
                              </pic:blipFill>
                              <pic:spPr>
                                <a:xfrm>
                                  <a:off x="0" y="0"/>
                                  <a:ext cx="5400040" cy="3775075"/>
                                </a:xfrm>
                                <a:prstGeom prst="rect">
                                  <a:avLst/>
                                </a:prstGeom>
                                <a:noFill/>
                                <a:ln>
                                  <a:noFill/>
                                </a:ln>
                              </pic:spPr>
                            </pic:pic>
                          </a:graphicData>
                        </a:graphic>
                      </wp:inline>
                    </w:drawing>
                  </w:r>
                </w:p>
                <w:p>
                  <w:pPr>
                    <w:pStyle w:val="28"/>
                    <w:ind w:firstLine="0" w:firstLineChars="0"/>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5400040" cy="3775075"/>
                        <wp:effectExtent l="0" t="0" r="10160" b="15875"/>
                        <wp:docPr id="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3"/>
                                <pic:cNvPicPr>
                                  <a:picLocks noChangeAspect="1"/>
                                </pic:cNvPicPr>
                              </pic:nvPicPr>
                              <pic:blipFill>
                                <a:blip r:embed="rId25"/>
                                <a:stretch>
                                  <a:fillRect/>
                                </a:stretch>
                              </pic:blipFill>
                              <pic:spPr>
                                <a:xfrm>
                                  <a:off x="0" y="0"/>
                                  <a:ext cx="5400040" cy="37750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0" w:type="dxa"/>
                </w:tcPr>
                <w:p>
                  <w:pPr>
                    <w:pStyle w:val="28"/>
                    <w:ind w:firstLine="482"/>
                    <w:rPr>
                      <w:rFonts w:hint="default" w:ascii="Times New Roman" w:hAnsi="Times New Roman" w:eastAsia="宋体" w:cs="Times New Roman"/>
                      <w:b/>
                      <w:bCs/>
                    </w:rPr>
                  </w:pPr>
                  <w:r>
                    <w:rPr>
                      <w:rFonts w:hint="default" w:ascii="Times New Roman" w:hAnsi="Times New Roman" w:eastAsia="宋体" w:cs="Times New Roman"/>
                      <w:b/>
                      <w:bCs/>
                    </w:rPr>
                    <w:t>面源参数的输入截图：</w:t>
                  </w:r>
                </w:p>
                <w:p>
                  <w:pPr>
                    <w:ind w:firstLine="0" w:firstLineChars="0"/>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5400040" cy="3775075"/>
                        <wp:effectExtent l="0" t="0" r="10160" b="15875"/>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26"/>
                                <a:stretch>
                                  <a:fillRect/>
                                </a:stretch>
                              </pic:blipFill>
                              <pic:spPr>
                                <a:xfrm>
                                  <a:off x="0" y="0"/>
                                  <a:ext cx="5400040" cy="3775075"/>
                                </a:xfrm>
                                <a:prstGeom prst="rect">
                                  <a:avLst/>
                                </a:prstGeom>
                                <a:noFill/>
                                <a:ln>
                                  <a:noFill/>
                                </a:ln>
                              </pic:spPr>
                            </pic:pic>
                          </a:graphicData>
                        </a:graphic>
                      </wp:inline>
                    </w:drawing>
                  </w:r>
                </w:p>
                <w:p>
                  <w:pPr>
                    <w:pStyle w:val="28"/>
                    <w:ind w:firstLine="0" w:firstLineChars="0"/>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5400040" cy="3775075"/>
                        <wp:effectExtent l="0" t="0" r="10160" b="15875"/>
                        <wp:docPr id="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
                                <pic:cNvPicPr>
                                  <a:picLocks noChangeAspect="1"/>
                                </pic:cNvPicPr>
                              </pic:nvPicPr>
                              <pic:blipFill>
                                <a:blip r:embed="rId27"/>
                                <a:stretch>
                                  <a:fillRect/>
                                </a:stretch>
                              </pic:blipFill>
                              <pic:spPr>
                                <a:xfrm>
                                  <a:off x="0" y="0"/>
                                  <a:ext cx="5400040" cy="3775075"/>
                                </a:xfrm>
                                <a:prstGeom prst="rect">
                                  <a:avLst/>
                                </a:prstGeom>
                                <a:noFill/>
                                <a:ln>
                                  <a:noFill/>
                                </a:ln>
                              </pic:spPr>
                            </pic:pic>
                          </a:graphicData>
                        </a:graphic>
                      </wp:inline>
                    </w:drawing>
                  </w:r>
                </w:p>
              </w:tc>
            </w:tr>
          </w:tbl>
          <w:p>
            <w:pPr>
              <w:ind w:firstLine="480"/>
              <w:rPr>
                <w:rFonts w:hint="default" w:ascii="Times New Roman" w:hAnsi="Times New Roman" w:eastAsia="宋体" w:cs="Times New Roman"/>
              </w:rPr>
            </w:pPr>
            <w:r>
              <w:rPr>
                <w:rFonts w:hint="default" w:ascii="Times New Roman" w:hAnsi="Times New Roman" w:eastAsia="宋体" w:cs="Times New Roman"/>
              </w:rPr>
              <w:t>估算模型输出结果截图见下表：</w:t>
            </w:r>
          </w:p>
          <w:p>
            <w:pPr>
              <w:pStyle w:val="28"/>
              <w:ind w:firstLine="482"/>
              <w:jc w:val="center"/>
              <w:rPr>
                <w:rFonts w:hint="default" w:ascii="Times New Roman" w:hAnsi="Times New Roman" w:eastAsia="宋体" w:cs="Times New Roman"/>
                <w:b/>
                <w:bCs/>
              </w:rPr>
            </w:pPr>
            <w:r>
              <w:rPr>
                <w:rFonts w:hint="default" w:ascii="Times New Roman" w:hAnsi="Times New Roman" w:eastAsia="宋体" w:cs="Times New Roman"/>
                <w:b/>
                <w:bCs/>
                <w:color w:val="auto"/>
              </w:rPr>
              <w:t>表7-8 估算模型输出1小时浓度占标率结果截图一览表</w:t>
            </w:r>
          </w:p>
          <w:tbl>
            <w:tblPr>
              <w:tblStyle w:val="24"/>
              <w:tblW w:w="93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0" w:type="dxa"/>
                </w:tcPr>
                <w:p>
                  <w:pPr>
                    <w:pStyle w:val="28"/>
                    <w:ind w:firstLine="482"/>
                    <w:rPr>
                      <w:rFonts w:hint="default" w:ascii="Times New Roman" w:hAnsi="Times New Roman" w:eastAsia="宋体" w:cs="Times New Roman"/>
                      <w:b/>
                      <w:bCs/>
                      <w:color w:val="auto"/>
                    </w:rPr>
                  </w:pPr>
                  <w:r>
                    <w:rPr>
                      <w:rFonts w:hint="default" w:ascii="Times New Roman" w:hAnsi="Times New Roman" w:eastAsia="宋体" w:cs="Times New Roman"/>
                      <w:b/>
                      <w:bCs/>
                      <w:color w:val="auto"/>
                    </w:rPr>
                    <w:t>点源模拟输出结果：</w:t>
                  </w:r>
                </w:p>
                <w:p>
                  <w:pPr>
                    <w:ind w:firstLine="0" w:firstLineChars="0"/>
                    <w:rPr>
                      <w:rFonts w:hint="default" w:ascii="Times New Roman" w:hAnsi="Times New Roman" w:eastAsia="宋体" w:cs="Times New Roman"/>
                      <w:b/>
                      <w:bCs/>
                    </w:rPr>
                  </w:pPr>
                  <w:r>
                    <w:rPr>
                      <w:rFonts w:hint="default" w:ascii="Times New Roman" w:hAnsi="Times New Roman" w:eastAsia="宋体" w:cs="Times New Roman"/>
                    </w:rPr>
                    <w:drawing>
                      <wp:inline distT="0" distB="0" distL="114300" distR="114300">
                        <wp:extent cx="5400040" cy="3384550"/>
                        <wp:effectExtent l="0" t="0" r="10160" b="6350"/>
                        <wp:docPr id="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6"/>
                                <pic:cNvPicPr>
                                  <a:picLocks noChangeAspect="1"/>
                                </pic:cNvPicPr>
                              </pic:nvPicPr>
                              <pic:blipFill>
                                <a:blip r:embed="rId28"/>
                                <a:stretch>
                                  <a:fillRect/>
                                </a:stretch>
                              </pic:blipFill>
                              <pic:spPr>
                                <a:xfrm>
                                  <a:off x="0" y="0"/>
                                  <a:ext cx="5400040" cy="33845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0" w:type="dxa"/>
                </w:tcPr>
                <w:p>
                  <w:pPr>
                    <w:ind w:firstLine="0" w:firstLineChars="0"/>
                    <w:rPr>
                      <w:rFonts w:hint="default" w:ascii="Times New Roman" w:hAnsi="Times New Roman" w:eastAsia="宋体" w:cs="Times New Roman"/>
                    </w:rPr>
                  </w:pPr>
                  <w:r>
                    <w:rPr>
                      <w:rFonts w:hint="default" w:ascii="Times New Roman" w:hAnsi="Times New Roman" w:eastAsia="宋体" w:cs="Times New Roman"/>
                      <w:b/>
                      <w:bCs/>
                    </w:rPr>
                    <w:t>面源模拟输出结果：</w:t>
                  </w:r>
                </w:p>
                <w:p>
                  <w:pPr>
                    <w:pStyle w:val="28"/>
                    <w:ind w:firstLine="0" w:firstLineChars="0"/>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5400040" cy="3384550"/>
                        <wp:effectExtent l="0" t="0" r="10160" b="6350"/>
                        <wp:docPr id="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7"/>
                                <pic:cNvPicPr>
                                  <a:picLocks noChangeAspect="1"/>
                                </pic:cNvPicPr>
                              </pic:nvPicPr>
                              <pic:blipFill>
                                <a:blip r:embed="rId29"/>
                                <a:stretch>
                                  <a:fillRect/>
                                </a:stretch>
                              </pic:blipFill>
                              <pic:spPr>
                                <a:xfrm>
                                  <a:off x="0" y="0"/>
                                  <a:ext cx="5400040" cy="3384550"/>
                                </a:xfrm>
                                <a:prstGeom prst="rect">
                                  <a:avLst/>
                                </a:prstGeom>
                                <a:noFill/>
                                <a:ln>
                                  <a:noFill/>
                                </a:ln>
                              </pic:spPr>
                            </pic:pic>
                          </a:graphicData>
                        </a:graphic>
                      </wp:inline>
                    </w:drawing>
                  </w:r>
                </w:p>
              </w:tc>
            </w:tr>
          </w:tbl>
          <w:p>
            <w:pPr>
              <w:pStyle w:val="28"/>
              <w:rPr>
                <w:rFonts w:hint="default" w:ascii="Times New Roman" w:hAnsi="Times New Roman" w:eastAsia="宋体" w:cs="Times New Roman"/>
                <w:color w:val="auto"/>
              </w:rPr>
            </w:pPr>
            <w:r>
              <w:rPr>
                <w:rFonts w:hint="default" w:ascii="Times New Roman" w:hAnsi="Times New Roman" w:eastAsia="宋体" w:cs="Times New Roman"/>
                <w:color w:val="auto"/>
              </w:rPr>
              <w:t>由上图可知，本项目所有污染源的正常排放的污染物的P</w:t>
            </w:r>
            <w:r>
              <w:rPr>
                <w:rFonts w:hint="default" w:ascii="Times New Roman" w:hAnsi="Times New Roman" w:eastAsia="宋体" w:cs="Times New Roman"/>
                <w:color w:val="auto"/>
                <w:vertAlign w:val="subscript"/>
              </w:rPr>
              <w:t>max</w:t>
            </w:r>
            <w:r>
              <w:rPr>
                <w:rFonts w:hint="default" w:ascii="Times New Roman" w:hAnsi="Times New Roman" w:eastAsia="宋体" w:cs="Times New Roman"/>
                <w:color w:val="auto"/>
              </w:rPr>
              <w:t>预测结果如下：</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表7-9 Pmax预测和计算结果一览表</w:t>
            </w:r>
          </w:p>
          <w:tbl>
            <w:tblPr>
              <w:tblStyle w:val="23"/>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8"/>
              <w:gridCol w:w="1722"/>
              <w:gridCol w:w="1185"/>
              <w:gridCol w:w="1425"/>
              <w:gridCol w:w="1340"/>
              <w:gridCol w:w="1350"/>
              <w:gridCol w:w="118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613" w:type="pc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类型</w:t>
                  </w:r>
                </w:p>
              </w:tc>
              <w:tc>
                <w:tcPr>
                  <w:tcW w:w="920" w:type="pc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污染源名称</w:t>
                  </w:r>
                </w:p>
              </w:tc>
              <w:tc>
                <w:tcPr>
                  <w:tcW w:w="633" w:type="pc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评价因子</w:t>
                  </w:r>
                </w:p>
              </w:tc>
              <w:tc>
                <w:tcPr>
                  <w:tcW w:w="761" w:type="pc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评价标准</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(μg/m</w:t>
                  </w:r>
                  <w:r>
                    <w:rPr>
                      <w:rFonts w:hint="default" w:ascii="Times New Roman" w:hAnsi="Times New Roman" w:eastAsia="宋体" w:cs="Times New Roman"/>
                      <w:b/>
                      <w:bCs/>
                      <w:color w:val="auto"/>
                      <w:vertAlign w:val="superscript"/>
                    </w:rPr>
                    <w:t>3</w:t>
                  </w:r>
                  <w:r>
                    <w:rPr>
                      <w:rFonts w:hint="default" w:ascii="Times New Roman" w:hAnsi="Times New Roman" w:eastAsia="宋体" w:cs="Times New Roman"/>
                      <w:b/>
                      <w:bCs/>
                      <w:color w:val="auto"/>
                    </w:rPr>
                    <w:t>)</w:t>
                  </w:r>
                </w:p>
              </w:tc>
              <w:tc>
                <w:tcPr>
                  <w:tcW w:w="716" w:type="pc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C</w:t>
                  </w:r>
                  <w:r>
                    <w:rPr>
                      <w:rFonts w:hint="default" w:ascii="Times New Roman" w:hAnsi="Times New Roman" w:eastAsia="宋体" w:cs="Times New Roman"/>
                      <w:b/>
                      <w:bCs/>
                      <w:color w:val="auto"/>
                      <w:vertAlign w:val="subscript"/>
                    </w:rPr>
                    <w:t>max</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(μg/m</w:t>
                  </w:r>
                  <w:r>
                    <w:rPr>
                      <w:rFonts w:hint="default" w:ascii="Times New Roman" w:hAnsi="Times New Roman" w:eastAsia="宋体" w:cs="Times New Roman"/>
                      <w:b/>
                      <w:bCs/>
                      <w:color w:val="auto"/>
                      <w:vertAlign w:val="superscript"/>
                    </w:rPr>
                    <w:t>3</w:t>
                  </w:r>
                  <w:r>
                    <w:rPr>
                      <w:rFonts w:hint="default" w:ascii="Times New Roman" w:hAnsi="Times New Roman" w:eastAsia="宋体" w:cs="Times New Roman"/>
                      <w:b/>
                      <w:bCs/>
                      <w:color w:val="auto"/>
                    </w:rPr>
                    <w:t>)</w:t>
                  </w:r>
                </w:p>
              </w:tc>
              <w:tc>
                <w:tcPr>
                  <w:tcW w:w="721" w:type="pc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P</w:t>
                  </w:r>
                  <w:r>
                    <w:rPr>
                      <w:rFonts w:hint="default" w:ascii="Times New Roman" w:hAnsi="Times New Roman" w:eastAsia="宋体" w:cs="Times New Roman"/>
                      <w:b/>
                      <w:bCs/>
                      <w:color w:val="auto"/>
                      <w:vertAlign w:val="subscript"/>
                    </w:rPr>
                    <w:t>max</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w:t>
                  </w:r>
                </w:p>
              </w:tc>
              <w:tc>
                <w:tcPr>
                  <w:tcW w:w="632" w:type="pc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评价等级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613"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点源</w:t>
                  </w:r>
                </w:p>
              </w:tc>
              <w:tc>
                <w:tcPr>
                  <w:tcW w:w="920"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点源</w:t>
                  </w:r>
                </w:p>
              </w:tc>
              <w:tc>
                <w:tcPr>
                  <w:tcW w:w="633"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VOCs</w:t>
                  </w:r>
                </w:p>
              </w:tc>
              <w:tc>
                <w:tcPr>
                  <w:tcW w:w="761" w:type="pct"/>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1200</w:t>
                  </w:r>
                </w:p>
              </w:tc>
              <w:tc>
                <w:tcPr>
                  <w:tcW w:w="716"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0.699</w:t>
                  </w:r>
                </w:p>
              </w:tc>
              <w:tc>
                <w:tcPr>
                  <w:tcW w:w="721"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0.06</w:t>
                  </w:r>
                </w:p>
              </w:tc>
              <w:tc>
                <w:tcPr>
                  <w:tcW w:w="632"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三级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613"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面源</w:t>
                  </w:r>
                </w:p>
              </w:tc>
              <w:tc>
                <w:tcPr>
                  <w:tcW w:w="920"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面源</w:t>
                  </w:r>
                </w:p>
              </w:tc>
              <w:tc>
                <w:tcPr>
                  <w:tcW w:w="633"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VOCs</w:t>
                  </w:r>
                </w:p>
              </w:tc>
              <w:tc>
                <w:tcPr>
                  <w:tcW w:w="761"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716"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7.86</w:t>
                  </w:r>
                </w:p>
              </w:tc>
              <w:tc>
                <w:tcPr>
                  <w:tcW w:w="721"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0.66</w:t>
                  </w:r>
                </w:p>
              </w:tc>
              <w:tc>
                <w:tcPr>
                  <w:tcW w:w="632"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三级</w:t>
                  </w:r>
                </w:p>
              </w:tc>
            </w:tr>
          </w:tbl>
          <w:p>
            <w:pPr>
              <w:pStyle w:val="46"/>
              <w:jc w:val="left"/>
              <w:rPr>
                <w:rFonts w:hint="default" w:ascii="Times New Roman" w:hAnsi="Times New Roman" w:eastAsia="宋体" w:cs="Times New Roman"/>
                <w:color w:val="auto"/>
              </w:rPr>
            </w:pPr>
            <w:r>
              <w:rPr>
                <w:rFonts w:hint="default" w:ascii="Times New Roman" w:hAnsi="Times New Roman" w:eastAsia="宋体" w:cs="Times New Roman"/>
                <w:color w:val="auto"/>
              </w:rPr>
              <w:t>注：依据《环境影响评价技术导则-大气环境》(HJ2.2-2018)中附录D可知，总挥发性有机物（TVOC）8小时平均值为600ug/m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，可按其2倍折算为 1h 平均质量浓度限值。因此TVOC 1h评价标准为1200μg/m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w:t>
            </w:r>
          </w:p>
          <w:p>
            <w:pPr>
              <w:ind w:firstLine="480"/>
              <w:rPr>
                <w:rFonts w:hint="default" w:ascii="Times New Roman" w:hAnsi="Times New Roman" w:eastAsia="宋体" w:cs="Times New Roman"/>
              </w:rPr>
            </w:pPr>
            <w:r>
              <w:rPr>
                <w:rFonts w:hint="default" w:ascii="Times New Roman" w:hAnsi="Times New Roman" w:eastAsia="宋体" w:cs="Times New Roman"/>
              </w:rPr>
              <w:t>根据估算结果可知，本项目属于三级评价，不需要进行进一步预测。本项目有组织废气和无组织废气排放均符合《环境影响评价技术导则 气环境》 HJ 2.2-2018 附录D的要求，本项目的废气排放影响可接受。</w:t>
            </w:r>
          </w:p>
          <w:p>
            <w:pPr>
              <w:numPr>
                <w:ilvl w:val="0"/>
                <w:numId w:val="23"/>
              </w:numPr>
              <w:ind w:left="840" w:firstLineChars="0"/>
              <w:rPr>
                <w:rFonts w:hint="default" w:ascii="Times New Roman" w:hAnsi="Times New Roman" w:eastAsia="宋体" w:cs="Times New Roman"/>
                <w:b/>
                <w:bCs/>
              </w:rPr>
            </w:pPr>
            <w:r>
              <w:rPr>
                <w:rFonts w:hint="default" w:ascii="Times New Roman" w:hAnsi="Times New Roman" w:eastAsia="宋体" w:cs="Times New Roman"/>
                <w:b/>
                <w:bCs/>
              </w:rPr>
              <w:t>污染物排放量核算</w:t>
            </w:r>
          </w:p>
          <w:p>
            <w:pPr>
              <w:ind w:firstLine="480"/>
              <w:rPr>
                <w:rFonts w:hint="default" w:ascii="Times New Roman" w:hAnsi="Times New Roman" w:eastAsia="宋体" w:cs="Times New Roman"/>
              </w:rPr>
            </w:pPr>
            <w:r>
              <w:rPr>
                <w:rFonts w:hint="default" w:ascii="Times New Roman" w:hAnsi="Times New Roman" w:eastAsia="宋体" w:cs="Times New Roman"/>
              </w:rPr>
              <w:t>本项目正常工况下大气污染物排放量核算表详见下表。</w:t>
            </w:r>
            <w:bookmarkStart w:id="10" w:name="_Ref488964736"/>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w:t>
            </w:r>
            <w:bookmarkEnd w:id="10"/>
            <w:r>
              <w:rPr>
                <w:rFonts w:hint="default" w:ascii="Times New Roman" w:hAnsi="Times New Roman" w:eastAsia="宋体" w:cs="Times New Roman"/>
                <w:b/>
                <w:bCs/>
                <w:color w:val="auto"/>
              </w:rPr>
              <w:t>7-10 大气污染物有组织排放量核算表</w:t>
            </w:r>
          </w:p>
          <w:tbl>
            <w:tblPr>
              <w:tblStyle w:val="23"/>
              <w:tblW w:w="910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8"/>
              <w:gridCol w:w="1549"/>
              <w:gridCol w:w="1795"/>
              <w:gridCol w:w="1779"/>
              <w:gridCol w:w="1717"/>
              <w:gridCol w:w="164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tblHeader/>
                <w:jc w:val="center"/>
              </w:trPr>
              <w:tc>
                <w:tcPr>
                  <w:tcW w:w="618" w:type="dxa"/>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序号</w:t>
                  </w:r>
                </w:p>
              </w:tc>
              <w:tc>
                <w:tcPr>
                  <w:tcW w:w="1549" w:type="dxa"/>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排放口编号</w:t>
                  </w:r>
                </w:p>
              </w:tc>
              <w:tc>
                <w:tcPr>
                  <w:tcW w:w="1795" w:type="dxa"/>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污染物</w:t>
                  </w:r>
                </w:p>
              </w:tc>
              <w:tc>
                <w:tcPr>
                  <w:tcW w:w="1779" w:type="dxa"/>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核算排放浓度</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（mg/m</w:t>
                  </w:r>
                  <w:r>
                    <w:rPr>
                      <w:rFonts w:hint="default" w:ascii="Times New Roman" w:hAnsi="Times New Roman" w:eastAsia="宋体" w:cs="Times New Roman"/>
                      <w:b/>
                      <w:bCs/>
                      <w:color w:val="auto"/>
                      <w:vertAlign w:val="superscript"/>
                    </w:rPr>
                    <w:t>3</w:t>
                  </w:r>
                  <w:r>
                    <w:rPr>
                      <w:rFonts w:hint="default" w:ascii="Times New Roman" w:hAnsi="Times New Roman" w:eastAsia="宋体" w:cs="Times New Roman"/>
                      <w:b/>
                      <w:bCs/>
                      <w:color w:val="auto"/>
                    </w:rPr>
                    <w:t>）</w:t>
                  </w:r>
                </w:p>
              </w:tc>
              <w:tc>
                <w:tcPr>
                  <w:tcW w:w="1717" w:type="dxa"/>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核算排放速率</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（kg/h）</w:t>
                  </w:r>
                </w:p>
              </w:tc>
              <w:tc>
                <w:tcPr>
                  <w:tcW w:w="1642" w:type="dxa"/>
                  <w:tcBorders>
                    <w:tl2br w:val="nil"/>
                    <w:tr2bl w:val="nil"/>
                  </w:tcBorders>
                  <w:shd w:val="clear" w:color="auto" w:fill="auto"/>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核算年排放量</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00" w:type="dxa"/>
                  <w:gridSpan w:val="6"/>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有组织排放口</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8"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1549"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P1</w:t>
                  </w:r>
                </w:p>
              </w:tc>
              <w:tc>
                <w:tcPr>
                  <w:tcW w:w="1795"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VOCs</w:t>
                  </w:r>
                </w:p>
              </w:tc>
              <w:tc>
                <w:tcPr>
                  <w:tcW w:w="1779"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0.248</w:t>
                  </w:r>
                </w:p>
              </w:tc>
              <w:tc>
                <w:tcPr>
                  <w:tcW w:w="1717"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0.002</w:t>
                  </w:r>
                </w:p>
              </w:tc>
              <w:tc>
                <w:tcPr>
                  <w:tcW w:w="1642"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0.006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167" w:type="dxa"/>
                  <w:gridSpan w:val="2"/>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有组织排放总计</w:t>
                  </w:r>
                </w:p>
              </w:tc>
              <w:tc>
                <w:tcPr>
                  <w:tcW w:w="5291" w:type="dxa"/>
                  <w:gridSpan w:val="3"/>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VOCs</w:t>
                  </w:r>
                </w:p>
              </w:tc>
              <w:tc>
                <w:tcPr>
                  <w:tcW w:w="1642" w:type="dxa"/>
                  <w:tcBorders>
                    <w:tl2br w:val="nil"/>
                    <w:tr2bl w:val="nil"/>
                  </w:tcBorders>
                  <w:shd w:val="clear" w:color="auto" w:fill="auto"/>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0.006t/a</w:t>
                  </w:r>
                </w:p>
              </w:tc>
            </w:tr>
          </w:tbl>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表7-11 大气污染物无组织排放量核算表</w:t>
            </w:r>
          </w:p>
          <w:tbl>
            <w:tblPr>
              <w:tblStyle w:val="23"/>
              <w:tblW w:w="935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55"/>
              <w:gridCol w:w="1037"/>
              <w:gridCol w:w="1243"/>
              <w:gridCol w:w="1477"/>
              <w:gridCol w:w="2328"/>
              <w:gridCol w:w="1421"/>
              <w:gridCol w:w="12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tblHeader/>
                <w:jc w:val="center"/>
              </w:trPr>
              <w:tc>
                <w:tcPr>
                  <w:tcW w:w="555" w:type="dxa"/>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序号</w:t>
                  </w:r>
                </w:p>
              </w:tc>
              <w:tc>
                <w:tcPr>
                  <w:tcW w:w="1037" w:type="dxa"/>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排放口编号</w:t>
                  </w:r>
                </w:p>
              </w:tc>
              <w:tc>
                <w:tcPr>
                  <w:tcW w:w="1243" w:type="dxa"/>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产污</w:t>
                  </w:r>
                  <w:r>
                    <w:rPr>
                      <w:rFonts w:hint="default" w:ascii="Times New Roman" w:hAnsi="Times New Roman" w:eastAsia="宋体" w:cs="Times New Roman"/>
                      <w:b/>
                      <w:bCs/>
                      <w:color w:val="auto"/>
                    </w:rPr>
                    <w:br w:type="textWrapping"/>
                  </w:r>
                  <w:r>
                    <w:rPr>
                      <w:rFonts w:hint="default" w:ascii="Times New Roman" w:hAnsi="Times New Roman" w:eastAsia="宋体" w:cs="Times New Roman"/>
                      <w:b/>
                      <w:bCs/>
                      <w:color w:val="auto"/>
                    </w:rPr>
                    <w:t>环节</w:t>
                  </w:r>
                </w:p>
              </w:tc>
              <w:tc>
                <w:tcPr>
                  <w:tcW w:w="1477" w:type="dxa"/>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主要污</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染防治</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措施</w:t>
                  </w:r>
                </w:p>
              </w:tc>
              <w:tc>
                <w:tcPr>
                  <w:tcW w:w="3749" w:type="dxa"/>
                  <w:gridSpan w:val="2"/>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国家或地方污染物排放标准</w:t>
                  </w:r>
                </w:p>
              </w:tc>
              <w:tc>
                <w:tcPr>
                  <w:tcW w:w="1295" w:type="dxa"/>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年排放量</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tblHeader/>
                <w:jc w:val="center"/>
              </w:trPr>
              <w:tc>
                <w:tcPr>
                  <w:tcW w:w="555" w:type="dxa"/>
                  <w:vMerge w:val="continue"/>
                  <w:tcBorders>
                    <w:tl2br w:val="nil"/>
                    <w:tr2bl w:val="nil"/>
                  </w:tcBorders>
                  <w:vAlign w:val="center"/>
                </w:tcPr>
                <w:p>
                  <w:pPr>
                    <w:pStyle w:val="46"/>
                    <w:rPr>
                      <w:rFonts w:hint="default" w:ascii="Times New Roman" w:hAnsi="Times New Roman" w:eastAsia="宋体" w:cs="Times New Roman"/>
                      <w:b/>
                      <w:bCs/>
                      <w:color w:val="auto"/>
                    </w:rPr>
                  </w:pPr>
                </w:p>
              </w:tc>
              <w:tc>
                <w:tcPr>
                  <w:tcW w:w="1037" w:type="dxa"/>
                  <w:vMerge w:val="continue"/>
                  <w:tcBorders>
                    <w:tl2br w:val="nil"/>
                    <w:tr2bl w:val="nil"/>
                  </w:tcBorders>
                  <w:vAlign w:val="center"/>
                </w:tcPr>
                <w:p>
                  <w:pPr>
                    <w:pStyle w:val="46"/>
                    <w:rPr>
                      <w:rFonts w:hint="default" w:ascii="Times New Roman" w:hAnsi="Times New Roman" w:eastAsia="宋体" w:cs="Times New Roman"/>
                      <w:b/>
                      <w:bCs/>
                      <w:color w:val="auto"/>
                    </w:rPr>
                  </w:pPr>
                </w:p>
              </w:tc>
              <w:tc>
                <w:tcPr>
                  <w:tcW w:w="1243" w:type="dxa"/>
                  <w:vMerge w:val="continue"/>
                  <w:tcBorders>
                    <w:tl2br w:val="nil"/>
                    <w:tr2bl w:val="nil"/>
                  </w:tcBorders>
                  <w:vAlign w:val="center"/>
                </w:tcPr>
                <w:p>
                  <w:pPr>
                    <w:pStyle w:val="46"/>
                    <w:rPr>
                      <w:rFonts w:hint="default" w:ascii="Times New Roman" w:hAnsi="Times New Roman" w:eastAsia="宋体" w:cs="Times New Roman"/>
                      <w:b/>
                      <w:bCs/>
                      <w:color w:val="auto"/>
                    </w:rPr>
                  </w:pPr>
                </w:p>
              </w:tc>
              <w:tc>
                <w:tcPr>
                  <w:tcW w:w="1477" w:type="dxa"/>
                  <w:vMerge w:val="continue"/>
                  <w:tcBorders>
                    <w:tl2br w:val="nil"/>
                    <w:tr2bl w:val="nil"/>
                  </w:tcBorders>
                  <w:vAlign w:val="center"/>
                </w:tcPr>
                <w:p>
                  <w:pPr>
                    <w:pStyle w:val="46"/>
                    <w:rPr>
                      <w:rFonts w:hint="default" w:ascii="Times New Roman" w:hAnsi="Times New Roman" w:eastAsia="宋体" w:cs="Times New Roman"/>
                      <w:b/>
                      <w:bCs/>
                      <w:color w:val="auto"/>
                    </w:rPr>
                  </w:pPr>
                </w:p>
              </w:tc>
              <w:tc>
                <w:tcPr>
                  <w:tcW w:w="2328"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标准名称</w:t>
                  </w:r>
                </w:p>
              </w:tc>
              <w:tc>
                <w:tcPr>
                  <w:tcW w:w="1421"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浓度限值</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（μg/m</w:t>
                  </w:r>
                  <w:r>
                    <w:rPr>
                      <w:rFonts w:hint="default" w:ascii="Times New Roman" w:hAnsi="Times New Roman" w:eastAsia="宋体" w:cs="Times New Roman"/>
                      <w:b/>
                      <w:bCs/>
                      <w:color w:val="auto"/>
                      <w:vertAlign w:val="superscript"/>
                    </w:rPr>
                    <w:t>3</w:t>
                  </w:r>
                  <w:r>
                    <w:rPr>
                      <w:rFonts w:hint="default" w:ascii="Times New Roman" w:hAnsi="Times New Roman" w:eastAsia="宋体" w:cs="Times New Roman"/>
                      <w:b/>
                      <w:bCs/>
                      <w:color w:val="auto"/>
                    </w:rPr>
                    <w:t>）</w:t>
                  </w:r>
                </w:p>
              </w:tc>
              <w:tc>
                <w:tcPr>
                  <w:tcW w:w="1295" w:type="dxa"/>
                  <w:vMerge w:val="continue"/>
                  <w:tcBorders>
                    <w:tl2br w:val="nil"/>
                    <w:tr2bl w:val="nil"/>
                  </w:tcBorders>
                  <w:vAlign w:val="center"/>
                </w:tcPr>
                <w:p>
                  <w:pPr>
                    <w:pStyle w:val="46"/>
                    <w:rPr>
                      <w:rFonts w:hint="default" w:ascii="Times New Roman" w:hAnsi="Times New Roman" w:eastAsia="宋体" w:cs="Times New Roman"/>
                      <w:b/>
                      <w:bCs/>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tblHeader/>
                <w:jc w:val="center"/>
              </w:trPr>
              <w:tc>
                <w:tcPr>
                  <w:tcW w:w="555"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1037"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印刷区</w:t>
                  </w:r>
                </w:p>
              </w:tc>
              <w:tc>
                <w:tcPr>
                  <w:tcW w:w="1243"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印刷、清洗</w:t>
                  </w:r>
                </w:p>
              </w:tc>
              <w:tc>
                <w:tcPr>
                  <w:tcW w:w="1477"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加强车间通风换气</w:t>
                  </w:r>
                </w:p>
              </w:tc>
              <w:tc>
                <w:tcPr>
                  <w:tcW w:w="232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广东省地方标准《印刷行业挥发性有机化合物排放标准》（DB44/815-2010）</w:t>
                  </w:r>
                </w:p>
              </w:tc>
              <w:tc>
                <w:tcPr>
                  <w:tcW w:w="1421"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2000</w:t>
                  </w:r>
                </w:p>
              </w:tc>
              <w:tc>
                <w:tcPr>
                  <w:tcW w:w="1295"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tblHeader/>
                <w:jc w:val="center"/>
              </w:trPr>
              <w:tc>
                <w:tcPr>
                  <w:tcW w:w="2835" w:type="dxa"/>
                  <w:gridSpan w:val="3"/>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无组织排放总计</w:t>
                  </w:r>
                </w:p>
              </w:tc>
              <w:tc>
                <w:tcPr>
                  <w:tcW w:w="6521" w:type="dxa"/>
                  <w:gridSpan w:val="4"/>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0.002t/a</w:t>
                  </w:r>
                </w:p>
              </w:tc>
            </w:tr>
          </w:tbl>
          <w:p>
            <w:pPr>
              <w:pStyle w:val="46"/>
              <w:rPr>
                <w:rFonts w:hint="default" w:ascii="Times New Roman" w:hAnsi="Times New Roman" w:eastAsia="宋体" w:cs="Times New Roman"/>
                <w:b/>
                <w:bCs/>
                <w:color w:val="auto"/>
              </w:rPr>
            </w:pP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表7-12 大气污染物年排放量核算表</w:t>
            </w:r>
          </w:p>
          <w:tbl>
            <w:tblPr>
              <w:tblStyle w:val="23"/>
              <w:tblW w:w="908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43"/>
              <w:gridCol w:w="3502"/>
              <w:gridCol w:w="383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tblHeader/>
                <w:jc w:val="center"/>
              </w:trPr>
              <w:tc>
                <w:tcPr>
                  <w:tcW w:w="1743"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序号</w:t>
                  </w:r>
                </w:p>
              </w:tc>
              <w:tc>
                <w:tcPr>
                  <w:tcW w:w="3502"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污染物</w:t>
                  </w:r>
                </w:p>
              </w:tc>
              <w:tc>
                <w:tcPr>
                  <w:tcW w:w="3835"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年排放量（t/a）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743"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3502"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VOCs</w:t>
                  </w:r>
                </w:p>
              </w:tc>
              <w:tc>
                <w:tcPr>
                  <w:tcW w:w="3835" w:type="dxa"/>
                  <w:tcBorders>
                    <w:tl2br w:val="nil"/>
                    <w:tr2bl w:val="nil"/>
                  </w:tcBorders>
                  <w:vAlign w:val="bottom"/>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0.008</w:t>
                  </w:r>
                </w:p>
              </w:tc>
            </w:tr>
          </w:tbl>
          <w:p>
            <w:pPr>
              <w:numPr>
                <w:ilvl w:val="0"/>
                <w:numId w:val="18"/>
              </w:numPr>
              <w:spacing w:before="120"/>
              <w:ind w:firstLine="0" w:firstLineChars="0"/>
              <w:rPr>
                <w:rFonts w:hint="default" w:ascii="Times New Roman" w:hAnsi="Times New Roman" w:eastAsia="宋体" w:cs="Times New Roman"/>
                <w:b/>
              </w:rPr>
            </w:pPr>
            <w:r>
              <w:rPr>
                <w:rFonts w:hint="default" w:ascii="Times New Roman" w:hAnsi="Times New Roman" w:eastAsia="宋体" w:cs="Times New Roman"/>
                <w:b/>
              </w:rPr>
              <w:t>声环境影响分析</w:t>
            </w:r>
          </w:p>
          <w:p>
            <w:pPr>
              <w:ind w:firstLine="480"/>
              <w:rPr>
                <w:rFonts w:hint="default" w:ascii="Times New Roman" w:hAnsi="Times New Roman" w:eastAsia="宋体" w:cs="Times New Roman"/>
              </w:rPr>
            </w:pPr>
            <w:r>
              <w:rPr>
                <w:rFonts w:hint="default" w:ascii="Times New Roman" w:hAnsi="Times New Roman" w:eastAsia="宋体" w:cs="Times New Roman"/>
              </w:rPr>
              <w:t>项目噪声源主要为印刷机、模切机、</w:t>
            </w:r>
            <w:r>
              <w:rPr>
                <w:rFonts w:hint="default" w:ascii="Times New Roman" w:hAnsi="Times New Roman" w:eastAsia="宋体" w:cs="Times New Roman"/>
                <w:lang w:val="en-US" w:eastAsia="zh-CN"/>
              </w:rPr>
              <w:t>切纸机、</w:t>
            </w:r>
            <w:r>
              <w:rPr>
                <w:rFonts w:hint="default" w:ascii="Times New Roman" w:hAnsi="Times New Roman" w:eastAsia="宋体" w:cs="Times New Roman"/>
              </w:rPr>
              <w:t>啤机</w:t>
            </w:r>
            <w:r>
              <w:rPr>
                <w:rFonts w:hint="default" w:ascii="Times New Roman" w:hAnsi="Times New Roman" w:eastAsia="宋体" w:cs="Times New Roman"/>
                <w:lang w:eastAsia="zh-CN"/>
              </w:rPr>
              <w:t>、</w:t>
            </w:r>
            <w:r>
              <w:rPr>
                <w:rFonts w:hint="default" w:ascii="Times New Roman" w:hAnsi="Times New Roman" w:eastAsia="宋体" w:cs="Times New Roman"/>
                <w:lang w:val="en-US" w:eastAsia="zh-CN"/>
              </w:rPr>
              <w:t>裱纸机</w:t>
            </w:r>
            <w:r>
              <w:rPr>
                <w:rFonts w:hint="default" w:ascii="Times New Roman" w:hAnsi="Times New Roman" w:eastAsia="宋体" w:cs="Times New Roman"/>
              </w:rPr>
              <w:t>等生产设备运行时产生的噪声，其噪声的强度值为65～80dB(A)之间。本项目白天生产时间为8小时，夜间不生产。</w:t>
            </w:r>
          </w:p>
          <w:p>
            <w:pPr>
              <w:ind w:firstLine="480"/>
              <w:rPr>
                <w:rFonts w:hint="default" w:ascii="Times New Roman" w:hAnsi="Times New Roman" w:eastAsia="宋体" w:cs="Times New Roman"/>
              </w:rPr>
            </w:pPr>
            <w:r>
              <w:rPr>
                <w:rFonts w:hint="default" w:ascii="Times New Roman" w:hAnsi="Times New Roman" w:eastAsia="宋体" w:cs="Times New Roman"/>
              </w:rPr>
              <w:t>由本项目噪声监测数据可知，本项目运营期周围边界均满足《工业企业厂界环境噪声排放标准》（GB 12348-2008）2 类标准限值要求。说明周围声环境状况良好。</w:t>
            </w:r>
          </w:p>
          <w:p>
            <w:pPr>
              <w:ind w:firstLine="480"/>
              <w:rPr>
                <w:rFonts w:hint="default" w:ascii="Times New Roman" w:hAnsi="Times New Roman" w:eastAsia="宋体" w:cs="Times New Roman"/>
              </w:rPr>
            </w:pPr>
            <w:r>
              <w:rPr>
                <w:rFonts w:hint="default" w:ascii="Times New Roman" w:hAnsi="Times New Roman" w:eastAsia="宋体" w:cs="Times New Roman"/>
              </w:rPr>
              <w:t>为避免项目产生的噪声对周围环境造成影响，建议建设单位采取以下措施进行有效防治：</w:t>
            </w:r>
          </w:p>
          <w:p>
            <w:pPr>
              <w:ind w:firstLine="480"/>
              <w:rPr>
                <w:rFonts w:hint="default" w:ascii="Times New Roman" w:hAnsi="Times New Roman" w:eastAsia="宋体" w:cs="Times New Roman"/>
              </w:rPr>
            </w:pPr>
            <w:r>
              <w:rPr>
                <w:rFonts w:hint="default" w:ascii="Times New Roman" w:hAnsi="Times New Roman" w:eastAsia="宋体" w:cs="Times New Roman"/>
              </w:rPr>
              <w:t>①有针对性地对噪声设备进行合理布置，让噪声源尽量远离边界。</w:t>
            </w:r>
          </w:p>
          <w:p>
            <w:pPr>
              <w:ind w:firstLine="480"/>
              <w:rPr>
                <w:rFonts w:hint="default" w:ascii="Times New Roman" w:hAnsi="Times New Roman" w:eastAsia="宋体" w:cs="Times New Roman"/>
              </w:rPr>
            </w:pPr>
            <w:r>
              <w:rPr>
                <w:rFonts w:hint="default" w:ascii="Times New Roman" w:hAnsi="Times New Roman" w:eastAsia="宋体" w:cs="Times New Roman"/>
              </w:rPr>
              <w:t>②对高噪声设备进行消音、隔声、减震等措施。</w:t>
            </w:r>
          </w:p>
          <w:p>
            <w:pPr>
              <w:ind w:firstLine="480"/>
              <w:rPr>
                <w:rFonts w:hint="default" w:ascii="Times New Roman" w:hAnsi="Times New Roman" w:eastAsia="宋体" w:cs="Times New Roman"/>
              </w:rPr>
            </w:pPr>
            <w:r>
              <w:rPr>
                <w:rFonts w:hint="default" w:ascii="Times New Roman" w:hAnsi="Times New Roman" w:eastAsia="宋体" w:cs="Times New Roman"/>
              </w:rPr>
              <w:t>③加强对设备的定期检查、维护和管理，以保证设备的正常运行，避免因设备异常运行所产生的噪声对周围环境的影响。</w:t>
            </w:r>
          </w:p>
          <w:p>
            <w:pPr>
              <w:ind w:firstLine="480"/>
              <w:rPr>
                <w:rFonts w:hint="default" w:ascii="Times New Roman" w:hAnsi="Times New Roman" w:eastAsia="宋体" w:cs="Times New Roman"/>
              </w:rPr>
            </w:pPr>
            <w:r>
              <w:rPr>
                <w:rFonts w:hint="default" w:ascii="Times New Roman" w:hAnsi="Times New Roman" w:eastAsia="宋体" w:cs="Times New Roman"/>
              </w:rPr>
              <w:t>④在生产过程中要加强环保意识，注意轻拿轻放，减少取、放配件时产生的人为噪声。</w:t>
            </w:r>
          </w:p>
          <w:p>
            <w:pPr>
              <w:ind w:firstLine="480"/>
              <w:rPr>
                <w:rFonts w:hint="default" w:ascii="Times New Roman" w:hAnsi="Times New Roman" w:eastAsia="宋体" w:cs="Times New Roman"/>
              </w:rPr>
            </w:pPr>
            <w:r>
              <w:rPr>
                <w:rFonts w:hint="default" w:ascii="Times New Roman" w:hAnsi="Times New Roman" w:eastAsia="宋体" w:cs="Times New Roman"/>
              </w:rPr>
              <w:t>⑤合理安排生产时间，白天作业，夜间禁止生产。</w:t>
            </w:r>
          </w:p>
          <w:p>
            <w:pPr>
              <w:ind w:firstLine="480"/>
              <w:rPr>
                <w:rFonts w:hint="default" w:ascii="Times New Roman" w:hAnsi="Times New Roman" w:eastAsia="宋体" w:cs="Times New Roman"/>
              </w:rPr>
            </w:pPr>
            <w:r>
              <w:rPr>
                <w:rFonts w:hint="default" w:ascii="Times New Roman" w:hAnsi="Times New Roman" w:eastAsia="宋体" w:cs="Times New Roman"/>
              </w:rPr>
              <w:t>完善上述相关防治措施后，可确保厂房四周边界噪声达到《工业企业厂界环境噪声排放标准》（GB 12348-2008）2 类标准限值要求，对区域声环境质量的影响较小。</w:t>
            </w:r>
          </w:p>
          <w:p>
            <w:pPr>
              <w:numPr>
                <w:ilvl w:val="0"/>
                <w:numId w:val="18"/>
              </w:numPr>
              <w:spacing w:before="120"/>
              <w:ind w:firstLine="0" w:firstLineChars="0"/>
              <w:rPr>
                <w:rFonts w:hint="default" w:ascii="Times New Roman" w:hAnsi="Times New Roman" w:eastAsia="宋体" w:cs="Times New Roman"/>
                <w:b/>
              </w:rPr>
            </w:pPr>
            <w:r>
              <w:rPr>
                <w:rFonts w:hint="default" w:ascii="Times New Roman" w:hAnsi="Times New Roman" w:eastAsia="宋体" w:cs="Times New Roman"/>
                <w:b/>
              </w:rPr>
              <w:t>固废环境影响分析</w:t>
            </w:r>
          </w:p>
          <w:p>
            <w:pPr>
              <w:ind w:firstLine="480"/>
              <w:rPr>
                <w:rFonts w:hint="default" w:ascii="Times New Roman" w:hAnsi="Times New Roman" w:eastAsia="宋体" w:cs="Times New Roman"/>
              </w:rPr>
            </w:pPr>
            <w:r>
              <w:rPr>
                <w:rFonts w:hint="default" w:ascii="Times New Roman" w:hAnsi="Times New Roman" w:eastAsia="宋体" w:cs="Times New Roman"/>
              </w:rPr>
              <w:t>项目产生的固体废物有生活垃圾、废边角料、废包装材料、废PS版、废活性炭、废抹布等。生活垃圾收集后由环卫部门统一清运；废边角料、废包装材料、废PS版收集后外售综合利用；废原料罐由原供应商回收盛装原物料；废活性炭</w:t>
            </w:r>
            <w:r>
              <w:rPr>
                <w:rFonts w:hint="default" w:ascii="Times New Roman" w:hAnsi="Times New Roman" w:eastAsia="宋体" w:cs="Times New Roman"/>
                <w:lang w:val="en-US" w:eastAsia="zh-CN"/>
              </w:rPr>
              <w:t>和</w:t>
            </w:r>
            <w:r>
              <w:rPr>
                <w:rFonts w:hint="default" w:ascii="Times New Roman" w:hAnsi="Times New Roman" w:eastAsia="宋体" w:cs="Times New Roman"/>
              </w:rPr>
              <w:t>废抹布经分类收集后交由有危险废物处理资质的单位处理。项目危险废物贮存场所基本情况见下表。</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表7-13 项目危险废物贮存场所基本情况一览表</w:t>
            </w:r>
          </w:p>
          <w:tbl>
            <w:tblPr>
              <w:tblStyle w:val="24"/>
              <w:tblW w:w="900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4"/>
              <w:gridCol w:w="927"/>
              <w:gridCol w:w="1038"/>
              <w:gridCol w:w="892"/>
              <w:gridCol w:w="1372"/>
              <w:gridCol w:w="733"/>
              <w:gridCol w:w="1433"/>
              <w:gridCol w:w="1100"/>
              <w:gridCol w:w="10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444" w:type="dxa"/>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序号</w:t>
                  </w:r>
                </w:p>
              </w:tc>
              <w:tc>
                <w:tcPr>
                  <w:tcW w:w="927" w:type="dxa"/>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贮存场所名称</w:t>
                  </w:r>
                </w:p>
              </w:tc>
              <w:tc>
                <w:tcPr>
                  <w:tcW w:w="3302" w:type="dxa"/>
                  <w:gridSpan w:val="3"/>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危险废物</w:t>
                  </w:r>
                </w:p>
              </w:tc>
              <w:tc>
                <w:tcPr>
                  <w:tcW w:w="733" w:type="dxa"/>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占地面积</w:t>
                  </w:r>
                </w:p>
              </w:tc>
              <w:tc>
                <w:tcPr>
                  <w:tcW w:w="1433" w:type="dxa"/>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贮存方式</w:t>
                  </w:r>
                </w:p>
              </w:tc>
              <w:tc>
                <w:tcPr>
                  <w:tcW w:w="1100" w:type="dxa"/>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贮存位置</w:t>
                  </w:r>
                </w:p>
              </w:tc>
              <w:tc>
                <w:tcPr>
                  <w:tcW w:w="1070" w:type="dxa"/>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处置方式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444"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927"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1038"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名称</w:t>
                  </w:r>
                </w:p>
              </w:tc>
              <w:tc>
                <w:tcPr>
                  <w:tcW w:w="892"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类别</w:t>
                  </w:r>
                </w:p>
              </w:tc>
              <w:tc>
                <w:tcPr>
                  <w:tcW w:w="1372"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代码</w:t>
                  </w:r>
                </w:p>
              </w:tc>
              <w:tc>
                <w:tcPr>
                  <w:tcW w:w="733"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1433"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1100"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1070" w:type="dxa"/>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444"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927"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危险废物暂存区</w:t>
                  </w:r>
                </w:p>
              </w:tc>
              <w:tc>
                <w:tcPr>
                  <w:tcW w:w="103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废活性炭</w:t>
                  </w:r>
                </w:p>
              </w:tc>
              <w:tc>
                <w:tcPr>
                  <w:tcW w:w="892"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HW49</w:t>
                  </w:r>
                </w:p>
              </w:tc>
              <w:tc>
                <w:tcPr>
                  <w:tcW w:w="1372"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900-041-49</w:t>
                  </w:r>
                </w:p>
              </w:tc>
              <w:tc>
                <w:tcPr>
                  <w:tcW w:w="733"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5m</w:t>
                  </w:r>
                  <w:r>
                    <w:rPr>
                      <w:rFonts w:hint="default" w:ascii="Times New Roman" w:hAnsi="Times New Roman" w:eastAsia="宋体" w:cs="Times New Roman"/>
                      <w:color w:val="auto"/>
                      <w:vertAlign w:val="superscript"/>
                    </w:rPr>
                    <w:t>2</w:t>
                  </w:r>
                </w:p>
              </w:tc>
              <w:tc>
                <w:tcPr>
                  <w:tcW w:w="1433"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桶装、密封存放</w:t>
                  </w:r>
                </w:p>
              </w:tc>
              <w:tc>
                <w:tcPr>
                  <w:tcW w:w="1100"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危废暂存区</w:t>
                  </w:r>
                </w:p>
              </w:tc>
              <w:tc>
                <w:tcPr>
                  <w:tcW w:w="1070"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交由有危险废物处理资质的单位处理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444"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927"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103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废抹布</w:t>
                  </w:r>
                </w:p>
              </w:tc>
              <w:tc>
                <w:tcPr>
                  <w:tcW w:w="892"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HW49</w:t>
                  </w:r>
                </w:p>
              </w:tc>
              <w:tc>
                <w:tcPr>
                  <w:tcW w:w="1372"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900-041-49</w:t>
                  </w:r>
                </w:p>
              </w:tc>
              <w:tc>
                <w:tcPr>
                  <w:tcW w:w="733"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1433"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桶装</w:t>
                  </w:r>
                </w:p>
              </w:tc>
              <w:tc>
                <w:tcPr>
                  <w:tcW w:w="1100"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1070" w:type="dxa"/>
                  <w:vMerge w:val="continue"/>
                  <w:tcBorders>
                    <w:tl2br w:val="nil"/>
                    <w:tr2bl w:val="nil"/>
                  </w:tcBorders>
                  <w:vAlign w:val="center"/>
                </w:tcPr>
                <w:p>
                  <w:pPr>
                    <w:pStyle w:val="46"/>
                    <w:rPr>
                      <w:rFonts w:hint="default" w:ascii="Times New Roman" w:hAnsi="Times New Roman" w:eastAsia="宋体" w:cs="Times New Roman"/>
                      <w:color w:val="auto"/>
                    </w:rPr>
                  </w:pPr>
                </w:p>
              </w:tc>
            </w:tr>
          </w:tbl>
          <w:p>
            <w:pPr>
              <w:ind w:firstLine="480"/>
              <w:rPr>
                <w:rFonts w:hint="default" w:ascii="Times New Roman" w:hAnsi="Times New Roman" w:eastAsia="宋体" w:cs="Times New Roman"/>
              </w:rPr>
            </w:pPr>
            <w:r>
              <w:rPr>
                <w:rFonts w:hint="default" w:ascii="Times New Roman" w:hAnsi="Times New Roman" w:eastAsia="宋体" w:cs="Times New Roman"/>
              </w:rPr>
              <w:t>根据《国家危险废物名录》（2016年8月1日起施行）的相关内容，项目产生危险废物均在厂内收集，集中委托有危险废物处理资质的单位处理。临时堆放场所应按《危险废物贮存污染控制标准》（GB18597-2001）和《一般工业固体废物贮存、处置场污染控制标准》（GB18599-2001）的要求规范建设和维护使用，转移运输途中应采取相应的污染防范及事故应急措施。</w:t>
            </w:r>
          </w:p>
          <w:p>
            <w:pPr>
              <w:ind w:firstLine="480"/>
              <w:rPr>
                <w:rFonts w:hint="default" w:ascii="Times New Roman" w:hAnsi="Times New Roman" w:eastAsia="宋体" w:cs="Times New Roman"/>
              </w:rPr>
            </w:pPr>
            <w:r>
              <w:rPr>
                <w:rFonts w:hint="default" w:ascii="Times New Roman" w:hAnsi="Times New Roman" w:eastAsia="宋体" w:cs="Times New Roman"/>
              </w:rPr>
              <w:t>根据《广东省危险废物产生单位危险废物规范化管理工作实施方案》，企业须根据管理台账和近年产生计划，制订危险废物管理计划，并报当地环保部门备案。台帐应如实记载产生危险废物的种类、数量、利用、贮存、处置、流向等信息，以此作为向当地环保部门申报危险废物管理计划的编制依据。产生的危险废物实行分类收集后置于贮存设施内，贮存时限一般不得超过一年，并设专人管理。盛装危险废物的容器和包装物以及产生、收集、贮存、运输、处置危险废物的场所，必须依法设置相应标识、警示标志和标签，标签上应注明贮存的废物类别、危害性以及开始贮存时间等内容。企业必须严格执行危险废物转移计划报批和依法运行危险废物转移联单，并通过信息系统登记转移计划和电子转移联单。企业还需健全产生单位内部管理制度，包括落实危险废物产生信息公开制度，建立员工培训和固体废物管理员制度，完善危险废物相关档案管理制度；建立和完善突发危险废物环境应急预案，并报当地环保部门备案。</w:t>
            </w:r>
          </w:p>
          <w:p>
            <w:pPr>
              <w:ind w:firstLine="480"/>
              <w:rPr>
                <w:rFonts w:hint="default" w:ascii="Times New Roman" w:hAnsi="Times New Roman" w:eastAsia="宋体" w:cs="Times New Roman"/>
              </w:rPr>
            </w:pPr>
            <w:r>
              <w:rPr>
                <w:rFonts w:hint="default" w:ascii="Times New Roman" w:hAnsi="Times New Roman" w:eastAsia="宋体" w:cs="Times New Roman"/>
              </w:rPr>
              <w:t>建议企业做好垃圾分类，各类废物分开收集，并按上述措施分类处理。各类废物经妥善处理后，对周边环境无影响。</w:t>
            </w:r>
          </w:p>
          <w:p>
            <w:pPr>
              <w:numPr>
                <w:ilvl w:val="0"/>
                <w:numId w:val="18"/>
              </w:numPr>
              <w:spacing w:before="120"/>
              <w:ind w:firstLine="0" w:firstLineChars="0"/>
              <w:rPr>
                <w:rFonts w:hint="default" w:ascii="Times New Roman" w:hAnsi="Times New Roman" w:eastAsia="宋体" w:cs="Times New Roman"/>
                <w:b/>
              </w:rPr>
            </w:pPr>
            <w:r>
              <w:rPr>
                <w:rFonts w:hint="default" w:ascii="Times New Roman" w:hAnsi="Times New Roman" w:eastAsia="宋体" w:cs="Times New Roman"/>
                <w:b/>
              </w:rPr>
              <w:t>土壤环境影响分析</w:t>
            </w:r>
          </w:p>
          <w:p>
            <w:pPr>
              <w:ind w:firstLine="480"/>
              <w:rPr>
                <w:rFonts w:hint="default" w:ascii="Times New Roman" w:hAnsi="Times New Roman" w:eastAsia="宋体" w:cs="Times New Roman"/>
              </w:rPr>
            </w:pPr>
            <w:r>
              <w:rPr>
                <w:rFonts w:hint="default" w:ascii="Times New Roman" w:hAnsi="Times New Roman" w:eastAsia="宋体" w:cs="Times New Roman"/>
              </w:rPr>
              <w:t>本项目主要从事纸品印刷，根据《环境影响评价技术导则土壤环境（试行）》（HJ964-2018），本项目为Ⅲ类建设项目；项目周边不存在土壤环境敏感目标，敏感程度为不敏感；项目占地面积为247.8m</w:t>
            </w:r>
            <w:r>
              <w:rPr>
                <w:rFonts w:hint="default" w:ascii="Times New Roman" w:hAnsi="Times New Roman" w:eastAsia="宋体" w:cs="Times New Roman"/>
                <w:vertAlign w:val="superscript"/>
              </w:rPr>
              <w:t>2</w:t>
            </w:r>
            <w:r>
              <w:rPr>
                <w:rFonts w:hint="default" w:ascii="Times New Roman" w:hAnsi="Times New Roman" w:eastAsia="宋体" w:cs="Times New Roman"/>
              </w:rPr>
              <w:t>，占地规模为小型。</w:t>
            </w:r>
          </w:p>
          <w:p>
            <w:pPr>
              <w:ind w:firstLine="480"/>
              <w:rPr>
                <w:rFonts w:hint="default" w:ascii="Times New Roman" w:hAnsi="Times New Roman" w:eastAsia="宋体" w:cs="Times New Roman"/>
              </w:rPr>
            </w:pPr>
            <w:r>
              <w:rPr>
                <w:rFonts w:hint="default" w:ascii="Times New Roman" w:hAnsi="Times New Roman" w:eastAsia="宋体" w:cs="Times New Roman"/>
              </w:rPr>
              <w:t>根据《环境影响评价技术导则土壤环境（试行）》（HJ964-2018），土壤环境影响评价登记划分如下：</w:t>
            </w:r>
          </w:p>
          <w:p>
            <w:pPr>
              <w:pStyle w:val="28"/>
              <w:ind w:firstLine="482"/>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表7-14 污染环境型评价工作等级划分表</w:t>
            </w:r>
          </w:p>
          <w:p>
            <w:pPr>
              <w:ind w:firstLine="0" w:firstLineChars="0"/>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5939155" cy="1946275"/>
                  <wp:effectExtent l="0" t="0" r="4445" b="15875"/>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30"/>
                          <a:stretch>
                            <a:fillRect/>
                          </a:stretch>
                        </pic:blipFill>
                        <pic:spPr>
                          <a:xfrm>
                            <a:off x="0" y="0"/>
                            <a:ext cx="5939155" cy="1946275"/>
                          </a:xfrm>
                          <a:prstGeom prst="rect">
                            <a:avLst/>
                          </a:prstGeom>
                          <a:noFill/>
                          <a:ln>
                            <a:noFill/>
                          </a:ln>
                        </pic:spPr>
                      </pic:pic>
                    </a:graphicData>
                  </a:graphic>
                </wp:inline>
              </w:drawing>
            </w:r>
          </w:p>
          <w:p>
            <w:pPr>
              <w:ind w:firstLine="480"/>
              <w:rPr>
                <w:rFonts w:hint="default" w:ascii="Times New Roman" w:hAnsi="Times New Roman" w:eastAsia="宋体" w:cs="Times New Roman"/>
              </w:rPr>
            </w:pPr>
            <w:r>
              <w:rPr>
                <w:rFonts w:hint="default" w:ascii="Times New Roman" w:hAnsi="Times New Roman" w:eastAsia="宋体" w:cs="Times New Roman"/>
              </w:rPr>
              <w:t>根据上结论，本项目评价等级低于三级，可不开展土壤环境影响评价工作。</w:t>
            </w:r>
          </w:p>
          <w:p>
            <w:pPr>
              <w:numPr>
                <w:ilvl w:val="0"/>
                <w:numId w:val="18"/>
              </w:numPr>
              <w:spacing w:before="120"/>
              <w:ind w:firstLine="0" w:firstLineChars="0"/>
              <w:rPr>
                <w:rFonts w:hint="default" w:ascii="Times New Roman" w:hAnsi="Times New Roman" w:eastAsia="宋体" w:cs="Times New Roman"/>
                <w:b/>
              </w:rPr>
            </w:pPr>
            <w:r>
              <w:rPr>
                <w:rFonts w:hint="default" w:ascii="Times New Roman" w:hAnsi="Times New Roman" w:eastAsia="宋体" w:cs="Times New Roman"/>
                <w:b/>
              </w:rPr>
              <w:t>环境风险影响分析</w:t>
            </w:r>
          </w:p>
          <w:p>
            <w:pPr>
              <w:ind w:firstLine="480"/>
              <w:rPr>
                <w:rFonts w:hint="default" w:ascii="Times New Roman" w:hAnsi="Times New Roman" w:eastAsia="宋体" w:cs="Times New Roman"/>
              </w:rPr>
            </w:pPr>
            <w:r>
              <w:rPr>
                <w:rFonts w:hint="default" w:ascii="Times New Roman" w:hAnsi="Times New Roman" w:eastAsia="宋体" w:cs="Times New Roman"/>
              </w:rPr>
              <w:t>环境风险评价的目的是分析和预测建设项目存在的潜在危险、有害因素、建设项目建设和运行期间可能发生的突发性事件和事故，引起有毒有害和易燃易爆等物质泄漏，所造成的人身安全与环境影响和损害程度，提出合理可行的防范、应急与减缓措施，以使建设项目事故、损失和环境影响降低到可接受的水平。</w:t>
            </w:r>
          </w:p>
          <w:p>
            <w:pPr>
              <w:ind w:firstLine="482"/>
              <w:rPr>
                <w:rFonts w:hint="default" w:ascii="Times New Roman" w:hAnsi="Times New Roman" w:eastAsia="宋体" w:cs="Times New Roman"/>
                <w:b/>
                <w:bCs/>
              </w:rPr>
            </w:pPr>
            <w:r>
              <w:rPr>
                <w:rFonts w:hint="default" w:ascii="Times New Roman" w:hAnsi="Times New Roman" w:eastAsia="宋体" w:cs="Times New Roman"/>
                <w:b/>
                <w:bCs/>
              </w:rPr>
              <w:t>（1）评价依据</w:t>
            </w:r>
          </w:p>
          <w:p>
            <w:pPr>
              <w:pStyle w:val="28"/>
              <w:numPr>
                <w:ilvl w:val="0"/>
                <w:numId w:val="24"/>
              </w:numPr>
              <w:ind w:left="840" w:firstLineChars="0"/>
              <w:rPr>
                <w:rFonts w:hint="default" w:ascii="Times New Roman" w:hAnsi="Times New Roman" w:eastAsia="宋体" w:cs="Times New Roman"/>
                <w:b/>
                <w:bCs/>
                <w:color w:val="auto"/>
              </w:rPr>
            </w:pPr>
            <w:r>
              <w:rPr>
                <w:rFonts w:hint="default" w:ascii="Times New Roman" w:hAnsi="Times New Roman" w:eastAsia="宋体" w:cs="Times New Roman"/>
                <w:b/>
                <w:bCs/>
                <w:color w:val="auto"/>
              </w:rPr>
              <w:t>风险调查</w:t>
            </w:r>
          </w:p>
          <w:p>
            <w:pPr>
              <w:ind w:firstLine="480"/>
              <w:rPr>
                <w:rFonts w:hint="default" w:ascii="Times New Roman" w:hAnsi="Times New Roman" w:eastAsia="宋体" w:cs="Times New Roman"/>
              </w:rPr>
            </w:pPr>
            <w:r>
              <w:rPr>
                <w:rFonts w:hint="default" w:ascii="Times New Roman" w:hAnsi="Times New Roman" w:eastAsia="宋体" w:cs="Times New Roman"/>
              </w:rPr>
              <w:t>按照《建设项目环境风险评价技术导则》（HJ/T169-2018）附录中附录B及《重大危险源辨识》（GB18218-2018），本项目不含其中所列的危险化学品，未构成重大危险源。</w:t>
            </w:r>
          </w:p>
          <w:p>
            <w:pPr>
              <w:pStyle w:val="28"/>
              <w:numPr>
                <w:ilvl w:val="0"/>
                <w:numId w:val="24"/>
              </w:numPr>
              <w:ind w:left="840" w:firstLineChars="0"/>
              <w:rPr>
                <w:rFonts w:hint="default" w:ascii="Times New Roman" w:hAnsi="Times New Roman" w:eastAsia="宋体" w:cs="Times New Roman"/>
                <w:b/>
                <w:bCs/>
                <w:color w:val="auto"/>
              </w:rPr>
            </w:pPr>
            <w:r>
              <w:rPr>
                <w:rFonts w:hint="default" w:ascii="Times New Roman" w:hAnsi="Times New Roman" w:eastAsia="宋体" w:cs="Times New Roman"/>
                <w:b/>
                <w:bCs/>
                <w:color w:val="auto"/>
              </w:rPr>
              <w:t>风险潜势初判及风险评价等级</w:t>
            </w:r>
          </w:p>
          <w:p>
            <w:pPr>
              <w:pStyle w:val="28"/>
              <w:rPr>
                <w:rFonts w:hint="default" w:ascii="Times New Roman" w:hAnsi="Times New Roman" w:eastAsia="宋体" w:cs="Times New Roman"/>
                <w:color w:val="auto"/>
              </w:rPr>
            </w:pPr>
            <w:r>
              <w:rPr>
                <w:rFonts w:hint="default" w:ascii="Times New Roman" w:hAnsi="Times New Roman" w:eastAsia="宋体" w:cs="Times New Roman"/>
                <w:color w:val="auto"/>
              </w:rPr>
              <w:t>根据建设项目涉及的物质和工艺系统的危险性及其所在地的环境敏感程度，结合事故情形下环境影响途径，对建设项目潜在环境危害程度进行概化分析，建设项目环境风险潜势划分表见下表。</w:t>
            </w:r>
          </w:p>
          <w:p>
            <w:pPr>
              <w:pStyle w:val="46"/>
              <w:rPr>
                <w:rFonts w:hint="default" w:ascii="Times New Roman" w:hAnsi="Times New Roman" w:eastAsia="宋体" w:cs="Times New Roman"/>
                <w:b/>
                <w:bCs/>
                <w:color w:val="auto"/>
              </w:rPr>
            </w:pPr>
          </w:p>
          <w:p>
            <w:pPr>
              <w:pStyle w:val="46"/>
              <w:rPr>
                <w:rFonts w:hint="default" w:ascii="Times New Roman" w:hAnsi="Times New Roman" w:eastAsia="宋体" w:cs="Times New Roman"/>
                <w:b/>
                <w:bCs/>
                <w:color w:val="auto"/>
              </w:rPr>
            </w:pPr>
          </w:p>
          <w:p>
            <w:pPr>
              <w:pStyle w:val="46"/>
              <w:rPr>
                <w:rFonts w:hint="default" w:ascii="Times New Roman" w:hAnsi="Times New Roman" w:eastAsia="宋体" w:cs="Times New Roman"/>
                <w:b/>
                <w:bCs/>
                <w:color w:val="auto"/>
              </w:rPr>
            </w:pP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表7-15 建设项目环境风险潜势划分表</w:t>
            </w:r>
          </w:p>
          <w:tbl>
            <w:tblPr>
              <w:tblStyle w:val="24"/>
              <w:tblW w:w="900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25"/>
              <w:gridCol w:w="1624"/>
              <w:gridCol w:w="1640"/>
              <w:gridCol w:w="1704"/>
              <w:gridCol w:w="16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25" w:type="dxa"/>
                  <w:vMerge w:val="restar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环境敏感程（E）</w:t>
                  </w:r>
                </w:p>
              </w:tc>
              <w:tc>
                <w:tcPr>
                  <w:tcW w:w="6584" w:type="dxa"/>
                  <w:gridSpan w:val="4"/>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危险物质及工艺系统危险性（P1）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25" w:type="dxa"/>
                  <w:vMerge w:val="continue"/>
                  <w:tcBorders>
                    <w:tl2br w:val="nil"/>
                    <w:tr2bl w:val="nil"/>
                  </w:tcBorders>
                  <w:vAlign w:val="center"/>
                </w:tcPr>
                <w:p>
                  <w:pPr>
                    <w:pStyle w:val="46"/>
                    <w:rPr>
                      <w:rFonts w:hint="default" w:ascii="Times New Roman" w:hAnsi="Times New Roman" w:eastAsia="宋体" w:cs="Times New Roman"/>
                      <w:b/>
                      <w:bCs/>
                      <w:color w:val="auto"/>
                    </w:rPr>
                  </w:pPr>
                </w:p>
              </w:tc>
              <w:tc>
                <w:tcPr>
                  <w:tcW w:w="1624"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极高危害（P1）</w:t>
                  </w:r>
                </w:p>
              </w:tc>
              <w:tc>
                <w:tcPr>
                  <w:tcW w:w="1640"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高度危害（P12）</w:t>
                  </w:r>
                </w:p>
              </w:tc>
              <w:tc>
                <w:tcPr>
                  <w:tcW w:w="1704"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中度危害（P13）</w:t>
                  </w:r>
                </w:p>
              </w:tc>
              <w:tc>
                <w:tcPr>
                  <w:tcW w:w="1616"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轻度危害（P14）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25"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环境高度敏感区（E1）</w:t>
                  </w:r>
                </w:p>
              </w:tc>
              <w:tc>
                <w:tcPr>
                  <w:tcW w:w="1624"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Ⅳ+</w:t>
                  </w:r>
                </w:p>
              </w:tc>
              <w:tc>
                <w:tcPr>
                  <w:tcW w:w="1640"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Ⅳ</w:t>
                  </w:r>
                </w:p>
              </w:tc>
              <w:tc>
                <w:tcPr>
                  <w:tcW w:w="1704"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Ⅲ</w:t>
                  </w:r>
                </w:p>
              </w:tc>
              <w:tc>
                <w:tcPr>
                  <w:tcW w:w="1616"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25"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环境中度敏感区（E2）</w:t>
                  </w:r>
                </w:p>
              </w:tc>
              <w:tc>
                <w:tcPr>
                  <w:tcW w:w="1624"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Ⅳ</w:t>
                  </w:r>
                </w:p>
              </w:tc>
              <w:tc>
                <w:tcPr>
                  <w:tcW w:w="1640"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Ⅲ</w:t>
                  </w:r>
                </w:p>
              </w:tc>
              <w:tc>
                <w:tcPr>
                  <w:tcW w:w="1704"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Ⅲ</w:t>
                  </w:r>
                </w:p>
              </w:tc>
              <w:tc>
                <w:tcPr>
                  <w:tcW w:w="1616"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25"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环境低毒敏感区（E3）</w:t>
                  </w:r>
                </w:p>
              </w:tc>
              <w:tc>
                <w:tcPr>
                  <w:tcW w:w="1624"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Ⅲ</w:t>
                  </w:r>
                </w:p>
              </w:tc>
              <w:tc>
                <w:tcPr>
                  <w:tcW w:w="1640"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Ⅲ</w:t>
                  </w:r>
                </w:p>
              </w:tc>
              <w:tc>
                <w:tcPr>
                  <w:tcW w:w="1704"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Ⅱ</w:t>
                  </w:r>
                </w:p>
              </w:tc>
              <w:tc>
                <w:tcPr>
                  <w:tcW w:w="1616"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09" w:type="dxa"/>
                  <w:gridSpan w:val="5"/>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注：Ⅳ+为极高环境风险</w:t>
                  </w:r>
                </w:p>
              </w:tc>
            </w:tr>
          </w:tbl>
          <w:p>
            <w:pPr>
              <w:pStyle w:val="28"/>
              <w:numPr>
                <w:ilvl w:val="0"/>
                <w:numId w:val="24"/>
              </w:numPr>
              <w:ind w:left="840" w:firstLineChars="0"/>
              <w:rPr>
                <w:rFonts w:hint="default" w:ascii="Times New Roman" w:hAnsi="Times New Roman" w:eastAsia="宋体" w:cs="Times New Roman"/>
                <w:b/>
                <w:bCs/>
                <w:color w:val="auto"/>
              </w:rPr>
            </w:pPr>
            <w:r>
              <w:rPr>
                <w:rFonts w:hint="default" w:ascii="Times New Roman" w:hAnsi="Times New Roman" w:eastAsia="宋体" w:cs="Times New Roman"/>
                <w:b/>
                <w:bCs/>
                <w:color w:val="auto"/>
              </w:rPr>
              <w:t>P1的分级确定</w:t>
            </w:r>
          </w:p>
          <w:p>
            <w:pPr>
              <w:ind w:firstLine="480"/>
              <w:rPr>
                <w:rFonts w:hint="default" w:ascii="Times New Roman" w:hAnsi="Times New Roman" w:eastAsia="宋体" w:cs="Times New Roman"/>
              </w:rPr>
            </w:pPr>
            <w:r>
              <w:rPr>
                <w:rFonts w:hint="default" w:ascii="Times New Roman" w:hAnsi="Times New Roman" w:eastAsia="宋体" w:cs="Times New Roman"/>
              </w:rPr>
              <w:t>计算所涉及的每种危险物质在厂界内的最大存在总量与其在《建设项目环境风险评价技术导则》（HJ169-2018）附录B中对应临界量的比值Q。</w:t>
            </w:r>
          </w:p>
          <w:p>
            <w:pPr>
              <w:ind w:firstLine="480"/>
              <w:rPr>
                <w:rFonts w:hint="default" w:ascii="Times New Roman" w:hAnsi="Times New Roman" w:eastAsia="宋体" w:cs="Times New Roman"/>
              </w:rPr>
            </w:pPr>
            <w:r>
              <w:rPr>
                <w:rFonts w:hint="default" w:ascii="Times New Roman" w:hAnsi="Times New Roman" w:eastAsia="宋体" w:cs="Times New Roman"/>
              </w:rPr>
              <w:t>当涉及一种危险物质时，计算该物质的总量与临界量比值，即为Q；</w:t>
            </w:r>
          </w:p>
          <w:p>
            <w:pPr>
              <w:ind w:firstLine="480"/>
              <w:rPr>
                <w:rFonts w:hint="default" w:ascii="Times New Roman" w:hAnsi="Times New Roman" w:eastAsia="宋体" w:cs="Times New Roman"/>
              </w:rPr>
            </w:pPr>
            <w:r>
              <w:rPr>
                <w:rFonts w:hint="default" w:ascii="Times New Roman" w:hAnsi="Times New Roman" w:eastAsia="宋体" w:cs="Times New Roman"/>
              </w:rPr>
              <w:t>当存在多种危险物质时，则按下式计算物质总量与其临界量比值（Q）：</w:t>
            </w:r>
          </w:p>
          <w:p>
            <w:pPr>
              <w:ind w:firstLine="480"/>
              <w:jc w:val="center"/>
              <w:rPr>
                <w:rFonts w:hint="default" w:ascii="Times New Roman" w:hAnsi="Times New Roman" w:eastAsia="宋体" w:cs="Times New Roman"/>
              </w:rPr>
            </w:pPr>
            <w:r>
              <w:rPr>
                <w:rFonts w:hint="default" w:ascii="Times New Roman" w:hAnsi="Times New Roman" w:eastAsia="宋体" w:cs="Times New Roman"/>
              </w:rPr>
              <w:t>Q=q1/Q1+q2/Q2+……+qn/Qn</w:t>
            </w:r>
          </w:p>
          <w:p>
            <w:pPr>
              <w:ind w:firstLine="480"/>
              <w:rPr>
                <w:rFonts w:hint="default" w:ascii="Times New Roman" w:hAnsi="Times New Roman" w:eastAsia="宋体" w:cs="Times New Roman"/>
              </w:rPr>
            </w:pPr>
            <w:r>
              <w:rPr>
                <w:rFonts w:hint="default" w:ascii="Times New Roman" w:hAnsi="Times New Roman" w:eastAsia="宋体" w:cs="Times New Roman"/>
              </w:rPr>
              <w:t>式中：q1，q2,…,qn—每种危险物质的最大存在总量，t；</w:t>
            </w:r>
          </w:p>
          <w:p>
            <w:pPr>
              <w:ind w:firstLine="480"/>
              <w:rPr>
                <w:rFonts w:hint="default" w:ascii="Times New Roman" w:hAnsi="Times New Roman" w:eastAsia="宋体" w:cs="Times New Roman"/>
              </w:rPr>
            </w:pPr>
            <w:r>
              <w:rPr>
                <w:rFonts w:hint="default" w:ascii="Times New Roman" w:hAnsi="Times New Roman" w:eastAsia="宋体" w:cs="Times New Roman"/>
              </w:rPr>
              <w:t>Q1，Q2，…，Qn—每种危险物质的临界量，t。</w:t>
            </w:r>
          </w:p>
          <w:p>
            <w:pPr>
              <w:ind w:firstLine="480"/>
              <w:rPr>
                <w:rFonts w:hint="default" w:ascii="Times New Roman" w:hAnsi="Times New Roman" w:eastAsia="宋体" w:cs="Times New Roman"/>
              </w:rPr>
            </w:pPr>
            <w:r>
              <w:rPr>
                <w:rFonts w:hint="default" w:ascii="Times New Roman" w:hAnsi="Times New Roman" w:eastAsia="宋体" w:cs="Times New Roman"/>
              </w:rPr>
              <w:t>当Q＜1时，该项目环境风险潜势为Ⅰ。</w:t>
            </w:r>
          </w:p>
          <w:p>
            <w:pPr>
              <w:ind w:firstLine="480"/>
              <w:rPr>
                <w:rFonts w:hint="default" w:ascii="Times New Roman" w:hAnsi="Times New Roman" w:eastAsia="宋体" w:cs="Times New Roman"/>
              </w:rPr>
            </w:pPr>
            <w:r>
              <w:rPr>
                <w:rFonts w:hint="default" w:ascii="Times New Roman" w:hAnsi="Times New Roman" w:eastAsia="宋体" w:cs="Times New Roman"/>
              </w:rPr>
              <w:t>当Q≥1时，将Q值划分为（1）1≤Q＜10；（2）10≤Q＜100；（3）Q≥100。</w:t>
            </w:r>
          </w:p>
          <w:p>
            <w:pPr>
              <w:ind w:firstLine="480"/>
              <w:rPr>
                <w:rFonts w:hint="default" w:ascii="Times New Roman" w:hAnsi="Times New Roman" w:eastAsia="宋体" w:cs="Times New Roman"/>
              </w:rPr>
            </w:pPr>
            <w:r>
              <w:rPr>
                <w:rFonts w:hint="default" w:ascii="Times New Roman" w:hAnsi="Times New Roman" w:eastAsia="宋体" w:cs="Times New Roman"/>
              </w:rPr>
              <w:t>根据调查，本项目主要原辅材料不涉及危险物质，不存在物料存储临界点危险，故环境风险潜势为Ⅰ。</w:t>
            </w:r>
          </w:p>
          <w:p>
            <w:pPr>
              <w:ind w:firstLine="480"/>
              <w:rPr>
                <w:rFonts w:hint="default" w:ascii="Times New Roman" w:hAnsi="Times New Roman" w:eastAsia="宋体" w:cs="Times New Roman"/>
              </w:rPr>
            </w:pPr>
            <w:r>
              <w:rPr>
                <w:rFonts w:hint="default" w:ascii="Times New Roman" w:hAnsi="Times New Roman" w:eastAsia="宋体" w:cs="Times New Roman"/>
              </w:rPr>
              <w:t>根据《建设项目环境风险评价技术导则》（HJ 169-2018），评价工作等级划分见下表。</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表7-16 评价工作等级划分</w:t>
            </w:r>
          </w:p>
          <w:tbl>
            <w:tblPr>
              <w:tblStyle w:val="24"/>
              <w:tblW w:w="9430" w:type="dxa"/>
              <w:tblInd w:w="6"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49"/>
              <w:gridCol w:w="1800"/>
              <w:gridCol w:w="1797"/>
              <w:gridCol w:w="1798"/>
              <w:gridCol w:w="188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49" w:type="dxa"/>
                  <w:tcBorders>
                    <w:tl2br w:val="nil"/>
                    <w:tr2bl w:val="nil"/>
                  </w:tcBorders>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环境风险潜势</w:t>
                  </w:r>
                </w:p>
              </w:tc>
              <w:tc>
                <w:tcPr>
                  <w:tcW w:w="1800" w:type="dxa"/>
                  <w:tcBorders>
                    <w:tl2br w:val="nil"/>
                    <w:tr2bl w:val="nil"/>
                  </w:tcBorders>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Ⅳ、Ⅳ+</w:t>
                  </w:r>
                </w:p>
              </w:tc>
              <w:tc>
                <w:tcPr>
                  <w:tcW w:w="1797" w:type="dxa"/>
                  <w:tcBorders>
                    <w:tl2br w:val="nil"/>
                    <w:tr2bl w:val="nil"/>
                  </w:tcBorders>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Ⅲ</w:t>
                  </w:r>
                </w:p>
              </w:tc>
              <w:tc>
                <w:tcPr>
                  <w:tcW w:w="1798" w:type="dxa"/>
                  <w:tcBorders>
                    <w:tl2br w:val="nil"/>
                    <w:tr2bl w:val="nil"/>
                  </w:tcBorders>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Ⅱ</w:t>
                  </w:r>
                </w:p>
              </w:tc>
              <w:tc>
                <w:tcPr>
                  <w:tcW w:w="1886" w:type="dxa"/>
                  <w:tcBorders>
                    <w:tl2br w:val="nil"/>
                    <w:tr2bl w:val="nil"/>
                  </w:tcBorders>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49" w:type="dxa"/>
                  <w:tcBorders>
                    <w:tl2br w:val="nil"/>
                    <w:tr2bl w:val="nil"/>
                  </w:tcBorders>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评价工作等级</w:t>
                  </w:r>
                </w:p>
              </w:tc>
              <w:tc>
                <w:tcPr>
                  <w:tcW w:w="1800" w:type="dxa"/>
                  <w:tcBorders>
                    <w:tl2br w:val="nil"/>
                    <w:tr2bl w:val="nil"/>
                  </w:tcBorders>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一</w:t>
                  </w:r>
                </w:p>
              </w:tc>
              <w:tc>
                <w:tcPr>
                  <w:tcW w:w="1797" w:type="dxa"/>
                  <w:tcBorders>
                    <w:tl2br w:val="nil"/>
                    <w:tr2bl w:val="nil"/>
                  </w:tcBorders>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二</w:t>
                  </w:r>
                </w:p>
              </w:tc>
              <w:tc>
                <w:tcPr>
                  <w:tcW w:w="1798" w:type="dxa"/>
                  <w:tcBorders>
                    <w:tl2br w:val="nil"/>
                    <w:tr2bl w:val="nil"/>
                  </w:tcBorders>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三</w:t>
                  </w:r>
                </w:p>
              </w:tc>
              <w:tc>
                <w:tcPr>
                  <w:tcW w:w="1886" w:type="dxa"/>
                  <w:tcBorders>
                    <w:tl2br w:val="nil"/>
                    <w:tr2bl w:val="nil"/>
                  </w:tcBorders>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简单分析</w:t>
                  </w:r>
                </w:p>
              </w:tc>
            </w:tr>
          </w:tbl>
          <w:p>
            <w:pPr>
              <w:pStyle w:val="28"/>
              <w:jc w:val="left"/>
              <w:rPr>
                <w:rFonts w:hint="default" w:ascii="Times New Roman" w:hAnsi="Times New Roman" w:eastAsia="宋体" w:cs="Times New Roman"/>
                <w:color w:val="auto"/>
              </w:rPr>
            </w:pPr>
            <w:r>
              <w:rPr>
                <w:rFonts w:hint="default" w:ascii="Times New Roman" w:hAnsi="Times New Roman" w:eastAsia="宋体" w:cs="Times New Roman"/>
                <w:color w:val="auto"/>
              </w:rPr>
              <w:t>根据以上分析，本项目环境风险潜势Ⅰ，项目环境风险评价工作等级简单分析即可。</w:t>
            </w:r>
          </w:p>
          <w:p>
            <w:pPr>
              <w:ind w:firstLine="482"/>
              <w:rPr>
                <w:rFonts w:hint="default" w:ascii="Times New Roman" w:hAnsi="Times New Roman" w:eastAsia="宋体" w:cs="Times New Roman"/>
                <w:b/>
                <w:bCs/>
              </w:rPr>
            </w:pPr>
            <w:r>
              <w:rPr>
                <w:rFonts w:hint="default" w:ascii="Times New Roman" w:hAnsi="Times New Roman" w:eastAsia="宋体" w:cs="Times New Roman"/>
                <w:b/>
                <w:bCs/>
              </w:rPr>
              <w:t>（2）环境敏感目标调查</w:t>
            </w:r>
          </w:p>
          <w:p>
            <w:pPr>
              <w:ind w:firstLine="480"/>
              <w:rPr>
                <w:rFonts w:hint="default" w:ascii="Times New Roman" w:hAnsi="Times New Roman" w:eastAsia="宋体" w:cs="Times New Roman"/>
              </w:rPr>
            </w:pPr>
            <w:r>
              <w:rPr>
                <w:rFonts w:hint="default" w:ascii="Times New Roman" w:hAnsi="Times New Roman" w:eastAsia="宋体" w:cs="Times New Roman"/>
              </w:rPr>
              <w:t>本项目主要环境敏感目标分布情况详见表3-3。</w:t>
            </w:r>
          </w:p>
          <w:p>
            <w:pPr>
              <w:ind w:firstLine="482"/>
              <w:rPr>
                <w:rFonts w:hint="default" w:ascii="Times New Roman" w:hAnsi="Times New Roman" w:eastAsia="宋体" w:cs="Times New Roman"/>
                <w:b/>
                <w:bCs/>
              </w:rPr>
            </w:pPr>
            <w:r>
              <w:rPr>
                <w:rFonts w:hint="default" w:ascii="Times New Roman" w:hAnsi="Times New Roman" w:eastAsia="宋体" w:cs="Times New Roman"/>
                <w:b/>
                <w:bCs/>
              </w:rPr>
              <w:t>（3）风险识别</w:t>
            </w:r>
          </w:p>
          <w:p>
            <w:pPr>
              <w:ind w:firstLine="480"/>
              <w:rPr>
                <w:rFonts w:hint="default" w:ascii="Times New Roman" w:hAnsi="Times New Roman" w:eastAsia="宋体" w:cs="Times New Roman"/>
              </w:rPr>
            </w:pPr>
            <w:r>
              <w:rPr>
                <w:rFonts w:hint="default" w:ascii="Times New Roman" w:hAnsi="Times New Roman" w:eastAsia="宋体" w:cs="Times New Roman"/>
              </w:rPr>
              <w:t>建设项目环境风险识别见下表：</w:t>
            </w:r>
          </w:p>
          <w:p>
            <w:pPr>
              <w:ind w:firstLine="482"/>
              <w:jc w:val="center"/>
              <w:rPr>
                <w:rFonts w:hint="default" w:ascii="Times New Roman" w:hAnsi="Times New Roman" w:eastAsia="宋体" w:cs="Times New Roman"/>
                <w:b/>
                <w:bCs/>
              </w:rPr>
            </w:pPr>
          </w:p>
          <w:p>
            <w:pPr>
              <w:ind w:firstLine="482"/>
              <w:jc w:val="center"/>
              <w:rPr>
                <w:rFonts w:hint="default" w:ascii="Times New Roman" w:hAnsi="Times New Roman" w:eastAsia="宋体" w:cs="Times New Roman"/>
                <w:b/>
                <w:bCs/>
              </w:rPr>
            </w:pPr>
          </w:p>
          <w:p>
            <w:pPr>
              <w:ind w:firstLine="482"/>
              <w:jc w:val="center"/>
              <w:rPr>
                <w:rFonts w:hint="default" w:ascii="Times New Roman" w:hAnsi="Times New Roman" w:eastAsia="宋体" w:cs="Times New Roman"/>
                <w:b/>
                <w:bCs/>
              </w:rPr>
            </w:pPr>
          </w:p>
          <w:p>
            <w:pPr>
              <w:ind w:firstLine="482"/>
              <w:jc w:val="center"/>
              <w:rPr>
                <w:rFonts w:hint="default" w:ascii="Times New Roman" w:hAnsi="Times New Roman" w:eastAsia="宋体" w:cs="Times New Roman"/>
                <w:b/>
                <w:bCs/>
              </w:rPr>
            </w:pPr>
            <w:r>
              <w:rPr>
                <w:rFonts w:hint="default" w:ascii="Times New Roman" w:hAnsi="Times New Roman" w:eastAsia="宋体" w:cs="Times New Roman"/>
                <w:b/>
                <w:bCs/>
              </w:rPr>
              <w:t>表7-17 建设项目环境风险识别表</w:t>
            </w:r>
          </w:p>
          <w:tbl>
            <w:tblPr>
              <w:tblStyle w:val="24"/>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
              <w:gridCol w:w="1295"/>
              <w:gridCol w:w="1343"/>
              <w:gridCol w:w="1844"/>
              <w:gridCol w:w="1739"/>
              <w:gridCol w:w="2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1" w:type="pct"/>
                  <w:vAlign w:val="center"/>
                </w:tcPr>
                <w:p>
                  <w:pPr>
                    <w:pStyle w:val="45"/>
                    <w:rPr>
                      <w:rFonts w:hint="default" w:ascii="Times New Roman" w:hAnsi="Times New Roman" w:eastAsia="宋体" w:cs="Times New Roman"/>
                      <w:b/>
                      <w:bCs/>
                    </w:rPr>
                  </w:pPr>
                  <w:r>
                    <w:rPr>
                      <w:rFonts w:hint="default" w:ascii="Times New Roman" w:hAnsi="Times New Roman" w:eastAsia="宋体" w:cs="Times New Roman"/>
                      <w:b/>
                      <w:bCs/>
                    </w:rPr>
                    <w:t>序号</w:t>
                  </w:r>
                </w:p>
              </w:tc>
              <w:tc>
                <w:tcPr>
                  <w:tcW w:w="693" w:type="pct"/>
                  <w:vAlign w:val="center"/>
                </w:tcPr>
                <w:p>
                  <w:pPr>
                    <w:pStyle w:val="45"/>
                    <w:rPr>
                      <w:rFonts w:hint="default" w:ascii="Times New Roman" w:hAnsi="Times New Roman" w:eastAsia="宋体" w:cs="Times New Roman"/>
                      <w:b/>
                      <w:bCs/>
                    </w:rPr>
                  </w:pPr>
                  <w:r>
                    <w:rPr>
                      <w:rFonts w:hint="default" w:ascii="Times New Roman" w:hAnsi="Times New Roman" w:eastAsia="宋体" w:cs="Times New Roman"/>
                      <w:b/>
                      <w:bCs/>
                    </w:rPr>
                    <w:t>危险单位</w:t>
                  </w:r>
                </w:p>
              </w:tc>
              <w:tc>
                <w:tcPr>
                  <w:tcW w:w="718" w:type="pct"/>
                  <w:vAlign w:val="center"/>
                </w:tcPr>
                <w:p>
                  <w:pPr>
                    <w:pStyle w:val="45"/>
                    <w:rPr>
                      <w:rFonts w:hint="default" w:ascii="Times New Roman" w:hAnsi="Times New Roman" w:eastAsia="宋体" w:cs="Times New Roman"/>
                      <w:b/>
                      <w:bCs/>
                    </w:rPr>
                  </w:pPr>
                  <w:r>
                    <w:rPr>
                      <w:rFonts w:hint="default" w:ascii="Times New Roman" w:hAnsi="Times New Roman" w:eastAsia="宋体" w:cs="Times New Roman"/>
                      <w:b/>
                      <w:bCs/>
                    </w:rPr>
                    <w:t>风险源</w:t>
                  </w:r>
                </w:p>
              </w:tc>
              <w:tc>
                <w:tcPr>
                  <w:tcW w:w="986" w:type="pct"/>
                  <w:vAlign w:val="center"/>
                </w:tcPr>
                <w:p>
                  <w:pPr>
                    <w:pStyle w:val="45"/>
                    <w:rPr>
                      <w:rFonts w:hint="default" w:ascii="Times New Roman" w:hAnsi="Times New Roman" w:eastAsia="宋体" w:cs="Times New Roman"/>
                      <w:b/>
                      <w:bCs/>
                    </w:rPr>
                  </w:pPr>
                  <w:r>
                    <w:rPr>
                      <w:rFonts w:hint="default" w:ascii="Times New Roman" w:hAnsi="Times New Roman" w:eastAsia="宋体" w:cs="Times New Roman"/>
                      <w:b/>
                      <w:bCs/>
                    </w:rPr>
                    <w:t>主要危险物质</w:t>
                  </w:r>
                </w:p>
              </w:tc>
              <w:tc>
                <w:tcPr>
                  <w:tcW w:w="930" w:type="pct"/>
                  <w:vAlign w:val="center"/>
                </w:tcPr>
                <w:p>
                  <w:pPr>
                    <w:pStyle w:val="45"/>
                    <w:rPr>
                      <w:rFonts w:hint="default" w:ascii="Times New Roman" w:hAnsi="Times New Roman" w:eastAsia="宋体" w:cs="Times New Roman"/>
                      <w:b/>
                      <w:bCs/>
                    </w:rPr>
                  </w:pPr>
                  <w:r>
                    <w:rPr>
                      <w:rFonts w:hint="default" w:ascii="Times New Roman" w:hAnsi="Times New Roman" w:eastAsia="宋体" w:cs="Times New Roman"/>
                      <w:b/>
                      <w:bCs/>
                    </w:rPr>
                    <w:t>环境风险类型</w:t>
                  </w:r>
                </w:p>
              </w:tc>
              <w:tc>
                <w:tcPr>
                  <w:tcW w:w="1209" w:type="pct"/>
                  <w:vAlign w:val="center"/>
                </w:tcPr>
                <w:p>
                  <w:pPr>
                    <w:pStyle w:val="45"/>
                    <w:rPr>
                      <w:rFonts w:hint="default" w:ascii="Times New Roman" w:hAnsi="Times New Roman" w:eastAsia="宋体" w:cs="Times New Roman"/>
                      <w:b/>
                      <w:bCs/>
                    </w:rPr>
                  </w:pPr>
                  <w:r>
                    <w:rPr>
                      <w:rFonts w:hint="default" w:ascii="Times New Roman" w:hAnsi="Times New Roman" w:eastAsia="宋体" w:cs="Times New Roman"/>
                      <w:b/>
                      <w:bCs/>
                    </w:rPr>
                    <w:t>环境影响途径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1" w:type="pct"/>
                  <w:vAlign w:val="center"/>
                </w:tcPr>
                <w:p>
                  <w:pPr>
                    <w:pStyle w:val="45"/>
                    <w:rPr>
                      <w:rFonts w:hint="default" w:ascii="Times New Roman" w:hAnsi="Times New Roman" w:eastAsia="宋体" w:cs="Times New Roman"/>
                    </w:rPr>
                  </w:pPr>
                  <w:r>
                    <w:rPr>
                      <w:rFonts w:hint="default" w:ascii="Times New Roman" w:hAnsi="Times New Roman" w:eastAsia="宋体" w:cs="Times New Roman"/>
                    </w:rPr>
                    <w:t>1</w:t>
                  </w:r>
                </w:p>
              </w:tc>
              <w:tc>
                <w:tcPr>
                  <w:tcW w:w="693" w:type="pct"/>
                  <w:vMerge w:val="restart"/>
                  <w:vAlign w:val="center"/>
                </w:tcPr>
                <w:p>
                  <w:pPr>
                    <w:pStyle w:val="45"/>
                    <w:rPr>
                      <w:rFonts w:hint="default" w:ascii="Times New Roman" w:hAnsi="Times New Roman" w:eastAsia="宋体" w:cs="Times New Roman"/>
                    </w:rPr>
                  </w:pPr>
                  <w:r>
                    <w:rPr>
                      <w:rFonts w:hint="default" w:ascii="Times New Roman" w:hAnsi="Times New Roman" w:eastAsia="宋体" w:cs="Times New Roman"/>
                    </w:rPr>
                    <w:t>生产车间</w:t>
                  </w:r>
                </w:p>
              </w:tc>
              <w:tc>
                <w:tcPr>
                  <w:tcW w:w="718" w:type="pct"/>
                  <w:vMerge w:val="restart"/>
                  <w:vAlign w:val="center"/>
                </w:tcPr>
                <w:p>
                  <w:pPr>
                    <w:pStyle w:val="45"/>
                    <w:rPr>
                      <w:rFonts w:hint="default" w:ascii="Times New Roman" w:hAnsi="Times New Roman" w:eastAsia="宋体" w:cs="Times New Roman"/>
                    </w:rPr>
                  </w:pPr>
                  <w:r>
                    <w:rPr>
                      <w:rFonts w:hint="default" w:ascii="Times New Roman" w:hAnsi="Times New Roman" w:eastAsia="宋体" w:cs="Times New Roman"/>
                    </w:rPr>
                    <w:t>生产过程</w:t>
                  </w:r>
                </w:p>
              </w:tc>
              <w:tc>
                <w:tcPr>
                  <w:tcW w:w="986" w:type="pct"/>
                  <w:vAlign w:val="center"/>
                </w:tcPr>
                <w:p>
                  <w:pPr>
                    <w:pStyle w:val="45"/>
                    <w:rPr>
                      <w:rFonts w:hint="default" w:ascii="Times New Roman" w:hAnsi="Times New Roman" w:eastAsia="宋体" w:cs="Times New Roman"/>
                    </w:rPr>
                  </w:pPr>
                  <w:r>
                    <w:rPr>
                      <w:rFonts w:hint="default" w:ascii="Times New Roman" w:hAnsi="Times New Roman" w:eastAsia="宋体" w:cs="Times New Roman"/>
                    </w:rPr>
                    <w:t>水性油墨</w:t>
                  </w:r>
                </w:p>
              </w:tc>
              <w:tc>
                <w:tcPr>
                  <w:tcW w:w="930" w:type="pct"/>
                  <w:vMerge w:val="restart"/>
                  <w:vAlign w:val="center"/>
                </w:tcPr>
                <w:p>
                  <w:pPr>
                    <w:pStyle w:val="45"/>
                    <w:rPr>
                      <w:rFonts w:hint="default" w:ascii="Times New Roman" w:hAnsi="Times New Roman" w:eastAsia="宋体" w:cs="Times New Roman"/>
                    </w:rPr>
                  </w:pPr>
                  <w:r>
                    <w:rPr>
                      <w:rFonts w:hint="default" w:ascii="Times New Roman" w:hAnsi="Times New Roman" w:eastAsia="宋体" w:cs="Times New Roman"/>
                    </w:rPr>
                    <w:t>泄露、火灾</w:t>
                  </w:r>
                </w:p>
              </w:tc>
              <w:tc>
                <w:tcPr>
                  <w:tcW w:w="1209" w:type="pct"/>
                  <w:vMerge w:val="restart"/>
                  <w:vAlign w:val="center"/>
                </w:tcPr>
                <w:p>
                  <w:pPr>
                    <w:pStyle w:val="45"/>
                    <w:rPr>
                      <w:rFonts w:hint="default" w:ascii="Times New Roman" w:hAnsi="Times New Roman" w:eastAsia="宋体" w:cs="Times New Roman"/>
                    </w:rPr>
                  </w:pPr>
                  <w:r>
                    <w:rPr>
                      <w:rFonts w:hint="default" w:ascii="Times New Roman" w:hAnsi="Times New Roman" w:eastAsia="宋体" w:cs="Times New Roman"/>
                    </w:rPr>
                    <w:t>大气、地表水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1" w:type="pct"/>
                  <w:vAlign w:val="center"/>
                </w:tcPr>
                <w:p>
                  <w:pPr>
                    <w:pStyle w:val="45"/>
                    <w:rPr>
                      <w:rFonts w:hint="default" w:ascii="Times New Roman" w:hAnsi="Times New Roman" w:eastAsia="宋体" w:cs="Times New Roman"/>
                    </w:rPr>
                  </w:pPr>
                  <w:r>
                    <w:rPr>
                      <w:rFonts w:hint="default" w:ascii="Times New Roman" w:hAnsi="Times New Roman" w:eastAsia="宋体" w:cs="Times New Roman"/>
                    </w:rPr>
                    <w:t>2</w:t>
                  </w:r>
                </w:p>
              </w:tc>
              <w:tc>
                <w:tcPr>
                  <w:tcW w:w="693" w:type="pct"/>
                  <w:vMerge w:val="continue"/>
                  <w:vAlign w:val="center"/>
                </w:tcPr>
                <w:p>
                  <w:pPr>
                    <w:pStyle w:val="45"/>
                    <w:rPr>
                      <w:rFonts w:hint="default" w:ascii="Times New Roman" w:hAnsi="Times New Roman" w:eastAsia="宋体" w:cs="Times New Roman"/>
                    </w:rPr>
                  </w:pPr>
                </w:p>
              </w:tc>
              <w:tc>
                <w:tcPr>
                  <w:tcW w:w="718" w:type="pct"/>
                  <w:vMerge w:val="continue"/>
                  <w:vAlign w:val="center"/>
                </w:tcPr>
                <w:p>
                  <w:pPr>
                    <w:pStyle w:val="45"/>
                    <w:rPr>
                      <w:rFonts w:hint="default" w:ascii="Times New Roman" w:hAnsi="Times New Roman" w:eastAsia="宋体" w:cs="Times New Roman"/>
                    </w:rPr>
                  </w:pPr>
                </w:p>
              </w:tc>
              <w:tc>
                <w:tcPr>
                  <w:tcW w:w="986" w:type="pct"/>
                  <w:vAlign w:val="center"/>
                </w:tcPr>
                <w:p>
                  <w:pPr>
                    <w:pStyle w:val="45"/>
                    <w:rPr>
                      <w:rFonts w:hint="default" w:ascii="Times New Roman" w:hAnsi="Times New Roman" w:eastAsia="宋体" w:cs="Times New Roman"/>
                    </w:rPr>
                  </w:pPr>
                  <w:r>
                    <w:rPr>
                      <w:rFonts w:hint="default" w:ascii="Times New Roman" w:hAnsi="Times New Roman" w:eastAsia="宋体" w:cs="Times New Roman"/>
                    </w:rPr>
                    <w:t>免酒精润版液</w:t>
                  </w:r>
                </w:p>
              </w:tc>
              <w:tc>
                <w:tcPr>
                  <w:tcW w:w="930" w:type="pct"/>
                  <w:vMerge w:val="continue"/>
                  <w:vAlign w:val="center"/>
                </w:tcPr>
                <w:p>
                  <w:pPr>
                    <w:pStyle w:val="45"/>
                    <w:rPr>
                      <w:rFonts w:hint="default" w:ascii="Times New Roman" w:hAnsi="Times New Roman" w:eastAsia="宋体" w:cs="Times New Roman"/>
                    </w:rPr>
                  </w:pPr>
                </w:p>
              </w:tc>
              <w:tc>
                <w:tcPr>
                  <w:tcW w:w="1209" w:type="pct"/>
                  <w:vMerge w:val="continue"/>
                  <w:vAlign w:val="center"/>
                </w:tcPr>
                <w:p>
                  <w:pPr>
                    <w:pStyle w:val="45"/>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61" w:type="pct"/>
                  <w:vAlign w:val="center"/>
                </w:tcPr>
                <w:p>
                  <w:pPr>
                    <w:pStyle w:val="45"/>
                    <w:rPr>
                      <w:rFonts w:hint="default" w:ascii="Times New Roman" w:hAnsi="Times New Roman" w:eastAsia="宋体" w:cs="Times New Roman"/>
                    </w:rPr>
                  </w:pPr>
                  <w:r>
                    <w:rPr>
                      <w:rFonts w:hint="default" w:ascii="Times New Roman" w:hAnsi="Times New Roman" w:eastAsia="宋体" w:cs="Times New Roman"/>
                    </w:rPr>
                    <w:t>3</w:t>
                  </w:r>
                </w:p>
              </w:tc>
              <w:tc>
                <w:tcPr>
                  <w:tcW w:w="693" w:type="pct"/>
                  <w:vMerge w:val="continue"/>
                  <w:vAlign w:val="center"/>
                </w:tcPr>
                <w:p>
                  <w:pPr>
                    <w:pStyle w:val="45"/>
                    <w:rPr>
                      <w:rFonts w:hint="default" w:ascii="Times New Roman" w:hAnsi="Times New Roman" w:eastAsia="宋体" w:cs="Times New Roman"/>
                    </w:rPr>
                  </w:pPr>
                </w:p>
              </w:tc>
              <w:tc>
                <w:tcPr>
                  <w:tcW w:w="718" w:type="pct"/>
                  <w:vMerge w:val="continue"/>
                  <w:vAlign w:val="center"/>
                </w:tcPr>
                <w:p>
                  <w:pPr>
                    <w:pStyle w:val="45"/>
                    <w:rPr>
                      <w:rFonts w:hint="default" w:ascii="Times New Roman" w:hAnsi="Times New Roman" w:eastAsia="宋体" w:cs="Times New Roman"/>
                    </w:rPr>
                  </w:pPr>
                </w:p>
              </w:tc>
              <w:tc>
                <w:tcPr>
                  <w:tcW w:w="986" w:type="pct"/>
                  <w:vAlign w:val="center"/>
                </w:tcPr>
                <w:p>
                  <w:pPr>
                    <w:pStyle w:val="45"/>
                    <w:rPr>
                      <w:rFonts w:hint="default" w:ascii="Times New Roman" w:hAnsi="Times New Roman" w:eastAsia="宋体" w:cs="Times New Roman"/>
                    </w:rPr>
                  </w:pPr>
                  <w:r>
                    <w:rPr>
                      <w:rFonts w:hint="default" w:ascii="Times New Roman" w:hAnsi="Times New Roman" w:eastAsia="宋体" w:cs="Times New Roman"/>
                    </w:rPr>
                    <w:t>清洗剂</w:t>
                  </w:r>
                </w:p>
              </w:tc>
              <w:tc>
                <w:tcPr>
                  <w:tcW w:w="930" w:type="pct"/>
                  <w:vMerge w:val="continue"/>
                  <w:vAlign w:val="center"/>
                </w:tcPr>
                <w:p>
                  <w:pPr>
                    <w:pStyle w:val="45"/>
                    <w:rPr>
                      <w:rFonts w:hint="default" w:ascii="Times New Roman" w:hAnsi="Times New Roman" w:eastAsia="宋体" w:cs="Times New Roman"/>
                    </w:rPr>
                  </w:pPr>
                </w:p>
              </w:tc>
              <w:tc>
                <w:tcPr>
                  <w:tcW w:w="1209" w:type="pct"/>
                  <w:vMerge w:val="continue"/>
                  <w:vAlign w:val="center"/>
                </w:tcPr>
                <w:p>
                  <w:pPr>
                    <w:pStyle w:val="45"/>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1" w:type="pct"/>
                  <w:vAlign w:val="center"/>
                </w:tcPr>
                <w:p>
                  <w:pPr>
                    <w:pStyle w:val="45"/>
                    <w:rPr>
                      <w:rFonts w:hint="default" w:ascii="Times New Roman" w:hAnsi="Times New Roman" w:eastAsia="宋体" w:cs="Times New Roman"/>
                    </w:rPr>
                  </w:pPr>
                  <w:r>
                    <w:rPr>
                      <w:rFonts w:hint="default" w:ascii="Times New Roman" w:hAnsi="Times New Roman" w:eastAsia="宋体" w:cs="Times New Roman"/>
                    </w:rPr>
                    <w:t>4</w:t>
                  </w:r>
                </w:p>
              </w:tc>
              <w:tc>
                <w:tcPr>
                  <w:tcW w:w="693" w:type="pct"/>
                  <w:vMerge w:val="restart"/>
                  <w:vAlign w:val="center"/>
                </w:tcPr>
                <w:p>
                  <w:pPr>
                    <w:pStyle w:val="45"/>
                    <w:rPr>
                      <w:rFonts w:hint="default" w:ascii="Times New Roman" w:hAnsi="Times New Roman" w:eastAsia="宋体" w:cs="Times New Roman"/>
                    </w:rPr>
                  </w:pPr>
                  <w:r>
                    <w:rPr>
                      <w:rFonts w:hint="default" w:ascii="Times New Roman" w:hAnsi="Times New Roman" w:eastAsia="宋体" w:cs="Times New Roman"/>
                    </w:rPr>
                    <w:t>危废暂存区</w:t>
                  </w:r>
                </w:p>
              </w:tc>
              <w:tc>
                <w:tcPr>
                  <w:tcW w:w="718" w:type="pct"/>
                  <w:vMerge w:val="restart"/>
                  <w:vAlign w:val="center"/>
                </w:tcPr>
                <w:p>
                  <w:pPr>
                    <w:pStyle w:val="45"/>
                    <w:rPr>
                      <w:rFonts w:hint="default" w:ascii="Times New Roman" w:hAnsi="Times New Roman" w:eastAsia="宋体" w:cs="Times New Roman"/>
                    </w:rPr>
                  </w:pPr>
                  <w:r>
                    <w:rPr>
                      <w:rFonts w:hint="default" w:ascii="Times New Roman" w:hAnsi="Times New Roman" w:eastAsia="宋体" w:cs="Times New Roman"/>
                    </w:rPr>
                    <w:t>暂存过程</w:t>
                  </w:r>
                </w:p>
              </w:tc>
              <w:tc>
                <w:tcPr>
                  <w:tcW w:w="986" w:type="pct"/>
                  <w:vAlign w:val="center"/>
                </w:tcPr>
                <w:p>
                  <w:pPr>
                    <w:pStyle w:val="45"/>
                    <w:rPr>
                      <w:rFonts w:hint="default" w:ascii="Times New Roman" w:hAnsi="Times New Roman" w:eastAsia="宋体" w:cs="Times New Roman"/>
                    </w:rPr>
                  </w:pPr>
                  <w:r>
                    <w:rPr>
                      <w:rFonts w:hint="default" w:ascii="Times New Roman" w:hAnsi="Times New Roman" w:eastAsia="宋体" w:cs="Times New Roman"/>
                    </w:rPr>
                    <w:t>废活性炭</w:t>
                  </w:r>
                </w:p>
              </w:tc>
              <w:tc>
                <w:tcPr>
                  <w:tcW w:w="930" w:type="pct"/>
                  <w:vMerge w:val="restart"/>
                  <w:vAlign w:val="center"/>
                </w:tcPr>
                <w:p>
                  <w:pPr>
                    <w:pStyle w:val="45"/>
                    <w:rPr>
                      <w:rFonts w:hint="default" w:ascii="Times New Roman" w:hAnsi="Times New Roman" w:eastAsia="宋体" w:cs="Times New Roman"/>
                    </w:rPr>
                  </w:pPr>
                  <w:r>
                    <w:rPr>
                      <w:rFonts w:hint="default" w:ascii="Times New Roman" w:hAnsi="Times New Roman" w:eastAsia="宋体" w:cs="Times New Roman"/>
                    </w:rPr>
                    <w:t>火灾</w:t>
                  </w:r>
                </w:p>
              </w:tc>
              <w:tc>
                <w:tcPr>
                  <w:tcW w:w="1209" w:type="pct"/>
                  <w:vMerge w:val="restart"/>
                  <w:vAlign w:val="center"/>
                </w:tcPr>
                <w:p>
                  <w:pPr>
                    <w:pStyle w:val="45"/>
                    <w:rPr>
                      <w:rFonts w:hint="default" w:ascii="Times New Roman" w:hAnsi="Times New Roman" w:eastAsia="宋体" w:cs="Times New Roman"/>
                    </w:rPr>
                  </w:pPr>
                  <w:r>
                    <w:rPr>
                      <w:rFonts w:hint="default" w:ascii="Times New Roman" w:hAnsi="Times New Roman" w:eastAsia="宋体" w:cs="Times New Roman"/>
                    </w:rPr>
                    <w:t>大气、地表水、地下水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1" w:type="pct"/>
                  <w:vAlign w:val="center"/>
                </w:tcPr>
                <w:p>
                  <w:pPr>
                    <w:pStyle w:val="45"/>
                    <w:rPr>
                      <w:rFonts w:hint="default" w:ascii="Times New Roman" w:hAnsi="Times New Roman" w:eastAsia="宋体" w:cs="Times New Roman"/>
                    </w:rPr>
                  </w:pPr>
                  <w:r>
                    <w:rPr>
                      <w:rFonts w:hint="default" w:ascii="Times New Roman" w:hAnsi="Times New Roman" w:eastAsia="宋体" w:cs="Times New Roman"/>
                    </w:rPr>
                    <w:t>5</w:t>
                  </w:r>
                </w:p>
              </w:tc>
              <w:tc>
                <w:tcPr>
                  <w:tcW w:w="693" w:type="pct"/>
                  <w:vMerge w:val="continue"/>
                  <w:vAlign w:val="center"/>
                </w:tcPr>
                <w:p>
                  <w:pPr>
                    <w:pStyle w:val="45"/>
                    <w:rPr>
                      <w:rFonts w:hint="default" w:ascii="Times New Roman" w:hAnsi="Times New Roman" w:eastAsia="宋体" w:cs="Times New Roman"/>
                    </w:rPr>
                  </w:pPr>
                </w:p>
              </w:tc>
              <w:tc>
                <w:tcPr>
                  <w:tcW w:w="718" w:type="pct"/>
                  <w:vMerge w:val="continue"/>
                  <w:vAlign w:val="center"/>
                </w:tcPr>
                <w:p>
                  <w:pPr>
                    <w:pStyle w:val="45"/>
                    <w:rPr>
                      <w:rFonts w:hint="default" w:ascii="Times New Roman" w:hAnsi="Times New Roman" w:eastAsia="宋体" w:cs="Times New Roman"/>
                    </w:rPr>
                  </w:pPr>
                </w:p>
              </w:tc>
              <w:tc>
                <w:tcPr>
                  <w:tcW w:w="986" w:type="pct"/>
                  <w:vAlign w:val="center"/>
                </w:tcPr>
                <w:p>
                  <w:pPr>
                    <w:pStyle w:val="45"/>
                    <w:rPr>
                      <w:rFonts w:hint="default" w:ascii="Times New Roman" w:hAnsi="Times New Roman" w:eastAsia="宋体" w:cs="Times New Roman"/>
                    </w:rPr>
                  </w:pPr>
                  <w:r>
                    <w:rPr>
                      <w:rFonts w:hint="default" w:ascii="Times New Roman" w:hAnsi="Times New Roman" w:eastAsia="宋体" w:cs="Times New Roman"/>
                    </w:rPr>
                    <w:t>废抹布</w:t>
                  </w:r>
                </w:p>
              </w:tc>
              <w:tc>
                <w:tcPr>
                  <w:tcW w:w="930" w:type="pct"/>
                  <w:vMerge w:val="continue"/>
                  <w:vAlign w:val="center"/>
                </w:tcPr>
                <w:p>
                  <w:pPr>
                    <w:pStyle w:val="45"/>
                    <w:rPr>
                      <w:rFonts w:hint="default" w:ascii="Times New Roman" w:hAnsi="Times New Roman" w:eastAsia="宋体" w:cs="Times New Roman"/>
                    </w:rPr>
                  </w:pPr>
                </w:p>
              </w:tc>
              <w:tc>
                <w:tcPr>
                  <w:tcW w:w="1209" w:type="pct"/>
                  <w:vMerge w:val="continue"/>
                  <w:vAlign w:val="center"/>
                </w:tcPr>
                <w:p>
                  <w:pPr>
                    <w:pStyle w:val="45"/>
                    <w:rPr>
                      <w:rFonts w:hint="default" w:ascii="Times New Roman" w:hAnsi="Times New Roman" w:eastAsia="宋体" w:cs="Times New Roman"/>
                    </w:rPr>
                  </w:pPr>
                </w:p>
              </w:tc>
            </w:tr>
          </w:tbl>
          <w:p>
            <w:pPr>
              <w:ind w:firstLine="482"/>
              <w:rPr>
                <w:rFonts w:hint="default" w:ascii="Times New Roman" w:hAnsi="Times New Roman" w:eastAsia="宋体" w:cs="Times New Roman"/>
                <w:b/>
                <w:bCs/>
              </w:rPr>
            </w:pPr>
            <w:r>
              <w:rPr>
                <w:rFonts w:hint="default" w:ascii="Times New Roman" w:hAnsi="Times New Roman" w:eastAsia="宋体" w:cs="Times New Roman"/>
                <w:b/>
                <w:bCs/>
              </w:rPr>
              <w:t>（4）风险分析</w:t>
            </w:r>
          </w:p>
          <w:p>
            <w:pPr>
              <w:ind w:firstLine="480"/>
              <w:rPr>
                <w:rFonts w:hint="default" w:ascii="Times New Roman" w:hAnsi="Times New Roman" w:eastAsia="宋体" w:cs="Times New Roman"/>
              </w:rPr>
            </w:pPr>
            <w:r>
              <w:rPr>
                <w:rFonts w:hint="default" w:ascii="Times New Roman" w:hAnsi="Times New Roman" w:eastAsia="宋体" w:cs="Times New Roman"/>
              </w:rPr>
              <w:t>企业环境风险潜势为Ⅰ，仅需在描述危险物质、环境影响途径、环境危害后果、风险防范措施等方面给出定性的说明，分析内容见下表。</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表7-18 建设项目环境风险简单分析内容表</w:t>
            </w:r>
          </w:p>
          <w:tbl>
            <w:tblPr>
              <w:tblStyle w:val="24"/>
              <w:tblW w:w="907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79"/>
              <w:gridCol w:w="1775"/>
              <w:gridCol w:w="1780"/>
              <w:gridCol w:w="442"/>
              <w:gridCol w:w="863"/>
              <w:gridCol w:w="610"/>
              <w:gridCol w:w="21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9"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建设项目名称</w:t>
                  </w:r>
                </w:p>
              </w:tc>
              <w:tc>
                <w:tcPr>
                  <w:tcW w:w="7592" w:type="dxa"/>
                  <w:gridSpan w:val="6"/>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开平市七彩印刷厂年产不干胶标签5万m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rPr>
                    <w:t>、说明书10万册、表格20万册建设项目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9"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建设地点</w:t>
                  </w:r>
                </w:p>
              </w:tc>
              <w:tc>
                <w:tcPr>
                  <w:tcW w:w="1775"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（广东）省</w:t>
                  </w:r>
                </w:p>
              </w:tc>
              <w:tc>
                <w:tcPr>
                  <w:tcW w:w="1780"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（开平）市</w:t>
                  </w:r>
                </w:p>
              </w:tc>
              <w:tc>
                <w:tcPr>
                  <w:tcW w:w="1305" w:type="dxa"/>
                  <w:gridSpan w:val="2"/>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（长沙）区</w:t>
                  </w:r>
                </w:p>
              </w:tc>
              <w:tc>
                <w:tcPr>
                  <w:tcW w:w="2732" w:type="dxa"/>
                  <w:gridSpan w:val="2"/>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八一村委会南溪开发区A区5号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9"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地理坐标</w:t>
                  </w:r>
                </w:p>
              </w:tc>
              <w:tc>
                <w:tcPr>
                  <w:tcW w:w="1775"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经度</w:t>
                  </w:r>
                </w:p>
              </w:tc>
              <w:tc>
                <w:tcPr>
                  <w:tcW w:w="2222" w:type="dxa"/>
                  <w:gridSpan w:val="2"/>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E112°39'05.45"</w:t>
                  </w:r>
                </w:p>
              </w:tc>
              <w:tc>
                <w:tcPr>
                  <w:tcW w:w="1473" w:type="dxa"/>
                  <w:gridSpan w:val="2"/>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纬度</w:t>
                  </w:r>
                </w:p>
              </w:tc>
              <w:tc>
                <w:tcPr>
                  <w:tcW w:w="2122"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N22°21'43.39"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479"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主要危险物质及分布</w:t>
                  </w:r>
                </w:p>
              </w:tc>
              <w:tc>
                <w:tcPr>
                  <w:tcW w:w="7592" w:type="dxa"/>
                  <w:gridSpan w:val="6"/>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危险物质：免酒精润版液、水性油墨、清洗剂、废抹布、废活性炭</w:t>
                  </w:r>
                </w:p>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危险分布：生产车间、危废暂存区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9"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环境影响途径及危害后果（大气、地表水、地下水等）</w:t>
                  </w:r>
                </w:p>
              </w:tc>
              <w:tc>
                <w:tcPr>
                  <w:tcW w:w="7592" w:type="dxa"/>
                  <w:gridSpan w:val="6"/>
                  <w:tcBorders>
                    <w:tl2br w:val="nil"/>
                    <w:tr2bl w:val="nil"/>
                  </w:tcBorders>
                  <w:vAlign w:val="center"/>
                </w:tcPr>
                <w:p>
                  <w:pPr>
                    <w:pStyle w:val="46"/>
                    <w:ind w:firstLine="420" w:firstLineChars="200"/>
                    <w:jc w:val="left"/>
                    <w:rPr>
                      <w:rFonts w:hint="default" w:ascii="Times New Roman" w:hAnsi="Times New Roman" w:eastAsia="宋体" w:cs="Times New Roman"/>
                      <w:color w:val="auto"/>
                    </w:rPr>
                  </w:pPr>
                  <w:r>
                    <w:rPr>
                      <w:rFonts w:hint="default" w:ascii="Times New Roman" w:hAnsi="Times New Roman" w:eastAsia="宋体" w:cs="Times New Roman"/>
                      <w:color w:val="auto"/>
                    </w:rPr>
                    <w:t>环境影响途径：火灾事故、泄露事故</w:t>
                  </w:r>
                </w:p>
                <w:p>
                  <w:pPr>
                    <w:pStyle w:val="46"/>
                    <w:ind w:firstLine="420" w:firstLineChars="200"/>
                    <w:jc w:val="left"/>
                    <w:rPr>
                      <w:rFonts w:hint="default" w:ascii="Times New Roman" w:hAnsi="Times New Roman" w:eastAsia="宋体" w:cs="Times New Roman"/>
                      <w:color w:val="auto"/>
                    </w:rPr>
                  </w:pPr>
                  <w:r>
                    <w:rPr>
                      <w:rFonts w:hint="default" w:ascii="Times New Roman" w:hAnsi="Times New Roman" w:eastAsia="宋体" w:cs="Times New Roman"/>
                      <w:color w:val="auto"/>
                    </w:rPr>
                    <w:t>危害后果：污染周边大气、地表水体以及地下水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9"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风险防范措施要求</w:t>
                  </w:r>
                </w:p>
              </w:tc>
              <w:tc>
                <w:tcPr>
                  <w:tcW w:w="7592" w:type="dxa"/>
                  <w:gridSpan w:val="6"/>
                  <w:tcBorders>
                    <w:tl2br w:val="nil"/>
                    <w:tr2bl w:val="nil"/>
                  </w:tcBorders>
                  <w:vAlign w:val="center"/>
                </w:tcPr>
                <w:p>
                  <w:pPr>
                    <w:pStyle w:val="54"/>
                    <w:spacing w:line="240" w:lineRule="auto"/>
                    <w:ind w:firstLine="0" w:firstLineChars="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A、泄漏风险防范措施</w:t>
                  </w:r>
                </w:p>
                <w:p>
                  <w:pPr>
                    <w:pStyle w:val="54"/>
                    <w:spacing w:line="240" w:lineRule="auto"/>
                    <w:ind w:firstLine="42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旦发生原料泄漏事故，立即采用干沙对泄漏化学品进行吸附，避免泄漏化学品进一步溢流和挥发，及时控制泄漏事故（一般10min左右可处置完毕），吸附后的干沙装入铁桶并密封，再委托具有危险废弃物处置单位处置。本项目液态原料应设置专用场地进行保管，原辅料进出厂必须进行核查登记，并定期检查库存；仓库内要设置“危险”、“禁止烟火”等警世标志，储存在阴凉、通风的仓库中，远离热源、火种，同时要配备相应品种和数量消防器材。</w:t>
                  </w:r>
                </w:p>
                <w:p>
                  <w:pPr>
                    <w:pStyle w:val="54"/>
                    <w:spacing w:line="240" w:lineRule="auto"/>
                    <w:ind w:firstLine="0" w:firstLineChars="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B、危险废物储存安全防范措施</w:t>
                  </w:r>
                </w:p>
                <w:p>
                  <w:pPr>
                    <w:pStyle w:val="54"/>
                    <w:spacing w:line="240" w:lineRule="auto"/>
                    <w:ind w:firstLine="42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本项目生产车间设置危废暂存区，危险废物储存过程应采取相应的污染防范及事故应急措施。这些措施主要包括：</w:t>
                  </w:r>
                </w:p>
                <w:p>
                  <w:pPr>
                    <w:pStyle w:val="54"/>
                    <w:spacing w:line="240" w:lineRule="auto"/>
                    <w:ind w:firstLine="42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①危险废物应采用密闭储存，固体危险废物（如饱和活性炭等）要用密封袋储存，容器容积应大于转移期内危废量；</w:t>
                  </w:r>
                </w:p>
                <w:p>
                  <w:pPr>
                    <w:pStyle w:val="54"/>
                    <w:spacing w:line="240" w:lineRule="auto"/>
                    <w:ind w:firstLine="420"/>
                    <w:rPr>
                      <w:rFonts w:hint="default" w:ascii="Times New Roman" w:hAnsi="Times New Roman" w:eastAsia="宋体" w:cs="Times New Roman"/>
                      <w:b/>
                      <w:bCs/>
                      <w:sz w:val="21"/>
                      <w:szCs w:val="21"/>
                    </w:rPr>
                  </w:pPr>
                  <w:r>
                    <w:rPr>
                      <w:rFonts w:hint="default" w:ascii="Times New Roman" w:hAnsi="Times New Roman" w:eastAsia="宋体" w:cs="Times New Roman"/>
                      <w:sz w:val="21"/>
                      <w:szCs w:val="21"/>
                    </w:rPr>
                    <w:t>②危废暂存区地面应做好防腐、防渗、防漏措施；</w:t>
                  </w:r>
                </w:p>
                <w:p>
                  <w:pPr>
                    <w:pStyle w:val="54"/>
                    <w:spacing w:line="240" w:lineRule="auto"/>
                    <w:ind w:firstLine="0" w:firstLineChars="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C、火灾事故风险防范措施</w:t>
                  </w:r>
                </w:p>
                <w:p>
                  <w:pPr>
                    <w:pStyle w:val="54"/>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rPr>
                    <w:t xml:space="preserve">   </w:t>
                  </w:r>
                  <w:r>
                    <w:rPr>
                      <w:rFonts w:hint="default" w:ascii="Times New Roman" w:hAnsi="Times New Roman" w:eastAsia="宋体" w:cs="Times New Roman"/>
                      <w:sz w:val="21"/>
                      <w:szCs w:val="21"/>
                    </w:rPr>
                    <w:t>①在车间和原料间的明显位置张贴禁用明火的告示，原料间和车间内应设置移动式泡沫灭火器，原料间外设置消防沙箱；</w:t>
                  </w:r>
                </w:p>
                <w:p>
                  <w:pPr>
                    <w:pStyle w:val="54"/>
                    <w:spacing w:line="240" w:lineRule="auto"/>
                    <w:ind w:firstLine="42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②储存辅助材料的桶上应注明物质的名称、危险特性、安全使用说明以及事故应对措施等内容；</w:t>
                  </w:r>
                </w:p>
                <w:p>
                  <w:pPr>
                    <w:pStyle w:val="54"/>
                    <w:spacing w:line="240" w:lineRule="auto"/>
                    <w:ind w:firstLine="42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③搬运和装卸时，应轻拿轻放，防止撞击；</w:t>
                  </w:r>
                </w:p>
                <w:p>
                  <w:pPr>
                    <w:pStyle w:val="46"/>
                    <w:ind w:firstLine="420" w:firstLineChars="200"/>
                    <w:jc w:val="left"/>
                    <w:rPr>
                      <w:rFonts w:hint="default" w:ascii="Times New Roman" w:hAnsi="Times New Roman" w:eastAsia="宋体" w:cs="Times New Roman"/>
                      <w:color w:val="auto"/>
                    </w:rPr>
                  </w:pPr>
                  <w:r>
                    <w:rPr>
                      <w:rFonts w:hint="default" w:ascii="Times New Roman" w:hAnsi="Times New Roman" w:eastAsia="宋体" w:cs="Times New Roman"/>
                      <w:color w:val="auto"/>
                    </w:rPr>
                    <w:t>④仓库应选择阴凉通风无阳光直射的位置，仓库内应设置空调设备，防止仓库温度过高；</w:t>
                  </w:r>
                </w:p>
              </w:tc>
            </w:tr>
          </w:tbl>
          <w:p>
            <w:pPr>
              <w:ind w:firstLine="480"/>
              <w:rPr>
                <w:rFonts w:hint="default" w:ascii="Times New Roman" w:hAnsi="Times New Roman" w:eastAsia="宋体" w:cs="Times New Roman"/>
              </w:rPr>
            </w:pPr>
            <w:r>
              <w:rPr>
                <w:rFonts w:hint="default" w:ascii="Times New Roman" w:hAnsi="Times New Roman" w:eastAsia="宋体" w:cs="Times New Roman"/>
              </w:rPr>
              <w:t>综上所述，应严格按照消防及安监部门的要求，做好防范措施，设立健全的公司突发环境事故应急组织机构，以便采取更有效的措施来监测灾情及防止污染事故的进一步扩散。</w:t>
            </w:r>
          </w:p>
          <w:p>
            <w:pPr>
              <w:ind w:firstLine="480"/>
              <w:rPr>
                <w:rFonts w:hint="default" w:ascii="Times New Roman" w:hAnsi="Times New Roman" w:eastAsia="宋体" w:cs="Times New Roman"/>
              </w:rPr>
            </w:pPr>
            <w:r>
              <w:rPr>
                <w:rFonts w:hint="default" w:ascii="Times New Roman" w:hAnsi="Times New Roman" w:eastAsia="宋体" w:cs="Times New Roman"/>
              </w:rPr>
              <w:t>本项目不存在重大危险源，最大可信事故为原料引发火灾及泄漏事故，只要项目严格落实上述措施，做好预防和应急措施，并加强防范意识，则项目运营期间发生环境风险的概率较小。建设单位对事故的预先判断准确及时，并采取正确的方法应对，则风险事故对周围大气环境的影响将大大降低。因此，项目的建设，从风险评价的角度分析是可行的。</w:t>
            </w:r>
          </w:p>
          <w:p>
            <w:pPr>
              <w:numPr>
                <w:ilvl w:val="0"/>
                <w:numId w:val="18"/>
              </w:numPr>
              <w:spacing w:before="120"/>
              <w:ind w:firstLine="0" w:firstLineChars="0"/>
              <w:rPr>
                <w:rFonts w:hint="default" w:ascii="Times New Roman" w:hAnsi="Times New Roman" w:eastAsia="宋体" w:cs="Times New Roman"/>
                <w:b/>
              </w:rPr>
            </w:pPr>
            <w:r>
              <w:rPr>
                <w:rFonts w:hint="default" w:ascii="Times New Roman" w:hAnsi="Times New Roman" w:eastAsia="宋体" w:cs="Times New Roman"/>
                <w:b/>
              </w:rPr>
              <w:t>环保投资估算分析</w:t>
            </w:r>
          </w:p>
          <w:p>
            <w:pPr>
              <w:ind w:firstLine="480"/>
              <w:rPr>
                <w:rFonts w:hint="default" w:ascii="Times New Roman" w:hAnsi="Times New Roman" w:eastAsia="宋体" w:cs="Times New Roman"/>
                <w:b/>
                <w:bCs/>
              </w:rPr>
            </w:pPr>
            <w:r>
              <w:rPr>
                <w:rFonts w:hint="default" w:ascii="Times New Roman" w:hAnsi="Times New Roman" w:eastAsia="宋体" w:cs="Times New Roman"/>
              </w:rPr>
              <w:t>本项目总投资200万，其中环保投资10万，约占项目总投5%。主要用于废水、废气处理设施及噪声防治等建设，在建设单位经济可承受范围内。项目在建设和生产期间，必须实施“三同时”制度，即污染治理设施必须与主体工程同时设计、同时施工、同时投产。针对本项目情况，提出如下环保项目和投资:</w:t>
            </w: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表7-19 建设项目环保投资一览表</w:t>
            </w:r>
          </w:p>
          <w:tbl>
            <w:tblPr>
              <w:tblStyle w:val="23"/>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84"/>
              <w:gridCol w:w="816"/>
              <w:gridCol w:w="1635"/>
              <w:gridCol w:w="3121"/>
              <w:gridCol w:w="1905"/>
              <w:gridCol w:w="119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4" w:hRule="atLeast"/>
                <w:jc w:val="center"/>
              </w:trPr>
              <w:tc>
                <w:tcPr>
                  <w:tcW w:w="366" w:type="pc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序号</w:t>
                  </w:r>
                </w:p>
              </w:tc>
              <w:tc>
                <w:tcPr>
                  <w:tcW w:w="1310" w:type="pct"/>
                  <w:gridSpan w:val="2"/>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治理对象</w:t>
                  </w:r>
                </w:p>
              </w:tc>
              <w:tc>
                <w:tcPr>
                  <w:tcW w:w="1667" w:type="pc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主要环保措施</w:t>
                  </w:r>
                </w:p>
              </w:tc>
              <w:tc>
                <w:tcPr>
                  <w:tcW w:w="1018" w:type="pc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投资金额（万元）</w:t>
                  </w:r>
                </w:p>
              </w:tc>
              <w:tc>
                <w:tcPr>
                  <w:tcW w:w="637" w:type="pct"/>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实施时间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66" w:type="pct"/>
                  <w:tcBorders>
                    <w:tl2br w:val="nil"/>
                    <w:tr2bl w:val="nil"/>
                  </w:tcBorders>
                  <w:vAlign w:val="center"/>
                </w:tcPr>
                <w:p>
                  <w:pPr>
                    <w:pStyle w:val="46"/>
                    <w:rPr>
                      <w:rFonts w:hint="default" w:ascii="Times New Roman" w:hAnsi="Times New Roman" w:eastAsia="宋体" w:cs="Times New Roman"/>
                      <w:color w:val="auto"/>
                    </w:rPr>
                  </w:pPr>
                  <w:bookmarkStart w:id="11" w:name="OLE_LINK3" w:colFirst="3" w:colLast="3"/>
                  <w:bookmarkStart w:id="12" w:name="_Hlk419315044"/>
                  <w:bookmarkStart w:id="13" w:name="OLE_LINK4" w:colFirst="3" w:colLast="3"/>
                  <w:r>
                    <w:rPr>
                      <w:rFonts w:hint="default" w:ascii="Times New Roman" w:hAnsi="Times New Roman" w:eastAsia="宋体" w:cs="Times New Roman"/>
                      <w:color w:val="auto"/>
                    </w:rPr>
                    <w:t>1</w:t>
                  </w:r>
                </w:p>
              </w:tc>
              <w:tc>
                <w:tcPr>
                  <w:tcW w:w="436"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废水</w:t>
                  </w:r>
                </w:p>
              </w:tc>
              <w:tc>
                <w:tcPr>
                  <w:tcW w:w="874"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生活污水</w:t>
                  </w:r>
                </w:p>
              </w:tc>
              <w:tc>
                <w:tcPr>
                  <w:tcW w:w="1667"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生活污水经三级化粪池预处理后回用于农田灌溉</w:t>
                  </w:r>
                </w:p>
              </w:tc>
              <w:tc>
                <w:tcPr>
                  <w:tcW w:w="1018"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637" w:type="pct"/>
                  <w:vMerge w:val="restart"/>
                  <w:tcBorders>
                    <w:tl2br w:val="nil"/>
                    <w:tr2bl w:val="nil"/>
                  </w:tcBorders>
                  <w:vAlign w:val="center"/>
                </w:tcPr>
                <w:p>
                  <w:pPr>
                    <w:pStyle w:val="46"/>
                    <w:rPr>
                      <w:rFonts w:hint="default" w:ascii="Times New Roman" w:hAnsi="Times New Roman" w:eastAsia="宋体" w:cs="Times New Roman"/>
                      <w:color w:val="auto"/>
                    </w:rPr>
                  </w:pPr>
                </w:p>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同时设计、同时施工、同时投产运行</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66"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436"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废气</w:t>
                  </w:r>
                </w:p>
              </w:tc>
              <w:tc>
                <w:tcPr>
                  <w:tcW w:w="874"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印刷、清洗废气</w:t>
                  </w:r>
                </w:p>
              </w:tc>
              <w:tc>
                <w:tcPr>
                  <w:tcW w:w="1667"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活性炭吸附</w:t>
                  </w:r>
                </w:p>
              </w:tc>
              <w:tc>
                <w:tcPr>
                  <w:tcW w:w="1018"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637" w:type="pct"/>
                  <w:vMerge w:val="continue"/>
                  <w:tcBorders>
                    <w:tl2br w:val="nil"/>
                    <w:tr2bl w:val="nil"/>
                  </w:tcBorders>
                  <w:vAlign w:val="center"/>
                </w:tcPr>
                <w:p>
                  <w:pPr>
                    <w:pStyle w:val="46"/>
                    <w:rPr>
                      <w:rFonts w:hint="default" w:ascii="Times New Roman" w:hAnsi="Times New Roman" w:eastAsia="宋体" w:cs="Times New Roman"/>
                      <w:color w:val="auto"/>
                    </w:rPr>
                  </w:pPr>
                </w:p>
              </w:tc>
            </w:tr>
            <w:bookmarkEnd w:id="11"/>
            <w:bookmarkEnd w:id="12"/>
            <w:bookmarkEnd w:id="13"/>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2" w:hRule="atLeast"/>
                <w:jc w:val="center"/>
              </w:trPr>
              <w:tc>
                <w:tcPr>
                  <w:tcW w:w="366"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1310" w:type="pct"/>
                  <w:gridSpan w:val="2"/>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噪声</w:t>
                  </w:r>
                </w:p>
              </w:tc>
              <w:tc>
                <w:tcPr>
                  <w:tcW w:w="1667"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定期对各种机械设备进行维护与保养</w:t>
                  </w:r>
                </w:p>
              </w:tc>
              <w:tc>
                <w:tcPr>
                  <w:tcW w:w="1018"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637" w:type="pct"/>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66" w:type="pct"/>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436" w:type="pct"/>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固废</w:t>
                  </w:r>
                </w:p>
              </w:tc>
              <w:tc>
                <w:tcPr>
                  <w:tcW w:w="874"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一般工业固废</w:t>
                  </w:r>
                </w:p>
              </w:tc>
              <w:tc>
                <w:tcPr>
                  <w:tcW w:w="1667"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交由外售综合处理，设置一般工业固体废物暂存区</w:t>
                  </w:r>
                </w:p>
              </w:tc>
              <w:tc>
                <w:tcPr>
                  <w:tcW w:w="1018" w:type="pct"/>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637" w:type="pct"/>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66"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436"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874"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生活垃圾</w:t>
                  </w:r>
                </w:p>
              </w:tc>
              <w:tc>
                <w:tcPr>
                  <w:tcW w:w="1667"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交由环卫部门清运处理</w:t>
                  </w:r>
                </w:p>
              </w:tc>
              <w:tc>
                <w:tcPr>
                  <w:tcW w:w="1018"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637" w:type="pct"/>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66"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436" w:type="pct"/>
                  <w:vMerge w:val="continue"/>
                  <w:tcBorders>
                    <w:tl2br w:val="nil"/>
                    <w:tr2bl w:val="nil"/>
                  </w:tcBorders>
                  <w:vAlign w:val="center"/>
                </w:tcPr>
                <w:p>
                  <w:pPr>
                    <w:pStyle w:val="46"/>
                    <w:rPr>
                      <w:rFonts w:hint="default" w:ascii="Times New Roman" w:hAnsi="Times New Roman" w:eastAsia="宋体" w:cs="Times New Roman"/>
                      <w:color w:val="auto"/>
                    </w:rPr>
                  </w:pPr>
                </w:p>
              </w:tc>
              <w:tc>
                <w:tcPr>
                  <w:tcW w:w="874"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危险废物</w:t>
                  </w:r>
                </w:p>
              </w:tc>
              <w:tc>
                <w:tcPr>
                  <w:tcW w:w="1667"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交由资质的单位回收处理，并设置危险废物暂存区</w:t>
                  </w:r>
                </w:p>
              </w:tc>
              <w:tc>
                <w:tcPr>
                  <w:tcW w:w="1018"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637" w:type="pct"/>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344" w:type="pct"/>
                  <w:gridSpan w:val="4"/>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合计</w:t>
                  </w:r>
                </w:p>
              </w:tc>
              <w:tc>
                <w:tcPr>
                  <w:tcW w:w="1018" w:type="pc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10</w:t>
                  </w:r>
                </w:p>
              </w:tc>
              <w:tc>
                <w:tcPr>
                  <w:tcW w:w="637" w:type="pct"/>
                  <w:vMerge w:val="continue"/>
                  <w:tcBorders>
                    <w:tl2br w:val="nil"/>
                    <w:tr2bl w:val="nil"/>
                  </w:tcBorders>
                  <w:vAlign w:val="center"/>
                </w:tcPr>
                <w:p>
                  <w:pPr>
                    <w:pStyle w:val="46"/>
                    <w:rPr>
                      <w:rFonts w:hint="default" w:ascii="Times New Roman" w:hAnsi="Times New Roman" w:eastAsia="宋体" w:cs="Times New Roman"/>
                      <w:color w:val="auto"/>
                    </w:rPr>
                  </w:pPr>
                </w:p>
              </w:tc>
            </w:tr>
          </w:tbl>
          <w:p>
            <w:pPr>
              <w:numPr>
                <w:ilvl w:val="0"/>
                <w:numId w:val="18"/>
              </w:numPr>
              <w:spacing w:before="120"/>
              <w:ind w:firstLine="0" w:firstLineChars="0"/>
              <w:rPr>
                <w:rFonts w:hint="default" w:ascii="Times New Roman" w:hAnsi="Times New Roman" w:eastAsia="宋体" w:cs="Times New Roman"/>
                <w:b/>
              </w:rPr>
            </w:pPr>
            <w:r>
              <w:rPr>
                <w:rFonts w:hint="default" w:ascii="Times New Roman" w:hAnsi="Times New Roman" w:eastAsia="宋体" w:cs="Times New Roman"/>
                <w:b/>
              </w:rPr>
              <w:t>环保“三同时”内容</w:t>
            </w:r>
          </w:p>
          <w:p>
            <w:pPr>
              <w:ind w:firstLine="480"/>
              <w:rPr>
                <w:rFonts w:hint="default" w:ascii="Times New Roman" w:hAnsi="Times New Roman" w:eastAsia="宋体" w:cs="Times New Roman"/>
              </w:rPr>
            </w:pPr>
            <w:r>
              <w:rPr>
                <w:rFonts w:hint="default" w:ascii="Times New Roman" w:hAnsi="Times New Roman" w:eastAsia="宋体" w:cs="Times New Roman"/>
              </w:rPr>
              <w:t>项目“三同时”环境保护验收情况见下表：</w:t>
            </w:r>
          </w:p>
          <w:p>
            <w:pPr>
              <w:pStyle w:val="28"/>
              <w:rPr>
                <w:rFonts w:hint="default" w:ascii="Times New Roman" w:hAnsi="Times New Roman" w:eastAsia="宋体" w:cs="Times New Roman"/>
              </w:rPr>
            </w:pPr>
          </w:p>
          <w:p>
            <w:pPr>
              <w:rPr>
                <w:rFonts w:hint="default" w:ascii="Times New Roman" w:hAnsi="Times New Roman" w:eastAsia="宋体" w:cs="Times New Roman"/>
              </w:rPr>
            </w:pPr>
          </w:p>
          <w:p>
            <w:pPr>
              <w:pStyle w:val="46"/>
              <w:rPr>
                <w:rFonts w:hint="default" w:ascii="Times New Roman" w:hAnsi="Times New Roman" w:eastAsia="宋体" w:cs="Times New Roman"/>
                <w:b/>
                <w:bCs/>
                <w:color w:val="auto"/>
              </w:rPr>
            </w:pPr>
          </w:p>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表7-20 建设项目“三同时”环境保护验收一览表</w:t>
            </w:r>
          </w:p>
          <w:tbl>
            <w:tblPr>
              <w:tblStyle w:val="23"/>
              <w:tblW w:w="935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1"/>
              <w:gridCol w:w="485"/>
              <w:gridCol w:w="1444"/>
              <w:gridCol w:w="1584"/>
              <w:gridCol w:w="2298"/>
              <w:gridCol w:w="27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jc w:val="center"/>
              </w:trPr>
              <w:tc>
                <w:tcPr>
                  <w:tcW w:w="751"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项目</w:t>
                  </w:r>
                </w:p>
              </w:tc>
              <w:tc>
                <w:tcPr>
                  <w:tcW w:w="1929" w:type="dxa"/>
                  <w:gridSpan w:val="2"/>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污染源</w:t>
                  </w:r>
                </w:p>
              </w:tc>
              <w:tc>
                <w:tcPr>
                  <w:tcW w:w="1584"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防治措施</w:t>
                  </w:r>
                </w:p>
              </w:tc>
              <w:tc>
                <w:tcPr>
                  <w:tcW w:w="2298"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验收及监测内容</w:t>
                  </w:r>
                </w:p>
              </w:tc>
              <w:tc>
                <w:tcPr>
                  <w:tcW w:w="2794" w:type="dxa"/>
                  <w:tcBorders>
                    <w:tl2br w:val="nil"/>
                    <w:tr2bl w:val="nil"/>
                  </w:tcBorders>
                  <w:vAlign w:val="center"/>
                </w:tcPr>
                <w:p>
                  <w:pPr>
                    <w:pStyle w:val="46"/>
                    <w:rPr>
                      <w:rFonts w:hint="default" w:ascii="Times New Roman" w:hAnsi="Times New Roman" w:eastAsia="宋体" w:cs="Times New Roman"/>
                      <w:b/>
                      <w:bCs/>
                      <w:color w:val="auto"/>
                    </w:rPr>
                  </w:pPr>
                  <w:r>
                    <w:rPr>
                      <w:rFonts w:hint="default" w:ascii="Times New Roman" w:hAnsi="Times New Roman" w:eastAsia="宋体" w:cs="Times New Roman"/>
                      <w:b/>
                      <w:bCs/>
                      <w:color w:val="auto"/>
                    </w:rPr>
                    <w:t>预期效果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51"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废水</w:t>
                  </w:r>
                </w:p>
              </w:tc>
              <w:tc>
                <w:tcPr>
                  <w:tcW w:w="1929" w:type="dxa"/>
                  <w:gridSpan w:val="2"/>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生活污水</w:t>
                  </w:r>
                </w:p>
              </w:tc>
              <w:tc>
                <w:tcPr>
                  <w:tcW w:w="1584"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化粪池</w:t>
                  </w:r>
                </w:p>
              </w:tc>
              <w:tc>
                <w:tcPr>
                  <w:tcW w:w="229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794"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生活污水经化粪池沤肥处理后委托农户定期清运用于农田灌溉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51"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废气</w:t>
                  </w:r>
                </w:p>
              </w:tc>
              <w:tc>
                <w:tcPr>
                  <w:tcW w:w="1929" w:type="dxa"/>
                  <w:gridSpan w:val="2"/>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VOCs</w:t>
                  </w:r>
                </w:p>
              </w:tc>
              <w:tc>
                <w:tcPr>
                  <w:tcW w:w="1584"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活性炭吸附</w:t>
                  </w:r>
                </w:p>
              </w:tc>
              <w:tc>
                <w:tcPr>
                  <w:tcW w:w="229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有组织：</w:t>
                  </w:r>
                </w:p>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排放速率≦2.55kg/h</w:t>
                  </w:r>
                </w:p>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浓度：≦80mg/m</w:t>
                  </w:r>
                  <w:r>
                    <w:rPr>
                      <w:rFonts w:hint="default" w:ascii="Times New Roman" w:hAnsi="Times New Roman" w:eastAsia="宋体" w:cs="Times New Roman"/>
                      <w:color w:val="auto"/>
                      <w:vertAlign w:val="superscript"/>
                    </w:rPr>
                    <w:t>3</w:t>
                  </w:r>
                </w:p>
                <w:p>
                  <w:pPr>
                    <w:pStyle w:val="46"/>
                    <w:rPr>
                      <w:rFonts w:hint="default" w:ascii="Times New Roman" w:hAnsi="Times New Roman" w:eastAsia="宋体" w:cs="Times New Roman"/>
                      <w:color w:val="auto"/>
                    </w:rPr>
                  </w:pPr>
                </w:p>
              </w:tc>
              <w:tc>
                <w:tcPr>
                  <w:tcW w:w="2794"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满足广东省《印刷行业挥发性有机化合物排放标准》（DB44/815-2010）表2中“平版印刷（不含以金属、陶瓷、玻璃为承印物的平版印刷）、柔性版印刷”第Ⅱ时段标准及表3无组织排放监控点浓度限值标准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jc w:val="center"/>
              </w:trPr>
              <w:tc>
                <w:tcPr>
                  <w:tcW w:w="751"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1929" w:type="dxa"/>
                  <w:gridSpan w:val="2"/>
                  <w:vMerge w:val="continue"/>
                  <w:tcBorders>
                    <w:tl2br w:val="nil"/>
                    <w:tr2bl w:val="nil"/>
                  </w:tcBorders>
                  <w:vAlign w:val="center"/>
                </w:tcPr>
                <w:p>
                  <w:pPr>
                    <w:pStyle w:val="46"/>
                    <w:rPr>
                      <w:rFonts w:hint="default" w:ascii="Times New Roman" w:hAnsi="Times New Roman" w:eastAsia="宋体" w:cs="Times New Roman"/>
                      <w:color w:val="auto"/>
                    </w:rPr>
                  </w:pPr>
                </w:p>
              </w:tc>
              <w:tc>
                <w:tcPr>
                  <w:tcW w:w="1584"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229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无组织：</w:t>
                  </w:r>
                </w:p>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浓度：≦2.0mg/m</w:t>
                  </w:r>
                  <w:r>
                    <w:rPr>
                      <w:rFonts w:hint="default" w:ascii="Times New Roman" w:hAnsi="Times New Roman" w:eastAsia="宋体" w:cs="Times New Roman"/>
                      <w:color w:val="auto"/>
                      <w:vertAlign w:val="superscript"/>
                    </w:rPr>
                    <w:t>3</w:t>
                  </w:r>
                </w:p>
              </w:tc>
              <w:tc>
                <w:tcPr>
                  <w:tcW w:w="2794" w:type="dxa"/>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51"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噪声</w:t>
                  </w:r>
                </w:p>
              </w:tc>
              <w:tc>
                <w:tcPr>
                  <w:tcW w:w="1929" w:type="dxa"/>
                  <w:gridSpan w:val="2"/>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生产设备</w:t>
                  </w:r>
                </w:p>
              </w:tc>
              <w:tc>
                <w:tcPr>
                  <w:tcW w:w="1584"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设备隔音处理；隔声门窗等措施</w:t>
                  </w:r>
                </w:p>
              </w:tc>
              <w:tc>
                <w:tcPr>
                  <w:tcW w:w="2298"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厂界噪声</w:t>
                  </w:r>
                </w:p>
              </w:tc>
              <w:tc>
                <w:tcPr>
                  <w:tcW w:w="2794"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达到《工业企业厂界环境噪声排放标准》（GB12348-2008）中的2类标准（昼间≦60dB（A），夜间≦50dB（A））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42" w:hRule="atLeast"/>
                <w:jc w:val="center"/>
              </w:trPr>
              <w:tc>
                <w:tcPr>
                  <w:tcW w:w="751"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固废</w:t>
                  </w:r>
                </w:p>
              </w:tc>
              <w:tc>
                <w:tcPr>
                  <w:tcW w:w="485"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一</w:t>
                  </w:r>
                </w:p>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般</w:t>
                  </w:r>
                </w:p>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固</w:t>
                  </w:r>
                </w:p>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w:t>
                  </w:r>
                </w:p>
                <w:p>
                  <w:pPr>
                    <w:pStyle w:val="46"/>
                    <w:rPr>
                      <w:rFonts w:hint="default" w:ascii="Times New Roman" w:hAnsi="Times New Roman" w:eastAsia="宋体" w:cs="Times New Roman"/>
                      <w:color w:val="auto"/>
                    </w:rPr>
                  </w:pPr>
                </w:p>
              </w:tc>
              <w:tc>
                <w:tcPr>
                  <w:tcW w:w="1444"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废边角料</w:t>
                  </w:r>
                </w:p>
              </w:tc>
              <w:tc>
                <w:tcPr>
                  <w:tcW w:w="1584"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外售综合处理</w:t>
                  </w:r>
                </w:p>
              </w:tc>
              <w:tc>
                <w:tcPr>
                  <w:tcW w:w="2298"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检查固体废物收集、储存、处置方式</w:t>
                  </w:r>
                </w:p>
                <w:p>
                  <w:pPr>
                    <w:pStyle w:val="46"/>
                    <w:rPr>
                      <w:rFonts w:hint="default" w:ascii="Times New Roman" w:hAnsi="Times New Roman" w:eastAsia="宋体" w:cs="Times New Roman"/>
                      <w:color w:val="auto"/>
                    </w:rPr>
                  </w:pPr>
                </w:p>
              </w:tc>
              <w:tc>
                <w:tcPr>
                  <w:tcW w:w="2794"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执行《一般工业固体废物贮存、处置场污染控制标准》（GB18599- 2001）及其 2013 修改单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83" w:hRule="atLeast"/>
                <w:jc w:val="center"/>
              </w:trPr>
              <w:tc>
                <w:tcPr>
                  <w:tcW w:w="751"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485"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1444"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废包装材料</w:t>
                  </w:r>
                </w:p>
              </w:tc>
              <w:tc>
                <w:tcPr>
                  <w:tcW w:w="1584"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2298"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2794" w:type="dxa"/>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751"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485"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1444"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废PS版</w:t>
                  </w:r>
                </w:p>
              </w:tc>
              <w:tc>
                <w:tcPr>
                  <w:tcW w:w="1584"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2298"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2794" w:type="dxa"/>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jc w:val="center"/>
              </w:trPr>
              <w:tc>
                <w:tcPr>
                  <w:tcW w:w="751"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485"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1444"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废钉线</w:t>
                  </w:r>
                </w:p>
              </w:tc>
              <w:tc>
                <w:tcPr>
                  <w:tcW w:w="1584"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2298"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2794" w:type="dxa"/>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751"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485"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危险废物</w:t>
                  </w:r>
                </w:p>
              </w:tc>
              <w:tc>
                <w:tcPr>
                  <w:tcW w:w="1444"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废抹布</w:t>
                  </w:r>
                </w:p>
              </w:tc>
              <w:tc>
                <w:tcPr>
                  <w:tcW w:w="1584"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 xml:space="preserve">由具有资质的危废单位回收处置 </w:t>
                  </w:r>
                </w:p>
              </w:tc>
              <w:tc>
                <w:tcPr>
                  <w:tcW w:w="2298"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2794" w:type="dxa"/>
                  <w:vMerge w:val="restart"/>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执行《危险废物贮存污染控制标准》（GB18597-2001）及其 2013 修改单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51"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485"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1444"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废活性炭</w:t>
                  </w:r>
                </w:p>
              </w:tc>
              <w:tc>
                <w:tcPr>
                  <w:tcW w:w="1584"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2298"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2794" w:type="dxa"/>
                  <w:vMerge w:val="continue"/>
                  <w:tcBorders>
                    <w:tl2br w:val="nil"/>
                    <w:tr2bl w:val="nil"/>
                  </w:tcBorders>
                  <w:vAlign w:val="center"/>
                </w:tcPr>
                <w:p>
                  <w:pPr>
                    <w:pStyle w:val="46"/>
                    <w:rPr>
                      <w:rFonts w:hint="default" w:ascii="Times New Roman" w:hAnsi="Times New Roman" w:eastAsia="宋体"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4" w:hRule="atLeast"/>
                <w:jc w:val="center"/>
              </w:trPr>
              <w:tc>
                <w:tcPr>
                  <w:tcW w:w="751"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1929" w:type="dxa"/>
                  <w:gridSpan w:val="2"/>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生活垃圾</w:t>
                  </w:r>
                </w:p>
              </w:tc>
              <w:tc>
                <w:tcPr>
                  <w:tcW w:w="1584"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交由环卫部门清运处理</w:t>
                  </w:r>
                </w:p>
              </w:tc>
              <w:tc>
                <w:tcPr>
                  <w:tcW w:w="2298" w:type="dxa"/>
                  <w:vMerge w:val="continue"/>
                  <w:tcBorders>
                    <w:tl2br w:val="nil"/>
                    <w:tr2bl w:val="nil"/>
                  </w:tcBorders>
                  <w:vAlign w:val="center"/>
                </w:tcPr>
                <w:p>
                  <w:pPr>
                    <w:pStyle w:val="46"/>
                    <w:rPr>
                      <w:rFonts w:hint="default" w:ascii="Times New Roman" w:hAnsi="Times New Roman" w:eastAsia="宋体" w:cs="Times New Roman"/>
                      <w:color w:val="auto"/>
                    </w:rPr>
                  </w:pPr>
                </w:p>
              </w:tc>
              <w:tc>
                <w:tcPr>
                  <w:tcW w:w="2794" w:type="dxa"/>
                  <w:tcBorders>
                    <w:tl2br w:val="nil"/>
                    <w:tr2bl w:val="nil"/>
                  </w:tcBorders>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符合环保要求</w:t>
                  </w:r>
                </w:p>
              </w:tc>
            </w:tr>
          </w:tbl>
          <w:p>
            <w:pPr>
              <w:numPr>
                <w:ilvl w:val="0"/>
                <w:numId w:val="18"/>
              </w:numPr>
              <w:spacing w:before="120"/>
              <w:ind w:firstLine="0" w:firstLineChars="0"/>
              <w:rPr>
                <w:rFonts w:hint="default" w:ascii="Times New Roman" w:hAnsi="Times New Roman" w:eastAsia="宋体" w:cs="Times New Roman"/>
                <w:b/>
              </w:rPr>
            </w:pPr>
            <w:r>
              <w:rPr>
                <w:rFonts w:hint="default" w:ascii="Times New Roman" w:hAnsi="Times New Roman" w:eastAsia="宋体" w:cs="Times New Roman"/>
                <w:b/>
              </w:rPr>
              <w:t>污染源排放清单</w:t>
            </w:r>
          </w:p>
          <w:p>
            <w:pPr>
              <w:ind w:firstLine="480"/>
              <w:rPr>
                <w:rFonts w:hint="default" w:ascii="Times New Roman" w:hAnsi="Times New Roman" w:eastAsia="宋体" w:cs="Times New Roman"/>
              </w:rPr>
            </w:pPr>
            <w:r>
              <w:rPr>
                <w:rFonts w:hint="default" w:ascii="Times New Roman" w:hAnsi="Times New Roman" w:eastAsia="宋体" w:cs="Times New Roman"/>
              </w:rPr>
              <w:t>本项目的污染源排放清单详见下表。</w:t>
            </w:r>
          </w:p>
          <w:p>
            <w:pPr>
              <w:pStyle w:val="46"/>
              <w:rPr>
                <w:rFonts w:hint="default" w:ascii="Times New Roman" w:hAnsi="Times New Roman" w:eastAsia="宋体" w:cs="Times New Roman"/>
                <w:color w:val="auto"/>
              </w:rPr>
            </w:pPr>
            <w:r>
              <w:rPr>
                <w:rFonts w:hint="default" w:ascii="Times New Roman" w:hAnsi="Times New Roman" w:eastAsia="宋体" w:cs="Times New Roman"/>
                <w:b/>
                <w:bCs/>
                <w:color w:val="auto"/>
              </w:rPr>
              <w:t>表7-21 污染源排放清单一览表</w:t>
            </w:r>
          </w:p>
          <w:tbl>
            <w:tblPr>
              <w:tblStyle w:val="24"/>
              <w:tblW w:w="89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9"/>
              <w:gridCol w:w="852"/>
              <w:gridCol w:w="836"/>
              <w:gridCol w:w="233"/>
              <w:gridCol w:w="404"/>
              <w:gridCol w:w="726"/>
              <w:gridCol w:w="399"/>
              <w:gridCol w:w="190"/>
              <w:gridCol w:w="613"/>
              <w:gridCol w:w="22"/>
              <w:gridCol w:w="983"/>
              <w:gridCol w:w="102"/>
              <w:gridCol w:w="1057"/>
              <w:gridCol w:w="20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9"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项目基本情况</w:t>
                  </w:r>
                </w:p>
              </w:tc>
              <w:tc>
                <w:tcPr>
                  <w:tcW w:w="1688" w:type="dxa"/>
                  <w:gridSpan w:val="2"/>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项目所在地所属环境功能区划</w:t>
                  </w:r>
                </w:p>
              </w:tc>
              <w:tc>
                <w:tcPr>
                  <w:tcW w:w="1762" w:type="dxa"/>
                  <w:gridSpan w:val="4"/>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水环境功能区</w:t>
                  </w:r>
                </w:p>
              </w:tc>
              <w:tc>
                <w:tcPr>
                  <w:tcW w:w="4970" w:type="dxa"/>
                  <w:gridSpan w:val="7"/>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《地表水环境质量标准》（GB3838-2002）Ⅱ类标准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1688" w:type="dxa"/>
                  <w:gridSpan w:val="2"/>
                  <w:vMerge w:val="continue"/>
                  <w:vAlign w:val="center"/>
                </w:tcPr>
                <w:p>
                  <w:pPr>
                    <w:pStyle w:val="46"/>
                    <w:rPr>
                      <w:rFonts w:hint="default" w:ascii="Times New Roman" w:hAnsi="Times New Roman" w:eastAsia="宋体" w:cs="Times New Roman"/>
                      <w:color w:val="auto"/>
                    </w:rPr>
                  </w:pPr>
                </w:p>
              </w:tc>
              <w:tc>
                <w:tcPr>
                  <w:tcW w:w="1762" w:type="dxa"/>
                  <w:gridSpan w:val="4"/>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大气环境功能区</w:t>
                  </w:r>
                </w:p>
              </w:tc>
              <w:tc>
                <w:tcPr>
                  <w:tcW w:w="4970" w:type="dxa"/>
                  <w:gridSpan w:val="7"/>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《环境空气质量标准》（GB3095-2012）及其修改单（生态环境部公告2018年第29号）二级标准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1688" w:type="dxa"/>
                  <w:gridSpan w:val="2"/>
                  <w:vMerge w:val="continue"/>
                  <w:vAlign w:val="center"/>
                </w:tcPr>
                <w:p>
                  <w:pPr>
                    <w:pStyle w:val="46"/>
                    <w:rPr>
                      <w:rFonts w:hint="default" w:ascii="Times New Roman" w:hAnsi="Times New Roman" w:eastAsia="宋体" w:cs="Times New Roman"/>
                      <w:color w:val="auto"/>
                    </w:rPr>
                  </w:pPr>
                </w:p>
              </w:tc>
              <w:tc>
                <w:tcPr>
                  <w:tcW w:w="1762" w:type="dxa"/>
                  <w:gridSpan w:val="4"/>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噪声环境功能区</w:t>
                  </w:r>
                </w:p>
              </w:tc>
              <w:tc>
                <w:tcPr>
                  <w:tcW w:w="4970" w:type="dxa"/>
                  <w:gridSpan w:val="7"/>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《声环境质量标准》（GB 3096-2008）2类标准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2325" w:type="dxa"/>
                  <w:gridSpan w:val="4"/>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排放重点污染物及特征污染物种类</w:t>
                  </w:r>
                </w:p>
              </w:tc>
              <w:tc>
                <w:tcPr>
                  <w:tcW w:w="6095" w:type="dxa"/>
                  <w:gridSpan w:val="9"/>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大气：VOCs</w:t>
                  </w:r>
                </w:p>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污水：COD</w:t>
                  </w:r>
                  <w:r>
                    <w:rPr>
                      <w:rFonts w:hint="default" w:ascii="Times New Roman" w:hAnsi="Times New Roman" w:eastAsia="宋体" w:cs="Times New Roman"/>
                      <w:color w:val="auto"/>
                      <w:vertAlign w:val="subscript"/>
                    </w:rPr>
                    <w:t>cr</w:t>
                  </w:r>
                  <w:r>
                    <w:rPr>
                      <w:rFonts w:hint="default" w:ascii="Times New Roman" w:hAnsi="Times New Roman" w:eastAsia="宋体" w:cs="Times New Roman"/>
                      <w:color w:val="auto"/>
                    </w:rPr>
                    <w:t>、NH</w:t>
                  </w:r>
                  <w:r>
                    <w:rPr>
                      <w:rFonts w:hint="default" w:ascii="Times New Roman" w:hAnsi="Times New Roman" w:eastAsia="宋体" w:cs="Times New Roman"/>
                      <w:color w:val="auto"/>
                      <w:vertAlign w:val="subscript"/>
                    </w:rPr>
                    <w:t>3</w:t>
                  </w:r>
                  <w:r>
                    <w:rPr>
                      <w:rFonts w:hint="default" w:ascii="Times New Roman" w:hAnsi="Times New Roman" w:eastAsia="宋体" w:cs="Times New Roman"/>
                      <w:color w:val="auto"/>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999" w:type="dxa"/>
                  <w:gridSpan w:val="14"/>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水污染物排放情况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579"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废水排放控制要求</w:t>
                  </w:r>
                </w:p>
              </w:tc>
              <w:tc>
                <w:tcPr>
                  <w:tcW w:w="852"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污染源</w:t>
                  </w:r>
                </w:p>
              </w:tc>
              <w:tc>
                <w:tcPr>
                  <w:tcW w:w="1069" w:type="dxa"/>
                  <w:gridSpan w:val="2"/>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污染因子</w:t>
                  </w:r>
                </w:p>
              </w:tc>
              <w:tc>
                <w:tcPr>
                  <w:tcW w:w="1130" w:type="dxa"/>
                  <w:gridSpan w:val="2"/>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排放浓度（mg/L）</w:t>
                  </w:r>
                </w:p>
              </w:tc>
              <w:tc>
                <w:tcPr>
                  <w:tcW w:w="1202" w:type="dxa"/>
                  <w:gridSpan w:val="3"/>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排放量</w:t>
                  </w:r>
                </w:p>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(t/a)</w:t>
                  </w:r>
                </w:p>
              </w:tc>
              <w:tc>
                <w:tcPr>
                  <w:tcW w:w="1005" w:type="dxa"/>
                  <w:gridSpan w:val="2"/>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总量指标(t/a)</w:t>
                  </w:r>
                </w:p>
              </w:tc>
              <w:tc>
                <w:tcPr>
                  <w:tcW w:w="3162" w:type="dxa"/>
                  <w:gridSpan w:val="3"/>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852" w:type="dxa"/>
                  <w:vMerge w:val="continue"/>
                  <w:vAlign w:val="center"/>
                </w:tcPr>
                <w:p>
                  <w:pPr>
                    <w:pStyle w:val="46"/>
                    <w:rPr>
                      <w:rFonts w:hint="default" w:ascii="Times New Roman" w:hAnsi="Times New Roman" w:eastAsia="宋体" w:cs="Times New Roman"/>
                      <w:color w:val="auto"/>
                    </w:rPr>
                  </w:pPr>
                </w:p>
              </w:tc>
              <w:tc>
                <w:tcPr>
                  <w:tcW w:w="1069" w:type="dxa"/>
                  <w:gridSpan w:val="2"/>
                  <w:vMerge w:val="continue"/>
                  <w:vAlign w:val="center"/>
                </w:tcPr>
                <w:p>
                  <w:pPr>
                    <w:pStyle w:val="46"/>
                    <w:rPr>
                      <w:rFonts w:hint="default" w:ascii="Times New Roman" w:hAnsi="Times New Roman" w:eastAsia="宋体" w:cs="Times New Roman"/>
                      <w:color w:val="auto"/>
                    </w:rPr>
                  </w:pPr>
                </w:p>
              </w:tc>
              <w:tc>
                <w:tcPr>
                  <w:tcW w:w="1130" w:type="dxa"/>
                  <w:gridSpan w:val="2"/>
                  <w:vMerge w:val="continue"/>
                  <w:vAlign w:val="center"/>
                </w:tcPr>
                <w:p>
                  <w:pPr>
                    <w:pStyle w:val="46"/>
                    <w:rPr>
                      <w:rFonts w:hint="default" w:ascii="Times New Roman" w:hAnsi="Times New Roman" w:eastAsia="宋体" w:cs="Times New Roman"/>
                      <w:color w:val="auto"/>
                    </w:rPr>
                  </w:pPr>
                </w:p>
              </w:tc>
              <w:tc>
                <w:tcPr>
                  <w:tcW w:w="1202" w:type="dxa"/>
                  <w:gridSpan w:val="3"/>
                  <w:vMerge w:val="continue"/>
                  <w:vAlign w:val="center"/>
                </w:tcPr>
                <w:p>
                  <w:pPr>
                    <w:pStyle w:val="46"/>
                    <w:rPr>
                      <w:rFonts w:hint="default" w:ascii="Times New Roman" w:hAnsi="Times New Roman" w:eastAsia="宋体" w:cs="Times New Roman"/>
                      <w:color w:val="auto"/>
                    </w:rPr>
                  </w:pPr>
                </w:p>
              </w:tc>
              <w:tc>
                <w:tcPr>
                  <w:tcW w:w="1005" w:type="dxa"/>
                  <w:gridSpan w:val="2"/>
                  <w:vMerge w:val="continue"/>
                  <w:vAlign w:val="center"/>
                </w:tcPr>
                <w:p>
                  <w:pPr>
                    <w:pStyle w:val="46"/>
                    <w:rPr>
                      <w:rFonts w:hint="default" w:ascii="Times New Roman" w:hAnsi="Times New Roman" w:eastAsia="宋体" w:cs="Times New Roman"/>
                      <w:color w:val="auto"/>
                    </w:rPr>
                  </w:pPr>
                </w:p>
              </w:tc>
              <w:tc>
                <w:tcPr>
                  <w:tcW w:w="1159"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浓度限值</w:t>
                  </w:r>
                </w:p>
              </w:tc>
              <w:tc>
                <w:tcPr>
                  <w:tcW w:w="200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90"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852"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生活污水</w:t>
                  </w:r>
                </w:p>
              </w:tc>
              <w:tc>
                <w:tcPr>
                  <w:tcW w:w="1069"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废水量</w:t>
                  </w:r>
                </w:p>
              </w:tc>
              <w:tc>
                <w:tcPr>
                  <w:tcW w:w="1130"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1202" w:type="dxa"/>
                  <w:gridSpan w:val="3"/>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w:t>
                  </w:r>
                </w:p>
              </w:tc>
              <w:tc>
                <w:tcPr>
                  <w:tcW w:w="1005"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w:t>
                  </w:r>
                </w:p>
              </w:tc>
              <w:tc>
                <w:tcPr>
                  <w:tcW w:w="1159"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003"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8"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852" w:type="dxa"/>
                  <w:vMerge w:val="continue"/>
                  <w:vAlign w:val="center"/>
                </w:tcPr>
                <w:p>
                  <w:pPr>
                    <w:pStyle w:val="46"/>
                    <w:rPr>
                      <w:rFonts w:hint="default" w:ascii="Times New Roman" w:hAnsi="Times New Roman" w:eastAsia="宋体" w:cs="Times New Roman"/>
                      <w:color w:val="auto"/>
                    </w:rPr>
                  </w:pPr>
                </w:p>
              </w:tc>
              <w:tc>
                <w:tcPr>
                  <w:tcW w:w="1069"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COD</w:t>
                  </w:r>
                  <w:r>
                    <w:rPr>
                      <w:rFonts w:hint="default" w:ascii="Times New Roman" w:hAnsi="Times New Roman" w:eastAsia="宋体" w:cs="Times New Roman"/>
                      <w:color w:val="auto"/>
                      <w:vertAlign w:val="subscript"/>
                    </w:rPr>
                    <w:t>cr</w:t>
                  </w:r>
                </w:p>
              </w:tc>
              <w:tc>
                <w:tcPr>
                  <w:tcW w:w="1130"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200</w:t>
                  </w:r>
                </w:p>
              </w:tc>
              <w:tc>
                <w:tcPr>
                  <w:tcW w:w="1202" w:type="dxa"/>
                  <w:gridSpan w:val="3"/>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w:t>
                  </w:r>
                </w:p>
              </w:tc>
              <w:tc>
                <w:tcPr>
                  <w:tcW w:w="1005"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w:t>
                  </w:r>
                </w:p>
              </w:tc>
              <w:tc>
                <w:tcPr>
                  <w:tcW w:w="1159"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003" w:type="dxa"/>
                  <w:vMerge w:val="continue"/>
                  <w:vAlign w:val="center"/>
                </w:tcPr>
                <w:p>
                  <w:pPr>
                    <w:pStyle w:val="46"/>
                    <w:rPr>
                      <w:rFonts w:hint="default" w:ascii="Times New Roman" w:hAnsi="Times New Roman"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3"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852" w:type="dxa"/>
                  <w:vMerge w:val="continue"/>
                  <w:vAlign w:val="center"/>
                </w:tcPr>
                <w:p>
                  <w:pPr>
                    <w:pStyle w:val="46"/>
                    <w:rPr>
                      <w:rFonts w:hint="default" w:ascii="Times New Roman" w:hAnsi="Times New Roman" w:eastAsia="宋体" w:cs="Times New Roman"/>
                      <w:color w:val="auto"/>
                    </w:rPr>
                  </w:pPr>
                </w:p>
              </w:tc>
              <w:tc>
                <w:tcPr>
                  <w:tcW w:w="1069"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NH</w:t>
                  </w:r>
                  <w:r>
                    <w:rPr>
                      <w:rFonts w:hint="default" w:ascii="Times New Roman" w:hAnsi="Times New Roman" w:eastAsia="宋体" w:cs="Times New Roman"/>
                      <w:color w:val="auto"/>
                      <w:vertAlign w:val="subscript"/>
                    </w:rPr>
                    <w:t>3</w:t>
                  </w:r>
                  <w:r>
                    <w:rPr>
                      <w:rFonts w:hint="default" w:ascii="Times New Roman" w:hAnsi="Times New Roman" w:eastAsia="宋体" w:cs="Times New Roman"/>
                      <w:color w:val="auto"/>
                    </w:rPr>
                    <w:t>-N</w:t>
                  </w:r>
                </w:p>
              </w:tc>
              <w:tc>
                <w:tcPr>
                  <w:tcW w:w="1130"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30</w:t>
                  </w:r>
                </w:p>
              </w:tc>
              <w:tc>
                <w:tcPr>
                  <w:tcW w:w="1202" w:type="dxa"/>
                  <w:gridSpan w:val="3"/>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w:t>
                  </w:r>
                </w:p>
              </w:tc>
              <w:tc>
                <w:tcPr>
                  <w:tcW w:w="1005"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w:t>
                  </w:r>
                </w:p>
              </w:tc>
              <w:tc>
                <w:tcPr>
                  <w:tcW w:w="1159"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003" w:type="dxa"/>
                  <w:vMerge w:val="continue"/>
                  <w:vAlign w:val="center"/>
                </w:tcPr>
                <w:p>
                  <w:pPr>
                    <w:pStyle w:val="46"/>
                    <w:rPr>
                      <w:rFonts w:hint="default" w:ascii="Times New Roman" w:hAnsi="Times New Roman"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999" w:type="dxa"/>
                  <w:gridSpan w:val="14"/>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大气污染物排放情况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9"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废气排放控制要求</w:t>
                  </w:r>
                </w:p>
              </w:tc>
              <w:tc>
                <w:tcPr>
                  <w:tcW w:w="852"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污染源</w:t>
                  </w:r>
                </w:p>
              </w:tc>
              <w:tc>
                <w:tcPr>
                  <w:tcW w:w="1069" w:type="dxa"/>
                  <w:gridSpan w:val="2"/>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污染因子</w:t>
                  </w:r>
                </w:p>
              </w:tc>
              <w:tc>
                <w:tcPr>
                  <w:tcW w:w="1130" w:type="dxa"/>
                  <w:gridSpan w:val="2"/>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排放量</w:t>
                  </w:r>
                </w:p>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（t/a）</w:t>
                  </w:r>
                </w:p>
              </w:tc>
              <w:tc>
                <w:tcPr>
                  <w:tcW w:w="1224" w:type="dxa"/>
                  <w:gridSpan w:val="4"/>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排放浓度</w:t>
                  </w:r>
                </w:p>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（mg/m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w:t>
                  </w:r>
                </w:p>
              </w:tc>
              <w:tc>
                <w:tcPr>
                  <w:tcW w:w="983"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总量指标</w:t>
                  </w:r>
                </w:p>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（t/a）</w:t>
                  </w:r>
                </w:p>
              </w:tc>
              <w:tc>
                <w:tcPr>
                  <w:tcW w:w="3162" w:type="dxa"/>
                  <w:gridSpan w:val="3"/>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排放标准（mg/m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852" w:type="dxa"/>
                  <w:vMerge w:val="continue"/>
                  <w:vAlign w:val="center"/>
                </w:tcPr>
                <w:p>
                  <w:pPr>
                    <w:pStyle w:val="46"/>
                    <w:rPr>
                      <w:rFonts w:hint="default" w:ascii="Times New Roman" w:hAnsi="Times New Roman" w:eastAsia="宋体" w:cs="Times New Roman"/>
                      <w:color w:val="auto"/>
                    </w:rPr>
                  </w:pPr>
                </w:p>
              </w:tc>
              <w:tc>
                <w:tcPr>
                  <w:tcW w:w="1069" w:type="dxa"/>
                  <w:gridSpan w:val="2"/>
                  <w:vMerge w:val="continue"/>
                  <w:vAlign w:val="center"/>
                </w:tcPr>
                <w:p>
                  <w:pPr>
                    <w:pStyle w:val="46"/>
                    <w:rPr>
                      <w:rFonts w:hint="default" w:ascii="Times New Roman" w:hAnsi="Times New Roman" w:eastAsia="宋体" w:cs="Times New Roman"/>
                      <w:color w:val="auto"/>
                    </w:rPr>
                  </w:pPr>
                </w:p>
              </w:tc>
              <w:tc>
                <w:tcPr>
                  <w:tcW w:w="1130" w:type="dxa"/>
                  <w:gridSpan w:val="2"/>
                  <w:vMerge w:val="continue"/>
                  <w:vAlign w:val="center"/>
                </w:tcPr>
                <w:p>
                  <w:pPr>
                    <w:pStyle w:val="46"/>
                    <w:rPr>
                      <w:rFonts w:hint="default" w:ascii="Times New Roman" w:hAnsi="Times New Roman" w:eastAsia="宋体" w:cs="Times New Roman"/>
                      <w:color w:val="auto"/>
                    </w:rPr>
                  </w:pPr>
                </w:p>
              </w:tc>
              <w:tc>
                <w:tcPr>
                  <w:tcW w:w="1224" w:type="dxa"/>
                  <w:gridSpan w:val="4"/>
                  <w:vMerge w:val="continue"/>
                  <w:vAlign w:val="center"/>
                </w:tcPr>
                <w:p>
                  <w:pPr>
                    <w:pStyle w:val="46"/>
                    <w:rPr>
                      <w:rFonts w:hint="default" w:ascii="Times New Roman" w:hAnsi="Times New Roman" w:eastAsia="宋体" w:cs="Times New Roman"/>
                      <w:color w:val="auto"/>
                    </w:rPr>
                  </w:pPr>
                </w:p>
              </w:tc>
              <w:tc>
                <w:tcPr>
                  <w:tcW w:w="983" w:type="dxa"/>
                  <w:vMerge w:val="continue"/>
                  <w:vAlign w:val="center"/>
                </w:tcPr>
                <w:p>
                  <w:pPr>
                    <w:pStyle w:val="46"/>
                    <w:rPr>
                      <w:rFonts w:hint="default" w:ascii="Times New Roman" w:hAnsi="Times New Roman" w:eastAsia="宋体" w:cs="Times New Roman"/>
                      <w:color w:val="auto"/>
                    </w:rPr>
                  </w:pPr>
                </w:p>
              </w:tc>
              <w:tc>
                <w:tcPr>
                  <w:tcW w:w="1159"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浓度限值</w:t>
                  </w:r>
                </w:p>
              </w:tc>
              <w:tc>
                <w:tcPr>
                  <w:tcW w:w="200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标准名称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852"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印刷废气、清洗废气</w:t>
                  </w:r>
                </w:p>
              </w:tc>
              <w:tc>
                <w:tcPr>
                  <w:tcW w:w="1069"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VOCs</w:t>
                  </w:r>
                </w:p>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（有组织）</w:t>
                  </w:r>
                </w:p>
              </w:tc>
              <w:tc>
                <w:tcPr>
                  <w:tcW w:w="1130"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0.006</w:t>
                  </w:r>
                </w:p>
              </w:tc>
              <w:tc>
                <w:tcPr>
                  <w:tcW w:w="1224" w:type="dxa"/>
                  <w:gridSpan w:val="4"/>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0.248</w:t>
                  </w:r>
                </w:p>
              </w:tc>
              <w:tc>
                <w:tcPr>
                  <w:tcW w:w="98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0.006</w:t>
                  </w:r>
                </w:p>
              </w:tc>
              <w:tc>
                <w:tcPr>
                  <w:tcW w:w="1159"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80</w:t>
                  </w:r>
                </w:p>
              </w:tc>
              <w:tc>
                <w:tcPr>
                  <w:tcW w:w="2003"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广东省《印刷行业挥发性有机化合物排放标准》（DB44/815-2010）中第Ⅱ时段及表3无组织排放监控点浓度限值标准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852" w:type="dxa"/>
                  <w:vMerge w:val="continue"/>
                  <w:vAlign w:val="center"/>
                </w:tcPr>
                <w:p>
                  <w:pPr>
                    <w:pStyle w:val="46"/>
                    <w:rPr>
                      <w:rFonts w:hint="default" w:ascii="Times New Roman" w:hAnsi="Times New Roman" w:eastAsia="宋体" w:cs="Times New Roman"/>
                      <w:color w:val="auto"/>
                    </w:rPr>
                  </w:pPr>
                </w:p>
              </w:tc>
              <w:tc>
                <w:tcPr>
                  <w:tcW w:w="1069"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VOCs</w:t>
                  </w:r>
                </w:p>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（无组织）</w:t>
                  </w:r>
                </w:p>
              </w:tc>
              <w:tc>
                <w:tcPr>
                  <w:tcW w:w="1130"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0.002</w:t>
                  </w:r>
                </w:p>
              </w:tc>
              <w:tc>
                <w:tcPr>
                  <w:tcW w:w="1224" w:type="dxa"/>
                  <w:gridSpan w:val="4"/>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83" w:type="dxa"/>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0.002</w:t>
                  </w:r>
                </w:p>
              </w:tc>
              <w:tc>
                <w:tcPr>
                  <w:tcW w:w="1159"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2.0</w:t>
                  </w:r>
                </w:p>
              </w:tc>
              <w:tc>
                <w:tcPr>
                  <w:tcW w:w="2003" w:type="dxa"/>
                  <w:vMerge w:val="continue"/>
                  <w:vAlign w:val="center"/>
                </w:tcPr>
                <w:p>
                  <w:pPr>
                    <w:pStyle w:val="46"/>
                    <w:rPr>
                      <w:rFonts w:hint="default" w:ascii="Times New Roman" w:hAnsi="Times New Roman"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9"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固体废物利用处置要求</w:t>
                  </w:r>
                </w:p>
              </w:tc>
              <w:tc>
                <w:tcPr>
                  <w:tcW w:w="8420" w:type="dxa"/>
                  <w:gridSpan w:val="13"/>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固体废物利用处置要求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2325" w:type="dxa"/>
                  <w:gridSpan w:val="4"/>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名称</w:t>
                  </w:r>
                </w:p>
              </w:tc>
              <w:tc>
                <w:tcPr>
                  <w:tcW w:w="1315" w:type="dxa"/>
                  <w:gridSpan w:val="3"/>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产生量(t/a）</w:t>
                  </w:r>
                </w:p>
              </w:tc>
              <w:tc>
                <w:tcPr>
                  <w:tcW w:w="1720" w:type="dxa"/>
                  <w:gridSpan w:val="4"/>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处置方式</w:t>
                  </w:r>
                </w:p>
              </w:tc>
              <w:tc>
                <w:tcPr>
                  <w:tcW w:w="3060"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标注名称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852"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危险废物</w:t>
                  </w:r>
                </w:p>
              </w:tc>
              <w:tc>
                <w:tcPr>
                  <w:tcW w:w="1473" w:type="dxa"/>
                  <w:gridSpan w:val="3"/>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废抹布</w:t>
                  </w:r>
                </w:p>
              </w:tc>
              <w:tc>
                <w:tcPr>
                  <w:tcW w:w="1315" w:type="dxa"/>
                  <w:gridSpan w:val="3"/>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0.03</w:t>
                  </w:r>
                </w:p>
              </w:tc>
              <w:tc>
                <w:tcPr>
                  <w:tcW w:w="1720" w:type="dxa"/>
                  <w:gridSpan w:val="4"/>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由危废资质单位回收处理</w:t>
                  </w:r>
                </w:p>
              </w:tc>
              <w:tc>
                <w:tcPr>
                  <w:tcW w:w="3060" w:type="dxa"/>
                  <w:gridSpan w:val="2"/>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《危险废物贮存污染控制标准》（GB18597-2001）及其2013修改单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852" w:type="dxa"/>
                  <w:vMerge w:val="continue"/>
                  <w:vAlign w:val="center"/>
                </w:tcPr>
                <w:p>
                  <w:pPr>
                    <w:pStyle w:val="46"/>
                    <w:rPr>
                      <w:rFonts w:hint="default" w:ascii="Times New Roman" w:hAnsi="Times New Roman" w:eastAsia="宋体" w:cs="Times New Roman"/>
                      <w:color w:val="auto"/>
                    </w:rPr>
                  </w:pPr>
                </w:p>
              </w:tc>
              <w:tc>
                <w:tcPr>
                  <w:tcW w:w="1473" w:type="dxa"/>
                  <w:gridSpan w:val="3"/>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废活性炭</w:t>
                  </w:r>
                </w:p>
              </w:tc>
              <w:tc>
                <w:tcPr>
                  <w:tcW w:w="1315" w:type="dxa"/>
                  <w:gridSpan w:val="3"/>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0.16</w:t>
                  </w:r>
                </w:p>
              </w:tc>
              <w:tc>
                <w:tcPr>
                  <w:tcW w:w="1720" w:type="dxa"/>
                  <w:gridSpan w:val="4"/>
                  <w:vMerge w:val="continue"/>
                  <w:vAlign w:val="center"/>
                </w:tcPr>
                <w:p>
                  <w:pPr>
                    <w:pStyle w:val="46"/>
                    <w:rPr>
                      <w:rFonts w:hint="default" w:ascii="Times New Roman" w:hAnsi="Times New Roman" w:eastAsia="宋体" w:cs="Times New Roman"/>
                      <w:color w:val="auto"/>
                    </w:rPr>
                  </w:pPr>
                </w:p>
              </w:tc>
              <w:tc>
                <w:tcPr>
                  <w:tcW w:w="3060" w:type="dxa"/>
                  <w:gridSpan w:val="2"/>
                  <w:vMerge w:val="continue"/>
                  <w:vAlign w:val="center"/>
                </w:tcPr>
                <w:p>
                  <w:pPr>
                    <w:pStyle w:val="46"/>
                    <w:rPr>
                      <w:rFonts w:hint="default" w:ascii="Times New Roman" w:hAnsi="Times New Roman"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852"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一般工业固废</w:t>
                  </w:r>
                </w:p>
              </w:tc>
              <w:tc>
                <w:tcPr>
                  <w:tcW w:w="1473" w:type="dxa"/>
                  <w:gridSpan w:val="3"/>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废边角料</w:t>
                  </w:r>
                </w:p>
              </w:tc>
              <w:tc>
                <w:tcPr>
                  <w:tcW w:w="1315" w:type="dxa"/>
                  <w:gridSpan w:val="3"/>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0.1</w:t>
                  </w:r>
                </w:p>
              </w:tc>
              <w:tc>
                <w:tcPr>
                  <w:tcW w:w="1720" w:type="dxa"/>
                  <w:gridSpan w:val="4"/>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外售废品回收商处理</w:t>
                  </w:r>
                </w:p>
              </w:tc>
              <w:tc>
                <w:tcPr>
                  <w:tcW w:w="3060" w:type="dxa"/>
                  <w:gridSpan w:val="2"/>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《一般工业固体废物贮存、处置场污染控制标准》（GB18599- 2001）及其2013修改单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852" w:type="dxa"/>
                  <w:vMerge w:val="continue"/>
                  <w:vAlign w:val="center"/>
                </w:tcPr>
                <w:p>
                  <w:pPr>
                    <w:pStyle w:val="46"/>
                    <w:rPr>
                      <w:rFonts w:hint="default" w:ascii="Times New Roman" w:hAnsi="Times New Roman" w:eastAsia="宋体" w:cs="Times New Roman"/>
                      <w:color w:val="auto"/>
                    </w:rPr>
                  </w:pPr>
                </w:p>
              </w:tc>
              <w:tc>
                <w:tcPr>
                  <w:tcW w:w="1473" w:type="dxa"/>
                  <w:gridSpan w:val="3"/>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废包装材料</w:t>
                  </w:r>
                </w:p>
              </w:tc>
              <w:tc>
                <w:tcPr>
                  <w:tcW w:w="1315" w:type="dxa"/>
                  <w:gridSpan w:val="3"/>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0.05</w:t>
                  </w:r>
                </w:p>
              </w:tc>
              <w:tc>
                <w:tcPr>
                  <w:tcW w:w="1720" w:type="dxa"/>
                  <w:gridSpan w:val="4"/>
                  <w:vMerge w:val="continue"/>
                  <w:vAlign w:val="center"/>
                </w:tcPr>
                <w:p>
                  <w:pPr>
                    <w:pStyle w:val="46"/>
                    <w:rPr>
                      <w:rFonts w:hint="default" w:ascii="Times New Roman" w:hAnsi="Times New Roman" w:eastAsia="宋体" w:cs="Times New Roman"/>
                      <w:color w:val="auto"/>
                    </w:rPr>
                  </w:pPr>
                </w:p>
              </w:tc>
              <w:tc>
                <w:tcPr>
                  <w:tcW w:w="3060" w:type="dxa"/>
                  <w:gridSpan w:val="2"/>
                  <w:vMerge w:val="continue"/>
                  <w:vAlign w:val="center"/>
                </w:tcPr>
                <w:p>
                  <w:pPr>
                    <w:pStyle w:val="46"/>
                    <w:rPr>
                      <w:rFonts w:hint="default" w:ascii="Times New Roman" w:hAnsi="Times New Roman"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852" w:type="dxa"/>
                  <w:vMerge w:val="continue"/>
                  <w:vAlign w:val="center"/>
                </w:tcPr>
                <w:p>
                  <w:pPr>
                    <w:pStyle w:val="46"/>
                    <w:rPr>
                      <w:rFonts w:hint="default" w:ascii="Times New Roman" w:hAnsi="Times New Roman" w:eastAsia="宋体" w:cs="Times New Roman"/>
                      <w:color w:val="auto"/>
                    </w:rPr>
                  </w:pPr>
                </w:p>
              </w:tc>
              <w:tc>
                <w:tcPr>
                  <w:tcW w:w="1473" w:type="dxa"/>
                  <w:gridSpan w:val="3"/>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废PS版</w:t>
                  </w:r>
                </w:p>
              </w:tc>
              <w:tc>
                <w:tcPr>
                  <w:tcW w:w="1315" w:type="dxa"/>
                  <w:gridSpan w:val="3"/>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500张</w:t>
                  </w:r>
                </w:p>
              </w:tc>
              <w:tc>
                <w:tcPr>
                  <w:tcW w:w="1720" w:type="dxa"/>
                  <w:gridSpan w:val="4"/>
                  <w:vMerge w:val="continue"/>
                  <w:vAlign w:val="center"/>
                </w:tcPr>
                <w:p>
                  <w:pPr>
                    <w:pStyle w:val="46"/>
                    <w:rPr>
                      <w:rFonts w:hint="default" w:ascii="Times New Roman" w:hAnsi="Times New Roman" w:eastAsia="宋体" w:cs="Times New Roman"/>
                      <w:color w:val="auto"/>
                    </w:rPr>
                  </w:pPr>
                </w:p>
              </w:tc>
              <w:tc>
                <w:tcPr>
                  <w:tcW w:w="3060" w:type="dxa"/>
                  <w:gridSpan w:val="2"/>
                  <w:vMerge w:val="continue"/>
                  <w:vAlign w:val="center"/>
                </w:tcPr>
                <w:p>
                  <w:pPr>
                    <w:pStyle w:val="46"/>
                    <w:rPr>
                      <w:rFonts w:hint="default" w:ascii="Times New Roman" w:hAnsi="Times New Roman"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852" w:type="dxa"/>
                  <w:vMerge w:val="continue"/>
                  <w:vAlign w:val="center"/>
                </w:tcPr>
                <w:p>
                  <w:pPr>
                    <w:pStyle w:val="46"/>
                    <w:rPr>
                      <w:rFonts w:hint="default" w:ascii="Times New Roman" w:hAnsi="Times New Roman" w:eastAsia="宋体" w:cs="Times New Roman"/>
                      <w:color w:val="auto"/>
                    </w:rPr>
                  </w:pPr>
                </w:p>
              </w:tc>
              <w:tc>
                <w:tcPr>
                  <w:tcW w:w="1473" w:type="dxa"/>
                  <w:gridSpan w:val="3"/>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废钉线</w:t>
                  </w:r>
                </w:p>
              </w:tc>
              <w:tc>
                <w:tcPr>
                  <w:tcW w:w="1315" w:type="dxa"/>
                  <w:gridSpan w:val="3"/>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0.01</w:t>
                  </w:r>
                </w:p>
              </w:tc>
              <w:tc>
                <w:tcPr>
                  <w:tcW w:w="1720" w:type="dxa"/>
                  <w:gridSpan w:val="4"/>
                  <w:vMerge w:val="continue"/>
                  <w:vAlign w:val="center"/>
                </w:tcPr>
                <w:p>
                  <w:pPr>
                    <w:pStyle w:val="46"/>
                    <w:rPr>
                      <w:rFonts w:hint="default" w:ascii="Times New Roman" w:hAnsi="Times New Roman" w:eastAsia="宋体" w:cs="Times New Roman"/>
                      <w:color w:val="auto"/>
                    </w:rPr>
                  </w:pPr>
                </w:p>
              </w:tc>
              <w:tc>
                <w:tcPr>
                  <w:tcW w:w="3060" w:type="dxa"/>
                  <w:gridSpan w:val="2"/>
                  <w:vMerge w:val="continue"/>
                  <w:vAlign w:val="center"/>
                </w:tcPr>
                <w:p>
                  <w:pPr>
                    <w:pStyle w:val="46"/>
                    <w:rPr>
                      <w:rFonts w:hint="default" w:ascii="Times New Roman" w:hAnsi="Times New Roman"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2325" w:type="dxa"/>
                  <w:gridSpan w:val="4"/>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生活垃圾</w:t>
                  </w:r>
                </w:p>
              </w:tc>
              <w:tc>
                <w:tcPr>
                  <w:tcW w:w="1315" w:type="dxa"/>
                  <w:gridSpan w:val="3"/>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0.93</w:t>
                  </w:r>
                </w:p>
              </w:tc>
              <w:tc>
                <w:tcPr>
                  <w:tcW w:w="1720" w:type="dxa"/>
                  <w:gridSpan w:val="4"/>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环卫部门每日统一清运</w:t>
                  </w:r>
                </w:p>
              </w:tc>
              <w:tc>
                <w:tcPr>
                  <w:tcW w:w="3060"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符合环保要求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579"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噪声排放控制要求</w:t>
                  </w:r>
                </w:p>
              </w:tc>
              <w:tc>
                <w:tcPr>
                  <w:tcW w:w="2325" w:type="dxa"/>
                  <w:gridSpan w:val="4"/>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厂界外声环境功能区类型</w:t>
                  </w:r>
                </w:p>
              </w:tc>
              <w:tc>
                <w:tcPr>
                  <w:tcW w:w="6095" w:type="dxa"/>
                  <w:gridSpan w:val="9"/>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工业企业厂界噪声排放标准dB(A)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2325" w:type="dxa"/>
                  <w:gridSpan w:val="4"/>
                  <w:vMerge w:val="continue"/>
                  <w:vAlign w:val="center"/>
                </w:tcPr>
                <w:p>
                  <w:pPr>
                    <w:pStyle w:val="46"/>
                    <w:rPr>
                      <w:rFonts w:hint="default" w:ascii="Times New Roman" w:hAnsi="Times New Roman" w:eastAsia="宋体" w:cs="Times New Roman"/>
                      <w:color w:val="auto"/>
                    </w:rPr>
                  </w:pPr>
                </w:p>
              </w:tc>
              <w:tc>
                <w:tcPr>
                  <w:tcW w:w="3035" w:type="dxa"/>
                  <w:gridSpan w:val="7"/>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昼间</w:t>
                  </w:r>
                </w:p>
              </w:tc>
              <w:tc>
                <w:tcPr>
                  <w:tcW w:w="3060"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2"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2325" w:type="dxa"/>
                  <w:gridSpan w:val="4"/>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2类</w:t>
                  </w:r>
                </w:p>
              </w:tc>
              <w:tc>
                <w:tcPr>
                  <w:tcW w:w="3035" w:type="dxa"/>
                  <w:gridSpan w:val="7"/>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60</w:t>
                  </w:r>
                </w:p>
              </w:tc>
              <w:tc>
                <w:tcPr>
                  <w:tcW w:w="3060" w:type="dxa"/>
                  <w:gridSpan w:val="2"/>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579" w:type="dxa"/>
                  <w:vMerge w:val="restart"/>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污染治理措施</w:t>
                  </w:r>
                </w:p>
              </w:tc>
              <w:tc>
                <w:tcPr>
                  <w:tcW w:w="2325" w:type="dxa"/>
                  <w:gridSpan w:val="4"/>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污染物名称</w:t>
                  </w:r>
                </w:p>
              </w:tc>
              <w:tc>
                <w:tcPr>
                  <w:tcW w:w="6095" w:type="dxa"/>
                  <w:gridSpan w:val="9"/>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治理措施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2325" w:type="dxa"/>
                  <w:gridSpan w:val="4"/>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生活污水</w:t>
                  </w:r>
                </w:p>
              </w:tc>
              <w:tc>
                <w:tcPr>
                  <w:tcW w:w="6095" w:type="dxa"/>
                  <w:gridSpan w:val="9"/>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生活污水经三级化粪池沤肥处理后委托农户定期清运回用于农田灌溉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2325" w:type="dxa"/>
                  <w:gridSpan w:val="4"/>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废气</w:t>
                  </w:r>
                </w:p>
              </w:tc>
              <w:tc>
                <w:tcPr>
                  <w:tcW w:w="6095" w:type="dxa"/>
                  <w:gridSpan w:val="9"/>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有机废气经集气罩收集，通过“活性炭吸附”处理后由15m高P1排气筒排放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2325" w:type="dxa"/>
                  <w:gridSpan w:val="4"/>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噪声</w:t>
                  </w:r>
                </w:p>
              </w:tc>
              <w:tc>
                <w:tcPr>
                  <w:tcW w:w="6095" w:type="dxa"/>
                  <w:gridSpan w:val="9"/>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采取隔声、减振、距离衰减等处理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579" w:type="dxa"/>
                  <w:vMerge w:val="continue"/>
                  <w:vAlign w:val="center"/>
                </w:tcPr>
                <w:p>
                  <w:pPr>
                    <w:pStyle w:val="46"/>
                    <w:rPr>
                      <w:rFonts w:hint="default" w:ascii="Times New Roman" w:hAnsi="Times New Roman" w:eastAsia="宋体" w:cs="Times New Roman"/>
                      <w:color w:val="auto"/>
                    </w:rPr>
                  </w:pPr>
                </w:p>
              </w:tc>
              <w:tc>
                <w:tcPr>
                  <w:tcW w:w="2325" w:type="dxa"/>
                  <w:gridSpan w:val="4"/>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固废</w:t>
                  </w:r>
                </w:p>
              </w:tc>
              <w:tc>
                <w:tcPr>
                  <w:tcW w:w="6095" w:type="dxa"/>
                  <w:gridSpan w:val="9"/>
                  <w:vAlign w:val="center"/>
                </w:tcPr>
                <w:p>
                  <w:pPr>
                    <w:pStyle w:val="46"/>
                    <w:rPr>
                      <w:rFonts w:hint="default" w:ascii="Times New Roman" w:hAnsi="Times New Roman" w:eastAsia="宋体" w:cs="Times New Roman"/>
                      <w:color w:val="auto"/>
                    </w:rPr>
                  </w:pPr>
                  <w:r>
                    <w:rPr>
                      <w:rFonts w:hint="default" w:ascii="Times New Roman" w:hAnsi="Times New Roman" w:eastAsia="宋体" w:cs="Times New Roman"/>
                      <w:color w:val="auto"/>
                    </w:rPr>
                    <w:t>生活垃圾收集后由环卫部门及时清运；一般工业固废通过外售综合处理；危险废物交由有危险废物处理资质的单位处理。</w:t>
                  </w:r>
                </w:p>
              </w:tc>
            </w:tr>
          </w:tbl>
          <w:p>
            <w:pPr>
              <w:numPr>
                <w:ilvl w:val="0"/>
                <w:numId w:val="18"/>
              </w:numPr>
              <w:spacing w:before="120"/>
              <w:ind w:firstLine="0" w:firstLineChars="0"/>
              <w:rPr>
                <w:rFonts w:hint="default" w:ascii="Times New Roman" w:hAnsi="Times New Roman" w:eastAsia="宋体" w:cs="Times New Roman"/>
                <w:b/>
              </w:rPr>
            </w:pPr>
            <w:bookmarkStart w:id="14" w:name="_Toc360458322"/>
            <w:bookmarkStart w:id="15" w:name="_Toc354477601"/>
            <w:bookmarkStart w:id="16" w:name="_Toc360458023"/>
            <w:bookmarkStart w:id="17" w:name="_Toc360458197"/>
            <w:bookmarkStart w:id="18" w:name="_Toc306977043"/>
            <w:r>
              <w:rPr>
                <w:rFonts w:hint="default" w:ascii="Times New Roman" w:hAnsi="Times New Roman" w:eastAsia="宋体" w:cs="Times New Roman"/>
                <w:b/>
                <w:lang w:val="en-US" w:eastAsia="zh-CN"/>
              </w:rPr>
              <w:t>运营期环境监测</w:t>
            </w:r>
          </w:p>
          <w:p>
            <w:pPr>
              <w:ind w:firstLine="480"/>
              <w:rPr>
                <w:rFonts w:hint="default" w:ascii="Times New Roman" w:hAnsi="Times New Roman" w:eastAsia="宋体" w:cs="Times New Roman"/>
                <w:lang w:val="en-US" w:eastAsia="zh-CN"/>
              </w:rPr>
            </w:pPr>
            <w:r>
              <w:rPr>
                <w:rFonts w:hint="default" w:ascii="Times New Roman" w:hAnsi="Times New Roman" w:eastAsia="宋体" w:cs="Times New Roman"/>
              </w:rPr>
              <w:t>为了保证项目运行过程各种排污行为能够实现达标排放，不对环境造成太大的不利影响，须制定全面的污染源监测监控计划，对项目处理设施进行监测，确保环境质量不因工程建设而恶化。根据《排污许可证申请与核发技术规范印刷工业》(HJ1066-2019)，本项目1#排气筒属于一般排放口，废气监测频次取1次/年。根据《排污单位自行监测技江门市蓝盾环保科技有限公司51术指南总则》(HJ819-2017)，本项目噪声监测频次取1次/季度。本工程运行期环境监测计划见</w:t>
            </w:r>
            <w:r>
              <w:rPr>
                <w:rFonts w:hint="default" w:ascii="Times New Roman" w:hAnsi="Times New Roman" w:eastAsia="宋体" w:cs="Times New Roman"/>
                <w:lang w:val="en-US" w:eastAsia="zh-CN"/>
              </w:rPr>
              <w:t>下表。</w:t>
            </w:r>
          </w:p>
          <w:p>
            <w:pPr>
              <w:pStyle w:val="28"/>
              <w:jc w:val="center"/>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表2-22 运营期污染源监测计划</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9"/>
              <w:gridCol w:w="2857"/>
              <w:gridCol w:w="2585"/>
              <w:gridCol w:w="23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9" w:type="pct"/>
                  <w:vAlign w:val="center"/>
                </w:tcPr>
                <w:p>
                  <w:pPr>
                    <w:pStyle w:val="45"/>
                    <w:bidi w:val="0"/>
                    <w:jc w:val="center"/>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项目</w:t>
                  </w:r>
                </w:p>
              </w:tc>
              <w:tc>
                <w:tcPr>
                  <w:tcW w:w="1527" w:type="pct"/>
                  <w:vAlign w:val="center"/>
                </w:tcPr>
                <w:p>
                  <w:pPr>
                    <w:pStyle w:val="45"/>
                    <w:bidi w:val="0"/>
                    <w:jc w:val="center"/>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内容</w:t>
                  </w:r>
                </w:p>
              </w:tc>
              <w:tc>
                <w:tcPr>
                  <w:tcW w:w="1382" w:type="pct"/>
                  <w:vAlign w:val="center"/>
                </w:tcPr>
                <w:p>
                  <w:pPr>
                    <w:pStyle w:val="45"/>
                    <w:bidi w:val="0"/>
                    <w:jc w:val="center"/>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监测因子</w:t>
                  </w:r>
                </w:p>
              </w:tc>
              <w:tc>
                <w:tcPr>
                  <w:tcW w:w="1250" w:type="pct"/>
                  <w:vAlign w:val="center"/>
                </w:tcPr>
                <w:p>
                  <w:pPr>
                    <w:pStyle w:val="45"/>
                    <w:bidi w:val="0"/>
                    <w:jc w:val="center"/>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9" w:type="pct"/>
                  <w:vMerge w:val="restart"/>
                  <w:vAlign w:val="center"/>
                </w:tcPr>
                <w:p>
                  <w:pPr>
                    <w:pStyle w:val="45"/>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废气</w:t>
                  </w:r>
                </w:p>
              </w:tc>
              <w:tc>
                <w:tcPr>
                  <w:tcW w:w="1527" w:type="pct"/>
                  <w:vAlign w:val="center"/>
                </w:tcPr>
                <w:p>
                  <w:pPr>
                    <w:pStyle w:val="45"/>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排气筒P1</w:t>
                  </w:r>
                </w:p>
              </w:tc>
              <w:tc>
                <w:tcPr>
                  <w:tcW w:w="1382" w:type="pct"/>
                  <w:vAlign w:val="center"/>
                </w:tcPr>
                <w:p>
                  <w:pPr>
                    <w:pStyle w:val="45"/>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VOCs</w:t>
                  </w:r>
                </w:p>
              </w:tc>
              <w:tc>
                <w:tcPr>
                  <w:tcW w:w="1250" w:type="pct"/>
                  <w:vAlign w:val="center"/>
                </w:tcPr>
                <w:p>
                  <w:pPr>
                    <w:pStyle w:val="45"/>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每年1次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9" w:type="pct"/>
                  <w:vMerge w:val="continue"/>
                  <w:vAlign w:val="center"/>
                </w:tcPr>
                <w:p>
                  <w:pPr>
                    <w:pStyle w:val="45"/>
                    <w:bidi w:val="0"/>
                    <w:jc w:val="center"/>
                    <w:rPr>
                      <w:rFonts w:hint="default" w:ascii="Times New Roman" w:hAnsi="Times New Roman" w:eastAsia="宋体" w:cs="Times New Roman"/>
                      <w:lang w:val="en-US" w:eastAsia="zh-CN"/>
                    </w:rPr>
                  </w:pPr>
                </w:p>
              </w:tc>
              <w:tc>
                <w:tcPr>
                  <w:tcW w:w="1527" w:type="pct"/>
                  <w:vAlign w:val="center"/>
                </w:tcPr>
                <w:p>
                  <w:pPr>
                    <w:pStyle w:val="45"/>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厂界无组织监测点</w:t>
                  </w:r>
                </w:p>
              </w:tc>
              <w:tc>
                <w:tcPr>
                  <w:tcW w:w="1382" w:type="pct"/>
                  <w:vAlign w:val="center"/>
                </w:tcPr>
                <w:p>
                  <w:pPr>
                    <w:pStyle w:val="45"/>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VOCs</w:t>
                  </w:r>
                </w:p>
              </w:tc>
              <w:tc>
                <w:tcPr>
                  <w:tcW w:w="1250" w:type="pct"/>
                  <w:vAlign w:val="center"/>
                </w:tcPr>
                <w:p>
                  <w:pPr>
                    <w:pStyle w:val="45"/>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每年1次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9" w:type="pct"/>
                  <w:vAlign w:val="center"/>
                </w:tcPr>
                <w:p>
                  <w:pPr>
                    <w:pStyle w:val="45"/>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噪声</w:t>
                  </w:r>
                </w:p>
              </w:tc>
              <w:tc>
                <w:tcPr>
                  <w:tcW w:w="1527" w:type="pct"/>
                  <w:vAlign w:val="center"/>
                </w:tcPr>
                <w:p>
                  <w:pPr>
                    <w:pStyle w:val="45"/>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项目边界噪声</w:t>
                  </w:r>
                </w:p>
              </w:tc>
              <w:tc>
                <w:tcPr>
                  <w:tcW w:w="1382" w:type="pct"/>
                  <w:vAlign w:val="center"/>
                </w:tcPr>
                <w:p>
                  <w:pPr>
                    <w:pStyle w:val="45"/>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等效A声级</w:t>
                  </w:r>
                </w:p>
              </w:tc>
              <w:tc>
                <w:tcPr>
                  <w:tcW w:w="1250" w:type="pct"/>
                  <w:vAlign w:val="center"/>
                </w:tcPr>
                <w:p>
                  <w:pPr>
                    <w:pStyle w:val="45"/>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每季度1次、昼间监测</w:t>
                  </w:r>
                </w:p>
              </w:tc>
            </w:tr>
          </w:tbl>
          <w:p>
            <w:pPr>
              <w:rPr>
                <w:rFonts w:hint="default" w:ascii="Times New Roman" w:hAnsi="Times New Roman" w:eastAsia="宋体" w:cs="Times New Roman"/>
                <w:lang w:eastAsia="zh-CN"/>
              </w:rPr>
            </w:pPr>
            <w:r>
              <w:rPr>
                <w:rFonts w:hint="default" w:ascii="Times New Roman" w:hAnsi="Times New Roman" w:eastAsia="宋体" w:cs="Times New Roman"/>
                <w:lang w:eastAsia="zh-CN"/>
              </w:rPr>
              <w:t>上述监测内容若企业不具备监测条件，须委托有资质的环境检测单位监测，监测结果以报告书形式上报当地环保部门。项目应建立环境监测档案，以便发现事故时，可以及时查明事故发生的原因，使污染事故能够得到及时处理。</w:t>
            </w:r>
          </w:p>
          <w:p>
            <w:pPr>
              <w:numPr>
                <w:ilvl w:val="0"/>
                <w:numId w:val="18"/>
              </w:numPr>
              <w:spacing w:before="120"/>
              <w:ind w:firstLine="0" w:firstLineChars="0"/>
              <w:rPr>
                <w:rFonts w:hint="default" w:ascii="Times New Roman" w:hAnsi="Times New Roman" w:eastAsia="宋体" w:cs="Times New Roman"/>
                <w:b/>
              </w:rPr>
            </w:pPr>
            <w:r>
              <w:rPr>
                <w:rFonts w:hint="default" w:ascii="Times New Roman" w:hAnsi="Times New Roman" w:eastAsia="宋体" w:cs="Times New Roman"/>
                <w:b/>
              </w:rPr>
              <w:t>对排污口规范化的要求</w:t>
            </w:r>
            <w:bookmarkEnd w:id="14"/>
            <w:bookmarkEnd w:id="15"/>
            <w:bookmarkEnd w:id="16"/>
            <w:bookmarkEnd w:id="17"/>
            <w:bookmarkEnd w:id="18"/>
          </w:p>
          <w:p>
            <w:pPr>
              <w:ind w:firstLine="480"/>
              <w:rPr>
                <w:rFonts w:hint="default" w:ascii="Times New Roman" w:hAnsi="Times New Roman" w:eastAsia="宋体" w:cs="Times New Roman"/>
              </w:rPr>
            </w:pPr>
            <w:r>
              <w:rPr>
                <w:rFonts w:hint="default" w:ascii="Times New Roman" w:hAnsi="Times New Roman" w:eastAsia="宋体" w:cs="Times New Roman"/>
              </w:rPr>
              <w:t>依据国家标准《环境保护图形标志—排放口（源）》和国家环保局《排污口规范化整治要求（试行）》的技术要求，所有排污口（包括水、渣、气、声），必须按照“便于采样、便于计量监测、便于日常现场监督检查”的原则和规范化要求，设置与之相适应的环境保护图形标志牌，绘制企业排污口分布图。同时对治理设施安装运行监控装置。排污口的规范化要求如下：</w:t>
            </w:r>
          </w:p>
          <w:p>
            <w:pPr>
              <w:tabs>
                <w:tab w:val="left" w:pos="3135"/>
              </w:tabs>
              <w:ind w:firstLine="482"/>
              <w:rPr>
                <w:rFonts w:hint="default" w:ascii="Times New Roman" w:hAnsi="Times New Roman" w:eastAsia="宋体" w:cs="Times New Roman"/>
                <w:b/>
                <w:bCs/>
              </w:rPr>
            </w:pPr>
            <w:r>
              <w:rPr>
                <w:rFonts w:hint="default" w:ascii="Times New Roman" w:hAnsi="Times New Roman" w:eastAsia="宋体" w:cs="Times New Roman"/>
                <w:b/>
                <w:bCs/>
              </w:rPr>
              <w:t>（1）废水排放口</w:t>
            </w:r>
          </w:p>
          <w:p>
            <w:pPr>
              <w:ind w:firstLine="480"/>
              <w:rPr>
                <w:rFonts w:hint="default" w:ascii="Times New Roman" w:hAnsi="Times New Roman" w:eastAsia="宋体" w:cs="Times New Roman"/>
              </w:rPr>
            </w:pPr>
            <w:r>
              <w:rPr>
                <w:rFonts w:hint="default" w:ascii="Times New Roman" w:hAnsi="Times New Roman" w:eastAsia="宋体" w:cs="Times New Roman"/>
              </w:rPr>
              <w:t>项目废水排污口原则上只设一个，排污口位置根据实际地形位置和污染物的种类情况确定。项目生活污水回用于农田灌溉、无生产废水排放，因此本项目建成后将在厂内设有一个废（污）水总排口。</w:t>
            </w:r>
          </w:p>
          <w:p>
            <w:pPr>
              <w:tabs>
                <w:tab w:val="left" w:pos="3135"/>
              </w:tabs>
              <w:ind w:firstLine="482"/>
              <w:rPr>
                <w:rFonts w:hint="default" w:ascii="Times New Roman" w:hAnsi="Times New Roman" w:eastAsia="宋体" w:cs="Times New Roman"/>
                <w:b/>
                <w:bCs/>
              </w:rPr>
            </w:pPr>
            <w:r>
              <w:rPr>
                <w:rFonts w:hint="default" w:ascii="Times New Roman" w:hAnsi="Times New Roman" w:eastAsia="宋体" w:cs="Times New Roman"/>
                <w:b/>
                <w:bCs/>
              </w:rPr>
              <w:t>（2）废气排放口</w:t>
            </w:r>
          </w:p>
          <w:p>
            <w:pPr>
              <w:ind w:firstLine="480"/>
              <w:rPr>
                <w:rFonts w:hint="default" w:ascii="Times New Roman" w:hAnsi="Times New Roman" w:eastAsia="宋体" w:cs="Times New Roman"/>
              </w:rPr>
            </w:pPr>
            <w:r>
              <w:rPr>
                <w:rFonts w:hint="default" w:ascii="Times New Roman" w:hAnsi="Times New Roman" w:eastAsia="宋体" w:cs="Times New Roman"/>
              </w:rPr>
              <w:t>废气排放口必须符合规定的高度和按《污染源监测技术规范》便于采样、监测的要求，废气排放口设置高度不小于15m，直径不小于75mm采样口。</w:t>
            </w:r>
          </w:p>
          <w:p>
            <w:pPr>
              <w:adjustRightInd w:val="0"/>
              <w:snapToGrid w:val="0"/>
              <w:ind w:firstLine="482"/>
              <w:rPr>
                <w:rFonts w:hint="default" w:ascii="Times New Roman" w:hAnsi="Times New Roman" w:eastAsia="宋体" w:cs="Times New Roman"/>
                <w:b/>
              </w:rPr>
            </w:pPr>
            <w:r>
              <w:rPr>
                <w:rFonts w:hint="default" w:ascii="Times New Roman" w:hAnsi="Times New Roman" w:eastAsia="宋体" w:cs="Times New Roman"/>
                <w:b/>
              </w:rPr>
              <w:t>（3）固定噪声排放源</w:t>
            </w:r>
          </w:p>
          <w:p>
            <w:pPr>
              <w:ind w:firstLine="480"/>
              <w:rPr>
                <w:rFonts w:hint="default" w:ascii="Times New Roman" w:hAnsi="Times New Roman" w:eastAsia="宋体" w:cs="Times New Roman"/>
              </w:rPr>
            </w:pPr>
            <w:r>
              <w:rPr>
                <w:rFonts w:hint="default" w:ascii="Times New Roman" w:hAnsi="Times New Roman" w:eastAsia="宋体" w:cs="Times New Roman"/>
              </w:rPr>
              <w:t>按规定对固定噪声源进行治理，并在边界噪声敏感点且对外界影响最大处设置标志牌。</w:t>
            </w:r>
          </w:p>
          <w:p>
            <w:pPr>
              <w:adjustRightInd w:val="0"/>
              <w:snapToGrid w:val="0"/>
              <w:ind w:firstLine="482"/>
              <w:rPr>
                <w:rFonts w:hint="default" w:ascii="Times New Roman" w:hAnsi="Times New Roman" w:eastAsia="宋体" w:cs="Times New Roman"/>
                <w:b/>
              </w:rPr>
            </w:pPr>
            <w:r>
              <w:rPr>
                <w:rFonts w:hint="default" w:ascii="Times New Roman" w:hAnsi="Times New Roman" w:eastAsia="宋体" w:cs="Times New Roman"/>
                <w:b/>
              </w:rPr>
              <w:t>（4）固体废弃物贮存（处置）场</w:t>
            </w:r>
          </w:p>
          <w:p>
            <w:pPr>
              <w:ind w:firstLine="480"/>
              <w:rPr>
                <w:rFonts w:hint="default" w:ascii="Times New Roman" w:hAnsi="Times New Roman" w:eastAsia="宋体" w:cs="Times New Roman"/>
              </w:rPr>
            </w:pPr>
            <w:r>
              <w:rPr>
                <w:rFonts w:hint="default" w:ascii="Times New Roman" w:hAnsi="Times New Roman" w:eastAsia="宋体" w:cs="Times New Roman"/>
              </w:rPr>
              <w:t>项目一般工业固体废物、生活垃圾及危险废物等，应设置专用的堆放场地。</w:t>
            </w:r>
          </w:p>
          <w:p>
            <w:pPr>
              <w:adjustRightInd w:val="0"/>
              <w:snapToGrid w:val="0"/>
              <w:ind w:firstLine="482"/>
              <w:rPr>
                <w:rFonts w:hint="default" w:ascii="Times New Roman" w:hAnsi="Times New Roman" w:eastAsia="宋体" w:cs="Times New Roman"/>
                <w:b/>
              </w:rPr>
            </w:pPr>
            <w:r>
              <w:rPr>
                <w:rFonts w:hint="default" w:ascii="Times New Roman" w:hAnsi="Times New Roman" w:eastAsia="宋体" w:cs="Times New Roman"/>
                <w:b/>
              </w:rPr>
              <w:t>（5）设置标志牌要求</w:t>
            </w:r>
          </w:p>
          <w:p>
            <w:pPr>
              <w:ind w:firstLine="480"/>
              <w:rPr>
                <w:rFonts w:hint="default" w:ascii="Times New Roman" w:hAnsi="Times New Roman" w:eastAsia="宋体" w:cs="Times New Roman"/>
              </w:rPr>
            </w:pPr>
            <w:r>
              <w:rPr>
                <w:rFonts w:hint="default" w:ascii="Times New Roman" w:hAnsi="Times New Roman" w:eastAsia="宋体" w:cs="Times New Roman"/>
              </w:rPr>
              <w:t>排放一般污染物排放口（源），设置提示性标志牌。</w:t>
            </w:r>
          </w:p>
          <w:p>
            <w:pPr>
              <w:ind w:firstLine="480"/>
              <w:rPr>
                <w:rFonts w:hint="default" w:ascii="Times New Roman" w:hAnsi="Times New Roman" w:eastAsia="宋体" w:cs="Times New Roman"/>
              </w:rPr>
            </w:pPr>
            <w:r>
              <w:rPr>
                <w:rFonts w:hint="default" w:ascii="Times New Roman" w:hAnsi="Times New Roman" w:eastAsia="宋体" w:cs="Times New Roman"/>
              </w:rPr>
              <w:t>标志牌设置位置在排污口（采样点）附近且醒目处，高度为标志牌上缘离地面2米。排污口附近1米范围内有建筑物的，设平面式标志牌，无建筑物的设立式标志牌。</w:t>
            </w:r>
          </w:p>
          <w:p>
            <w:pPr>
              <w:spacing w:before="120"/>
              <w:ind w:firstLine="0" w:firstLineChars="0"/>
              <w:rPr>
                <w:rFonts w:hint="default" w:ascii="Times New Roman" w:hAnsi="Times New Roman" w:eastAsia="宋体" w:cs="Times New Roman"/>
              </w:rPr>
            </w:pPr>
          </w:p>
        </w:tc>
      </w:tr>
    </w:tbl>
    <w:p>
      <w:pPr>
        <w:ind w:firstLine="602"/>
        <w:rPr>
          <w:rFonts w:hint="default" w:ascii="Times New Roman" w:hAnsi="Times New Roman" w:eastAsia="宋体" w:cs="Times New Roman"/>
          <w:b/>
          <w:sz w:val="30"/>
        </w:rPr>
        <w:sectPr>
          <w:footerReference r:id="rId5" w:type="default"/>
          <w:pgSz w:w="11906" w:h="16838"/>
          <w:pgMar w:top="1417" w:right="1417" w:bottom="1417" w:left="1417" w:header="851" w:footer="992" w:gutter="0"/>
          <w:pgNumType w:start="1"/>
          <w:cols w:space="0" w:num="1"/>
          <w:docGrid w:type="lines" w:linePitch="333" w:charSpace="0"/>
        </w:sectPr>
      </w:pPr>
      <w:r>
        <w:rPr>
          <w:rFonts w:hint="default" w:ascii="Times New Roman" w:hAnsi="Times New Roman" w:eastAsia="宋体" w:cs="Times New Roman"/>
          <w:b/>
          <w:sz w:val="30"/>
        </w:rPr>
        <w:br w:type="page"/>
      </w:r>
    </w:p>
    <w:p>
      <w:pPr>
        <w:numPr>
          <w:ilvl w:val="0"/>
          <w:numId w:val="7"/>
        </w:numPr>
        <w:ind w:firstLine="0" w:firstLineChars="0"/>
        <w:outlineLvl w:val="0"/>
        <w:rPr>
          <w:rFonts w:hint="default" w:ascii="Times New Roman" w:hAnsi="Times New Roman" w:eastAsia="宋体" w:cs="Times New Roman"/>
          <w:b/>
          <w:sz w:val="30"/>
        </w:rPr>
      </w:pPr>
      <w:bookmarkStart w:id="19" w:name="_Toc2078"/>
      <w:r>
        <w:rPr>
          <w:rFonts w:hint="default" w:ascii="Times New Roman" w:hAnsi="Times New Roman" w:eastAsia="宋体" w:cs="Times New Roman"/>
          <w:b/>
          <w:sz w:val="30"/>
        </w:rPr>
        <w:t>建设项目拟采取的防治措施及预期治理效果</w:t>
      </w:r>
      <w:bookmarkEnd w:id="19"/>
    </w:p>
    <w:tbl>
      <w:tblPr>
        <w:tblStyle w:val="23"/>
        <w:tblW w:w="9081" w:type="dxa"/>
        <w:tblInd w:w="-97"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
      <w:tblGrid>
        <w:gridCol w:w="1130"/>
        <w:gridCol w:w="1253"/>
        <w:gridCol w:w="1394"/>
        <w:gridCol w:w="2416"/>
        <w:gridCol w:w="288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791" w:hRule="atLeast"/>
        </w:trPr>
        <w:tc>
          <w:tcPr>
            <w:tcW w:w="1130" w:type="dxa"/>
            <w:tcBorders>
              <w:top w:val="single" w:color="auto" w:sz="6" w:space="0"/>
              <w:left w:val="single" w:color="auto" w:sz="6" w:space="0"/>
              <w:tl2br w:val="single" w:color="auto" w:sz="6" w:space="0"/>
            </w:tcBorders>
          </w:tcPr>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内容</w:t>
            </w:r>
          </w:p>
          <w:p>
            <w:pPr>
              <w:pStyle w:val="44"/>
              <w:jc w:val="both"/>
              <w:rPr>
                <w:rFonts w:hint="default" w:ascii="Times New Roman" w:hAnsi="Times New Roman" w:eastAsia="宋体" w:cs="Times New Roman"/>
                <w:b/>
                <w:szCs w:val="21"/>
              </w:rPr>
            </w:pPr>
            <w:r>
              <w:rPr>
                <w:rFonts w:hint="default" w:ascii="Times New Roman" w:hAnsi="Times New Roman" w:eastAsia="宋体" w:cs="Times New Roman"/>
                <w:b/>
                <w:szCs w:val="21"/>
              </w:rPr>
              <w:t>类型</w:t>
            </w:r>
          </w:p>
        </w:tc>
        <w:tc>
          <w:tcPr>
            <w:tcW w:w="1253" w:type="dxa"/>
            <w:tcBorders>
              <w:top w:val="single" w:color="auto" w:sz="6" w:space="0"/>
            </w:tcBorders>
            <w:vAlign w:val="center"/>
          </w:tcPr>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排放源</w:t>
            </w:r>
          </w:p>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（编号）</w:t>
            </w:r>
          </w:p>
        </w:tc>
        <w:tc>
          <w:tcPr>
            <w:tcW w:w="1394" w:type="dxa"/>
            <w:tcBorders>
              <w:top w:val="single" w:color="auto" w:sz="6" w:space="0"/>
            </w:tcBorders>
            <w:vAlign w:val="center"/>
          </w:tcPr>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污染物名称</w:t>
            </w:r>
          </w:p>
        </w:tc>
        <w:tc>
          <w:tcPr>
            <w:tcW w:w="2416" w:type="dxa"/>
            <w:tcBorders>
              <w:top w:val="single" w:color="auto" w:sz="6" w:space="0"/>
            </w:tcBorders>
            <w:vAlign w:val="center"/>
          </w:tcPr>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防治措施</w:t>
            </w:r>
          </w:p>
        </w:tc>
        <w:tc>
          <w:tcPr>
            <w:tcW w:w="2888" w:type="dxa"/>
            <w:tcBorders>
              <w:top w:val="single" w:color="auto" w:sz="6" w:space="0"/>
              <w:right w:val="single" w:color="auto" w:sz="6" w:space="0"/>
            </w:tcBorders>
            <w:vAlign w:val="center"/>
          </w:tcPr>
          <w:p>
            <w:pPr>
              <w:pStyle w:val="44"/>
              <w:rPr>
                <w:rFonts w:hint="default" w:ascii="Times New Roman" w:hAnsi="Times New Roman" w:eastAsia="宋体" w:cs="Times New Roman"/>
                <w:b/>
                <w:szCs w:val="21"/>
              </w:rPr>
            </w:pPr>
            <w:r>
              <w:rPr>
                <w:rFonts w:hint="default" w:ascii="Times New Roman" w:hAnsi="Times New Roman" w:eastAsia="宋体" w:cs="Times New Roman"/>
                <w:b/>
                <w:szCs w:val="21"/>
              </w:rPr>
              <w:t>预期治理效果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295" w:hRule="atLeast"/>
        </w:trPr>
        <w:tc>
          <w:tcPr>
            <w:tcW w:w="1130" w:type="dxa"/>
            <w:tcBorders>
              <w:left w:val="single" w:color="auto" w:sz="6"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水</w:t>
            </w:r>
          </w:p>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污</w:t>
            </w:r>
          </w:p>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染</w:t>
            </w:r>
          </w:p>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物</w:t>
            </w:r>
          </w:p>
        </w:tc>
        <w:tc>
          <w:tcPr>
            <w:tcW w:w="1253" w:type="dxa"/>
            <w:tcBorders>
              <w:bottom w:val="single" w:color="auto" w:sz="4"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生活污水</w:t>
            </w:r>
          </w:p>
        </w:tc>
        <w:tc>
          <w:tcPr>
            <w:tcW w:w="1394" w:type="dxa"/>
            <w:tcBorders>
              <w:bottom w:val="single" w:color="auto" w:sz="4"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COD</w:t>
            </w:r>
            <w:r>
              <w:rPr>
                <w:rFonts w:hint="default" w:ascii="Times New Roman" w:hAnsi="Times New Roman" w:eastAsia="宋体" w:cs="Times New Roman"/>
                <w:szCs w:val="21"/>
                <w:vertAlign w:val="subscript"/>
              </w:rPr>
              <w:t>Cr</w:t>
            </w:r>
          </w:p>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BOD</w:t>
            </w:r>
            <w:r>
              <w:rPr>
                <w:rFonts w:hint="default" w:ascii="Times New Roman" w:hAnsi="Times New Roman" w:eastAsia="宋体" w:cs="Times New Roman"/>
                <w:szCs w:val="21"/>
                <w:vertAlign w:val="subscript"/>
              </w:rPr>
              <w:t>5</w:t>
            </w:r>
          </w:p>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SS</w:t>
            </w:r>
          </w:p>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NH</w:t>
            </w:r>
            <w:r>
              <w:rPr>
                <w:rFonts w:hint="default" w:ascii="Times New Roman" w:hAnsi="Times New Roman" w:eastAsia="宋体" w:cs="Times New Roman"/>
                <w:szCs w:val="21"/>
                <w:vertAlign w:val="subscript"/>
              </w:rPr>
              <w:t>3</w:t>
            </w:r>
            <w:r>
              <w:rPr>
                <w:rFonts w:hint="default" w:ascii="Times New Roman" w:hAnsi="Times New Roman" w:eastAsia="宋体" w:cs="Times New Roman"/>
                <w:szCs w:val="21"/>
              </w:rPr>
              <w:t>-N</w:t>
            </w:r>
          </w:p>
        </w:tc>
        <w:tc>
          <w:tcPr>
            <w:tcW w:w="5304" w:type="dxa"/>
            <w:gridSpan w:val="2"/>
            <w:tcBorders>
              <w:bottom w:val="single" w:color="auto" w:sz="4" w:space="0"/>
              <w:right w:val="single" w:color="auto" w:sz="6"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rPr>
              <w:t>生活污水经三级化粪池沤肥处理后委托农户定期清运回用于农田灌溉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533" w:hRule="atLeast"/>
        </w:trPr>
        <w:tc>
          <w:tcPr>
            <w:tcW w:w="1130" w:type="dxa"/>
            <w:tcBorders>
              <w:left w:val="single" w:color="auto" w:sz="6" w:space="0"/>
            </w:tcBorders>
            <w:textDirection w:val="tbRlV"/>
            <w:vAlign w:val="center"/>
          </w:tcPr>
          <w:p>
            <w:pPr>
              <w:pStyle w:val="44"/>
              <w:ind w:left="113" w:right="113"/>
              <w:rPr>
                <w:rFonts w:hint="default" w:ascii="Times New Roman" w:hAnsi="Times New Roman" w:eastAsia="宋体" w:cs="Times New Roman"/>
                <w:szCs w:val="21"/>
              </w:rPr>
            </w:pPr>
            <w:r>
              <w:rPr>
                <w:rFonts w:hint="default" w:ascii="Times New Roman" w:hAnsi="Times New Roman" w:eastAsia="宋体" w:cs="Times New Roman"/>
                <w:szCs w:val="21"/>
              </w:rPr>
              <w:t>大气污染物</w:t>
            </w:r>
          </w:p>
        </w:tc>
        <w:tc>
          <w:tcPr>
            <w:tcW w:w="1253" w:type="dxa"/>
            <w:tcBorders>
              <w:top w:val="single" w:color="auto" w:sz="8" w:space="0"/>
              <w:bottom w:val="single" w:color="000000" w:sz="2"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有机废气</w:t>
            </w:r>
          </w:p>
        </w:tc>
        <w:tc>
          <w:tcPr>
            <w:tcW w:w="1394" w:type="dxa"/>
            <w:tcBorders>
              <w:top w:val="single" w:color="auto" w:sz="8" w:space="0"/>
              <w:bottom w:val="single" w:color="000000" w:sz="2"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VOCs</w:t>
            </w:r>
          </w:p>
        </w:tc>
        <w:tc>
          <w:tcPr>
            <w:tcW w:w="2416" w:type="dxa"/>
            <w:tcBorders>
              <w:top w:val="single" w:color="auto" w:sz="8"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采用“活性炭吸附”处理</w:t>
            </w:r>
          </w:p>
        </w:tc>
        <w:tc>
          <w:tcPr>
            <w:tcW w:w="2888" w:type="dxa"/>
            <w:tcBorders>
              <w:top w:val="single" w:color="auto" w:sz="4" w:space="0"/>
              <w:bottom w:val="single" w:color="000000" w:sz="2" w:space="0"/>
              <w:right w:val="single" w:color="auto" w:sz="6"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达到《印刷行业挥发性有机化合物排放标准》（DB44/815-2010）表2中“平版印刷（不含以金属、陶瓷、玻璃为承印物的平版印刷）、柔性版印刷”第Ⅱ时段标准及表3无组织排放监控点浓度限值标准。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9" w:hRule="atLeast"/>
        </w:trPr>
        <w:tc>
          <w:tcPr>
            <w:tcW w:w="1130" w:type="dxa"/>
            <w:vMerge w:val="restart"/>
            <w:tcBorders>
              <w:left w:val="single" w:color="auto" w:sz="6"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固</w:t>
            </w:r>
          </w:p>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体</w:t>
            </w:r>
          </w:p>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废</w:t>
            </w:r>
          </w:p>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物</w:t>
            </w:r>
          </w:p>
        </w:tc>
        <w:tc>
          <w:tcPr>
            <w:tcW w:w="1253" w:type="dxa"/>
            <w:tcBorders>
              <w:bottom w:val="single" w:color="auto" w:sz="2"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员工办公</w:t>
            </w:r>
          </w:p>
        </w:tc>
        <w:tc>
          <w:tcPr>
            <w:tcW w:w="1394" w:type="dxa"/>
            <w:tcBorders>
              <w:bottom w:val="single" w:color="auto" w:sz="4"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生活垃圾</w:t>
            </w:r>
          </w:p>
        </w:tc>
        <w:tc>
          <w:tcPr>
            <w:tcW w:w="2416" w:type="dxa"/>
            <w:tcBorders>
              <w:bottom w:val="single" w:color="auto" w:sz="4"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交由环卫部门处理</w:t>
            </w:r>
          </w:p>
        </w:tc>
        <w:tc>
          <w:tcPr>
            <w:tcW w:w="2888" w:type="dxa"/>
            <w:tcBorders>
              <w:right w:val="single" w:color="auto" w:sz="6"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符合环保要求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611" w:hRule="atLeast"/>
        </w:trPr>
        <w:tc>
          <w:tcPr>
            <w:tcW w:w="1130" w:type="dxa"/>
            <w:vMerge w:val="continue"/>
            <w:tcBorders>
              <w:left w:val="single" w:color="auto" w:sz="6" w:space="0"/>
            </w:tcBorders>
            <w:vAlign w:val="center"/>
          </w:tcPr>
          <w:p>
            <w:pPr>
              <w:pStyle w:val="44"/>
              <w:rPr>
                <w:rFonts w:hint="default" w:ascii="Times New Roman" w:hAnsi="Times New Roman" w:eastAsia="宋体" w:cs="Times New Roman"/>
                <w:szCs w:val="21"/>
              </w:rPr>
            </w:pPr>
          </w:p>
        </w:tc>
        <w:tc>
          <w:tcPr>
            <w:tcW w:w="1253" w:type="dxa"/>
            <w:vMerge w:val="restart"/>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生产过程</w:t>
            </w:r>
          </w:p>
        </w:tc>
        <w:tc>
          <w:tcPr>
            <w:tcW w:w="1394" w:type="dxa"/>
            <w:tcBorders>
              <w:top w:val="single" w:color="auto" w:sz="4"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废边角料</w:t>
            </w:r>
          </w:p>
        </w:tc>
        <w:tc>
          <w:tcPr>
            <w:tcW w:w="2416" w:type="dxa"/>
            <w:vMerge w:val="restart"/>
            <w:tcBorders>
              <w:top w:val="single" w:color="auto" w:sz="4"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交由外售综合处理</w:t>
            </w:r>
          </w:p>
        </w:tc>
        <w:tc>
          <w:tcPr>
            <w:tcW w:w="2888" w:type="dxa"/>
            <w:vMerge w:val="restart"/>
            <w:tcBorders>
              <w:right w:val="single" w:color="auto" w:sz="6"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符合《一般工业固体废物贮存、处置场污染控制标准》（GB18599- 2001）及其2013修改单</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611" w:hRule="atLeast"/>
        </w:trPr>
        <w:tc>
          <w:tcPr>
            <w:tcW w:w="1130" w:type="dxa"/>
            <w:vMerge w:val="continue"/>
            <w:tcBorders>
              <w:left w:val="single" w:color="auto" w:sz="6" w:space="0"/>
            </w:tcBorders>
            <w:vAlign w:val="center"/>
          </w:tcPr>
          <w:p>
            <w:pPr>
              <w:pStyle w:val="44"/>
              <w:rPr>
                <w:rFonts w:hint="default" w:ascii="Times New Roman" w:hAnsi="Times New Roman" w:eastAsia="宋体" w:cs="Times New Roman"/>
                <w:szCs w:val="21"/>
              </w:rPr>
            </w:pPr>
          </w:p>
        </w:tc>
        <w:tc>
          <w:tcPr>
            <w:tcW w:w="1253" w:type="dxa"/>
            <w:vMerge w:val="continue"/>
            <w:vAlign w:val="center"/>
          </w:tcPr>
          <w:p>
            <w:pPr>
              <w:pStyle w:val="44"/>
              <w:rPr>
                <w:rFonts w:hint="default" w:ascii="Times New Roman" w:hAnsi="Times New Roman" w:eastAsia="宋体" w:cs="Times New Roman"/>
                <w:szCs w:val="21"/>
              </w:rPr>
            </w:pPr>
          </w:p>
        </w:tc>
        <w:tc>
          <w:tcPr>
            <w:tcW w:w="1394" w:type="dxa"/>
            <w:tcBorders>
              <w:top w:val="single" w:color="auto" w:sz="4"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废包装材料</w:t>
            </w:r>
          </w:p>
        </w:tc>
        <w:tc>
          <w:tcPr>
            <w:tcW w:w="2416" w:type="dxa"/>
            <w:vMerge w:val="continue"/>
            <w:vAlign w:val="center"/>
          </w:tcPr>
          <w:p>
            <w:pPr>
              <w:pStyle w:val="44"/>
              <w:rPr>
                <w:rFonts w:hint="default" w:ascii="Times New Roman" w:hAnsi="Times New Roman" w:eastAsia="宋体" w:cs="Times New Roman"/>
                <w:szCs w:val="21"/>
              </w:rPr>
            </w:pPr>
          </w:p>
        </w:tc>
        <w:tc>
          <w:tcPr>
            <w:tcW w:w="2888" w:type="dxa"/>
            <w:vMerge w:val="continue"/>
            <w:tcBorders>
              <w:right w:val="single" w:color="auto" w:sz="6" w:space="0"/>
            </w:tcBorders>
            <w:vAlign w:val="center"/>
          </w:tcPr>
          <w:p>
            <w:pPr>
              <w:pStyle w:val="44"/>
              <w:rPr>
                <w:rFonts w:hint="default" w:ascii="Times New Roman" w:hAnsi="Times New Roman" w:eastAsia="宋体" w:cs="Times New Roman"/>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611" w:hRule="atLeast"/>
        </w:trPr>
        <w:tc>
          <w:tcPr>
            <w:tcW w:w="1130" w:type="dxa"/>
            <w:vMerge w:val="continue"/>
            <w:tcBorders>
              <w:left w:val="single" w:color="auto" w:sz="6" w:space="0"/>
            </w:tcBorders>
            <w:vAlign w:val="center"/>
          </w:tcPr>
          <w:p>
            <w:pPr>
              <w:pStyle w:val="44"/>
              <w:rPr>
                <w:rFonts w:hint="default" w:ascii="Times New Roman" w:hAnsi="Times New Roman" w:eastAsia="宋体" w:cs="Times New Roman"/>
                <w:szCs w:val="21"/>
              </w:rPr>
            </w:pPr>
          </w:p>
        </w:tc>
        <w:tc>
          <w:tcPr>
            <w:tcW w:w="1253" w:type="dxa"/>
            <w:vMerge w:val="continue"/>
            <w:vAlign w:val="center"/>
          </w:tcPr>
          <w:p>
            <w:pPr>
              <w:pStyle w:val="44"/>
              <w:rPr>
                <w:rFonts w:hint="default" w:ascii="Times New Roman" w:hAnsi="Times New Roman" w:eastAsia="宋体" w:cs="Times New Roman"/>
                <w:szCs w:val="21"/>
              </w:rPr>
            </w:pPr>
          </w:p>
        </w:tc>
        <w:tc>
          <w:tcPr>
            <w:tcW w:w="1394" w:type="dxa"/>
            <w:tcBorders>
              <w:top w:val="single" w:color="auto" w:sz="4"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废PS版</w:t>
            </w:r>
          </w:p>
        </w:tc>
        <w:tc>
          <w:tcPr>
            <w:tcW w:w="2416" w:type="dxa"/>
            <w:vMerge w:val="continue"/>
            <w:vAlign w:val="center"/>
          </w:tcPr>
          <w:p>
            <w:pPr>
              <w:pStyle w:val="44"/>
              <w:rPr>
                <w:rFonts w:hint="default" w:ascii="Times New Roman" w:hAnsi="Times New Roman" w:eastAsia="宋体" w:cs="Times New Roman"/>
                <w:szCs w:val="21"/>
              </w:rPr>
            </w:pPr>
          </w:p>
        </w:tc>
        <w:tc>
          <w:tcPr>
            <w:tcW w:w="2888" w:type="dxa"/>
            <w:vMerge w:val="continue"/>
            <w:tcBorders>
              <w:right w:val="single" w:color="auto" w:sz="6" w:space="0"/>
            </w:tcBorders>
            <w:vAlign w:val="center"/>
          </w:tcPr>
          <w:p>
            <w:pPr>
              <w:pStyle w:val="44"/>
              <w:rPr>
                <w:rFonts w:hint="default" w:ascii="Times New Roman" w:hAnsi="Times New Roman" w:eastAsia="宋体" w:cs="Times New Roman"/>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611" w:hRule="atLeast"/>
        </w:trPr>
        <w:tc>
          <w:tcPr>
            <w:tcW w:w="1130" w:type="dxa"/>
            <w:vMerge w:val="continue"/>
            <w:tcBorders>
              <w:left w:val="single" w:color="auto" w:sz="6" w:space="0"/>
            </w:tcBorders>
            <w:vAlign w:val="center"/>
          </w:tcPr>
          <w:p>
            <w:pPr>
              <w:pStyle w:val="44"/>
              <w:rPr>
                <w:rFonts w:hint="default" w:ascii="Times New Roman" w:hAnsi="Times New Roman" w:eastAsia="宋体" w:cs="Times New Roman"/>
                <w:szCs w:val="21"/>
              </w:rPr>
            </w:pPr>
          </w:p>
        </w:tc>
        <w:tc>
          <w:tcPr>
            <w:tcW w:w="1253" w:type="dxa"/>
            <w:vMerge w:val="continue"/>
            <w:vAlign w:val="center"/>
          </w:tcPr>
          <w:p>
            <w:pPr>
              <w:pStyle w:val="44"/>
              <w:rPr>
                <w:rFonts w:hint="default" w:ascii="Times New Roman" w:hAnsi="Times New Roman" w:eastAsia="宋体" w:cs="Times New Roman"/>
                <w:szCs w:val="21"/>
              </w:rPr>
            </w:pPr>
          </w:p>
        </w:tc>
        <w:tc>
          <w:tcPr>
            <w:tcW w:w="1394" w:type="dxa"/>
            <w:tcBorders>
              <w:top w:val="single" w:color="auto" w:sz="4"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废钉线</w:t>
            </w:r>
          </w:p>
        </w:tc>
        <w:tc>
          <w:tcPr>
            <w:tcW w:w="2416" w:type="dxa"/>
            <w:vMerge w:val="continue"/>
            <w:vAlign w:val="center"/>
          </w:tcPr>
          <w:p>
            <w:pPr>
              <w:pStyle w:val="44"/>
              <w:rPr>
                <w:rFonts w:hint="default" w:ascii="Times New Roman" w:hAnsi="Times New Roman" w:eastAsia="宋体" w:cs="Times New Roman"/>
                <w:szCs w:val="21"/>
              </w:rPr>
            </w:pPr>
          </w:p>
        </w:tc>
        <w:tc>
          <w:tcPr>
            <w:tcW w:w="2888" w:type="dxa"/>
            <w:vMerge w:val="continue"/>
            <w:tcBorders>
              <w:right w:val="single" w:color="auto" w:sz="6" w:space="0"/>
            </w:tcBorders>
            <w:vAlign w:val="center"/>
          </w:tcPr>
          <w:p>
            <w:pPr>
              <w:pStyle w:val="44"/>
              <w:rPr>
                <w:rFonts w:hint="default" w:ascii="Times New Roman" w:hAnsi="Times New Roman" w:eastAsia="宋体" w:cs="Times New Roman"/>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54" w:hRule="atLeast"/>
        </w:trPr>
        <w:tc>
          <w:tcPr>
            <w:tcW w:w="1130" w:type="dxa"/>
            <w:vMerge w:val="continue"/>
            <w:tcBorders>
              <w:left w:val="single" w:color="auto" w:sz="6" w:space="0"/>
            </w:tcBorders>
            <w:vAlign w:val="center"/>
          </w:tcPr>
          <w:p>
            <w:pPr>
              <w:pStyle w:val="44"/>
              <w:rPr>
                <w:rFonts w:hint="default" w:ascii="Times New Roman" w:hAnsi="Times New Roman" w:eastAsia="宋体" w:cs="Times New Roman"/>
                <w:szCs w:val="21"/>
              </w:rPr>
            </w:pPr>
          </w:p>
        </w:tc>
        <w:tc>
          <w:tcPr>
            <w:tcW w:w="1253" w:type="dxa"/>
            <w:vMerge w:val="restart"/>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危险废物</w:t>
            </w:r>
          </w:p>
        </w:tc>
        <w:tc>
          <w:tcPr>
            <w:tcW w:w="1394" w:type="dxa"/>
            <w:tcBorders>
              <w:top w:val="single" w:color="auto" w:sz="4"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废活性炭</w:t>
            </w:r>
          </w:p>
        </w:tc>
        <w:tc>
          <w:tcPr>
            <w:tcW w:w="2416" w:type="dxa"/>
            <w:vMerge w:val="restart"/>
            <w:tcBorders>
              <w:top w:val="single" w:color="auto" w:sz="4"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交由有危险废物处理资质的单位处理</w:t>
            </w:r>
          </w:p>
        </w:tc>
        <w:tc>
          <w:tcPr>
            <w:tcW w:w="2888" w:type="dxa"/>
            <w:vMerge w:val="restart"/>
            <w:tcBorders>
              <w:right w:val="single" w:color="auto" w:sz="6"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符合《危险废物贮存污染控制标准》（GB18597-2001）及其2013年修改单的相关规定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95" w:hRule="atLeast"/>
        </w:trPr>
        <w:tc>
          <w:tcPr>
            <w:tcW w:w="1130" w:type="dxa"/>
            <w:vMerge w:val="continue"/>
            <w:tcBorders>
              <w:left w:val="single" w:color="auto" w:sz="6" w:space="0"/>
            </w:tcBorders>
            <w:vAlign w:val="center"/>
          </w:tcPr>
          <w:p>
            <w:pPr>
              <w:pStyle w:val="44"/>
              <w:rPr>
                <w:rFonts w:hint="default" w:ascii="Times New Roman" w:hAnsi="Times New Roman" w:eastAsia="宋体" w:cs="Times New Roman"/>
                <w:szCs w:val="21"/>
              </w:rPr>
            </w:pPr>
          </w:p>
        </w:tc>
        <w:tc>
          <w:tcPr>
            <w:tcW w:w="1253" w:type="dxa"/>
            <w:vMerge w:val="continue"/>
            <w:vAlign w:val="center"/>
          </w:tcPr>
          <w:p>
            <w:pPr>
              <w:pStyle w:val="44"/>
              <w:rPr>
                <w:rFonts w:hint="default" w:ascii="Times New Roman" w:hAnsi="Times New Roman" w:eastAsia="宋体" w:cs="Times New Roman"/>
                <w:szCs w:val="21"/>
              </w:rPr>
            </w:pPr>
          </w:p>
        </w:tc>
        <w:tc>
          <w:tcPr>
            <w:tcW w:w="1394" w:type="dxa"/>
            <w:tcBorders>
              <w:top w:val="single" w:color="auto" w:sz="4" w:space="0"/>
              <w:bottom w:val="single" w:color="auto" w:sz="2"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废抹布</w:t>
            </w:r>
          </w:p>
        </w:tc>
        <w:tc>
          <w:tcPr>
            <w:tcW w:w="2416" w:type="dxa"/>
            <w:vMerge w:val="continue"/>
          </w:tcPr>
          <w:p>
            <w:pPr>
              <w:pStyle w:val="44"/>
              <w:rPr>
                <w:rFonts w:hint="default" w:ascii="Times New Roman" w:hAnsi="Times New Roman" w:eastAsia="宋体" w:cs="Times New Roman"/>
                <w:szCs w:val="21"/>
              </w:rPr>
            </w:pPr>
          </w:p>
        </w:tc>
        <w:tc>
          <w:tcPr>
            <w:tcW w:w="2888" w:type="dxa"/>
            <w:vMerge w:val="continue"/>
            <w:tcBorders>
              <w:right w:val="single" w:color="auto" w:sz="6" w:space="0"/>
            </w:tcBorders>
            <w:vAlign w:val="center"/>
          </w:tcPr>
          <w:p>
            <w:pPr>
              <w:pStyle w:val="44"/>
              <w:rPr>
                <w:rFonts w:hint="default" w:ascii="Times New Roman" w:hAnsi="Times New Roman" w:eastAsia="宋体" w:cs="Times New Roman"/>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180" w:hRule="atLeast"/>
        </w:trPr>
        <w:tc>
          <w:tcPr>
            <w:tcW w:w="1130" w:type="dxa"/>
            <w:tcBorders>
              <w:left w:val="single" w:color="auto" w:sz="6"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噪</w:t>
            </w:r>
          </w:p>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声</w:t>
            </w:r>
          </w:p>
        </w:tc>
        <w:tc>
          <w:tcPr>
            <w:tcW w:w="1253" w:type="dxa"/>
            <w:tcBorders>
              <w:right w:val="single" w:color="auto" w:sz="2"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设备运行</w:t>
            </w:r>
          </w:p>
        </w:tc>
        <w:tc>
          <w:tcPr>
            <w:tcW w:w="1394" w:type="dxa"/>
            <w:tcBorders>
              <w:left w:val="single" w:color="auto" w:sz="2" w:space="0"/>
              <w:right w:val="single" w:color="auto" w:sz="2"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噪声</w:t>
            </w:r>
          </w:p>
        </w:tc>
        <w:tc>
          <w:tcPr>
            <w:tcW w:w="2416" w:type="dxa"/>
            <w:tcBorders>
              <w:left w:val="single" w:color="auto" w:sz="2" w:space="0"/>
              <w:right w:val="single" w:color="auto" w:sz="2"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rPr>
              <w:t>采用低噪声设备；厂区布置要合理</w:t>
            </w:r>
          </w:p>
        </w:tc>
        <w:tc>
          <w:tcPr>
            <w:tcW w:w="2888" w:type="dxa"/>
            <w:tcBorders>
              <w:left w:val="single" w:color="auto" w:sz="2" w:space="0"/>
              <w:right w:val="single" w:color="auto" w:sz="6" w:space="0"/>
            </w:tcBorders>
            <w:vAlign w:val="center"/>
          </w:tcPr>
          <w:p>
            <w:pPr>
              <w:pStyle w:val="44"/>
              <w:rPr>
                <w:rFonts w:hint="default" w:ascii="Times New Roman" w:hAnsi="Times New Roman" w:eastAsia="宋体" w:cs="Times New Roman"/>
                <w:szCs w:val="21"/>
              </w:rPr>
            </w:pPr>
            <w:r>
              <w:rPr>
                <w:rFonts w:hint="default" w:ascii="Times New Roman" w:hAnsi="Times New Roman" w:eastAsia="宋体" w:cs="Times New Roman"/>
                <w:szCs w:val="21"/>
              </w:rPr>
              <w:t>满足《工业企业厂界环境噪声排放标准》（GB12348-2008）2类标准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294" w:hRule="atLeast"/>
        </w:trPr>
        <w:tc>
          <w:tcPr>
            <w:tcW w:w="9081" w:type="dxa"/>
            <w:gridSpan w:val="5"/>
            <w:tcBorders>
              <w:left w:val="single" w:color="auto" w:sz="6" w:space="0"/>
              <w:bottom w:val="single" w:color="auto" w:sz="6" w:space="0"/>
              <w:right w:val="single" w:color="auto" w:sz="6" w:space="0"/>
            </w:tcBorders>
            <w:vAlign w:val="center"/>
          </w:tcPr>
          <w:p>
            <w:pPr>
              <w:pStyle w:val="21"/>
              <w:ind w:firstLine="0" w:firstLineChars="0"/>
              <w:rPr>
                <w:rFonts w:hint="default" w:ascii="Times New Roman" w:hAnsi="Times New Roman" w:eastAsia="宋体" w:cs="Times New Roman"/>
                <w:b/>
                <w:sz w:val="28"/>
              </w:rPr>
            </w:pPr>
            <w:r>
              <w:rPr>
                <w:rFonts w:hint="default" w:ascii="Times New Roman" w:hAnsi="Times New Roman" w:eastAsia="宋体" w:cs="Times New Roman"/>
                <w:b/>
                <w:sz w:val="28"/>
              </w:rPr>
              <w:t>生态保护措施及预期效果：</w:t>
            </w:r>
          </w:p>
          <w:p>
            <w:pPr>
              <w:ind w:firstLine="480"/>
              <w:rPr>
                <w:rFonts w:hint="default" w:ascii="Times New Roman" w:hAnsi="Times New Roman" w:eastAsia="宋体" w:cs="Times New Roman"/>
                <w:szCs w:val="21"/>
              </w:rPr>
            </w:pPr>
            <w:r>
              <w:rPr>
                <w:rFonts w:hint="default" w:ascii="Times New Roman" w:hAnsi="Times New Roman" w:eastAsia="宋体" w:cs="Times New Roman"/>
              </w:rPr>
              <w:t>本项目为租用现有厂房，不需施工建设，不存在施工期对生态环境的破坏。项目营运期对周边环境的生态要素空气、水体、土壤和植被等影响不明显，基本可达到项目与周边生态环境的和谐统一。</w:t>
            </w:r>
          </w:p>
        </w:tc>
      </w:tr>
    </w:tbl>
    <w:p>
      <w:pPr>
        <w:ind w:firstLine="480"/>
        <w:rPr>
          <w:rFonts w:hint="default" w:ascii="Times New Roman" w:hAnsi="Times New Roman" w:eastAsia="宋体" w:cs="Times New Roman"/>
        </w:rPr>
      </w:pPr>
      <w:r>
        <w:rPr>
          <w:rFonts w:hint="default" w:ascii="Times New Roman" w:hAnsi="Times New Roman" w:eastAsia="宋体" w:cs="Times New Roman"/>
        </w:rPr>
        <w:br w:type="page"/>
      </w:r>
    </w:p>
    <w:p>
      <w:pPr>
        <w:numPr>
          <w:ilvl w:val="0"/>
          <w:numId w:val="7"/>
        </w:numPr>
        <w:ind w:firstLine="0" w:firstLineChars="0"/>
        <w:outlineLvl w:val="0"/>
        <w:rPr>
          <w:rFonts w:hint="default" w:ascii="Times New Roman" w:hAnsi="Times New Roman" w:eastAsia="宋体" w:cs="Times New Roman"/>
          <w:b/>
          <w:sz w:val="30"/>
        </w:rPr>
      </w:pPr>
      <w:bookmarkStart w:id="20" w:name="_Toc21702"/>
      <w:r>
        <w:rPr>
          <w:rFonts w:hint="default" w:ascii="Times New Roman" w:hAnsi="Times New Roman" w:eastAsia="宋体" w:cs="Times New Roman"/>
          <w:b/>
          <w:sz w:val="30"/>
        </w:rPr>
        <w:t>结论与建议</w:t>
      </w:r>
      <w:bookmarkEnd w:id="20"/>
    </w:p>
    <w:tbl>
      <w:tblPr>
        <w:tblStyle w:val="23"/>
        <w:tblW w:w="8647" w:type="dxa"/>
        <w:tblInd w:w="108" w:type="dxa"/>
        <w:tblBorders>
          <w:top w:val="single" w:color="auto" w:sz="6" w:space="0"/>
          <w:left w:val="single" w:color="auto" w:sz="6" w:space="0"/>
          <w:bottom w:val="single" w:color="auto" w:sz="6" w:space="0"/>
          <w:right w:val="single" w:color="auto" w:sz="6" w:space="0"/>
          <w:insideH w:val="single" w:color="auto" w:sz="12" w:space="0"/>
          <w:insideV w:val="single" w:color="auto" w:sz="12" w:space="0"/>
        </w:tblBorders>
        <w:tblLayout w:type="fixed"/>
        <w:tblCellMar>
          <w:top w:w="0" w:type="dxa"/>
          <w:left w:w="108" w:type="dxa"/>
          <w:bottom w:w="0" w:type="dxa"/>
          <w:right w:w="108" w:type="dxa"/>
        </w:tblCellMar>
      </w:tblPr>
      <w:tblGrid>
        <w:gridCol w:w="8647"/>
      </w:tblGrid>
      <w:tr>
        <w:tblPrEx>
          <w:tblBorders>
            <w:top w:val="single" w:color="auto" w:sz="6" w:space="0"/>
            <w:left w:val="single" w:color="auto" w:sz="6" w:space="0"/>
            <w:bottom w:val="single" w:color="auto" w:sz="6" w:space="0"/>
            <w:right w:val="single" w:color="auto" w:sz="6" w:space="0"/>
            <w:insideH w:val="single" w:color="auto" w:sz="12" w:space="0"/>
            <w:insideV w:val="single" w:color="auto" w:sz="12" w:space="0"/>
          </w:tblBorders>
          <w:tblCellMar>
            <w:top w:w="0" w:type="dxa"/>
            <w:left w:w="108" w:type="dxa"/>
            <w:bottom w:w="0" w:type="dxa"/>
            <w:right w:w="108" w:type="dxa"/>
          </w:tblCellMar>
        </w:tblPrEx>
        <w:trPr>
          <w:trHeight w:val="12282" w:hRule="atLeast"/>
        </w:trPr>
        <w:tc>
          <w:tcPr>
            <w:tcW w:w="8647" w:type="dxa"/>
          </w:tcPr>
          <w:p>
            <w:pPr>
              <w:pStyle w:val="21"/>
              <w:numPr>
                <w:ilvl w:val="0"/>
                <w:numId w:val="25"/>
              </w:numPr>
              <w:ind w:firstLine="0" w:firstLineChars="0"/>
              <w:rPr>
                <w:rFonts w:hint="default" w:ascii="Times New Roman" w:hAnsi="Times New Roman" w:eastAsia="宋体" w:cs="Times New Roman"/>
                <w:b/>
                <w:szCs w:val="24"/>
              </w:rPr>
            </w:pPr>
            <w:r>
              <w:rPr>
                <w:rFonts w:hint="default" w:ascii="Times New Roman" w:hAnsi="Times New Roman" w:eastAsia="宋体" w:cs="Times New Roman"/>
                <w:b/>
                <w:szCs w:val="24"/>
              </w:rPr>
              <w:t>项目概况</w:t>
            </w:r>
          </w:p>
          <w:p>
            <w:pPr>
              <w:ind w:firstLine="480"/>
              <w:rPr>
                <w:rFonts w:hint="default" w:ascii="Times New Roman" w:hAnsi="Times New Roman" w:eastAsia="宋体" w:cs="Times New Roman"/>
              </w:rPr>
            </w:pPr>
            <w:r>
              <w:rPr>
                <w:rFonts w:hint="default" w:ascii="Times New Roman" w:hAnsi="Times New Roman" w:eastAsia="宋体" w:cs="Times New Roman"/>
              </w:rPr>
              <w:t>开平市七彩印刷厂年产不干胶标签5万平方米、说明书10万册、表格20万册建设项目（以下简称“本项目”）位于开平市长沙街道办事处八一村委会南溪开发区A区5号。项目租用占地面积面积247.8m</w:t>
            </w:r>
            <w:r>
              <w:rPr>
                <w:rFonts w:hint="default" w:ascii="Times New Roman" w:hAnsi="Times New Roman" w:eastAsia="宋体" w:cs="Times New Roman"/>
                <w:vertAlign w:val="superscript"/>
              </w:rPr>
              <w:t>2</w:t>
            </w:r>
            <w:r>
              <w:rPr>
                <w:rFonts w:hint="default" w:ascii="Times New Roman" w:hAnsi="Times New Roman" w:eastAsia="宋体" w:cs="Times New Roman"/>
              </w:rPr>
              <w:t>，项目年产不干胶标签5万m²、说明书10万册、表格20万册。本项目共有员工6人，项目不提供食宿，年工作300天，工作时间8小时。</w:t>
            </w:r>
          </w:p>
          <w:p>
            <w:pPr>
              <w:pStyle w:val="21"/>
              <w:ind w:firstLine="472" w:firstLineChars="196"/>
              <w:rPr>
                <w:rFonts w:hint="default" w:ascii="Times New Roman" w:hAnsi="Times New Roman" w:eastAsia="宋体" w:cs="Times New Roman"/>
                <w:b/>
                <w:szCs w:val="24"/>
              </w:rPr>
            </w:pPr>
            <w:r>
              <w:rPr>
                <w:rFonts w:hint="default" w:ascii="Times New Roman" w:hAnsi="Times New Roman" w:eastAsia="宋体" w:cs="Times New Roman"/>
                <w:b/>
                <w:szCs w:val="24"/>
              </w:rPr>
              <w:t>二、环境质量现状结论</w:t>
            </w:r>
          </w:p>
          <w:p>
            <w:pPr>
              <w:tabs>
                <w:tab w:val="left" w:pos="985"/>
                <w:tab w:val="left" w:pos="1080"/>
              </w:tabs>
              <w:ind w:firstLine="482"/>
              <w:rPr>
                <w:rFonts w:hint="default" w:ascii="Times New Roman" w:hAnsi="Times New Roman" w:eastAsia="宋体" w:cs="Times New Roman"/>
                <w:b/>
                <w:kern w:val="24"/>
              </w:rPr>
            </w:pPr>
            <w:r>
              <w:rPr>
                <w:rFonts w:hint="default" w:ascii="Times New Roman" w:hAnsi="Times New Roman" w:eastAsia="宋体" w:cs="Times New Roman"/>
                <w:b/>
                <w:kern w:val="24"/>
              </w:rPr>
              <w:t>（1）</w:t>
            </w:r>
            <w:r>
              <w:rPr>
                <w:rFonts w:hint="default" w:ascii="Times New Roman" w:hAnsi="Times New Roman" w:eastAsia="宋体" w:cs="Times New Roman"/>
                <w:b/>
              </w:rPr>
              <w:t>大气环境质量现状</w:t>
            </w:r>
          </w:p>
          <w:p>
            <w:pPr>
              <w:pStyle w:val="28"/>
              <w:rPr>
                <w:rFonts w:hint="default" w:ascii="Times New Roman" w:hAnsi="Times New Roman" w:eastAsia="宋体" w:cs="Times New Roman"/>
              </w:rPr>
            </w:pPr>
            <w:r>
              <w:rPr>
                <w:rFonts w:hint="default" w:ascii="Times New Roman" w:hAnsi="Times New Roman" w:eastAsia="宋体" w:cs="Times New Roman"/>
              </w:rPr>
              <w:t>根据江门市环境质量状况公报公布的数据来看，开平市SO</w:t>
            </w:r>
            <w:r>
              <w:rPr>
                <w:rFonts w:hint="default" w:ascii="Times New Roman" w:hAnsi="Times New Roman" w:eastAsia="宋体" w:cs="Times New Roman"/>
                <w:vertAlign w:val="subscript"/>
              </w:rPr>
              <w:t>2</w:t>
            </w:r>
            <w:r>
              <w:rPr>
                <w:rFonts w:hint="default" w:ascii="Times New Roman" w:hAnsi="Times New Roman" w:eastAsia="宋体" w:cs="Times New Roman"/>
              </w:rPr>
              <w:t>、NO</w:t>
            </w:r>
            <w:r>
              <w:rPr>
                <w:rFonts w:hint="default" w:ascii="Times New Roman" w:hAnsi="Times New Roman" w:eastAsia="宋体" w:cs="Times New Roman"/>
                <w:vertAlign w:val="subscript"/>
              </w:rPr>
              <w:t>2</w:t>
            </w:r>
            <w:r>
              <w:rPr>
                <w:rFonts w:hint="default" w:ascii="Times New Roman" w:hAnsi="Times New Roman" w:eastAsia="宋体" w:cs="Times New Roman"/>
              </w:rPr>
              <w:t>、PM</w:t>
            </w:r>
            <w:r>
              <w:rPr>
                <w:rFonts w:hint="default" w:ascii="Times New Roman" w:hAnsi="Times New Roman" w:eastAsia="宋体" w:cs="Times New Roman"/>
                <w:vertAlign w:val="subscript"/>
              </w:rPr>
              <w:t>10</w:t>
            </w:r>
            <w:r>
              <w:rPr>
                <w:rFonts w:hint="default" w:ascii="Times New Roman" w:hAnsi="Times New Roman" w:eastAsia="宋体" w:cs="Times New Roman"/>
              </w:rPr>
              <w:t>、PM</w:t>
            </w:r>
            <w:r>
              <w:rPr>
                <w:rFonts w:hint="default" w:ascii="Times New Roman" w:hAnsi="Times New Roman" w:eastAsia="宋体" w:cs="Times New Roman"/>
                <w:vertAlign w:val="subscript"/>
              </w:rPr>
              <w:t>2.5</w:t>
            </w:r>
            <w:r>
              <w:rPr>
                <w:rFonts w:hint="default" w:ascii="Times New Roman" w:hAnsi="Times New Roman" w:eastAsia="宋体" w:cs="Times New Roman"/>
              </w:rPr>
              <w:t>、CO符合《环境空气质量标准》（GB3095-2012）及其修改单二级标准；O</w:t>
            </w:r>
            <w:r>
              <w:rPr>
                <w:rFonts w:hint="default" w:ascii="Times New Roman" w:hAnsi="Times New Roman" w:eastAsia="宋体" w:cs="Times New Roman"/>
                <w:vertAlign w:val="subscript"/>
              </w:rPr>
              <w:t>3</w:t>
            </w:r>
            <w:r>
              <w:rPr>
                <w:rFonts w:hint="default" w:ascii="Times New Roman" w:hAnsi="Times New Roman" w:eastAsia="宋体" w:cs="Times New Roman"/>
              </w:rPr>
              <w:t>的日最大8小时滑动平均值的第90百分位数未能达到《环境空气质量标准》（GB3095-2012）及其修改单二级标准，因此，判定项目所区域为不达标区，环境空气质量一般。</w:t>
            </w:r>
          </w:p>
          <w:p>
            <w:pPr>
              <w:ind w:firstLine="480"/>
              <w:rPr>
                <w:rFonts w:hint="default" w:ascii="Times New Roman" w:hAnsi="Times New Roman" w:eastAsia="宋体" w:cs="Times New Roman"/>
              </w:rPr>
            </w:pPr>
            <w:r>
              <w:rPr>
                <w:rFonts w:hint="default" w:ascii="Times New Roman" w:hAnsi="Times New Roman" w:eastAsia="宋体" w:cs="Times New Roman"/>
              </w:rPr>
              <w:t>为改善环境质量，江门市已印发《江门市环境空气质量限期达标规划（2018-2020年）》，通过调整产业结构、优化工业布局；优化能源结构，提高清洁能源使用率；强化环境监管，加大工业园减排力度；调整运输结构，强化移动源污染防治；加强精细化管理，深化面源污染治理；强化能力建设，提高环境管理水平；健全法律法规体系，完善环境管理政策等大气污染防治强化措施，实行区域内2020年环境空气质量全面达标，环境空气质量指标能稳定达到《环境空气质量标准》（GB3095-2012）及其修改单二级浓度限值。</w:t>
            </w:r>
          </w:p>
          <w:p>
            <w:pPr>
              <w:ind w:firstLine="482"/>
              <w:rPr>
                <w:rFonts w:hint="default" w:ascii="Times New Roman" w:hAnsi="Times New Roman" w:eastAsia="宋体" w:cs="Times New Roman"/>
                <w:b/>
                <w:kern w:val="24"/>
              </w:rPr>
            </w:pPr>
            <w:r>
              <w:rPr>
                <w:rFonts w:hint="default" w:ascii="Times New Roman" w:hAnsi="Times New Roman" w:eastAsia="宋体" w:cs="Times New Roman"/>
                <w:b/>
                <w:kern w:val="24"/>
              </w:rPr>
              <w:t>（2）地表水环境评价结论</w:t>
            </w:r>
          </w:p>
          <w:p>
            <w:pPr>
              <w:ind w:firstLine="480"/>
              <w:rPr>
                <w:rFonts w:hint="default" w:ascii="Times New Roman" w:hAnsi="Times New Roman" w:eastAsia="宋体" w:cs="Times New Roman"/>
              </w:rPr>
            </w:pPr>
            <w:r>
              <w:rPr>
                <w:rFonts w:hint="default" w:ascii="Times New Roman" w:hAnsi="Times New Roman" w:eastAsia="宋体" w:cs="Times New Roman"/>
              </w:rPr>
              <w:t>根据《2020年11月江门市省、市水环境监测网水质月报》，项目附近地表水潭江，各项指标均能达到《地表水环境质量标准》（GB3838-2002）Ⅱ类标准，说明水环境质量现状良好，为进一步改善潭江环境保持良好的水体环境，开平市已加快周边污水处理厂的建设，以及对潭江流域排水企业实行监管，将会有利于潭江环境治理的改善，进一步有效削减区域的水污染物。</w:t>
            </w:r>
          </w:p>
          <w:p>
            <w:pPr>
              <w:ind w:firstLine="482"/>
              <w:rPr>
                <w:rFonts w:hint="default" w:ascii="Times New Roman" w:hAnsi="Times New Roman" w:eastAsia="宋体" w:cs="Times New Roman"/>
                <w:b/>
                <w:kern w:val="24"/>
              </w:rPr>
            </w:pPr>
            <w:r>
              <w:rPr>
                <w:rFonts w:hint="default" w:ascii="Times New Roman" w:hAnsi="Times New Roman" w:eastAsia="宋体" w:cs="Times New Roman"/>
                <w:b/>
                <w:kern w:val="24"/>
              </w:rPr>
              <w:t>（3）声环境评价结论</w:t>
            </w:r>
          </w:p>
          <w:p>
            <w:pPr>
              <w:autoSpaceDE w:val="0"/>
              <w:autoSpaceDN w:val="0"/>
              <w:adjustRightInd w:val="0"/>
              <w:ind w:firstLine="480"/>
              <w:rPr>
                <w:rFonts w:hint="default" w:ascii="Times New Roman" w:hAnsi="Times New Roman" w:eastAsia="宋体" w:cs="Times New Roman"/>
              </w:rPr>
            </w:pPr>
            <w:r>
              <w:rPr>
                <w:rFonts w:hint="default" w:ascii="Times New Roman" w:hAnsi="Times New Roman" w:eastAsia="宋体" w:cs="Times New Roman"/>
              </w:rPr>
              <w:t>建设项目所在区域声环境质量良好。根据现状监测结果可知，建设项目边界的环境噪声都能够达到《声环境质量标准》(GB3096－2008)的2类标准。</w:t>
            </w:r>
          </w:p>
          <w:p>
            <w:pPr>
              <w:pStyle w:val="21"/>
              <w:ind w:firstLine="482"/>
              <w:rPr>
                <w:rFonts w:hint="default" w:ascii="Times New Roman" w:hAnsi="Times New Roman" w:eastAsia="宋体" w:cs="Times New Roman"/>
                <w:b/>
              </w:rPr>
            </w:pPr>
            <w:r>
              <w:rPr>
                <w:rFonts w:hint="default" w:ascii="Times New Roman" w:hAnsi="Times New Roman" w:eastAsia="宋体" w:cs="Times New Roman"/>
                <w:b/>
              </w:rPr>
              <w:t>三、环境影响分析结论</w:t>
            </w:r>
          </w:p>
          <w:p>
            <w:pPr>
              <w:pStyle w:val="21"/>
              <w:numPr>
                <w:ilvl w:val="0"/>
                <w:numId w:val="26"/>
              </w:numPr>
              <w:ind w:firstLineChars="0"/>
              <w:rPr>
                <w:rFonts w:hint="default" w:ascii="Times New Roman" w:hAnsi="Times New Roman" w:eastAsia="宋体" w:cs="Times New Roman"/>
                <w:b/>
              </w:rPr>
            </w:pPr>
            <w:r>
              <w:rPr>
                <w:rFonts w:hint="default" w:ascii="Times New Roman" w:hAnsi="Times New Roman" w:eastAsia="宋体" w:cs="Times New Roman"/>
                <w:b/>
              </w:rPr>
              <w:t>营运期环境影响分析结论</w:t>
            </w:r>
          </w:p>
          <w:p>
            <w:pPr>
              <w:pStyle w:val="21"/>
              <w:numPr>
                <w:ilvl w:val="0"/>
                <w:numId w:val="27"/>
              </w:numPr>
              <w:ind w:left="480" w:firstLine="0" w:firstLineChars="0"/>
              <w:rPr>
                <w:rFonts w:hint="default" w:ascii="Times New Roman" w:hAnsi="Times New Roman" w:eastAsia="宋体" w:cs="Times New Roman"/>
                <w:b/>
                <w:bCs w:val="0"/>
              </w:rPr>
            </w:pPr>
            <w:r>
              <w:rPr>
                <w:rFonts w:hint="default" w:ascii="Times New Roman" w:hAnsi="Times New Roman" w:eastAsia="宋体" w:cs="Times New Roman"/>
                <w:b/>
                <w:bCs w:val="0"/>
              </w:rPr>
              <w:t>水环境影响分析结论</w:t>
            </w:r>
          </w:p>
          <w:p>
            <w:pPr>
              <w:ind w:firstLine="480"/>
              <w:rPr>
                <w:rFonts w:hint="default" w:ascii="Times New Roman" w:hAnsi="Times New Roman" w:eastAsia="宋体" w:cs="Times New Roman"/>
              </w:rPr>
            </w:pPr>
            <w:r>
              <w:rPr>
                <w:rFonts w:hint="default" w:ascii="Times New Roman" w:hAnsi="Times New Roman" w:eastAsia="宋体" w:cs="Times New Roman"/>
              </w:rPr>
              <w:t>本项目无生产废水产生，生活污水经三级化粪池沤肥处理后委托农户定期清运回用于农田灌溉，不直接排放，不会对地表水环境造成明显影响。</w:t>
            </w:r>
          </w:p>
          <w:p>
            <w:pPr>
              <w:ind w:firstLine="482"/>
              <w:rPr>
                <w:rFonts w:hint="default" w:ascii="Times New Roman" w:hAnsi="Times New Roman" w:eastAsia="宋体" w:cs="Times New Roman"/>
                <w:b/>
                <w:bCs/>
              </w:rPr>
            </w:pPr>
            <w:r>
              <w:rPr>
                <w:rFonts w:hint="default" w:ascii="Times New Roman" w:hAnsi="Times New Roman" w:eastAsia="宋体" w:cs="Times New Roman"/>
                <w:b/>
                <w:bCs/>
              </w:rPr>
              <w:t>（2）大气环境影响分析结论</w:t>
            </w:r>
          </w:p>
          <w:p>
            <w:pPr>
              <w:ind w:firstLine="480"/>
              <w:rPr>
                <w:rFonts w:hint="default" w:ascii="Times New Roman" w:hAnsi="Times New Roman" w:eastAsia="宋体" w:cs="Times New Roman"/>
              </w:rPr>
            </w:pPr>
            <w:r>
              <w:rPr>
                <w:rFonts w:hint="default" w:ascii="Times New Roman" w:hAnsi="Times New Roman" w:eastAsia="宋体" w:cs="Times New Roman"/>
              </w:rPr>
              <w:t>本项目不设食宿，项目产生的大气污染物主要为印刷废气和印刷机清洗废气。</w:t>
            </w:r>
          </w:p>
          <w:p>
            <w:pPr>
              <w:ind w:firstLine="480"/>
              <w:rPr>
                <w:rFonts w:hint="default" w:ascii="Times New Roman" w:hAnsi="Times New Roman" w:eastAsia="宋体" w:cs="Times New Roman"/>
              </w:rPr>
            </w:pPr>
            <w:r>
              <w:rPr>
                <w:rFonts w:hint="default" w:ascii="Times New Roman" w:hAnsi="Times New Roman" w:eastAsia="宋体" w:cs="Times New Roman"/>
              </w:rPr>
              <w:t>本项目印刷区为独立密闭车间，项目采用整体密闭抽风的方式对印刷有机废气、清洗有机废气进行收集，收集后引致一套“活性炭吸附装置”处理，达标后经15m排气筒排放。项目有机废气经处理后排放可达到广东省地方标准《印刷行业挥发性有机化合物排放标准》（DB44/815-2010）表2中“平版印刷（不含以金属、陶瓷、玻璃为承印物的平版印刷）、柔性版印刷”第Ⅱ时段标准（排放速率≤5.1kg/h、排放浓度≤80mg/m</w:t>
            </w:r>
            <w:r>
              <w:rPr>
                <w:rFonts w:hint="default" w:ascii="Times New Roman" w:hAnsi="Times New Roman" w:eastAsia="宋体" w:cs="Times New Roman"/>
                <w:vertAlign w:val="superscript"/>
              </w:rPr>
              <w:t>3</w:t>
            </w:r>
            <w:r>
              <w:rPr>
                <w:rFonts w:hint="default" w:ascii="Times New Roman" w:hAnsi="Times New Roman" w:eastAsia="宋体" w:cs="Times New Roman"/>
              </w:rPr>
              <w:t>）及表3无组织排放监控点浓度限值标准的要求。</w:t>
            </w:r>
          </w:p>
          <w:p>
            <w:pPr>
              <w:ind w:firstLine="480"/>
              <w:rPr>
                <w:rFonts w:hint="default" w:ascii="Times New Roman" w:hAnsi="Times New Roman" w:eastAsia="宋体" w:cs="Times New Roman"/>
              </w:rPr>
            </w:pPr>
            <w:r>
              <w:rPr>
                <w:rFonts w:hint="default" w:ascii="Times New Roman" w:hAnsi="Times New Roman" w:eastAsia="宋体" w:cs="Times New Roman"/>
              </w:rPr>
              <w:t>因此，经上述措施处理后，本项目产生的废气均能达标排放，不会对项目所在区域大气环境造成明显影响。</w:t>
            </w:r>
          </w:p>
          <w:p>
            <w:pPr>
              <w:pStyle w:val="21"/>
              <w:ind w:firstLine="482"/>
              <w:rPr>
                <w:rFonts w:hint="default" w:ascii="Times New Roman" w:hAnsi="Times New Roman" w:eastAsia="宋体" w:cs="Times New Roman"/>
                <w:b/>
                <w:bCs w:val="0"/>
              </w:rPr>
            </w:pPr>
            <w:r>
              <w:rPr>
                <w:rFonts w:hint="default" w:ascii="Times New Roman" w:hAnsi="Times New Roman" w:eastAsia="宋体" w:cs="Times New Roman"/>
                <w:b/>
                <w:bCs w:val="0"/>
              </w:rPr>
              <w:t>（3）固废环境影响分析结论</w:t>
            </w:r>
          </w:p>
          <w:p>
            <w:pPr>
              <w:ind w:firstLine="480"/>
              <w:rPr>
                <w:rFonts w:hint="default" w:ascii="Times New Roman" w:hAnsi="Times New Roman" w:eastAsia="宋体" w:cs="Times New Roman"/>
              </w:rPr>
            </w:pPr>
            <w:r>
              <w:rPr>
                <w:rFonts w:hint="default" w:ascii="Times New Roman" w:hAnsi="Times New Roman" w:eastAsia="宋体" w:cs="Times New Roman"/>
              </w:rPr>
              <w:t>运营期产生的固废主要为生活垃圾、一般工业固废和危险废物。</w:t>
            </w:r>
          </w:p>
          <w:p>
            <w:pPr>
              <w:ind w:firstLine="480"/>
              <w:rPr>
                <w:rFonts w:hint="default" w:ascii="Times New Roman" w:hAnsi="Times New Roman" w:eastAsia="宋体" w:cs="Times New Roman"/>
              </w:rPr>
            </w:pPr>
            <w:r>
              <w:rPr>
                <w:rFonts w:hint="default" w:ascii="Times New Roman" w:hAnsi="Times New Roman" w:eastAsia="宋体" w:cs="Times New Roman"/>
              </w:rPr>
              <w:t>项目设置1个固废暂存区（5m</w:t>
            </w:r>
            <w:r>
              <w:rPr>
                <w:rFonts w:hint="default" w:ascii="Times New Roman" w:hAnsi="Times New Roman" w:eastAsia="宋体" w:cs="Times New Roman"/>
                <w:vertAlign w:val="superscript"/>
              </w:rPr>
              <w:t>2</w:t>
            </w:r>
            <w:r>
              <w:rPr>
                <w:rFonts w:hint="default" w:ascii="Times New Roman" w:hAnsi="Times New Roman" w:eastAsia="宋体" w:cs="Times New Roman"/>
              </w:rPr>
              <w:t>）和1个危废暂存区（5m</w:t>
            </w:r>
            <w:r>
              <w:rPr>
                <w:rFonts w:hint="default" w:ascii="Times New Roman" w:hAnsi="Times New Roman" w:eastAsia="宋体" w:cs="Times New Roman"/>
                <w:vertAlign w:val="superscript"/>
              </w:rPr>
              <w:t>2</w:t>
            </w:r>
            <w:r>
              <w:rPr>
                <w:rFonts w:hint="default" w:ascii="Times New Roman" w:hAnsi="Times New Roman" w:eastAsia="宋体" w:cs="Times New Roman"/>
              </w:rPr>
              <w:t>），对本项目固体废弃物实行分类收集、贮存。</w:t>
            </w:r>
          </w:p>
          <w:p>
            <w:pPr>
              <w:ind w:firstLine="480"/>
              <w:rPr>
                <w:rFonts w:hint="default" w:ascii="Times New Roman" w:hAnsi="Times New Roman" w:eastAsia="宋体" w:cs="Times New Roman"/>
              </w:rPr>
            </w:pPr>
            <w:r>
              <w:rPr>
                <w:rFonts w:hint="default" w:ascii="Times New Roman" w:hAnsi="Times New Roman" w:eastAsia="宋体" w:cs="Times New Roman"/>
              </w:rPr>
              <w:t>生活垃圾交环卫部门定期清理，统一处理。并对垃圾堆放点进行消毒，杀灭害虫，以免散发恶臭，孳生蚊蝇；</w:t>
            </w:r>
          </w:p>
          <w:p>
            <w:pPr>
              <w:ind w:firstLine="480"/>
              <w:rPr>
                <w:rFonts w:hint="default" w:ascii="Times New Roman" w:hAnsi="Times New Roman" w:eastAsia="宋体" w:cs="Times New Roman"/>
              </w:rPr>
            </w:pPr>
            <w:r>
              <w:rPr>
                <w:rFonts w:hint="default" w:ascii="Times New Roman" w:hAnsi="Times New Roman" w:eastAsia="宋体" w:cs="Times New Roman"/>
              </w:rPr>
              <w:t>一般工业固废：废边角料、废包装材料、废PS版和废钉线经收集后外售综合处理；</w:t>
            </w:r>
          </w:p>
          <w:p>
            <w:pPr>
              <w:ind w:firstLine="480"/>
              <w:rPr>
                <w:rFonts w:hint="default" w:ascii="Times New Roman" w:hAnsi="Times New Roman" w:eastAsia="宋体" w:cs="Times New Roman"/>
              </w:rPr>
            </w:pPr>
            <w:r>
              <w:rPr>
                <w:rFonts w:hint="default" w:ascii="Times New Roman" w:hAnsi="Times New Roman" w:eastAsia="宋体" w:cs="Times New Roman"/>
              </w:rPr>
              <w:t xml:space="preserve">危险废物主要为废活性炭和废抹布，均属于《国家危险废物名录》（2016 版）中规定的危险废物，由具有危险废物处理资质的单位收集处理。     </w:t>
            </w:r>
          </w:p>
          <w:p>
            <w:pPr>
              <w:ind w:firstLine="480"/>
              <w:rPr>
                <w:rFonts w:hint="default" w:ascii="Times New Roman" w:hAnsi="Times New Roman" w:eastAsia="宋体" w:cs="Times New Roman"/>
              </w:rPr>
            </w:pPr>
            <w:r>
              <w:rPr>
                <w:rFonts w:hint="default" w:ascii="Times New Roman" w:hAnsi="Times New Roman" w:eastAsia="宋体" w:cs="Times New Roman"/>
              </w:rPr>
              <w:t>经上述措施处理后，本项目产生的固体废弃物均得到妥善安放、分类管理，实现废物的综合利用和合理处置，符合环保要求，不会对周围环境产生明显的影响。</w:t>
            </w:r>
          </w:p>
          <w:p>
            <w:pPr>
              <w:pStyle w:val="21"/>
              <w:ind w:firstLine="482"/>
              <w:rPr>
                <w:rFonts w:hint="default" w:ascii="Times New Roman" w:hAnsi="Times New Roman" w:eastAsia="宋体" w:cs="Times New Roman"/>
                <w:b/>
                <w:bCs w:val="0"/>
              </w:rPr>
            </w:pPr>
            <w:r>
              <w:rPr>
                <w:rFonts w:hint="default" w:ascii="Times New Roman" w:hAnsi="Times New Roman" w:eastAsia="宋体" w:cs="Times New Roman"/>
                <w:b/>
                <w:bCs w:val="0"/>
              </w:rPr>
              <w:t>（4）声环境影响分析结论</w:t>
            </w:r>
          </w:p>
          <w:p>
            <w:pPr>
              <w:ind w:firstLine="480"/>
              <w:rPr>
                <w:rFonts w:hint="default" w:ascii="Times New Roman" w:hAnsi="Times New Roman" w:eastAsia="宋体" w:cs="Times New Roman"/>
              </w:rPr>
            </w:pPr>
            <w:r>
              <w:rPr>
                <w:rFonts w:hint="default" w:ascii="Times New Roman" w:hAnsi="Times New Roman" w:eastAsia="宋体" w:cs="Times New Roman"/>
              </w:rPr>
              <w:t>噪声排放源主要源于生产设备运行噪声。项目生产设备采用先进的低噪声节能设备，切生产设备均安装于厂房内。设备噪声经隔声、降噪、减振及距离衰减后，边界满足《工业企业厂界环境噪声排放标准》（GB12348-2008）2类标准，即昼间≤60dB(A)、夜间≤50dB(A)，对周围声环境及敏感点产生的影响较小。</w:t>
            </w:r>
          </w:p>
          <w:p>
            <w:pPr>
              <w:pStyle w:val="21"/>
              <w:ind w:firstLine="482"/>
              <w:rPr>
                <w:rFonts w:hint="default" w:ascii="Times New Roman" w:hAnsi="Times New Roman" w:eastAsia="宋体" w:cs="Times New Roman"/>
                <w:b/>
              </w:rPr>
            </w:pPr>
            <w:r>
              <w:rPr>
                <w:rFonts w:hint="default" w:ascii="Times New Roman" w:hAnsi="Times New Roman" w:eastAsia="宋体" w:cs="Times New Roman"/>
                <w:b/>
              </w:rPr>
              <w:t>四、产业政策和选址符合性分析</w:t>
            </w:r>
          </w:p>
          <w:p>
            <w:pPr>
              <w:ind w:firstLine="480"/>
              <w:rPr>
                <w:rFonts w:hint="default" w:ascii="Times New Roman" w:hAnsi="Times New Roman" w:eastAsia="宋体" w:cs="Times New Roman"/>
              </w:rPr>
            </w:pPr>
            <w:r>
              <w:rPr>
                <w:rFonts w:hint="default" w:ascii="Times New Roman" w:hAnsi="Times New Roman" w:eastAsia="宋体" w:cs="Times New Roman"/>
              </w:rPr>
              <w:t>本项目所属行业类别为《国民经济行业类别》（GB/T 4754-2011）中的C2312本册印刷。根据《促进产业结构调整暂行规定》（国发[2005]40号）第十三条规定，项目属于允许类，符合国家有关法律、法规和政策规定的企业。本项目采用的生产工艺及其设备均不属于落后工艺和淘汰类设备，项目的建设符合国家和地方相关产业政策。项目选址位于开平市长沙街道办事处八一村委会南溪开发区A区5号，经长沙街道办同意，该处房屋可作为厂房使用，项目所在地土地功能符合相关规划要求，选址合理。</w:t>
            </w:r>
          </w:p>
          <w:p>
            <w:pPr>
              <w:pStyle w:val="21"/>
              <w:ind w:firstLine="482"/>
              <w:rPr>
                <w:rFonts w:hint="default" w:ascii="Times New Roman" w:hAnsi="Times New Roman" w:eastAsia="宋体" w:cs="Times New Roman"/>
                <w:b/>
              </w:rPr>
            </w:pPr>
            <w:r>
              <w:rPr>
                <w:rFonts w:hint="default" w:ascii="Times New Roman" w:hAnsi="Times New Roman" w:eastAsia="宋体" w:cs="Times New Roman"/>
                <w:b/>
              </w:rPr>
              <w:t>五、建议</w:t>
            </w:r>
          </w:p>
          <w:p>
            <w:pPr>
              <w:ind w:firstLine="480"/>
              <w:rPr>
                <w:rFonts w:hint="default" w:ascii="Times New Roman" w:hAnsi="Times New Roman" w:eastAsia="宋体" w:cs="Times New Roman"/>
              </w:rPr>
            </w:pPr>
            <w:r>
              <w:rPr>
                <w:rFonts w:hint="default" w:ascii="Times New Roman" w:hAnsi="Times New Roman" w:eastAsia="宋体" w:cs="Times New Roman"/>
              </w:rPr>
              <w:t>1、该项目运营期主要的环境影响因素是废气和噪声，企业必须认真执行“三同时”的管理规定，切实落实生活污水污染防治措施，确保生活污水达标排放。</w:t>
            </w:r>
          </w:p>
          <w:p>
            <w:pPr>
              <w:ind w:firstLine="480"/>
              <w:rPr>
                <w:rFonts w:hint="default" w:ascii="Times New Roman" w:hAnsi="Times New Roman" w:eastAsia="宋体" w:cs="Times New Roman"/>
              </w:rPr>
            </w:pPr>
            <w:r>
              <w:rPr>
                <w:rFonts w:hint="default" w:ascii="Times New Roman" w:hAnsi="Times New Roman" w:eastAsia="宋体" w:cs="Times New Roman"/>
              </w:rPr>
              <w:t>2、采用低噪声设备，做防震、减振处理；厂房布置要合理。</w:t>
            </w:r>
          </w:p>
          <w:p>
            <w:pPr>
              <w:ind w:firstLine="480"/>
              <w:rPr>
                <w:rFonts w:hint="default" w:ascii="Times New Roman" w:hAnsi="Times New Roman" w:eastAsia="宋体" w:cs="Times New Roman"/>
              </w:rPr>
            </w:pPr>
            <w:r>
              <w:rPr>
                <w:rFonts w:hint="default" w:ascii="Times New Roman" w:hAnsi="Times New Roman" w:eastAsia="宋体" w:cs="Times New Roman"/>
              </w:rPr>
              <w:t>3、加强环境管理，树立良好的企业环保形象。</w:t>
            </w:r>
          </w:p>
          <w:p>
            <w:pPr>
              <w:pStyle w:val="21"/>
              <w:ind w:firstLine="482"/>
              <w:rPr>
                <w:rFonts w:hint="default" w:ascii="Times New Roman" w:hAnsi="Times New Roman" w:eastAsia="宋体" w:cs="Times New Roman"/>
              </w:rPr>
            </w:pPr>
            <w:r>
              <w:rPr>
                <w:rFonts w:hint="default" w:ascii="Times New Roman" w:hAnsi="Times New Roman" w:eastAsia="宋体" w:cs="Times New Roman"/>
                <w:b/>
                <w:szCs w:val="24"/>
              </w:rPr>
              <w:t>六、综合结论</w:t>
            </w:r>
          </w:p>
          <w:p>
            <w:pPr>
              <w:ind w:firstLine="480"/>
              <w:rPr>
                <w:rFonts w:hint="default" w:ascii="Times New Roman" w:hAnsi="Times New Roman" w:eastAsia="宋体" w:cs="Times New Roman"/>
              </w:rPr>
            </w:pPr>
            <w:r>
              <w:rPr>
                <w:rFonts w:hint="default" w:ascii="Times New Roman" w:hAnsi="Times New Roman" w:eastAsia="宋体" w:cs="Times New Roman"/>
              </w:rPr>
              <w:t>综上所述，开平市七彩印刷厂年产不干胶标签5万m</w:t>
            </w:r>
            <w:r>
              <w:rPr>
                <w:rFonts w:hint="default" w:ascii="Times New Roman" w:hAnsi="Times New Roman" w:eastAsia="宋体" w:cs="Times New Roman"/>
                <w:vertAlign w:val="superscript"/>
              </w:rPr>
              <w:t>2</w:t>
            </w:r>
            <w:r>
              <w:rPr>
                <w:rFonts w:hint="default" w:ascii="Times New Roman" w:hAnsi="Times New Roman" w:eastAsia="宋体" w:cs="Times New Roman"/>
              </w:rPr>
              <w:t>、说明书10万册、表格20万册建设项目的主要环境污染因素为有机废气和噪声。建设单位应认真落实本环评提出的污染防治措施，加强环保设施的运行管理和维护，建立和完善厂内环保机构和规范环保管理制度，保证各类污染物达标排放，实施排污总量控制，做好事故情况下的应急措施。在上述前提条件下，项目的建设不至改变所在区域的环境功能，从环境保护角度分析，本项目的建设是可行的。</w:t>
            </w:r>
          </w:p>
          <w:p>
            <w:pPr>
              <w:pStyle w:val="21"/>
              <w:ind w:firstLine="480"/>
              <w:outlineLvl w:val="9"/>
              <w:rPr>
                <w:rFonts w:hint="default" w:ascii="Times New Roman" w:hAnsi="Times New Roman" w:eastAsia="宋体" w:cs="Times New Roman"/>
              </w:rPr>
            </w:pPr>
          </w:p>
          <w:p>
            <w:pPr>
              <w:ind w:firstLine="480"/>
              <w:rPr>
                <w:rFonts w:hint="default" w:ascii="Times New Roman" w:hAnsi="Times New Roman" w:eastAsia="宋体" w:cs="Times New Roman"/>
              </w:rPr>
            </w:pPr>
          </w:p>
          <w:p>
            <w:pPr>
              <w:ind w:firstLine="480"/>
              <w:rPr>
                <w:rFonts w:hint="default" w:ascii="Times New Roman" w:hAnsi="Times New Roman" w:eastAsia="宋体" w:cs="Times New Roman"/>
              </w:rPr>
            </w:pPr>
          </w:p>
          <w:p>
            <w:pPr>
              <w:ind w:firstLine="480"/>
              <w:rPr>
                <w:rFonts w:hint="default" w:ascii="Times New Roman" w:hAnsi="Times New Roman" w:eastAsia="宋体" w:cs="Times New Roman"/>
              </w:rPr>
            </w:pPr>
          </w:p>
          <w:p>
            <w:pPr>
              <w:ind w:firstLine="0" w:firstLineChars="0"/>
              <w:rPr>
                <w:rFonts w:hint="default" w:ascii="Times New Roman" w:hAnsi="Times New Roman" w:eastAsia="宋体" w:cs="Times New Roman"/>
              </w:rPr>
            </w:pPr>
          </w:p>
        </w:tc>
      </w:tr>
    </w:tbl>
    <w:p>
      <w:pPr>
        <w:pStyle w:val="28"/>
        <w:rPr>
          <w:rFonts w:hint="default" w:ascii="Times New Roman" w:hAnsi="Times New Roman" w:eastAsia="宋体" w:cs="Times New Roman"/>
        </w:rPr>
        <w:sectPr>
          <w:pgSz w:w="11906" w:h="16838"/>
          <w:pgMar w:top="1417" w:right="1417" w:bottom="1417" w:left="1417" w:header="851" w:footer="992" w:gutter="0"/>
          <w:cols w:space="0" w:num="1"/>
          <w:docGrid w:type="lines" w:linePitch="333" w:charSpace="0"/>
        </w:sectPr>
      </w:pPr>
    </w:p>
    <w:tbl>
      <w:tblPr>
        <w:tblStyle w:val="24"/>
        <w:tblW w:w="89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743" w:hRule="atLeast"/>
          <w:jc w:val="center"/>
        </w:trPr>
        <w:tc>
          <w:tcPr>
            <w:tcW w:w="8909" w:type="dxa"/>
          </w:tcPr>
          <w:p>
            <w:pPr>
              <w:spacing w:before="240"/>
              <w:ind w:firstLine="0" w:firstLineChars="0"/>
              <w:rPr>
                <w:rFonts w:hint="default" w:ascii="Times New Roman" w:hAnsi="Times New Roman" w:eastAsia="宋体" w:cs="Times New Roman"/>
                <w:b/>
                <w:sz w:val="32"/>
              </w:rPr>
            </w:pPr>
            <w:r>
              <w:rPr>
                <w:rFonts w:hint="default" w:ascii="Times New Roman" w:hAnsi="Times New Roman" w:eastAsia="宋体" w:cs="Times New Roman"/>
                <w:b/>
                <w:sz w:val="32"/>
              </w:rPr>
              <w:t>预审意见:</w:t>
            </w:r>
          </w:p>
          <w:p>
            <w:pPr>
              <w:spacing w:before="240"/>
              <w:ind w:firstLine="643"/>
              <w:rPr>
                <w:rFonts w:hint="default" w:ascii="Times New Roman" w:hAnsi="Times New Roman" w:eastAsia="宋体" w:cs="Times New Roman"/>
                <w:b/>
                <w:sz w:val="32"/>
              </w:rPr>
            </w:pPr>
          </w:p>
          <w:p>
            <w:pPr>
              <w:pStyle w:val="28"/>
              <w:ind w:firstLine="643"/>
              <w:rPr>
                <w:rFonts w:hint="default" w:ascii="Times New Roman" w:hAnsi="Times New Roman" w:eastAsia="宋体" w:cs="Times New Roman"/>
                <w:b/>
                <w:color w:val="auto"/>
                <w:sz w:val="32"/>
              </w:rPr>
            </w:pPr>
          </w:p>
          <w:p>
            <w:pPr>
              <w:ind w:firstLine="0" w:firstLineChars="0"/>
              <w:rPr>
                <w:rFonts w:hint="default" w:ascii="Times New Roman" w:hAnsi="Times New Roman" w:eastAsia="宋体" w:cs="Times New Roman"/>
              </w:rPr>
            </w:pPr>
          </w:p>
          <w:p>
            <w:pPr>
              <w:pStyle w:val="28"/>
              <w:rPr>
                <w:rFonts w:hint="default" w:ascii="Times New Roman" w:hAnsi="Times New Roman" w:eastAsia="宋体" w:cs="Times New Roman"/>
              </w:rPr>
            </w:pPr>
          </w:p>
          <w:p>
            <w:pPr>
              <w:ind w:firstLine="480"/>
              <w:rPr>
                <w:rFonts w:hint="default" w:ascii="Times New Roman" w:hAnsi="Times New Roman" w:eastAsia="宋体" w:cs="Times New Roman"/>
              </w:rPr>
            </w:pPr>
          </w:p>
          <w:p>
            <w:pPr>
              <w:ind w:firstLine="480"/>
              <w:rPr>
                <w:rFonts w:hint="default" w:ascii="Times New Roman" w:hAnsi="Times New Roman" w:eastAsia="宋体" w:cs="Times New Roman"/>
              </w:rPr>
            </w:pPr>
          </w:p>
          <w:p>
            <w:pPr>
              <w:spacing w:before="240"/>
              <w:ind w:firstLine="643"/>
              <w:rPr>
                <w:rFonts w:hint="default" w:ascii="Times New Roman" w:hAnsi="Times New Roman" w:eastAsia="宋体" w:cs="Times New Roman"/>
                <w:b/>
                <w:sz w:val="32"/>
              </w:rPr>
            </w:pPr>
            <w:r>
              <w:rPr>
                <w:rFonts w:hint="default" w:ascii="Times New Roman" w:hAnsi="Times New Roman" w:eastAsia="宋体" w:cs="Times New Roman"/>
                <w:b/>
                <w:sz w:val="32"/>
              </w:rPr>
              <w:t xml:space="preserve">                                    公   章</w:t>
            </w:r>
          </w:p>
          <w:p>
            <w:pPr>
              <w:pStyle w:val="28"/>
              <w:ind w:firstLine="643"/>
              <w:rPr>
                <w:rFonts w:hint="default" w:ascii="Times New Roman" w:hAnsi="Times New Roman" w:eastAsia="宋体" w:cs="Times New Roman"/>
                <w:b/>
                <w:color w:val="auto"/>
                <w:sz w:val="32"/>
              </w:rPr>
            </w:pPr>
            <w:r>
              <w:rPr>
                <w:rFonts w:hint="default" w:ascii="Times New Roman" w:hAnsi="Times New Roman" w:eastAsia="宋体" w:cs="Times New Roman"/>
                <w:b/>
                <w:color w:val="auto"/>
                <w:sz w:val="32"/>
              </w:rPr>
              <w:t xml:space="preserve"> </w:t>
            </w:r>
          </w:p>
          <w:p>
            <w:pPr>
              <w:pStyle w:val="28"/>
              <w:ind w:firstLine="0" w:firstLineChars="0"/>
              <w:rPr>
                <w:rFonts w:hint="default" w:ascii="Times New Roman" w:hAnsi="Times New Roman" w:eastAsia="宋体" w:cs="Times New Roman"/>
                <w:b/>
                <w:color w:val="auto"/>
                <w:sz w:val="32"/>
              </w:rPr>
            </w:pPr>
            <w:r>
              <w:rPr>
                <w:rFonts w:hint="default" w:ascii="Times New Roman" w:hAnsi="Times New Roman" w:eastAsia="宋体" w:cs="Times New Roman"/>
                <w:b/>
                <w:color w:val="auto"/>
                <w:sz w:val="32"/>
              </w:rPr>
              <w:t>经办人: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09" w:type="dxa"/>
          </w:tcPr>
          <w:p>
            <w:pPr>
              <w:spacing w:before="240"/>
              <w:ind w:firstLine="0" w:firstLineChars="0"/>
              <w:rPr>
                <w:rFonts w:hint="default" w:ascii="Times New Roman" w:hAnsi="Times New Roman" w:eastAsia="宋体" w:cs="Times New Roman"/>
                <w:b/>
                <w:sz w:val="32"/>
              </w:rPr>
            </w:pPr>
            <w:r>
              <w:rPr>
                <w:rFonts w:hint="default" w:ascii="Times New Roman" w:hAnsi="Times New Roman" w:eastAsia="宋体" w:cs="Times New Roman"/>
                <w:b/>
                <w:sz w:val="32"/>
              </w:rPr>
              <w:t>下一级环境保护行政主管部门审查意见:</w:t>
            </w:r>
          </w:p>
          <w:p>
            <w:pPr>
              <w:spacing w:before="240"/>
              <w:ind w:firstLine="643"/>
              <w:rPr>
                <w:rFonts w:hint="default" w:ascii="Times New Roman" w:hAnsi="Times New Roman" w:eastAsia="宋体" w:cs="Times New Roman"/>
                <w:b/>
                <w:sz w:val="32"/>
              </w:rPr>
            </w:pPr>
          </w:p>
          <w:p>
            <w:pPr>
              <w:pStyle w:val="28"/>
              <w:rPr>
                <w:rFonts w:hint="default" w:ascii="Times New Roman" w:hAnsi="Times New Roman" w:eastAsia="宋体" w:cs="Times New Roman"/>
                <w:color w:val="auto"/>
              </w:rPr>
            </w:pPr>
          </w:p>
          <w:p>
            <w:pPr>
              <w:pStyle w:val="28"/>
              <w:ind w:firstLine="643"/>
              <w:rPr>
                <w:rFonts w:hint="default" w:ascii="Times New Roman" w:hAnsi="Times New Roman" w:eastAsia="宋体" w:cs="Times New Roman"/>
                <w:b/>
                <w:color w:val="auto"/>
                <w:sz w:val="32"/>
              </w:rPr>
            </w:pPr>
          </w:p>
          <w:p>
            <w:pPr>
              <w:pStyle w:val="28"/>
              <w:ind w:firstLine="643"/>
              <w:rPr>
                <w:rFonts w:hint="default" w:ascii="Times New Roman" w:hAnsi="Times New Roman" w:eastAsia="宋体" w:cs="Times New Roman"/>
                <w:b/>
                <w:color w:val="auto"/>
                <w:sz w:val="32"/>
              </w:rPr>
            </w:pPr>
          </w:p>
          <w:p>
            <w:pPr>
              <w:ind w:firstLine="643"/>
              <w:rPr>
                <w:rFonts w:hint="default" w:ascii="Times New Roman" w:hAnsi="Times New Roman" w:eastAsia="宋体" w:cs="Times New Roman"/>
                <w:b/>
                <w:sz w:val="32"/>
              </w:rPr>
            </w:pPr>
          </w:p>
          <w:p>
            <w:pPr>
              <w:pStyle w:val="28"/>
              <w:rPr>
                <w:rFonts w:hint="default" w:ascii="Times New Roman" w:hAnsi="Times New Roman" w:eastAsia="宋体" w:cs="Times New Roman"/>
              </w:rPr>
            </w:pPr>
          </w:p>
          <w:p>
            <w:pPr>
              <w:spacing w:before="240"/>
              <w:ind w:firstLine="643"/>
              <w:rPr>
                <w:rFonts w:hint="default" w:ascii="Times New Roman" w:hAnsi="Times New Roman" w:eastAsia="宋体" w:cs="Times New Roman"/>
                <w:b/>
                <w:sz w:val="32"/>
                <w:szCs w:val="32"/>
              </w:rPr>
            </w:pPr>
            <w:r>
              <w:rPr>
                <w:rFonts w:hint="default" w:ascii="Times New Roman" w:hAnsi="Times New Roman" w:eastAsia="宋体" w:cs="Times New Roman"/>
                <w:b/>
                <w:sz w:val="32"/>
              </w:rPr>
              <w:t xml:space="preserve">                                   </w:t>
            </w:r>
            <w:r>
              <w:rPr>
                <w:rFonts w:hint="default" w:ascii="Times New Roman" w:hAnsi="Times New Roman" w:eastAsia="宋体" w:cs="Times New Roman"/>
                <w:b/>
                <w:sz w:val="32"/>
                <w:szCs w:val="32"/>
              </w:rPr>
              <w:t>公   章</w:t>
            </w:r>
          </w:p>
          <w:p>
            <w:pPr>
              <w:pStyle w:val="28"/>
              <w:rPr>
                <w:rFonts w:hint="default" w:ascii="Times New Roman" w:hAnsi="Times New Roman" w:eastAsia="宋体" w:cs="Times New Roman"/>
                <w:color w:val="auto"/>
              </w:rPr>
            </w:pPr>
          </w:p>
          <w:p>
            <w:pPr>
              <w:spacing w:before="166" w:beforeLines="50"/>
              <w:ind w:firstLine="0" w:firstLineChars="0"/>
              <w:jc w:val="left"/>
              <w:rPr>
                <w:rFonts w:hint="default" w:ascii="Times New Roman" w:hAnsi="Times New Roman" w:eastAsia="宋体" w:cs="Times New Roman"/>
                <w:b/>
                <w:bCs/>
              </w:rPr>
            </w:pPr>
            <w:r>
              <w:rPr>
                <w:rFonts w:hint="default" w:ascii="Times New Roman" w:hAnsi="Times New Roman" w:eastAsia="宋体" w:cs="Times New Roman"/>
                <w:b/>
                <w:sz w:val="32"/>
                <w:szCs w:val="32"/>
              </w:rPr>
              <w:t>经办人:                            年     月     日</w:t>
            </w:r>
            <w:r>
              <w:rPr>
                <w:rFonts w:hint="default" w:ascii="Times New Roman" w:hAnsi="Times New Roman" w:eastAsia="宋体" w:cs="Times New Roman"/>
                <w:b/>
                <w:sz w:val="32"/>
              </w:rPr>
              <w:t xml:space="preserve"> </w:t>
            </w:r>
          </w:p>
        </w:tc>
      </w:tr>
    </w:tbl>
    <w:tbl>
      <w:tblPr>
        <w:tblStyle w:val="24"/>
        <w:tblpPr w:leftFromText="181" w:rightFromText="181" w:vertAnchor="text" w:horzAnchor="margin" w:tblpXSpec="center" w:tblpY="216"/>
        <w:tblOverlap w:val="never"/>
        <w:tblW w:w="90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13" w:type="dxa"/>
          </w:tcPr>
          <w:p>
            <w:pPr>
              <w:autoSpaceDE w:val="0"/>
              <w:autoSpaceDN w:val="0"/>
              <w:adjustRightInd w:val="0"/>
              <w:spacing w:before="200"/>
              <w:ind w:firstLine="0" w:firstLineChars="0"/>
              <w:textAlignment w:val="baseline"/>
              <w:rPr>
                <w:rFonts w:hint="default" w:ascii="Times New Roman" w:hAnsi="Times New Roman" w:eastAsia="宋体" w:cs="Times New Roman"/>
                <w:b/>
                <w:bCs/>
                <w:kern w:val="0"/>
                <w:sz w:val="32"/>
                <w:szCs w:val="32"/>
              </w:rPr>
            </w:pPr>
            <w:r>
              <w:rPr>
                <w:rFonts w:hint="default" w:ascii="Times New Roman" w:hAnsi="Times New Roman" w:eastAsia="宋体" w:cs="Times New Roman"/>
                <w:b/>
                <w:bCs/>
                <w:kern w:val="0"/>
                <w:sz w:val="32"/>
                <w:szCs w:val="32"/>
              </w:rPr>
              <w:t>审批意见：</w:t>
            </w:r>
          </w:p>
          <w:p>
            <w:pPr>
              <w:autoSpaceDE w:val="0"/>
              <w:autoSpaceDN w:val="0"/>
              <w:adjustRightInd w:val="0"/>
              <w:spacing w:before="200"/>
              <w:ind w:firstLine="480"/>
              <w:textAlignment w:val="baseline"/>
              <w:rPr>
                <w:rFonts w:hint="default" w:ascii="Times New Roman" w:hAnsi="Times New Roman" w:eastAsia="宋体" w:cs="Times New Roman"/>
                <w:kern w:val="0"/>
                <w:szCs w:val="22"/>
              </w:rPr>
            </w:pPr>
          </w:p>
          <w:p>
            <w:pPr>
              <w:autoSpaceDE w:val="0"/>
              <w:autoSpaceDN w:val="0"/>
              <w:adjustRightInd w:val="0"/>
              <w:spacing w:before="200"/>
              <w:ind w:firstLine="480"/>
              <w:textAlignment w:val="baseline"/>
              <w:rPr>
                <w:rFonts w:hint="default" w:ascii="Times New Roman" w:hAnsi="Times New Roman" w:eastAsia="宋体" w:cs="Times New Roman"/>
                <w:kern w:val="0"/>
                <w:szCs w:val="22"/>
              </w:rPr>
            </w:pPr>
          </w:p>
          <w:p>
            <w:pPr>
              <w:autoSpaceDE w:val="0"/>
              <w:autoSpaceDN w:val="0"/>
              <w:adjustRightInd w:val="0"/>
              <w:spacing w:before="200"/>
              <w:ind w:firstLine="480"/>
              <w:textAlignment w:val="baseline"/>
              <w:rPr>
                <w:rFonts w:hint="default" w:ascii="Times New Roman" w:hAnsi="Times New Roman" w:eastAsia="宋体" w:cs="Times New Roman"/>
                <w:kern w:val="0"/>
                <w:szCs w:val="22"/>
              </w:rPr>
            </w:pPr>
          </w:p>
          <w:p>
            <w:pPr>
              <w:autoSpaceDE w:val="0"/>
              <w:autoSpaceDN w:val="0"/>
              <w:adjustRightInd w:val="0"/>
              <w:spacing w:before="200"/>
              <w:ind w:firstLine="480"/>
              <w:textAlignment w:val="baseline"/>
              <w:rPr>
                <w:rFonts w:hint="default" w:ascii="Times New Roman" w:hAnsi="Times New Roman" w:eastAsia="宋体" w:cs="Times New Roman"/>
                <w:kern w:val="0"/>
                <w:szCs w:val="22"/>
              </w:rPr>
            </w:pPr>
          </w:p>
          <w:p>
            <w:pPr>
              <w:autoSpaceDE w:val="0"/>
              <w:autoSpaceDN w:val="0"/>
              <w:adjustRightInd w:val="0"/>
              <w:spacing w:before="200"/>
              <w:ind w:firstLine="480"/>
              <w:textAlignment w:val="baseline"/>
              <w:rPr>
                <w:rFonts w:hint="default" w:ascii="Times New Roman" w:hAnsi="Times New Roman" w:eastAsia="宋体" w:cs="Times New Roman"/>
                <w:kern w:val="0"/>
                <w:szCs w:val="22"/>
              </w:rPr>
            </w:pPr>
          </w:p>
          <w:p>
            <w:pPr>
              <w:autoSpaceDE w:val="0"/>
              <w:autoSpaceDN w:val="0"/>
              <w:adjustRightInd w:val="0"/>
              <w:spacing w:before="200"/>
              <w:ind w:firstLine="480"/>
              <w:textAlignment w:val="baseline"/>
              <w:rPr>
                <w:rFonts w:hint="default" w:ascii="Times New Roman" w:hAnsi="Times New Roman" w:eastAsia="宋体" w:cs="Times New Roman"/>
                <w:kern w:val="0"/>
                <w:szCs w:val="22"/>
              </w:rPr>
            </w:pPr>
          </w:p>
          <w:p>
            <w:pPr>
              <w:autoSpaceDE w:val="0"/>
              <w:autoSpaceDN w:val="0"/>
              <w:adjustRightInd w:val="0"/>
              <w:spacing w:before="200"/>
              <w:ind w:firstLine="480"/>
              <w:textAlignment w:val="baseline"/>
              <w:rPr>
                <w:rFonts w:hint="default" w:ascii="Times New Roman" w:hAnsi="Times New Roman" w:eastAsia="宋体" w:cs="Times New Roman"/>
                <w:kern w:val="0"/>
                <w:szCs w:val="22"/>
              </w:rPr>
            </w:pPr>
          </w:p>
          <w:p>
            <w:pPr>
              <w:pStyle w:val="28"/>
              <w:rPr>
                <w:rFonts w:hint="default" w:ascii="Times New Roman" w:hAnsi="Times New Roman" w:eastAsia="宋体" w:cs="Times New Roman"/>
                <w:color w:val="auto"/>
                <w:kern w:val="0"/>
                <w:szCs w:val="22"/>
              </w:rPr>
            </w:pPr>
          </w:p>
          <w:p>
            <w:pPr>
              <w:ind w:firstLine="480"/>
              <w:rPr>
                <w:rFonts w:hint="default" w:ascii="Times New Roman" w:hAnsi="Times New Roman" w:eastAsia="宋体" w:cs="Times New Roman"/>
                <w:kern w:val="0"/>
                <w:szCs w:val="22"/>
              </w:rPr>
            </w:pPr>
          </w:p>
          <w:p>
            <w:pPr>
              <w:pStyle w:val="28"/>
              <w:rPr>
                <w:rFonts w:hint="default" w:ascii="Times New Roman" w:hAnsi="Times New Roman" w:eastAsia="宋体" w:cs="Times New Roman"/>
                <w:color w:val="auto"/>
                <w:kern w:val="0"/>
                <w:szCs w:val="22"/>
              </w:rPr>
            </w:pPr>
          </w:p>
          <w:p>
            <w:pPr>
              <w:ind w:firstLine="480"/>
              <w:rPr>
                <w:rFonts w:hint="default" w:ascii="Times New Roman" w:hAnsi="Times New Roman" w:eastAsia="宋体" w:cs="Times New Roman"/>
                <w:kern w:val="0"/>
                <w:szCs w:val="22"/>
              </w:rPr>
            </w:pPr>
          </w:p>
          <w:p>
            <w:pPr>
              <w:pStyle w:val="28"/>
              <w:rPr>
                <w:rFonts w:hint="default" w:ascii="Times New Roman" w:hAnsi="Times New Roman" w:eastAsia="宋体" w:cs="Times New Roman"/>
              </w:rPr>
            </w:pPr>
          </w:p>
          <w:p>
            <w:pPr>
              <w:pStyle w:val="28"/>
              <w:rPr>
                <w:rFonts w:hint="default" w:ascii="Times New Roman" w:hAnsi="Times New Roman" w:eastAsia="宋体" w:cs="Times New Roman"/>
                <w:color w:val="auto"/>
                <w:kern w:val="0"/>
                <w:szCs w:val="22"/>
              </w:rPr>
            </w:pPr>
          </w:p>
          <w:p>
            <w:pPr>
              <w:pStyle w:val="28"/>
              <w:rPr>
                <w:rFonts w:hint="default" w:ascii="Times New Roman" w:hAnsi="Times New Roman" w:eastAsia="宋体" w:cs="Times New Roman"/>
                <w:color w:val="auto"/>
                <w:kern w:val="0"/>
                <w:szCs w:val="22"/>
              </w:rPr>
            </w:pPr>
          </w:p>
          <w:p>
            <w:pPr>
              <w:autoSpaceDE w:val="0"/>
              <w:autoSpaceDN w:val="0"/>
              <w:adjustRightInd w:val="0"/>
              <w:spacing w:before="200"/>
              <w:ind w:firstLine="480"/>
              <w:textAlignment w:val="baseline"/>
              <w:rPr>
                <w:rFonts w:hint="default" w:ascii="Times New Roman" w:hAnsi="Times New Roman" w:eastAsia="宋体" w:cs="Times New Roman"/>
                <w:kern w:val="0"/>
                <w:szCs w:val="22"/>
              </w:rPr>
            </w:pPr>
          </w:p>
          <w:p>
            <w:pPr>
              <w:autoSpaceDE w:val="0"/>
              <w:autoSpaceDN w:val="0"/>
              <w:adjustRightInd w:val="0"/>
              <w:spacing w:before="200"/>
              <w:ind w:firstLine="0" w:firstLineChars="0"/>
              <w:textAlignment w:val="baseline"/>
              <w:rPr>
                <w:rFonts w:hint="default" w:ascii="Times New Roman" w:hAnsi="Times New Roman" w:eastAsia="宋体" w:cs="Times New Roman"/>
                <w:kern w:val="0"/>
                <w:szCs w:val="22"/>
              </w:rPr>
            </w:pPr>
          </w:p>
          <w:p>
            <w:pPr>
              <w:pStyle w:val="28"/>
              <w:rPr>
                <w:rFonts w:hint="default" w:ascii="Times New Roman" w:hAnsi="Times New Roman" w:eastAsia="宋体" w:cs="Times New Roman"/>
              </w:rPr>
            </w:pPr>
          </w:p>
          <w:p>
            <w:pPr>
              <w:pStyle w:val="28"/>
              <w:rPr>
                <w:rFonts w:hint="default" w:ascii="Times New Roman" w:hAnsi="Times New Roman" w:eastAsia="宋体" w:cs="Times New Roman"/>
                <w:color w:val="auto"/>
                <w:kern w:val="0"/>
                <w:szCs w:val="22"/>
              </w:rPr>
            </w:pPr>
          </w:p>
          <w:p>
            <w:pPr>
              <w:pStyle w:val="28"/>
              <w:rPr>
                <w:rFonts w:hint="default" w:ascii="Times New Roman" w:hAnsi="Times New Roman" w:eastAsia="宋体" w:cs="Times New Roman"/>
                <w:b/>
                <w:bCs/>
                <w:color w:val="auto"/>
                <w:kern w:val="0"/>
                <w:sz w:val="32"/>
                <w:szCs w:val="32"/>
              </w:rPr>
            </w:pPr>
            <w:r>
              <w:rPr>
                <w:rFonts w:hint="default" w:ascii="Times New Roman" w:hAnsi="Times New Roman" w:eastAsia="宋体" w:cs="Times New Roman"/>
                <w:color w:val="auto"/>
                <w:kern w:val="0"/>
                <w:szCs w:val="22"/>
              </w:rPr>
              <w:t>　　　　　　　　　　　　　　　　　　　　　　　　　</w:t>
            </w:r>
            <w:r>
              <w:rPr>
                <w:rFonts w:hint="default" w:ascii="Times New Roman" w:hAnsi="Times New Roman" w:eastAsia="宋体" w:cs="Times New Roman"/>
                <w:b/>
                <w:bCs/>
                <w:color w:val="auto"/>
                <w:kern w:val="0"/>
                <w:sz w:val="32"/>
                <w:szCs w:val="32"/>
              </w:rPr>
              <w:t>公  　章</w:t>
            </w:r>
          </w:p>
          <w:p>
            <w:pPr>
              <w:ind w:firstLine="480"/>
              <w:rPr>
                <w:rFonts w:hint="default" w:ascii="Times New Roman" w:hAnsi="Times New Roman" w:eastAsia="宋体" w:cs="Times New Roman"/>
              </w:rPr>
            </w:pPr>
          </w:p>
          <w:p>
            <w:pPr>
              <w:pStyle w:val="28"/>
              <w:ind w:firstLine="0" w:firstLineChars="0"/>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32"/>
                <w:szCs w:val="32"/>
              </w:rPr>
              <w:t>经办人：　　　　　　　　　　　      年　 　月　　 日</w:t>
            </w:r>
          </w:p>
        </w:tc>
      </w:tr>
    </w:tbl>
    <w:tbl>
      <w:tblPr>
        <w:tblStyle w:val="23"/>
        <w:tblW w:w="9039" w:type="dxa"/>
        <w:tblInd w:w="108"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03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039" w:type="dxa"/>
          </w:tcPr>
          <w:p>
            <w:pPr>
              <w:ind w:firstLine="0" w:firstLineChars="0"/>
              <w:jc w:val="center"/>
              <w:rPr>
                <w:rFonts w:hint="default" w:ascii="Times New Roman" w:hAnsi="Times New Roman" w:eastAsia="宋体" w:cs="Times New Roman"/>
              </w:rPr>
            </w:pPr>
            <w:r>
              <w:rPr>
                <w:rFonts w:hint="default" w:ascii="Times New Roman" w:hAnsi="Times New Roman" w:eastAsia="宋体" w:cs="Times New Roman"/>
                <w:b/>
              </w:rPr>
              <w:t>注 释</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039" w:type="dxa"/>
          </w:tcPr>
          <w:p>
            <w:pPr>
              <w:ind w:firstLine="480"/>
              <w:rPr>
                <w:rFonts w:hint="default" w:ascii="Times New Roman" w:hAnsi="Times New Roman" w:eastAsia="宋体" w:cs="Times New Roman"/>
              </w:rPr>
            </w:pPr>
            <w:r>
              <w:rPr>
                <w:rFonts w:hint="default" w:ascii="Times New Roman" w:hAnsi="Times New Roman" w:eastAsia="宋体" w:cs="Times New Roman"/>
              </w:rPr>
              <w:t>一、本报告表应附以下附件、附图：</w:t>
            </w:r>
          </w:p>
          <w:p>
            <w:pPr>
              <w:ind w:firstLine="480"/>
              <w:rPr>
                <w:rFonts w:hint="default" w:ascii="Times New Roman" w:hAnsi="Times New Roman" w:eastAsia="宋体" w:cs="Times New Roman"/>
              </w:rPr>
            </w:pPr>
            <w:r>
              <w:rPr>
                <w:rFonts w:hint="default" w:ascii="Times New Roman" w:hAnsi="Times New Roman" w:eastAsia="宋体" w:cs="Times New Roman"/>
              </w:rPr>
              <w:t>附图1  项目地理位置图</w:t>
            </w:r>
          </w:p>
          <w:p>
            <w:pPr>
              <w:ind w:firstLine="480"/>
              <w:rPr>
                <w:rFonts w:hint="default" w:ascii="Times New Roman" w:hAnsi="Times New Roman" w:eastAsia="宋体" w:cs="Times New Roman"/>
              </w:rPr>
            </w:pPr>
            <w:r>
              <w:rPr>
                <w:rFonts w:hint="default" w:ascii="Times New Roman" w:hAnsi="Times New Roman" w:eastAsia="宋体" w:cs="Times New Roman"/>
              </w:rPr>
              <w:t>附图2  项目周围敏感点分布图</w:t>
            </w:r>
          </w:p>
          <w:p>
            <w:pPr>
              <w:ind w:firstLine="480"/>
              <w:rPr>
                <w:rFonts w:hint="default" w:ascii="Times New Roman" w:hAnsi="Times New Roman" w:eastAsia="宋体" w:cs="Times New Roman"/>
              </w:rPr>
            </w:pPr>
            <w:r>
              <w:rPr>
                <w:rFonts w:hint="default" w:ascii="Times New Roman" w:hAnsi="Times New Roman" w:eastAsia="宋体" w:cs="Times New Roman"/>
              </w:rPr>
              <w:t>附图3  项目四至及噪声监测点位图</w:t>
            </w:r>
          </w:p>
          <w:p>
            <w:pPr>
              <w:ind w:firstLine="480"/>
              <w:rPr>
                <w:rFonts w:hint="default" w:ascii="Times New Roman" w:hAnsi="Times New Roman" w:eastAsia="宋体" w:cs="Times New Roman"/>
              </w:rPr>
            </w:pPr>
            <w:r>
              <w:rPr>
                <w:rFonts w:hint="default" w:ascii="Times New Roman" w:hAnsi="Times New Roman" w:eastAsia="宋体" w:cs="Times New Roman"/>
              </w:rPr>
              <w:t>附图4  项目总平面布局图</w:t>
            </w:r>
          </w:p>
          <w:p>
            <w:pPr>
              <w:ind w:firstLine="480"/>
              <w:rPr>
                <w:rFonts w:hint="default" w:ascii="Times New Roman" w:hAnsi="Times New Roman" w:eastAsia="宋体" w:cs="Times New Roman"/>
              </w:rPr>
            </w:pPr>
            <w:r>
              <w:rPr>
                <w:rFonts w:hint="default" w:ascii="Times New Roman" w:hAnsi="Times New Roman" w:eastAsia="宋体" w:cs="Times New Roman"/>
              </w:rPr>
              <w:t>附图5  开平市大气环境功能区划图</w:t>
            </w:r>
          </w:p>
          <w:p>
            <w:pPr>
              <w:ind w:firstLine="480"/>
              <w:rPr>
                <w:rFonts w:hint="default" w:ascii="Times New Roman" w:hAnsi="Times New Roman" w:eastAsia="宋体" w:cs="Times New Roman"/>
              </w:rPr>
            </w:pPr>
            <w:r>
              <w:rPr>
                <w:rFonts w:hint="default" w:ascii="Times New Roman" w:hAnsi="Times New Roman" w:eastAsia="宋体" w:cs="Times New Roman"/>
              </w:rPr>
              <w:t>附图6  开平市地表水功能区划图</w:t>
            </w:r>
          </w:p>
          <w:p>
            <w:pPr>
              <w:ind w:firstLine="480"/>
              <w:rPr>
                <w:rFonts w:hint="default" w:ascii="Times New Roman" w:hAnsi="Times New Roman" w:eastAsia="宋体" w:cs="Times New Roman"/>
              </w:rPr>
            </w:pPr>
            <w:r>
              <w:rPr>
                <w:rFonts w:hint="default" w:ascii="Times New Roman" w:hAnsi="Times New Roman" w:eastAsia="宋体" w:cs="Times New Roman"/>
              </w:rPr>
              <w:t>附图7  开平市声环境功能区划图</w:t>
            </w:r>
          </w:p>
          <w:p>
            <w:pPr>
              <w:ind w:firstLine="480"/>
              <w:rPr>
                <w:rFonts w:hint="default" w:ascii="Times New Roman" w:hAnsi="Times New Roman" w:eastAsia="宋体" w:cs="Times New Roman"/>
              </w:rPr>
            </w:pPr>
            <w:r>
              <w:rPr>
                <w:rFonts w:hint="default" w:ascii="Times New Roman" w:hAnsi="Times New Roman" w:eastAsia="宋体" w:cs="Times New Roman"/>
              </w:rPr>
              <w:t>附件一  营业执照</w:t>
            </w:r>
          </w:p>
          <w:p>
            <w:pPr>
              <w:ind w:firstLine="480"/>
              <w:rPr>
                <w:rFonts w:hint="default" w:ascii="Times New Roman" w:hAnsi="Times New Roman" w:eastAsia="宋体" w:cs="Times New Roman"/>
              </w:rPr>
            </w:pPr>
            <w:r>
              <w:rPr>
                <w:rFonts w:hint="default" w:ascii="Times New Roman" w:hAnsi="Times New Roman" w:eastAsia="宋体" w:cs="Times New Roman"/>
              </w:rPr>
              <w:t>附件二  法人身份证</w:t>
            </w:r>
          </w:p>
          <w:p>
            <w:pPr>
              <w:ind w:firstLine="480"/>
              <w:rPr>
                <w:rFonts w:hint="default" w:ascii="Times New Roman" w:hAnsi="Times New Roman" w:eastAsia="宋体" w:cs="Times New Roman"/>
              </w:rPr>
            </w:pPr>
            <w:r>
              <w:rPr>
                <w:rFonts w:hint="default" w:ascii="Times New Roman" w:hAnsi="Times New Roman" w:eastAsia="宋体" w:cs="Times New Roman"/>
              </w:rPr>
              <w:t>附件三  建设项目环评审批征求意见表（街道）</w:t>
            </w:r>
          </w:p>
          <w:p>
            <w:pPr>
              <w:ind w:firstLine="480"/>
              <w:rPr>
                <w:rFonts w:hint="default" w:ascii="Times New Roman" w:hAnsi="Times New Roman" w:eastAsia="宋体" w:cs="Times New Roman"/>
              </w:rPr>
            </w:pPr>
            <w:r>
              <w:rPr>
                <w:rFonts w:hint="default" w:ascii="Times New Roman" w:hAnsi="Times New Roman" w:eastAsia="宋体" w:cs="Times New Roman"/>
              </w:rPr>
              <w:t>附件四  厂房租赁合同</w:t>
            </w:r>
          </w:p>
          <w:p>
            <w:pPr>
              <w:ind w:firstLine="480"/>
              <w:rPr>
                <w:rFonts w:hint="default" w:ascii="Times New Roman" w:hAnsi="Times New Roman" w:eastAsia="宋体" w:cs="Times New Roman"/>
              </w:rPr>
            </w:pPr>
            <w:r>
              <w:rPr>
                <w:rFonts w:hint="default" w:ascii="Times New Roman" w:hAnsi="Times New Roman" w:eastAsia="宋体" w:cs="Times New Roman"/>
              </w:rPr>
              <w:t>附件五  接收生活污水灌溉农</w:t>
            </w:r>
            <w:bookmarkStart w:id="21" w:name="_GoBack"/>
            <w:bookmarkEnd w:id="21"/>
            <w:r>
              <w:rPr>
                <w:rFonts w:hint="default" w:ascii="Times New Roman" w:hAnsi="Times New Roman" w:eastAsia="宋体" w:cs="Times New Roman"/>
              </w:rPr>
              <w:t>田协议</w:t>
            </w:r>
          </w:p>
          <w:p>
            <w:pPr>
              <w:ind w:firstLine="480"/>
              <w:rPr>
                <w:rFonts w:hint="default" w:ascii="Times New Roman" w:hAnsi="Times New Roman" w:eastAsia="宋体" w:cs="Times New Roman"/>
              </w:rPr>
            </w:pPr>
            <w:r>
              <w:rPr>
                <w:rFonts w:hint="default" w:ascii="Times New Roman" w:hAnsi="Times New Roman" w:eastAsia="宋体" w:cs="Times New Roman"/>
              </w:rPr>
              <w:t>附件六  项目部分原料MSDS报告</w:t>
            </w:r>
          </w:p>
          <w:p>
            <w:pPr>
              <w:ind w:firstLine="480"/>
              <w:rPr>
                <w:rFonts w:hint="default" w:ascii="Times New Roman" w:hAnsi="Times New Roman" w:eastAsia="宋体" w:cs="Times New Roman"/>
              </w:rPr>
            </w:pPr>
            <w:r>
              <w:rPr>
                <w:rFonts w:hint="default" w:ascii="Times New Roman" w:hAnsi="Times New Roman" w:eastAsia="宋体" w:cs="Times New Roman"/>
              </w:rPr>
              <w:t>附件七  项目环境噪声现状监测报告</w:t>
            </w:r>
          </w:p>
          <w:p>
            <w:pPr>
              <w:pStyle w:val="28"/>
              <w:rPr>
                <w:rFonts w:hint="default" w:ascii="Times New Roman" w:hAnsi="Times New Roman" w:eastAsia="宋体" w:cs="Times New Roman"/>
              </w:rPr>
            </w:pPr>
            <w:r>
              <w:rPr>
                <w:rFonts w:hint="default" w:ascii="Times New Roman" w:hAnsi="Times New Roman" w:eastAsia="宋体" w:cs="Times New Roman"/>
              </w:rPr>
              <w:t>附表一  地表水环境影响评价自查表</w:t>
            </w:r>
          </w:p>
          <w:p>
            <w:pPr>
              <w:ind w:firstLine="480"/>
              <w:rPr>
                <w:rFonts w:hint="default" w:ascii="Times New Roman" w:hAnsi="Times New Roman" w:eastAsia="宋体" w:cs="Times New Roman"/>
              </w:rPr>
            </w:pPr>
            <w:r>
              <w:rPr>
                <w:rFonts w:hint="default" w:ascii="Times New Roman" w:hAnsi="Times New Roman" w:eastAsia="宋体" w:cs="Times New Roman"/>
              </w:rPr>
              <w:t>附表二  大气环境影响评价自查表</w:t>
            </w:r>
          </w:p>
          <w:p>
            <w:pPr>
              <w:pStyle w:val="28"/>
              <w:rPr>
                <w:rFonts w:hint="default" w:ascii="Times New Roman" w:hAnsi="Times New Roman" w:eastAsia="宋体" w:cs="Times New Roman"/>
              </w:rPr>
            </w:pPr>
            <w:r>
              <w:rPr>
                <w:rFonts w:hint="default" w:ascii="Times New Roman" w:hAnsi="Times New Roman" w:eastAsia="宋体" w:cs="Times New Roman"/>
              </w:rPr>
              <w:t>附表三  土壤环境影响评价自查表</w:t>
            </w:r>
          </w:p>
          <w:p>
            <w:pPr>
              <w:ind w:firstLine="480"/>
              <w:rPr>
                <w:rFonts w:hint="default" w:ascii="Times New Roman" w:hAnsi="Times New Roman" w:eastAsia="宋体" w:cs="Times New Roman"/>
              </w:rPr>
            </w:pPr>
            <w:r>
              <w:rPr>
                <w:rFonts w:hint="default" w:ascii="Times New Roman" w:hAnsi="Times New Roman" w:eastAsia="宋体" w:cs="Times New Roman"/>
              </w:rPr>
              <w:t>附表四  建设项目风险评价自查表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039" w:type="dxa"/>
          </w:tcPr>
          <w:p>
            <w:pPr>
              <w:spacing w:line="240" w:lineRule="auto"/>
              <w:ind w:firstLine="480"/>
              <w:rPr>
                <w:rFonts w:hint="default" w:ascii="Times New Roman" w:hAnsi="Times New Roman" w:eastAsia="宋体" w:cs="Times New Roman"/>
              </w:rPr>
            </w:pPr>
            <w:r>
              <w:rPr>
                <w:rFonts w:hint="default" w:ascii="Times New Roman" w:hAnsi="Times New Roman" w:eastAsia="宋体" w:cs="Times New Roman"/>
              </w:rPr>
              <w:t>二、如果本报告表不能说明项目产生的污染及对环境造成的影响，应进行专项评价。根据建设项目的特点和当地环境特征，应选下列1~2项进行专项评价。</w:t>
            </w:r>
          </w:p>
          <w:p>
            <w:pPr>
              <w:spacing w:line="240" w:lineRule="auto"/>
              <w:ind w:firstLine="480"/>
              <w:rPr>
                <w:rFonts w:hint="default" w:ascii="Times New Roman" w:hAnsi="Times New Roman" w:eastAsia="宋体" w:cs="Times New Roman"/>
              </w:rPr>
            </w:pPr>
            <w:r>
              <w:rPr>
                <w:rFonts w:hint="default" w:ascii="Times New Roman" w:hAnsi="Times New Roman" w:eastAsia="宋体" w:cs="Times New Roman"/>
              </w:rPr>
              <w:t>大气环境影响专项评价</w:t>
            </w:r>
          </w:p>
          <w:p>
            <w:pPr>
              <w:spacing w:line="240" w:lineRule="auto"/>
              <w:ind w:firstLine="480"/>
              <w:rPr>
                <w:rFonts w:hint="default" w:ascii="Times New Roman" w:hAnsi="Times New Roman" w:eastAsia="宋体" w:cs="Times New Roman"/>
              </w:rPr>
            </w:pPr>
            <w:r>
              <w:rPr>
                <w:rFonts w:hint="default" w:ascii="Times New Roman" w:hAnsi="Times New Roman" w:eastAsia="宋体" w:cs="Times New Roman"/>
              </w:rPr>
              <w:t>水环境影响专项评价(包括地表水和地下水)</w:t>
            </w:r>
          </w:p>
          <w:p>
            <w:pPr>
              <w:spacing w:line="240" w:lineRule="auto"/>
              <w:ind w:firstLine="480"/>
              <w:rPr>
                <w:rFonts w:hint="default" w:ascii="Times New Roman" w:hAnsi="Times New Roman" w:eastAsia="宋体" w:cs="Times New Roman"/>
              </w:rPr>
            </w:pPr>
            <w:r>
              <w:rPr>
                <w:rFonts w:hint="default" w:ascii="Times New Roman" w:hAnsi="Times New Roman" w:eastAsia="宋体" w:cs="Times New Roman"/>
              </w:rPr>
              <w:t>生态影响专项评价</w:t>
            </w:r>
          </w:p>
          <w:p>
            <w:pPr>
              <w:spacing w:line="240" w:lineRule="auto"/>
              <w:ind w:firstLine="480"/>
              <w:rPr>
                <w:rFonts w:hint="default" w:ascii="Times New Roman" w:hAnsi="Times New Roman" w:eastAsia="宋体" w:cs="Times New Roman"/>
              </w:rPr>
            </w:pPr>
            <w:r>
              <w:rPr>
                <w:rFonts w:hint="default" w:ascii="Times New Roman" w:hAnsi="Times New Roman" w:eastAsia="宋体" w:cs="Times New Roman"/>
              </w:rPr>
              <w:t>声影响专项评价</w:t>
            </w:r>
          </w:p>
          <w:p>
            <w:pPr>
              <w:spacing w:line="240" w:lineRule="auto"/>
              <w:ind w:firstLine="480"/>
              <w:rPr>
                <w:rFonts w:hint="default" w:ascii="Times New Roman" w:hAnsi="Times New Roman" w:eastAsia="宋体" w:cs="Times New Roman"/>
              </w:rPr>
            </w:pPr>
            <w:r>
              <w:rPr>
                <w:rFonts w:hint="default" w:ascii="Times New Roman" w:hAnsi="Times New Roman" w:eastAsia="宋体" w:cs="Times New Roman"/>
              </w:rPr>
              <w:t>土壤影响专项评价</w:t>
            </w:r>
          </w:p>
          <w:p>
            <w:pPr>
              <w:spacing w:line="240" w:lineRule="auto"/>
              <w:ind w:firstLine="480"/>
              <w:rPr>
                <w:rFonts w:hint="default" w:ascii="Times New Roman" w:hAnsi="Times New Roman" w:eastAsia="宋体" w:cs="Times New Roman"/>
              </w:rPr>
            </w:pPr>
            <w:r>
              <w:rPr>
                <w:rFonts w:hint="default" w:ascii="Times New Roman" w:hAnsi="Times New Roman" w:eastAsia="宋体" w:cs="Times New Roman"/>
              </w:rPr>
              <w:t>固体废弃物影响专项评价</w:t>
            </w:r>
          </w:p>
          <w:p>
            <w:pPr>
              <w:spacing w:line="240" w:lineRule="auto"/>
              <w:ind w:firstLine="480"/>
              <w:rPr>
                <w:rFonts w:hint="default" w:ascii="Times New Roman" w:hAnsi="Times New Roman" w:eastAsia="宋体" w:cs="Times New Roman"/>
                <w:b/>
              </w:rPr>
            </w:pPr>
            <w:r>
              <w:rPr>
                <w:rFonts w:hint="default" w:ascii="Times New Roman" w:hAnsi="Times New Roman" w:eastAsia="宋体" w:cs="Times New Roman"/>
              </w:rPr>
              <w:t>以上专项评价未包括的可另列专项，专项评价按照《环境影响评价技术导则》中的要求进行。</w:t>
            </w:r>
          </w:p>
        </w:tc>
      </w:tr>
    </w:tbl>
    <w:p>
      <w:pPr>
        <w:ind w:firstLine="0" w:firstLineChars="0"/>
        <w:rPr>
          <w:rFonts w:hint="default" w:ascii="Times New Roman" w:hAnsi="Times New Roman" w:eastAsia="宋体" w:cs="Times New Roman"/>
        </w:rPr>
        <w:sectPr>
          <w:pgSz w:w="11906" w:h="16838"/>
          <w:pgMar w:top="1417" w:right="1417" w:bottom="1417" w:left="1417" w:header="851" w:footer="992" w:gutter="0"/>
          <w:cols w:space="0" w:num="1"/>
          <w:docGrid w:type="lines" w:linePitch="333" w:charSpace="0"/>
        </w:sectPr>
      </w:pPr>
    </w:p>
    <w:p>
      <w:pPr>
        <w:pStyle w:val="28"/>
        <w:ind w:firstLine="0" w:firstLineChars="0"/>
        <w:rPr>
          <w:rFonts w:hint="default" w:ascii="Times New Roman" w:hAnsi="Times New Roman" w:eastAsia="宋体" w:cs="Times New Roman"/>
          <w:b/>
          <w:bCs/>
          <w:lang w:val="en-US" w:eastAsia="zh-CN"/>
        </w:rPr>
      </w:pPr>
      <w:r>
        <w:rPr>
          <w:rFonts w:hint="eastAsia" w:cs="Times New Roman"/>
          <w:b/>
          <w:bCs/>
          <w:lang w:val="en-US" w:eastAsia="zh-CN"/>
        </w:rPr>
        <w:t>附件</w:t>
      </w:r>
    </w:p>
    <w:sectPr>
      <w:pgSz w:w="16838" w:h="11906" w:orient="landscape"/>
      <w:pgMar w:top="1417" w:right="1417" w:bottom="1417" w:left="1417" w:header="851" w:footer="992" w:gutter="0"/>
      <w:cols w:space="0" w:num="1"/>
      <w:docGrid w:type="lines" w:linePitch="333"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Impact">
    <w:panose1 w:val="020B0806030902050204"/>
    <w:charset w:val="00"/>
    <w:family w:val="swiss"/>
    <w:pitch w:val="default"/>
    <w:sig w:usb0="00000287" w:usb1="00000000" w:usb2="00000000" w:usb3="00000000" w:csb0="2000009F" w:csb1="DFD70000"/>
  </w:font>
  <w:font w:name="方正仿宋_GBK">
    <w:altName w:val="微软雅黑"/>
    <w:panose1 w:val="00000000000000000000"/>
    <w:charset w:val="86"/>
    <w:family w:val="script"/>
    <w:pitch w:val="default"/>
    <w:sig w:usb0="00000000" w:usb1="00000000" w:usb2="00000010" w:usb3="00000000" w:csb0="003C0040"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ind w:firstLine="360"/>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pPr>
                      <w:pStyle w:val="18"/>
                      <w:ind w:firstLine="360"/>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1"/>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B07D057"/>
    <w:multiLevelType w:val="singleLevel"/>
    <w:tmpl w:val="9B07D057"/>
    <w:lvl w:ilvl="0" w:tentative="0">
      <w:start w:val="1"/>
      <w:numFmt w:val="decimal"/>
      <w:lvlText w:val="(%1)"/>
      <w:lvlJc w:val="left"/>
      <w:pPr>
        <w:ind w:left="425" w:hanging="425"/>
      </w:pPr>
      <w:rPr>
        <w:rFonts w:hint="default"/>
      </w:rPr>
    </w:lvl>
  </w:abstractNum>
  <w:abstractNum w:abstractNumId="1">
    <w:nsid w:val="9E0E7F7E"/>
    <w:multiLevelType w:val="singleLevel"/>
    <w:tmpl w:val="9E0E7F7E"/>
    <w:lvl w:ilvl="0" w:tentative="0">
      <w:start w:val="1"/>
      <w:numFmt w:val="decimal"/>
      <w:suff w:val="space"/>
      <w:lvlText w:val="%1、"/>
      <w:lvlJc w:val="left"/>
    </w:lvl>
  </w:abstractNum>
  <w:abstractNum w:abstractNumId="2">
    <w:nsid w:val="AD13DA09"/>
    <w:multiLevelType w:val="singleLevel"/>
    <w:tmpl w:val="AD13DA09"/>
    <w:lvl w:ilvl="0" w:tentative="0">
      <w:start w:val="2"/>
      <w:numFmt w:val="decimal"/>
      <w:suff w:val="nothing"/>
      <w:lvlText w:val="（%1）"/>
      <w:lvlJc w:val="left"/>
    </w:lvl>
  </w:abstractNum>
  <w:abstractNum w:abstractNumId="3">
    <w:nsid w:val="AFB70705"/>
    <w:multiLevelType w:val="singleLevel"/>
    <w:tmpl w:val="AFB70705"/>
    <w:lvl w:ilvl="0" w:tentative="0">
      <w:start w:val="1"/>
      <w:numFmt w:val="decimal"/>
      <w:suff w:val="space"/>
      <w:lvlText w:val="%1、"/>
      <w:lvlJc w:val="left"/>
    </w:lvl>
  </w:abstractNum>
  <w:abstractNum w:abstractNumId="4">
    <w:nsid w:val="B01A2DC1"/>
    <w:multiLevelType w:val="multilevel"/>
    <w:tmpl w:val="B01A2DC1"/>
    <w:lvl w:ilvl="0" w:tentative="0">
      <w:start w:val="1"/>
      <w:numFmt w:val="chineseCounting"/>
      <w:suff w:val="nothing"/>
      <w:lvlText w:val="第%1章 "/>
      <w:lvlJc w:val="left"/>
      <w:pPr>
        <w:ind w:left="425" w:hanging="425"/>
      </w:pPr>
      <w:rPr>
        <w:rFonts w:hint="eastAsia"/>
      </w:rPr>
    </w:lvl>
    <w:lvl w:ilvl="1" w:tentative="0">
      <w:start w:val="1"/>
      <w:numFmt w:val="decimal"/>
      <w:isLgl/>
      <w:lvlText w:val="%1.%2."/>
      <w:lvlJc w:val="left"/>
      <w:pPr>
        <w:ind w:left="567" w:hanging="567"/>
      </w:pPr>
      <w:rPr>
        <w:rFonts w:hint="eastAsia"/>
      </w:rPr>
    </w:lvl>
    <w:lvl w:ilvl="2" w:tentative="0">
      <w:start w:val="1"/>
      <w:numFmt w:val="decimal"/>
      <w:isLgl/>
      <w:lvlText w:val="%1.%2.%3."/>
      <w:lvlJc w:val="left"/>
      <w:pPr>
        <w:ind w:left="709" w:hanging="709"/>
      </w:pPr>
      <w:rPr>
        <w:rFonts w:hint="eastAsia"/>
      </w:rPr>
    </w:lvl>
    <w:lvl w:ilvl="3" w:tentative="0">
      <w:start w:val="1"/>
      <w:numFmt w:val="decimal"/>
      <w:pStyle w:val="30"/>
      <w:isLgl/>
      <w:lvlText w:val="%1.%2.%3.%4."/>
      <w:lvlJc w:val="left"/>
      <w:pPr>
        <w:ind w:left="850" w:hanging="850"/>
      </w:pPr>
      <w:rPr>
        <w:rFonts w:hint="eastAsia"/>
      </w:rPr>
    </w:lvl>
    <w:lvl w:ilvl="4" w:tentative="0">
      <w:start w:val="1"/>
      <w:numFmt w:val="decimal"/>
      <w:isLgl/>
      <w:lvlText w:val="%1.%2.%3.%4.%5."/>
      <w:lvlJc w:val="left"/>
      <w:pPr>
        <w:ind w:left="991" w:hanging="991"/>
      </w:pPr>
      <w:rPr>
        <w:rFonts w:hint="eastAsia"/>
      </w:rPr>
    </w:lvl>
    <w:lvl w:ilvl="5" w:tentative="0">
      <w:start w:val="1"/>
      <w:numFmt w:val="decimal"/>
      <w:isLgl/>
      <w:lvlText w:val="%1.%2.%3.%4.%5.%6."/>
      <w:lvlJc w:val="left"/>
      <w:pPr>
        <w:ind w:left="1134" w:hanging="1134"/>
      </w:pPr>
      <w:rPr>
        <w:rFonts w:hint="eastAsia"/>
      </w:rPr>
    </w:lvl>
    <w:lvl w:ilvl="6" w:tentative="0">
      <w:start w:val="1"/>
      <w:numFmt w:val="decimal"/>
      <w:isLgl/>
      <w:lvlText w:val="%1.%2.%3.%4.%5.%6.%7."/>
      <w:lvlJc w:val="left"/>
      <w:pPr>
        <w:ind w:left="1275" w:hanging="1275"/>
      </w:pPr>
      <w:rPr>
        <w:rFonts w:hint="eastAsia"/>
      </w:rPr>
    </w:lvl>
    <w:lvl w:ilvl="7" w:tentative="0">
      <w:start w:val="1"/>
      <w:numFmt w:val="decimal"/>
      <w:isLgl/>
      <w:lvlText w:val="%1.%2.%3.%4.%5.%6.%7.%8."/>
      <w:lvlJc w:val="left"/>
      <w:pPr>
        <w:ind w:left="1418" w:hanging="1418"/>
      </w:pPr>
      <w:rPr>
        <w:rFonts w:hint="eastAsia"/>
      </w:rPr>
    </w:lvl>
    <w:lvl w:ilvl="8" w:tentative="0">
      <w:start w:val="1"/>
      <w:numFmt w:val="decimal"/>
      <w:isLgl/>
      <w:lvlText w:val="%1.%2.%3.%4.%5.%6.%7.%8.%9."/>
      <w:lvlJc w:val="left"/>
      <w:pPr>
        <w:ind w:left="1558" w:hanging="1558"/>
      </w:pPr>
      <w:rPr>
        <w:rFonts w:hint="eastAsia"/>
      </w:rPr>
    </w:lvl>
  </w:abstractNum>
  <w:abstractNum w:abstractNumId="5">
    <w:nsid w:val="C1FB81A6"/>
    <w:multiLevelType w:val="singleLevel"/>
    <w:tmpl w:val="C1FB81A6"/>
    <w:lvl w:ilvl="0" w:tentative="0">
      <w:start w:val="1"/>
      <w:numFmt w:val="bullet"/>
      <w:lvlText w:val=""/>
      <w:lvlJc w:val="left"/>
      <w:pPr>
        <w:ind w:left="420" w:hanging="420"/>
      </w:pPr>
      <w:rPr>
        <w:rFonts w:hint="default" w:ascii="Wingdings" w:hAnsi="Wingdings"/>
      </w:rPr>
    </w:lvl>
  </w:abstractNum>
  <w:abstractNum w:abstractNumId="6">
    <w:nsid w:val="D057D3F9"/>
    <w:multiLevelType w:val="multilevel"/>
    <w:tmpl w:val="D057D3F9"/>
    <w:lvl w:ilvl="0" w:tentative="0">
      <w:start w:val="1"/>
      <w:numFmt w:val="chineseCounting"/>
      <w:suff w:val="nothing"/>
      <w:lvlText w:val="第%1章 "/>
      <w:lvlJc w:val="left"/>
      <w:pPr>
        <w:ind w:left="432" w:hanging="432"/>
      </w:pPr>
      <w:rPr>
        <w:rFonts w:hint="eastAsia"/>
      </w:rPr>
    </w:lvl>
    <w:lvl w:ilvl="1" w:tentative="0">
      <w:start w:val="1"/>
      <w:numFmt w:val="decimal"/>
      <w:isLgl/>
      <w:lvlText w:val="%1.%2."/>
      <w:lvlJc w:val="left"/>
      <w:pPr>
        <w:ind w:left="575" w:hanging="575"/>
      </w:pPr>
      <w:rPr>
        <w:rFonts w:hint="eastAsia"/>
      </w:rPr>
    </w:lvl>
    <w:lvl w:ilvl="2" w:tentative="0">
      <w:start w:val="1"/>
      <w:numFmt w:val="decimal"/>
      <w:isLgl/>
      <w:lvlText w:val="%1.%2.%3."/>
      <w:lvlJc w:val="left"/>
      <w:pPr>
        <w:ind w:left="720" w:hanging="720"/>
      </w:pPr>
      <w:rPr>
        <w:rFonts w:hint="eastAsia"/>
      </w:rPr>
    </w:lvl>
    <w:lvl w:ilvl="3" w:tentative="0">
      <w:start w:val="1"/>
      <w:numFmt w:val="decimal"/>
      <w:isLgl/>
      <w:lvlText w:val="%1.%2.%3.%4."/>
      <w:lvlJc w:val="left"/>
      <w:pPr>
        <w:ind w:left="864" w:hanging="864"/>
      </w:pPr>
      <w:rPr>
        <w:rFonts w:hint="eastAsia"/>
      </w:rPr>
    </w:lvl>
    <w:lvl w:ilvl="4" w:tentative="0">
      <w:start w:val="1"/>
      <w:numFmt w:val="decimal"/>
      <w:isLgl/>
      <w:lvlText w:val="%1.%2.%3.%4.%5."/>
      <w:lvlJc w:val="left"/>
      <w:pPr>
        <w:ind w:left="1008" w:hanging="1008"/>
      </w:pPr>
      <w:rPr>
        <w:rFonts w:hint="eastAsia"/>
      </w:rPr>
    </w:lvl>
    <w:lvl w:ilvl="5" w:tentative="0">
      <w:start w:val="1"/>
      <w:numFmt w:val="decimal"/>
      <w:pStyle w:val="8"/>
      <w:isLgl/>
      <w:lvlText w:val="%1.%2.%3.%4.%5.%6."/>
      <w:lvlJc w:val="left"/>
      <w:pPr>
        <w:ind w:left="1151" w:hanging="1151"/>
      </w:pPr>
      <w:rPr>
        <w:rFonts w:hint="eastAsia"/>
      </w:rPr>
    </w:lvl>
    <w:lvl w:ilvl="6" w:tentative="0">
      <w:start w:val="1"/>
      <w:numFmt w:val="decimal"/>
      <w:pStyle w:val="9"/>
      <w:isLgl/>
      <w:lvlText w:val="%1.%2.%3.%4.%5.%6.%7."/>
      <w:lvlJc w:val="left"/>
      <w:pPr>
        <w:ind w:left="1296" w:hanging="1296"/>
      </w:pPr>
      <w:rPr>
        <w:rFonts w:hint="eastAsia"/>
      </w:rPr>
    </w:lvl>
    <w:lvl w:ilvl="7" w:tentative="0">
      <w:start w:val="1"/>
      <w:numFmt w:val="decimal"/>
      <w:pStyle w:val="10"/>
      <w:isLgl/>
      <w:lvlText w:val="%1.%2.%3.%4.%5.%6.%7.%8."/>
      <w:lvlJc w:val="left"/>
      <w:pPr>
        <w:ind w:left="1440" w:hanging="1440"/>
      </w:pPr>
      <w:rPr>
        <w:rFonts w:hint="eastAsia"/>
      </w:rPr>
    </w:lvl>
    <w:lvl w:ilvl="8" w:tentative="0">
      <w:start w:val="1"/>
      <w:numFmt w:val="decimal"/>
      <w:pStyle w:val="11"/>
      <w:isLgl/>
      <w:lvlText w:val="%1.%2.%3.%4.%5.%6.%7.%8.%9."/>
      <w:lvlJc w:val="left"/>
      <w:pPr>
        <w:ind w:left="1583" w:hanging="1583"/>
      </w:pPr>
      <w:rPr>
        <w:rFonts w:hint="eastAsia"/>
      </w:rPr>
    </w:lvl>
  </w:abstractNum>
  <w:abstractNum w:abstractNumId="7">
    <w:nsid w:val="D1C6176D"/>
    <w:multiLevelType w:val="multilevel"/>
    <w:tmpl w:val="D1C6176D"/>
    <w:lvl w:ilvl="0" w:tentative="0">
      <w:start w:val="1"/>
      <w:numFmt w:val="decimal"/>
      <w:lvlText w:val="(%1)"/>
      <w:lvlJc w:val="left"/>
      <w:pPr>
        <w:tabs>
          <w:tab w:val="left" w:pos="420"/>
        </w:tabs>
        <w:ind w:left="425" w:hanging="425"/>
      </w:pPr>
      <w:rPr>
        <w:rFonts w:hint="default" w:ascii="宋体" w:hAnsi="宋体" w:eastAsia="宋体" w:cs="宋体"/>
      </w:rPr>
    </w:lvl>
    <w:lvl w:ilvl="1" w:tentative="0">
      <w:start w:val="1"/>
      <w:numFmt w:val="decimalEnclosedCircleChinese"/>
      <w:lvlText w:val="%2"/>
      <w:lvlJc w:val="left"/>
      <w:pPr>
        <w:tabs>
          <w:tab w:val="left" w:pos="840"/>
        </w:tabs>
        <w:ind w:left="840" w:hanging="420"/>
      </w:pPr>
      <w:rPr>
        <w:rFonts w:hint="eastAsia" w:ascii="宋体" w:hAnsi="宋体" w:eastAsia="宋体" w:cs="宋体"/>
      </w:rPr>
    </w:lvl>
    <w:lvl w:ilvl="2" w:tentative="0">
      <w:start w:val="1"/>
      <w:numFmt w:val="decimal"/>
      <w:lvlText w:val="%3)"/>
      <w:lvlJc w:val="left"/>
      <w:pPr>
        <w:tabs>
          <w:tab w:val="left" w:pos="1260"/>
        </w:tabs>
        <w:ind w:left="1260" w:hanging="420"/>
      </w:pPr>
      <w:rPr>
        <w:rFonts w:hint="default"/>
      </w:rPr>
    </w:lvl>
    <w:lvl w:ilvl="3" w:tentative="0">
      <w:start w:val="1"/>
      <w:numFmt w:val="lowerLetter"/>
      <w:lvlText w:val="%4."/>
      <w:lvlJc w:val="left"/>
      <w:pPr>
        <w:tabs>
          <w:tab w:val="left" w:pos="1680"/>
        </w:tabs>
        <w:ind w:left="1680" w:hanging="420"/>
      </w:pPr>
      <w:rPr>
        <w:rFonts w:hint="default" w:ascii="宋体" w:hAnsi="宋体" w:eastAsia="宋体" w:cs="宋体"/>
      </w:rPr>
    </w:lvl>
    <w:lvl w:ilvl="4" w:tentative="0">
      <w:start w:val="1"/>
      <w:numFmt w:val="decimal"/>
      <w:pStyle w:val="7"/>
      <w:lvlText w:val="(%5)"/>
      <w:lvlJc w:val="left"/>
      <w:pPr>
        <w:ind w:left="0" w:firstLine="0"/>
      </w:pPr>
      <w:rPr>
        <w:rFonts w:hint="default" w:ascii="宋体" w:hAnsi="宋体" w:eastAsia="宋体" w:cs="宋体"/>
      </w:rPr>
    </w:lvl>
    <w:lvl w:ilvl="5" w:tentative="0">
      <w:start w:val="1"/>
      <w:numFmt w:val="lowerRoman"/>
      <w:lvlText w:val="%6."/>
      <w:lvlJc w:val="left"/>
      <w:pPr>
        <w:tabs>
          <w:tab w:val="left" w:pos="2520"/>
        </w:tabs>
        <w:ind w:left="2520" w:hanging="420"/>
      </w:pPr>
      <w:rPr>
        <w:rFonts w:hint="default"/>
      </w:rPr>
    </w:lvl>
    <w:lvl w:ilvl="6" w:tentative="0">
      <w:start w:val="1"/>
      <w:numFmt w:val="lowerRoman"/>
      <w:lvlText w:val="%7)"/>
      <w:lvlJc w:val="left"/>
      <w:pPr>
        <w:tabs>
          <w:tab w:val="left" w:pos="2940"/>
        </w:tabs>
        <w:ind w:left="2940" w:hanging="420"/>
      </w:pPr>
      <w:rPr>
        <w:rFonts w:hint="default"/>
      </w:rPr>
    </w:lvl>
    <w:lvl w:ilvl="7" w:tentative="0">
      <w:start w:val="1"/>
      <w:numFmt w:val="lowerLetter"/>
      <w:lvlText w:val="%8."/>
      <w:lvlJc w:val="left"/>
      <w:pPr>
        <w:tabs>
          <w:tab w:val="left" w:pos="3360"/>
        </w:tabs>
        <w:ind w:left="3360" w:hanging="420"/>
      </w:pPr>
      <w:rPr>
        <w:rFonts w:hint="default"/>
      </w:rPr>
    </w:lvl>
    <w:lvl w:ilvl="8" w:tentative="0">
      <w:start w:val="1"/>
      <w:numFmt w:val="lowerLetter"/>
      <w:lvlText w:val="%9)"/>
      <w:lvlJc w:val="left"/>
      <w:pPr>
        <w:tabs>
          <w:tab w:val="left" w:pos="3780"/>
        </w:tabs>
        <w:ind w:left="3780" w:hanging="420"/>
      </w:pPr>
      <w:rPr>
        <w:rFonts w:hint="default"/>
      </w:rPr>
    </w:lvl>
  </w:abstractNum>
  <w:abstractNum w:abstractNumId="8">
    <w:nsid w:val="D2927C56"/>
    <w:multiLevelType w:val="singleLevel"/>
    <w:tmpl w:val="D2927C56"/>
    <w:lvl w:ilvl="0" w:tentative="0">
      <w:start w:val="1"/>
      <w:numFmt w:val="bullet"/>
      <w:lvlText w:val=""/>
      <w:lvlJc w:val="left"/>
      <w:pPr>
        <w:ind w:left="420" w:hanging="420"/>
      </w:pPr>
      <w:rPr>
        <w:rFonts w:hint="default" w:ascii="Wingdings" w:hAnsi="Wingdings"/>
      </w:rPr>
    </w:lvl>
  </w:abstractNum>
  <w:abstractNum w:abstractNumId="9">
    <w:nsid w:val="E34E1A52"/>
    <w:multiLevelType w:val="singleLevel"/>
    <w:tmpl w:val="E34E1A52"/>
    <w:lvl w:ilvl="0" w:tentative="0">
      <w:start w:val="1"/>
      <w:numFmt w:val="bullet"/>
      <w:lvlText w:val=""/>
      <w:lvlJc w:val="left"/>
      <w:pPr>
        <w:ind w:left="420" w:hanging="420"/>
      </w:pPr>
      <w:rPr>
        <w:rFonts w:hint="default" w:ascii="Wingdings" w:hAnsi="Wingdings"/>
      </w:rPr>
    </w:lvl>
  </w:abstractNum>
  <w:abstractNum w:abstractNumId="10">
    <w:nsid w:val="F1B10814"/>
    <w:multiLevelType w:val="singleLevel"/>
    <w:tmpl w:val="F1B10814"/>
    <w:lvl w:ilvl="0" w:tentative="0">
      <w:start w:val="1"/>
      <w:numFmt w:val="decimal"/>
      <w:suff w:val="space"/>
      <w:lvlText w:val="%1、"/>
      <w:lvlJc w:val="left"/>
    </w:lvl>
  </w:abstractNum>
  <w:abstractNum w:abstractNumId="11">
    <w:nsid w:val="00DF6BC5"/>
    <w:multiLevelType w:val="singleLevel"/>
    <w:tmpl w:val="00DF6BC5"/>
    <w:lvl w:ilvl="0" w:tentative="0">
      <w:start w:val="1"/>
      <w:numFmt w:val="decimal"/>
      <w:suff w:val="nothing"/>
      <w:lvlText w:val="%1、"/>
      <w:lvlJc w:val="left"/>
    </w:lvl>
  </w:abstractNum>
  <w:abstractNum w:abstractNumId="12">
    <w:nsid w:val="01827A99"/>
    <w:multiLevelType w:val="singleLevel"/>
    <w:tmpl w:val="01827A99"/>
    <w:lvl w:ilvl="0" w:tentative="0">
      <w:start w:val="1"/>
      <w:numFmt w:val="decimal"/>
      <w:lvlText w:val="(%1)"/>
      <w:lvlJc w:val="left"/>
      <w:pPr>
        <w:ind w:left="425" w:hanging="425"/>
      </w:pPr>
      <w:rPr>
        <w:rFonts w:hint="default"/>
      </w:rPr>
    </w:lvl>
  </w:abstractNum>
  <w:abstractNum w:abstractNumId="13">
    <w:nsid w:val="03BC68FA"/>
    <w:multiLevelType w:val="multilevel"/>
    <w:tmpl w:val="03BC68FA"/>
    <w:lvl w:ilvl="0" w:tentative="0">
      <w:start w:val="1"/>
      <w:numFmt w:val="decimal"/>
      <w:lvlText w:val="%1."/>
      <w:lvlJc w:val="left"/>
      <w:pPr>
        <w:ind w:left="900" w:hanging="420"/>
      </w:pPr>
      <w:rPr>
        <w:rFonts w:cs="Times New Roman"/>
      </w:rPr>
    </w:lvl>
    <w:lvl w:ilvl="1" w:tentative="0">
      <w:start w:val="1"/>
      <w:numFmt w:val="lowerLetter"/>
      <w:lvlText w:val="%2)"/>
      <w:lvlJc w:val="left"/>
      <w:pPr>
        <w:ind w:left="1320" w:hanging="420"/>
      </w:pPr>
      <w:rPr>
        <w:rFonts w:cs="Times New Roman"/>
      </w:rPr>
    </w:lvl>
    <w:lvl w:ilvl="2" w:tentative="0">
      <w:start w:val="1"/>
      <w:numFmt w:val="lowerRoman"/>
      <w:lvlText w:val="%3."/>
      <w:lvlJc w:val="right"/>
      <w:pPr>
        <w:ind w:left="1740" w:hanging="420"/>
      </w:pPr>
      <w:rPr>
        <w:rFonts w:cs="Times New Roman"/>
      </w:rPr>
    </w:lvl>
    <w:lvl w:ilvl="3" w:tentative="0">
      <w:start w:val="1"/>
      <w:numFmt w:val="decimal"/>
      <w:lvlText w:val="%4."/>
      <w:lvlJc w:val="left"/>
      <w:pPr>
        <w:ind w:left="2160" w:hanging="420"/>
      </w:pPr>
      <w:rPr>
        <w:rFonts w:cs="Times New Roman"/>
      </w:rPr>
    </w:lvl>
    <w:lvl w:ilvl="4" w:tentative="0">
      <w:start w:val="1"/>
      <w:numFmt w:val="lowerLetter"/>
      <w:lvlText w:val="%5)"/>
      <w:lvlJc w:val="left"/>
      <w:pPr>
        <w:ind w:left="2580" w:hanging="420"/>
      </w:pPr>
      <w:rPr>
        <w:rFonts w:cs="Times New Roman"/>
      </w:rPr>
    </w:lvl>
    <w:lvl w:ilvl="5" w:tentative="0">
      <w:start w:val="1"/>
      <w:numFmt w:val="lowerRoman"/>
      <w:lvlText w:val="%6."/>
      <w:lvlJc w:val="right"/>
      <w:pPr>
        <w:ind w:left="3000" w:hanging="420"/>
      </w:pPr>
      <w:rPr>
        <w:rFonts w:cs="Times New Roman"/>
      </w:rPr>
    </w:lvl>
    <w:lvl w:ilvl="6" w:tentative="0">
      <w:start w:val="1"/>
      <w:numFmt w:val="decimal"/>
      <w:lvlText w:val="%7."/>
      <w:lvlJc w:val="left"/>
      <w:pPr>
        <w:ind w:left="3420" w:hanging="420"/>
      </w:pPr>
      <w:rPr>
        <w:rFonts w:cs="Times New Roman"/>
      </w:rPr>
    </w:lvl>
    <w:lvl w:ilvl="7" w:tentative="0">
      <w:start w:val="1"/>
      <w:numFmt w:val="lowerLetter"/>
      <w:lvlText w:val="%8)"/>
      <w:lvlJc w:val="left"/>
      <w:pPr>
        <w:ind w:left="3840" w:hanging="420"/>
      </w:pPr>
      <w:rPr>
        <w:rFonts w:cs="Times New Roman"/>
      </w:rPr>
    </w:lvl>
    <w:lvl w:ilvl="8" w:tentative="0">
      <w:start w:val="1"/>
      <w:numFmt w:val="lowerRoman"/>
      <w:lvlText w:val="%9."/>
      <w:lvlJc w:val="right"/>
      <w:pPr>
        <w:ind w:left="4260" w:hanging="420"/>
      </w:pPr>
      <w:rPr>
        <w:rFonts w:cs="Times New Roman"/>
      </w:rPr>
    </w:lvl>
  </w:abstractNum>
  <w:abstractNum w:abstractNumId="14">
    <w:nsid w:val="07C0783B"/>
    <w:multiLevelType w:val="multilevel"/>
    <w:tmpl w:val="07C0783B"/>
    <w:lvl w:ilvl="0" w:tentative="0">
      <w:start w:val="1"/>
      <w:numFmt w:val="decimal"/>
      <w:lvlText w:val="%1."/>
      <w:lvlJc w:val="left"/>
      <w:pPr>
        <w:ind w:left="902" w:hanging="420"/>
      </w:pPr>
      <w:rPr>
        <w:rFonts w:hint="default" w:ascii="Times New Roman" w:hAnsi="Times New Roman" w:eastAsia="宋体" w:cs="Times New Roman"/>
        <w:spacing w:val="0"/>
        <w:position w:val="0"/>
      </w:rPr>
    </w:lvl>
    <w:lvl w:ilvl="1" w:tentative="0">
      <w:start w:val="1"/>
      <w:numFmt w:val="lowerLetter"/>
      <w:lvlText w:val="%2)"/>
      <w:lvlJc w:val="left"/>
      <w:pPr>
        <w:ind w:left="1322" w:hanging="420"/>
      </w:pPr>
      <w:rPr>
        <w:rFonts w:cs="Times New Roman"/>
      </w:rPr>
    </w:lvl>
    <w:lvl w:ilvl="2" w:tentative="0">
      <w:start w:val="1"/>
      <w:numFmt w:val="lowerRoman"/>
      <w:lvlText w:val="%3."/>
      <w:lvlJc w:val="right"/>
      <w:pPr>
        <w:ind w:left="1742" w:hanging="420"/>
      </w:pPr>
      <w:rPr>
        <w:rFonts w:cs="Times New Roman"/>
      </w:rPr>
    </w:lvl>
    <w:lvl w:ilvl="3" w:tentative="0">
      <w:start w:val="1"/>
      <w:numFmt w:val="decimal"/>
      <w:lvlText w:val="%4."/>
      <w:lvlJc w:val="left"/>
      <w:pPr>
        <w:ind w:left="2162" w:hanging="420"/>
      </w:pPr>
      <w:rPr>
        <w:rFonts w:cs="Times New Roman"/>
      </w:rPr>
    </w:lvl>
    <w:lvl w:ilvl="4" w:tentative="0">
      <w:start w:val="1"/>
      <w:numFmt w:val="lowerLetter"/>
      <w:lvlText w:val="%5)"/>
      <w:lvlJc w:val="left"/>
      <w:pPr>
        <w:ind w:left="2582" w:hanging="420"/>
      </w:pPr>
      <w:rPr>
        <w:rFonts w:cs="Times New Roman"/>
      </w:rPr>
    </w:lvl>
    <w:lvl w:ilvl="5" w:tentative="0">
      <w:start w:val="1"/>
      <w:numFmt w:val="lowerRoman"/>
      <w:lvlText w:val="%6."/>
      <w:lvlJc w:val="right"/>
      <w:pPr>
        <w:ind w:left="3002" w:hanging="420"/>
      </w:pPr>
      <w:rPr>
        <w:rFonts w:cs="Times New Roman"/>
      </w:rPr>
    </w:lvl>
    <w:lvl w:ilvl="6" w:tentative="0">
      <w:start w:val="1"/>
      <w:numFmt w:val="decimal"/>
      <w:lvlText w:val="%7."/>
      <w:lvlJc w:val="left"/>
      <w:pPr>
        <w:ind w:left="3422" w:hanging="420"/>
      </w:pPr>
      <w:rPr>
        <w:rFonts w:cs="Times New Roman"/>
      </w:rPr>
    </w:lvl>
    <w:lvl w:ilvl="7" w:tentative="0">
      <w:start w:val="1"/>
      <w:numFmt w:val="lowerLetter"/>
      <w:lvlText w:val="%8)"/>
      <w:lvlJc w:val="left"/>
      <w:pPr>
        <w:ind w:left="3842" w:hanging="420"/>
      </w:pPr>
      <w:rPr>
        <w:rFonts w:cs="Times New Roman"/>
      </w:rPr>
    </w:lvl>
    <w:lvl w:ilvl="8" w:tentative="0">
      <w:start w:val="1"/>
      <w:numFmt w:val="lowerRoman"/>
      <w:lvlText w:val="%9."/>
      <w:lvlJc w:val="right"/>
      <w:pPr>
        <w:ind w:left="4262" w:hanging="420"/>
      </w:pPr>
      <w:rPr>
        <w:rFonts w:cs="Times New Roman"/>
      </w:rPr>
    </w:lvl>
  </w:abstractNum>
  <w:abstractNum w:abstractNumId="15">
    <w:nsid w:val="175A42E4"/>
    <w:multiLevelType w:val="multilevel"/>
    <w:tmpl w:val="175A42E4"/>
    <w:lvl w:ilvl="0" w:tentative="0">
      <w:start w:val="1"/>
      <w:numFmt w:val="chineseCounting"/>
      <w:suff w:val="nothing"/>
      <w:lvlText w:val="第%1章 "/>
      <w:lvlJc w:val="left"/>
      <w:pPr>
        <w:ind w:left="425" w:hanging="425"/>
      </w:pPr>
      <w:rPr>
        <w:rFonts w:hint="eastAsia"/>
      </w:rPr>
    </w:lvl>
    <w:lvl w:ilvl="1" w:tentative="0">
      <w:start w:val="1"/>
      <w:numFmt w:val="decimal"/>
      <w:pStyle w:val="34"/>
      <w:isLgl/>
      <w:lvlText w:val="%1.%2."/>
      <w:lvlJc w:val="left"/>
      <w:pPr>
        <w:ind w:left="567" w:hanging="567"/>
      </w:pPr>
      <w:rPr>
        <w:rFonts w:hint="eastAsia"/>
      </w:rPr>
    </w:lvl>
    <w:lvl w:ilvl="2" w:tentative="0">
      <w:start w:val="1"/>
      <w:numFmt w:val="decimal"/>
      <w:pStyle w:val="35"/>
      <w:isLgl/>
      <w:lvlText w:val="%1.%2.%3."/>
      <w:lvlJc w:val="left"/>
      <w:pPr>
        <w:ind w:left="709" w:hanging="709"/>
      </w:pPr>
      <w:rPr>
        <w:rFonts w:hint="eastAsia"/>
      </w:rPr>
    </w:lvl>
    <w:lvl w:ilvl="3" w:tentative="0">
      <w:start w:val="1"/>
      <w:numFmt w:val="decimal"/>
      <w:isLgl/>
      <w:lvlText w:val="%1.%2.%3.%4."/>
      <w:lvlJc w:val="left"/>
      <w:pPr>
        <w:ind w:left="850" w:hanging="850"/>
      </w:pPr>
      <w:rPr>
        <w:rFonts w:hint="eastAsia"/>
      </w:rPr>
    </w:lvl>
    <w:lvl w:ilvl="4" w:tentative="0">
      <w:start w:val="1"/>
      <w:numFmt w:val="decimal"/>
      <w:isLgl/>
      <w:lvlText w:val="%1.%2.%3.%4.%5."/>
      <w:lvlJc w:val="left"/>
      <w:pPr>
        <w:ind w:left="991" w:hanging="991"/>
      </w:pPr>
      <w:rPr>
        <w:rFonts w:hint="eastAsia"/>
      </w:rPr>
    </w:lvl>
    <w:lvl w:ilvl="5" w:tentative="0">
      <w:start w:val="1"/>
      <w:numFmt w:val="decimal"/>
      <w:isLgl/>
      <w:lvlText w:val="%1.%2.%3.%4.%5.%6."/>
      <w:lvlJc w:val="left"/>
      <w:pPr>
        <w:ind w:left="1134" w:hanging="1134"/>
      </w:pPr>
      <w:rPr>
        <w:rFonts w:hint="eastAsia"/>
      </w:rPr>
    </w:lvl>
    <w:lvl w:ilvl="6" w:tentative="0">
      <w:start w:val="1"/>
      <w:numFmt w:val="decimal"/>
      <w:isLgl/>
      <w:lvlText w:val="%1.%2.%3.%4.%5.%6.%7."/>
      <w:lvlJc w:val="left"/>
      <w:pPr>
        <w:ind w:left="1275" w:hanging="1275"/>
      </w:pPr>
      <w:rPr>
        <w:rFonts w:hint="eastAsia"/>
      </w:rPr>
    </w:lvl>
    <w:lvl w:ilvl="7" w:tentative="0">
      <w:start w:val="1"/>
      <w:numFmt w:val="decimal"/>
      <w:isLgl/>
      <w:lvlText w:val="%1.%2.%3.%4.%5.%6.%7.%8."/>
      <w:lvlJc w:val="left"/>
      <w:pPr>
        <w:ind w:left="1418" w:hanging="1418"/>
      </w:pPr>
      <w:rPr>
        <w:rFonts w:hint="eastAsia"/>
      </w:rPr>
    </w:lvl>
    <w:lvl w:ilvl="8" w:tentative="0">
      <w:start w:val="1"/>
      <w:numFmt w:val="decimal"/>
      <w:isLgl/>
      <w:lvlText w:val="%1.%2.%3.%4.%5.%6.%7.%8.%9."/>
      <w:lvlJc w:val="left"/>
      <w:pPr>
        <w:ind w:left="1558" w:hanging="1558"/>
      </w:pPr>
      <w:rPr>
        <w:rFonts w:hint="eastAsia"/>
      </w:rPr>
    </w:lvl>
  </w:abstractNum>
  <w:abstractNum w:abstractNumId="16">
    <w:nsid w:val="17B09ACC"/>
    <w:multiLevelType w:val="singleLevel"/>
    <w:tmpl w:val="17B09ACC"/>
    <w:lvl w:ilvl="0" w:tentative="0">
      <w:start w:val="1"/>
      <w:numFmt w:val="bullet"/>
      <w:lvlText w:val=""/>
      <w:lvlJc w:val="left"/>
      <w:pPr>
        <w:ind w:left="420" w:hanging="420"/>
      </w:pPr>
      <w:rPr>
        <w:rFonts w:hint="default" w:ascii="Wingdings" w:hAnsi="Wingdings"/>
      </w:rPr>
    </w:lvl>
  </w:abstractNum>
  <w:abstractNum w:abstractNumId="17">
    <w:nsid w:val="2647FF55"/>
    <w:multiLevelType w:val="singleLevel"/>
    <w:tmpl w:val="2647FF55"/>
    <w:lvl w:ilvl="0" w:tentative="0">
      <w:start w:val="1"/>
      <w:numFmt w:val="chineseCounting"/>
      <w:suff w:val="space"/>
      <w:lvlText w:val="%1、"/>
      <w:lvlJc w:val="left"/>
      <w:rPr>
        <w:rFonts w:hint="eastAsia"/>
      </w:rPr>
    </w:lvl>
  </w:abstractNum>
  <w:abstractNum w:abstractNumId="18">
    <w:nsid w:val="36D43BA7"/>
    <w:multiLevelType w:val="multilevel"/>
    <w:tmpl w:val="36D43BA7"/>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9">
    <w:nsid w:val="5BF692B4"/>
    <w:multiLevelType w:val="singleLevel"/>
    <w:tmpl w:val="5BF692B4"/>
    <w:lvl w:ilvl="0" w:tentative="0">
      <w:start w:val="9"/>
      <w:numFmt w:val="decimal"/>
      <w:suff w:val="nothing"/>
      <w:lvlText w:val="（%1）"/>
      <w:lvlJc w:val="left"/>
    </w:lvl>
  </w:abstractNum>
  <w:abstractNum w:abstractNumId="20">
    <w:nsid w:val="5CBE30D3"/>
    <w:multiLevelType w:val="multilevel"/>
    <w:tmpl w:val="5CBE30D3"/>
    <w:lvl w:ilvl="0" w:tentative="0">
      <w:start w:val="1"/>
      <w:numFmt w:val="chineseCounting"/>
      <w:pStyle w:val="32"/>
      <w:suff w:val="nothing"/>
      <w:lvlText w:val="第%1章 "/>
      <w:lvlJc w:val="left"/>
      <w:pPr>
        <w:ind w:left="425" w:hanging="425"/>
      </w:pPr>
      <w:rPr>
        <w:rFonts w:hint="eastAsia"/>
      </w:rPr>
    </w:lvl>
    <w:lvl w:ilvl="1" w:tentative="0">
      <w:start w:val="1"/>
      <w:numFmt w:val="decimal"/>
      <w:isLgl/>
      <w:lvlText w:val="%1.%2."/>
      <w:lvlJc w:val="left"/>
      <w:pPr>
        <w:ind w:left="567" w:hanging="567"/>
      </w:pPr>
      <w:rPr>
        <w:rFonts w:hint="eastAsia"/>
      </w:rPr>
    </w:lvl>
    <w:lvl w:ilvl="2" w:tentative="0">
      <w:start w:val="1"/>
      <w:numFmt w:val="decimal"/>
      <w:isLgl/>
      <w:lvlText w:val="%1.%2.%3."/>
      <w:lvlJc w:val="left"/>
      <w:pPr>
        <w:ind w:left="709" w:hanging="709"/>
      </w:pPr>
      <w:rPr>
        <w:rFonts w:hint="eastAsia"/>
      </w:rPr>
    </w:lvl>
    <w:lvl w:ilvl="3" w:tentative="0">
      <w:start w:val="1"/>
      <w:numFmt w:val="decimal"/>
      <w:isLgl/>
      <w:lvlText w:val="%1.%2.%3.%4."/>
      <w:lvlJc w:val="left"/>
      <w:pPr>
        <w:ind w:left="850" w:hanging="850"/>
      </w:pPr>
      <w:rPr>
        <w:rFonts w:hint="eastAsia"/>
      </w:rPr>
    </w:lvl>
    <w:lvl w:ilvl="4" w:tentative="0">
      <w:start w:val="1"/>
      <w:numFmt w:val="decimal"/>
      <w:isLgl/>
      <w:lvlText w:val="%1.%2.%3.%4.%5."/>
      <w:lvlJc w:val="left"/>
      <w:pPr>
        <w:ind w:left="991" w:hanging="991"/>
      </w:pPr>
      <w:rPr>
        <w:rFonts w:hint="eastAsia"/>
      </w:rPr>
    </w:lvl>
    <w:lvl w:ilvl="5" w:tentative="0">
      <w:start w:val="1"/>
      <w:numFmt w:val="decimal"/>
      <w:isLgl/>
      <w:lvlText w:val="%1.%2.%3.%4.%5.%6."/>
      <w:lvlJc w:val="left"/>
      <w:pPr>
        <w:ind w:left="1134" w:hanging="1134"/>
      </w:pPr>
      <w:rPr>
        <w:rFonts w:hint="eastAsia"/>
      </w:rPr>
    </w:lvl>
    <w:lvl w:ilvl="6" w:tentative="0">
      <w:start w:val="1"/>
      <w:numFmt w:val="decimal"/>
      <w:isLgl/>
      <w:lvlText w:val="%1.%2.%3.%4.%5.%6.%7."/>
      <w:lvlJc w:val="left"/>
      <w:pPr>
        <w:ind w:left="1275" w:hanging="1275"/>
      </w:pPr>
      <w:rPr>
        <w:rFonts w:hint="eastAsia"/>
      </w:rPr>
    </w:lvl>
    <w:lvl w:ilvl="7" w:tentative="0">
      <w:start w:val="1"/>
      <w:numFmt w:val="decimal"/>
      <w:isLgl/>
      <w:lvlText w:val="%1.%2.%3.%4.%5.%6.%7.%8."/>
      <w:lvlJc w:val="left"/>
      <w:pPr>
        <w:ind w:left="1418" w:hanging="1418"/>
      </w:pPr>
      <w:rPr>
        <w:rFonts w:hint="eastAsia"/>
      </w:rPr>
    </w:lvl>
    <w:lvl w:ilvl="8" w:tentative="0">
      <w:start w:val="1"/>
      <w:numFmt w:val="decimal"/>
      <w:isLgl/>
      <w:lvlText w:val="%1.%2.%3.%4.%5.%6.%7.%8.%9."/>
      <w:lvlJc w:val="left"/>
      <w:pPr>
        <w:ind w:left="1558" w:hanging="1558"/>
      </w:pPr>
      <w:rPr>
        <w:rFonts w:hint="eastAsia"/>
      </w:rPr>
    </w:lvl>
  </w:abstractNum>
  <w:abstractNum w:abstractNumId="21">
    <w:nsid w:val="5DA89239"/>
    <w:multiLevelType w:val="singleLevel"/>
    <w:tmpl w:val="5DA89239"/>
    <w:lvl w:ilvl="0" w:tentative="0">
      <w:start w:val="1"/>
      <w:numFmt w:val="decimal"/>
      <w:suff w:val="space"/>
      <w:lvlText w:val="%1、"/>
      <w:lvlJc w:val="left"/>
    </w:lvl>
  </w:abstractNum>
  <w:abstractNum w:abstractNumId="22">
    <w:nsid w:val="65F704C5"/>
    <w:multiLevelType w:val="singleLevel"/>
    <w:tmpl w:val="65F704C5"/>
    <w:lvl w:ilvl="0" w:tentative="0">
      <w:start w:val="1"/>
      <w:numFmt w:val="decimalEnclosedCircleChinese"/>
      <w:suff w:val="nothing"/>
      <w:lvlText w:val="%1　"/>
      <w:lvlJc w:val="left"/>
      <w:pPr>
        <w:ind w:left="0" w:firstLine="400"/>
      </w:pPr>
      <w:rPr>
        <w:rFonts w:hint="eastAsia"/>
      </w:rPr>
    </w:lvl>
  </w:abstractNum>
  <w:abstractNum w:abstractNumId="23">
    <w:nsid w:val="6C85735B"/>
    <w:multiLevelType w:val="singleLevel"/>
    <w:tmpl w:val="6C85735B"/>
    <w:lvl w:ilvl="0" w:tentative="0">
      <w:start w:val="4"/>
      <w:numFmt w:val="chineseCounting"/>
      <w:suff w:val="nothing"/>
      <w:lvlText w:val="%1、"/>
      <w:lvlJc w:val="left"/>
      <w:rPr>
        <w:rFonts w:hint="eastAsia"/>
      </w:rPr>
    </w:lvl>
  </w:abstractNum>
  <w:abstractNum w:abstractNumId="24">
    <w:nsid w:val="725A75F4"/>
    <w:multiLevelType w:val="multilevel"/>
    <w:tmpl w:val="725A75F4"/>
    <w:lvl w:ilvl="0" w:tentative="0">
      <w:start w:val="1"/>
      <w:numFmt w:val="chineseCounting"/>
      <w:pStyle w:val="3"/>
      <w:suff w:val="nothing"/>
      <w:lvlText w:val="第%1章 "/>
      <w:lvlJc w:val="left"/>
      <w:pPr>
        <w:ind w:left="432" w:hanging="432"/>
      </w:pPr>
      <w:rPr>
        <w:rFonts w:hint="eastAsia"/>
      </w:rPr>
    </w:lvl>
    <w:lvl w:ilvl="1" w:tentative="0">
      <w:start w:val="1"/>
      <w:numFmt w:val="decimal"/>
      <w:pStyle w:val="5"/>
      <w:isLgl/>
      <w:lvlText w:val="%1.%2."/>
      <w:lvlJc w:val="left"/>
      <w:pPr>
        <w:ind w:left="575" w:hanging="575"/>
      </w:pPr>
      <w:rPr>
        <w:rFonts w:hint="eastAsia"/>
      </w:rPr>
    </w:lvl>
    <w:lvl w:ilvl="2" w:tentative="0">
      <w:start w:val="1"/>
      <w:numFmt w:val="decimal"/>
      <w:pStyle w:val="2"/>
      <w:isLgl/>
      <w:lvlText w:val="%1.%2.%3."/>
      <w:lvlJc w:val="left"/>
      <w:pPr>
        <w:ind w:left="0" w:firstLine="0"/>
      </w:pPr>
      <w:rPr>
        <w:rFonts w:hint="eastAsia"/>
      </w:rPr>
    </w:lvl>
    <w:lvl w:ilvl="3" w:tentative="0">
      <w:start w:val="1"/>
      <w:numFmt w:val="decimal"/>
      <w:pStyle w:val="6"/>
      <w:isLgl/>
      <w:lvlText w:val="%1.%2.%3.%4."/>
      <w:lvlJc w:val="left"/>
      <w:pPr>
        <w:ind w:left="864" w:hanging="864"/>
      </w:pPr>
      <w:rPr>
        <w:rFonts w:hint="eastAsia"/>
      </w:rPr>
    </w:lvl>
    <w:lvl w:ilvl="4" w:tentative="0">
      <w:start w:val="1"/>
      <w:numFmt w:val="decimal"/>
      <w:isLgl/>
      <w:lvlText w:val="%1.%2.%3.%4.%5."/>
      <w:lvlJc w:val="left"/>
      <w:pPr>
        <w:ind w:left="1008" w:hanging="1008"/>
      </w:pPr>
      <w:rPr>
        <w:rFonts w:hint="eastAsia"/>
      </w:rPr>
    </w:lvl>
    <w:lvl w:ilvl="5" w:tentative="0">
      <w:start w:val="1"/>
      <w:numFmt w:val="decimal"/>
      <w:isLgl/>
      <w:lvlText w:val="%1.%2.%3.%4.%5.%6."/>
      <w:lvlJc w:val="left"/>
      <w:pPr>
        <w:ind w:left="1151" w:hanging="1151"/>
      </w:pPr>
      <w:rPr>
        <w:rFonts w:hint="eastAsia"/>
      </w:rPr>
    </w:lvl>
    <w:lvl w:ilvl="6" w:tentative="0">
      <w:start w:val="1"/>
      <w:numFmt w:val="decimal"/>
      <w:isLgl/>
      <w:lvlText w:val="%1.%2.%3.%4.%5.%6.%7."/>
      <w:lvlJc w:val="left"/>
      <w:pPr>
        <w:ind w:left="1296" w:hanging="1296"/>
      </w:pPr>
      <w:rPr>
        <w:rFonts w:hint="eastAsia"/>
      </w:rPr>
    </w:lvl>
    <w:lvl w:ilvl="7" w:tentative="0">
      <w:start w:val="1"/>
      <w:numFmt w:val="decimal"/>
      <w:isLgl/>
      <w:lvlText w:val="%1.%2.%3.%4.%5.%6.%7.%8."/>
      <w:lvlJc w:val="left"/>
      <w:pPr>
        <w:ind w:left="1440" w:hanging="1440"/>
      </w:pPr>
      <w:rPr>
        <w:rFonts w:hint="eastAsia"/>
      </w:rPr>
    </w:lvl>
    <w:lvl w:ilvl="8" w:tentative="0">
      <w:start w:val="1"/>
      <w:numFmt w:val="decimal"/>
      <w:isLgl/>
      <w:lvlText w:val="%1.%2.%3.%4.%5.%6.%7.%8.%9."/>
      <w:lvlJc w:val="left"/>
      <w:pPr>
        <w:ind w:left="1583" w:hanging="1583"/>
      </w:pPr>
      <w:rPr>
        <w:rFonts w:hint="eastAsia"/>
      </w:rPr>
    </w:lvl>
  </w:abstractNum>
  <w:abstractNum w:abstractNumId="25">
    <w:nsid w:val="76FA1433"/>
    <w:multiLevelType w:val="singleLevel"/>
    <w:tmpl w:val="76FA1433"/>
    <w:lvl w:ilvl="0" w:tentative="0">
      <w:start w:val="1"/>
      <w:numFmt w:val="decimal"/>
      <w:suff w:val="nothing"/>
      <w:lvlText w:val="%1、"/>
      <w:lvlJc w:val="left"/>
    </w:lvl>
  </w:abstractNum>
  <w:abstractNum w:abstractNumId="26">
    <w:nsid w:val="7EB03323"/>
    <w:multiLevelType w:val="singleLevel"/>
    <w:tmpl w:val="7EB03323"/>
    <w:lvl w:ilvl="0" w:tentative="0">
      <w:start w:val="1"/>
      <w:numFmt w:val="decimal"/>
      <w:suff w:val="nothing"/>
      <w:lvlText w:val="（%1）"/>
      <w:lvlJc w:val="left"/>
    </w:lvl>
  </w:abstractNum>
  <w:num w:numId="1">
    <w:abstractNumId w:val="24"/>
  </w:num>
  <w:num w:numId="2">
    <w:abstractNumId w:val="7"/>
  </w:num>
  <w:num w:numId="3">
    <w:abstractNumId w:val="6"/>
  </w:num>
  <w:num w:numId="4">
    <w:abstractNumId w:val="4"/>
  </w:num>
  <w:num w:numId="5">
    <w:abstractNumId w:val="20"/>
  </w:num>
  <w:num w:numId="6">
    <w:abstractNumId w:val="15"/>
  </w:num>
  <w:num w:numId="7">
    <w:abstractNumId w:val="17"/>
  </w:num>
  <w:num w:numId="8">
    <w:abstractNumId w:val="8"/>
  </w:num>
  <w:num w:numId="9">
    <w:abstractNumId w:val="19"/>
  </w:num>
  <w:num w:numId="10">
    <w:abstractNumId w:val="23"/>
  </w:num>
  <w:num w:numId="11">
    <w:abstractNumId w:val="1"/>
  </w:num>
  <w:num w:numId="12">
    <w:abstractNumId w:val="14"/>
  </w:num>
  <w:num w:numId="13">
    <w:abstractNumId w:val="3"/>
  </w:num>
  <w:num w:numId="14">
    <w:abstractNumId w:val="11"/>
  </w:num>
  <w:num w:numId="15">
    <w:abstractNumId w:val="25"/>
  </w:num>
  <w:num w:numId="16">
    <w:abstractNumId w:val="2"/>
  </w:num>
  <w:num w:numId="17">
    <w:abstractNumId w:val="22"/>
  </w:num>
  <w:num w:numId="18">
    <w:abstractNumId w:val="21"/>
  </w:num>
  <w:num w:numId="19">
    <w:abstractNumId w:val="12"/>
  </w:num>
  <w:num w:numId="20">
    <w:abstractNumId w:val="0"/>
  </w:num>
  <w:num w:numId="21">
    <w:abstractNumId w:val="18"/>
  </w:num>
  <w:num w:numId="22">
    <w:abstractNumId w:val="16"/>
  </w:num>
  <w:num w:numId="23">
    <w:abstractNumId w:val="5"/>
  </w:num>
  <w:num w:numId="24">
    <w:abstractNumId w:val="9"/>
  </w:num>
  <w:num w:numId="25">
    <w:abstractNumId w:val="10"/>
  </w:num>
  <w:num w:numId="26">
    <w:abstractNumId w:val="13"/>
  </w:num>
  <w:num w:numId="2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4"/>
  <w:embedSystemFonts/>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C9A2FE6"/>
    <w:rsid w:val="005C5AEA"/>
    <w:rsid w:val="006F5F5A"/>
    <w:rsid w:val="008A0F5B"/>
    <w:rsid w:val="00A528AE"/>
    <w:rsid w:val="00B929B8"/>
    <w:rsid w:val="00CD0919"/>
    <w:rsid w:val="00CD10F5"/>
    <w:rsid w:val="00E670F9"/>
    <w:rsid w:val="011E2278"/>
    <w:rsid w:val="022105C4"/>
    <w:rsid w:val="0283040B"/>
    <w:rsid w:val="03A616AD"/>
    <w:rsid w:val="04303762"/>
    <w:rsid w:val="04554B6B"/>
    <w:rsid w:val="0482333E"/>
    <w:rsid w:val="048F41F7"/>
    <w:rsid w:val="049D6904"/>
    <w:rsid w:val="04AE310F"/>
    <w:rsid w:val="04C30C4B"/>
    <w:rsid w:val="04CE3177"/>
    <w:rsid w:val="04EC0A54"/>
    <w:rsid w:val="050416E2"/>
    <w:rsid w:val="05267B47"/>
    <w:rsid w:val="053342AF"/>
    <w:rsid w:val="0665404B"/>
    <w:rsid w:val="066D5472"/>
    <w:rsid w:val="067F0CA8"/>
    <w:rsid w:val="06821530"/>
    <w:rsid w:val="068A54CA"/>
    <w:rsid w:val="06B756ED"/>
    <w:rsid w:val="074F6B62"/>
    <w:rsid w:val="077C776B"/>
    <w:rsid w:val="07A11F69"/>
    <w:rsid w:val="081D1197"/>
    <w:rsid w:val="083A4BF7"/>
    <w:rsid w:val="08A63A43"/>
    <w:rsid w:val="08E91026"/>
    <w:rsid w:val="09353F24"/>
    <w:rsid w:val="09D177C6"/>
    <w:rsid w:val="09DF267C"/>
    <w:rsid w:val="09ED7F27"/>
    <w:rsid w:val="0A40580D"/>
    <w:rsid w:val="0A6B1F69"/>
    <w:rsid w:val="0AAE29C1"/>
    <w:rsid w:val="0AC90193"/>
    <w:rsid w:val="0AD05C2D"/>
    <w:rsid w:val="0AF61B89"/>
    <w:rsid w:val="0B854653"/>
    <w:rsid w:val="0B8C2525"/>
    <w:rsid w:val="0BE53069"/>
    <w:rsid w:val="0C335DD7"/>
    <w:rsid w:val="0C7C4B2D"/>
    <w:rsid w:val="0C896585"/>
    <w:rsid w:val="0C9A2FE6"/>
    <w:rsid w:val="0CD37E84"/>
    <w:rsid w:val="0CDA2256"/>
    <w:rsid w:val="0CE730E1"/>
    <w:rsid w:val="0CF9775E"/>
    <w:rsid w:val="0D594855"/>
    <w:rsid w:val="0DAB76A3"/>
    <w:rsid w:val="0DC615C5"/>
    <w:rsid w:val="0E446191"/>
    <w:rsid w:val="0E493DC0"/>
    <w:rsid w:val="0EC64E69"/>
    <w:rsid w:val="0F271819"/>
    <w:rsid w:val="0F376612"/>
    <w:rsid w:val="0FD62C13"/>
    <w:rsid w:val="0FDC3591"/>
    <w:rsid w:val="100355F5"/>
    <w:rsid w:val="10CD0F8F"/>
    <w:rsid w:val="10E97E76"/>
    <w:rsid w:val="10FE2E4A"/>
    <w:rsid w:val="11090EEB"/>
    <w:rsid w:val="11CA6D0F"/>
    <w:rsid w:val="11DE71BF"/>
    <w:rsid w:val="12032D38"/>
    <w:rsid w:val="12060D04"/>
    <w:rsid w:val="120E3516"/>
    <w:rsid w:val="12261A9D"/>
    <w:rsid w:val="124D5794"/>
    <w:rsid w:val="12572FB5"/>
    <w:rsid w:val="131F3251"/>
    <w:rsid w:val="133A1561"/>
    <w:rsid w:val="134A3F82"/>
    <w:rsid w:val="13CE6B5B"/>
    <w:rsid w:val="13D6703F"/>
    <w:rsid w:val="14315602"/>
    <w:rsid w:val="14D211A7"/>
    <w:rsid w:val="15094A9F"/>
    <w:rsid w:val="15147678"/>
    <w:rsid w:val="151A295F"/>
    <w:rsid w:val="154221DA"/>
    <w:rsid w:val="15E043FB"/>
    <w:rsid w:val="162D6F68"/>
    <w:rsid w:val="16534F0F"/>
    <w:rsid w:val="165C71D0"/>
    <w:rsid w:val="1718382C"/>
    <w:rsid w:val="1741763C"/>
    <w:rsid w:val="17A85E76"/>
    <w:rsid w:val="17F90F1E"/>
    <w:rsid w:val="19254166"/>
    <w:rsid w:val="192C7628"/>
    <w:rsid w:val="19A724EA"/>
    <w:rsid w:val="19BB44C0"/>
    <w:rsid w:val="19DE69B9"/>
    <w:rsid w:val="19F9518D"/>
    <w:rsid w:val="1A2F0875"/>
    <w:rsid w:val="1A470DC0"/>
    <w:rsid w:val="1A7B0110"/>
    <w:rsid w:val="1AAA3549"/>
    <w:rsid w:val="1AED45A5"/>
    <w:rsid w:val="1B261A5F"/>
    <w:rsid w:val="1B2E38A4"/>
    <w:rsid w:val="1B3F562C"/>
    <w:rsid w:val="1C1B385E"/>
    <w:rsid w:val="1C4B1239"/>
    <w:rsid w:val="1C5176F8"/>
    <w:rsid w:val="1C6B6E52"/>
    <w:rsid w:val="1CB97F38"/>
    <w:rsid w:val="1CBD089C"/>
    <w:rsid w:val="1D1851B3"/>
    <w:rsid w:val="1D1D1C89"/>
    <w:rsid w:val="1D3E3AB3"/>
    <w:rsid w:val="1E19251B"/>
    <w:rsid w:val="1E65447D"/>
    <w:rsid w:val="1E7C7E90"/>
    <w:rsid w:val="1F126446"/>
    <w:rsid w:val="1F2E292C"/>
    <w:rsid w:val="1F4E6235"/>
    <w:rsid w:val="1F5666E4"/>
    <w:rsid w:val="1FC70476"/>
    <w:rsid w:val="1FD7706E"/>
    <w:rsid w:val="20583F5F"/>
    <w:rsid w:val="206A26EF"/>
    <w:rsid w:val="207D77F9"/>
    <w:rsid w:val="209B7ECF"/>
    <w:rsid w:val="211D3F37"/>
    <w:rsid w:val="21250E41"/>
    <w:rsid w:val="21B6595D"/>
    <w:rsid w:val="21E111E0"/>
    <w:rsid w:val="22110CFC"/>
    <w:rsid w:val="22776190"/>
    <w:rsid w:val="2296592F"/>
    <w:rsid w:val="23203C18"/>
    <w:rsid w:val="23F448C9"/>
    <w:rsid w:val="243963C6"/>
    <w:rsid w:val="24844104"/>
    <w:rsid w:val="24DF4CFA"/>
    <w:rsid w:val="24E36182"/>
    <w:rsid w:val="250106E0"/>
    <w:rsid w:val="25103243"/>
    <w:rsid w:val="25833DB9"/>
    <w:rsid w:val="25F66485"/>
    <w:rsid w:val="25F97FE1"/>
    <w:rsid w:val="260F2CC2"/>
    <w:rsid w:val="264944A2"/>
    <w:rsid w:val="2653547A"/>
    <w:rsid w:val="26A6706F"/>
    <w:rsid w:val="27210535"/>
    <w:rsid w:val="27522098"/>
    <w:rsid w:val="27E22B1B"/>
    <w:rsid w:val="27EE1EE6"/>
    <w:rsid w:val="28444FFC"/>
    <w:rsid w:val="284564FC"/>
    <w:rsid w:val="285A7D86"/>
    <w:rsid w:val="28AD7538"/>
    <w:rsid w:val="29D206FC"/>
    <w:rsid w:val="29F312AE"/>
    <w:rsid w:val="2A856E12"/>
    <w:rsid w:val="2A953039"/>
    <w:rsid w:val="2ABC2BFC"/>
    <w:rsid w:val="2AD83B75"/>
    <w:rsid w:val="2B1A248D"/>
    <w:rsid w:val="2B31157F"/>
    <w:rsid w:val="2B6A7422"/>
    <w:rsid w:val="2B7E3BAF"/>
    <w:rsid w:val="2BC351B4"/>
    <w:rsid w:val="2C3C61DA"/>
    <w:rsid w:val="2C876C21"/>
    <w:rsid w:val="2D0038CF"/>
    <w:rsid w:val="2D047BDD"/>
    <w:rsid w:val="2D060652"/>
    <w:rsid w:val="2D43734B"/>
    <w:rsid w:val="2D831B52"/>
    <w:rsid w:val="2DA87A64"/>
    <w:rsid w:val="2DF012F6"/>
    <w:rsid w:val="2E8739EE"/>
    <w:rsid w:val="2F154843"/>
    <w:rsid w:val="2F182449"/>
    <w:rsid w:val="2FEB1AB4"/>
    <w:rsid w:val="30754703"/>
    <w:rsid w:val="30887FBF"/>
    <w:rsid w:val="30902AAC"/>
    <w:rsid w:val="30EA638C"/>
    <w:rsid w:val="30EC12DD"/>
    <w:rsid w:val="312E4485"/>
    <w:rsid w:val="31870C7B"/>
    <w:rsid w:val="325F77E1"/>
    <w:rsid w:val="32743E50"/>
    <w:rsid w:val="32C31227"/>
    <w:rsid w:val="32D57F33"/>
    <w:rsid w:val="331B2A9E"/>
    <w:rsid w:val="332F14CC"/>
    <w:rsid w:val="333064B8"/>
    <w:rsid w:val="33394369"/>
    <w:rsid w:val="334540CF"/>
    <w:rsid w:val="33C04EDA"/>
    <w:rsid w:val="33ED4E88"/>
    <w:rsid w:val="346A60A3"/>
    <w:rsid w:val="349A2FE1"/>
    <w:rsid w:val="34A34281"/>
    <w:rsid w:val="34B9468B"/>
    <w:rsid w:val="34D86688"/>
    <w:rsid w:val="35342D9F"/>
    <w:rsid w:val="3576638C"/>
    <w:rsid w:val="35BE3F82"/>
    <w:rsid w:val="365B5A52"/>
    <w:rsid w:val="36A56759"/>
    <w:rsid w:val="36C77A9C"/>
    <w:rsid w:val="36CD526D"/>
    <w:rsid w:val="36D337F0"/>
    <w:rsid w:val="36E674D8"/>
    <w:rsid w:val="373F32FE"/>
    <w:rsid w:val="377D25C3"/>
    <w:rsid w:val="377F2AD9"/>
    <w:rsid w:val="37BD789A"/>
    <w:rsid w:val="37F108FC"/>
    <w:rsid w:val="390131FD"/>
    <w:rsid w:val="39B600D1"/>
    <w:rsid w:val="39F97891"/>
    <w:rsid w:val="3A101AE5"/>
    <w:rsid w:val="3A226EE2"/>
    <w:rsid w:val="3A551947"/>
    <w:rsid w:val="3A6C4DC0"/>
    <w:rsid w:val="3A6D2396"/>
    <w:rsid w:val="3A9428BF"/>
    <w:rsid w:val="3A943197"/>
    <w:rsid w:val="3A983211"/>
    <w:rsid w:val="3AEC4EFA"/>
    <w:rsid w:val="3AF56713"/>
    <w:rsid w:val="3B80019D"/>
    <w:rsid w:val="3BFD2819"/>
    <w:rsid w:val="3C015A2B"/>
    <w:rsid w:val="3CC02196"/>
    <w:rsid w:val="3CED5D12"/>
    <w:rsid w:val="3D175ABA"/>
    <w:rsid w:val="3DCB13C6"/>
    <w:rsid w:val="3E5623B4"/>
    <w:rsid w:val="3E596A0E"/>
    <w:rsid w:val="3E794769"/>
    <w:rsid w:val="3E8362E9"/>
    <w:rsid w:val="3F017818"/>
    <w:rsid w:val="3F5C547F"/>
    <w:rsid w:val="3FBE1246"/>
    <w:rsid w:val="3FE32FA0"/>
    <w:rsid w:val="3FFF0EA9"/>
    <w:rsid w:val="410D146B"/>
    <w:rsid w:val="411E1493"/>
    <w:rsid w:val="418A17CB"/>
    <w:rsid w:val="4199529E"/>
    <w:rsid w:val="41BF11A7"/>
    <w:rsid w:val="41D46CF4"/>
    <w:rsid w:val="41E27FF2"/>
    <w:rsid w:val="428F5850"/>
    <w:rsid w:val="43312D92"/>
    <w:rsid w:val="437849F2"/>
    <w:rsid w:val="4420630A"/>
    <w:rsid w:val="444F03E2"/>
    <w:rsid w:val="445464A1"/>
    <w:rsid w:val="44710AE8"/>
    <w:rsid w:val="448E1D49"/>
    <w:rsid w:val="44A36290"/>
    <w:rsid w:val="45253672"/>
    <w:rsid w:val="455C20C2"/>
    <w:rsid w:val="455E0CA0"/>
    <w:rsid w:val="45711185"/>
    <w:rsid w:val="45AB3030"/>
    <w:rsid w:val="45AC360A"/>
    <w:rsid w:val="45D87EDF"/>
    <w:rsid w:val="45FA0A7D"/>
    <w:rsid w:val="46661462"/>
    <w:rsid w:val="47754AC0"/>
    <w:rsid w:val="47C751C0"/>
    <w:rsid w:val="48811985"/>
    <w:rsid w:val="491A0BBF"/>
    <w:rsid w:val="49205C01"/>
    <w:rsid w:val="494A319B"/>
    <w:rsid w:val="499A239B"/>
    <w:rsid w:val="49B54F0A"/>
    <w:rsid w:val="49C80DD1"/>
    <w:rsid w:val="4A512188"/>
    <w:rsid w:val="4AA843F1"/>
    <w:rsid w:val="4B1123E6"/>
    <w:rsid w:val="4B3B73B6"/>
    <w:rsid w:val="4BF34C59"/>
    <w:rsid w:val="4C484420"/>
    <w:rsid w:val="4C6A6BBC"/>
    <w:rsid w:val="4C9121FC"/>
    <w:rsid w:val="4DA51611"/>
    <w:rsid w:val="4DA9527E"/>
    <w:rsid w:val="4DAE0CE3"/>
    <w:rsid w:val="4DC33349"/>
    <w:rsid w:val="4DC55DD0"/>
    <w:rsid w:val="4DE93BAA"/>
    <w:rsid w:val="4DF53A72"/>
    <w:rsid w:val="4E5D36DC"/>
    <w:rsid w:val="4E756F22"/>
    <w:rsid w:val="4E8B1A18"/>
    <w:rsid w:val="4EEC0ACD"/>
    <w:rsid w:val="503720F1"/>
    <w:rsid w:val="503E5F1A"/>
    <w:rsid w:val="506C586A"/>
    <w:rsid w:val="50BC327C"/>
    <w:rsid w:val="50D0029F"/>
    <w:rsid w:val="51232143"/>
    <w:rsid w:val="515F5A8E"/>
    <w:rsid w:val="51716923"/>
    <w:rsid w:val="51C07626"/>
    <w:rsid w:val="522D04FE"/>
    <w:rsid w:val="5264792C"/>
    <w:rsid w:val="52AA3768"/>
    <w:rsid w:val="52B24F29"/>
    <w:rsid w:val="52B63F34"/>
    <w:rsid w:val="53104946"/>
    <w:rsid w:val="535E6043"/>
    <w:rsid w:val="538800CB"/>
    <w:rsid w:val="53942586"/>
    <w:rsid w:val="545A458D"/>
    <w:rsid w:val="554D4257"/>
    <w:rsid w:val="55822AE8"/>
    <w:rsid w:val="55D514AD"/>
    <w:rsid w:val="55D548BE"/>
    <w:rsid w:val="569801DF"/>
    <w:rsid w:val="56C44B03"/>
    <w:rsid w:val="56DF6DC9"/>
    <w:rsid w:val="56ED6F87"/>
    <w:rsid w:val="58BE2FFE"/>
    <w:rsid w:val="58E975B8"/>
    <w:rsid w:val="58F4762C"/>
    <w:rsid w:val="58FA1FA1"/>
    <w:rsid w:val="59831EB8"/>
    <w:rsid w:val="59DE45B9"/>
    <w:rsid w:val="5A2E6E58"/>
    <w:rsid w:val="5A9919C2"/>
    <w:rsid w:val="5A9E1132"/>
    <w:rsid w:val="5AA40AF7"/>
    <w:rsid w:val="5AC9313E"/>
    <w:rsid w:val="5B15101A"/>
    <w:rsid w:val="5B1F5C57"/>
    <w:rsid w:val="5B873E3F"/>
    <w:rsid w:val="5BC1147D"/>
    <w:rsid w:val="5BDB1A4D"/>
    <w:rsid w:val="5CB81CA3"/>
    <w:rsid w:val="5D081043"/>
    <w:rsid w:val="5D1139A0"/>
    <w:rsid w:val="5D912AD1"/>
    <w:rsid w:val="5D9600DD"/>
    <w:rsid w:val="5DDE7F42"/>
    <w:rsid w:val="5DE13859"/>
    <w:rsid w:val="5EB70264"/>
    <w:rsid w:val="5EC10F1D"/>
    <w:rsid w:val="5ED4552A"/>
    <w:rsid w:val="5F0A710C"/>
    <w:rsid w:val="5F241365"/>
    <w:rsid w:val="5F4071AC"/>
    <w:rsid w:val="5F4C34EB"/>
    <w:rsid w:val="5F753CE7"/>
    <w:rsid w:val="5F9019F4"/>
    <w:rsid w:val="5FE9709B"/>
    <w:rsid w:val="601A1E7F"/>
    <w:rsid w:val="60382CCF"/>
    <w:rsid w:val="60844ED1"/>
    <w:rsid w:val="60D15D28"/>
    <w:rsid w:val="60F4260D"/>
    <w:rsid w:val="61444D26"/>
    <w:rsid w:val="61453060"/>
    <w:rsid w:val="61C27BF8"/>
    <w:rsid w:val="61E95C76"/>
    <w:rsid w:val="61F5685C"/>
    <w:rsid w:val="620C3C8D"/>
    <w:rsid w:val="622462A1"/>
    <w:rsid w:val="624F64EE"/>
    <w:rsid w:val="629D5C99"/>
    <w:rsid w:val="62BF0253"/>
    <w:rsid w:val="62D07FB5"/>
    <w:rsid w:val="63387BFD"/>
    <w:rsid w:val="637A5B0B"/>
    <w:rsid w:val="6395067E"/>
    <w:rsid w:val="640D6232"/>
    <w:rsid w:val="647517D6"/>
    <w:rsid w:val="6491315E"/>
    <w:rsid w:val="64A92661"/>
    <w:rsid w:val="652B1A7D"/>
    <w:rsid w:val="653D4AD7"/>
    <w:rsid w:val="65577555"/>
    <w:rsid w:val="65774508"/>
    <w:rsid w:val="657C0D55"/>
    <w:rsid w:val="6590715C"/>
    <w:rsid w:val="659A49CA"/>
    <w:rsid w:val="66327D05"/>
    <w:rsid w:val="66A8342E"/>
    <w:rsid w:val="66BD2B30"/>
    <w:rsid w:val="66EC3FD2"/>
    <w:rsid w:val="66EE4DF8"/>
    <w:rsid w:val="67222689"/>
    <w:rsid w:val="67525F9D"/>
    <w:rsid w:val="676C2D82"/>
    <w:rsid w:val="67B53307"/>
    <w:rsid w:val="67DA1BFE"/>
    <w:rsid w:val="67DA49E2"/>
    <w:rsid w:val="67EB5682"/>
    <w:rsid w:val="68A440F5"/>
    <w:rsid w:val="68A94C68"/>
    <w:rsid w:val="69DC4793"/>
    <w:rsid w:val="69F54001"/>
    <w:rsid w:val="6A5260DB"/>
    <w:rsid w:val="6B0151DD"/>
    <w:rsid w:val="6B4A1678"/>
    <w:rsid w:val="6B615F81"/>
    <w:rsid w:val="6B97645C"/>
    <w:rsid w:val="6C2877E3"/>
    <w:rsid w:val="6C41276C"/>
    <w:rsid w:val="6CC2290C"/>
    <w:rsid w:val="6CDB4A69"/>
    <w:rsid w:val="6D17530A"/>
    <w:rsid w:val="6D247976"/>
    <w:rsid w:val="6D2C7BAC"/>
    <w:rsid w:val="6DC267A0"/>
    <w:rsid w:val="6E0D097A"/>
    <w:rsid w:val="6EC47C14"/>
    <w:rsid w:val="6F0B1C4D"/>
    <w:rsid w:val="6F101DD3"/>
    <w:rsid w:val="6F1C4F1B"/>
    <w:rsid w:val="6F2053E8"/>
    <w:rsid w:val="6FB222B3"/>
    <w:rsid w:val="6FD12E5F"/>
    <w:rsid w:val="6FF05EA9"/>
    <w:rsid w:val="704135DE"/>
    <w:rsid w:val="709F6BE4"/>
    <w:rsid w:val="70E731B2"/>
    <w:rsid w:val="70F67E30"/>
    <w:rsid w:val="71150EC9"/>
    <w:rsid w:val="714D5F29"/>
    <w:rsid w:val="71617721"/>
    <w:rsid w:val="717E555B"/>
    <w:rsid w:val="718A77EE"/>
    <w:rsid w:val="71F804BA"/>
    <w:rsid w:val="72004A0C"/>
    <w:rsid w:val="726E5E62"/>
    <w:rsid w:val="73653E07"/>
    <w:rsid w:val="73840C1F"/>
    <w:rsid w:val="73E02678"/>
    <w:rsid w:val="74022A40"/>
    <w:rsid w:val="74233CD7"/>
    <w:rsid w:val="74AF1065"/>
    <w:rsid w:val="752407B8"/>
    <w:rsid w:val="75C40A47"/>
    <w:rsid w:val="75D63F6E"/>
    <w:rsid w:val="75EB03A3"/>
    <w:rsid w:val="75F04CE8"/>
    <w:rsid w:val="76280358"/>
    <w:rsid w:val="763E1F95"/>
    <w:rsid w:val="76515DA6"/>
    <w:rsid w:val="76AC3A2C"/>
    <w:rsid w:val="77036E38"/>
    <w:rsid w:val="774207EB"/>
    <w:rsid w:val="777E6EE0"/>
    <w:rsid w:val="778C5BA1"/>
    <w:rsid w:val="77AD6F42"/>
    <w:rsid w:val="78396125"/>
    <w:rsid w:val="783A689D"/>
    <w:rsid w:val="78545BED"/>
    <w:rsid w:val="78F07F1A"/>
    <w:rsid w:val="7932468E"/>
    <w:rsid w:val="79BC35E7"/>
    <w:rsid w:val="79CF2699"/>
    <w:rsid w:val="7A015EC4"/>
    <w:rsid w:val="7A881696"/>
    <w:rsid w:val="7AE4621C"/>
    <w:rsid w:val="7B260FA1"/>
    <w:rsid w:val="7B6375B7"/>
    <w:rsid w:val="7B786AC9"/>
    <w:rsid w:val="7B7F4292"/>
    <w:rsid w:val="7B9D5911"/>
    <w:rsid w:val="7BC653A0"/>
    <w:rsid w:val="7C137F84"/>
    <w:rsid w:val="7C652CBA"/>
    <w:rsid w:val="7C6623D9"/>
    <w:rsid w:val="7C741C52"/>
    <w:rsid w:val="7C883DB5"/>
    <w:rsid w:val="7D0778F8"/>
    <w:rsid w:val="7D0A4A43"/>
    <w:rsid w:val="7D286A62"/>
    <w:rsid w:val="7DE85B30"/>
    <w:rsid w:val="7F0853BA"/>
    <w:rsid w:val="7F5A4031"/>
    <w:rsid w:val="7F9E78AA"/>
    <w:rsid w:val="7FDA1A7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11"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99"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4"/>
    <w:next w:val="5"/>
    <w:link w:val="42"/>
    <w:qFormat/>
    <w:uiPriority w:val="0"/>
    <w:pPr>
      <w:keepNext/>
      <w:keepLines/>
      <w:numPr>
        <w:ilvl w:val="0"/>
        <w:numId w:val="1"/>
      </w:numPr>
      <w:spacing w:before="300" w:after="300"/>
      <w:ind w:firstLineChars="0"/>
    </w:pPr>
    <w:rPr>
      <w:rFonts w:ascii="Times New Roman" w:hAnsi="Times New Roman"/>
      <w:bCs/>
      <w:kern w:val="44"/>
      <w:sz w:val="36"/>
      <w:szCs w:val="36"/>
      <w:lang w:val="zh-CN" w:bidi="zh-CN"/>
    </w:rPr>
  </w:style>
  <w:style w:type="paragraph" w:styleId="5">
    <w:name w:val="heading 2"/>
    <w:basedOn w:val="1"/>
    <w:next w:val="2"/>
    <w:semiHidden/>
    <w:unhideWhenUsed/>
    <w:qFormat/>
    <w:uiPriority w:val="0"/>
    <w:pPr>
      <w:keepNext/>
      <w:keepLines/>
      <w:numPr>
        <w:ilvl w:val="1"/>
        <w:numId w:val="1"/>
      </w:numPr>
      <w:spacing w:before="50" w:beforeLines="50" w:after="50" w:afterLines="50"/>
      <w:ind w:firstLineChars="0"/>
      <w:outlineLvl w:val="1"/>
    </w:pPr>
    <w:rPr>
      <w:b/>
      <w:bCs/>
      <w:sz w:val="30"/>
      <w:szCs w:val="30"/>
      <w:lang w:val="zh-CN" w:bidi="zh-CN"/>
    </w:rPr>
  </w:style>
  <w:style w:type="paragraph" w:styleId="2">
    <w:name w:val="heading 3"/>
    <w:basedOn w:val="1"/>
    <w:next w:val="1"/>
    <w:semiHidden/>
    <w:unhideWhenUsed/>
    <w:qFormat/>
    <w:uiPriority w:val="0"/>
    <w:pPr>
      <w:numPr>
        <w:ilvl w:val="2"/>
        <w:numId w:val="1"/>
      </w:numPr>
      <w:spacing w:before="50" w:beforeLines="50" w:after="50" w:afterLines="50"/>
      <w:ind w:firstLineChars="0"/>
      <w:outlineLvl w:val="2"/>
    </w:pPr>
    <w:rPr>
      <w:b/>
      <w:bCs/>
      <w:lang w:val="zh-CN" w:bidi="zh-CN"/>
    </w:rPr>
  </w:style>
  <w:style w:type="paragraph" w:styleId="6">
    <w:name w:val="heading 4"/>
    <w:basedOn w:val="1"/>
    <w:next w:val="1"/>
    <w:link w:val="38"/>
    <w:semiHidden/>
    <w:unhideWhenUsed/>
    <w:qFormat/>
    <w:uiPriority w:val="0"/>
    <w:pPr>
      <w:numPr>
        <w:ilvl w:val="3"/>
        <w:numId w:val="1"/>
      </w:numPr>
      <w:ind w:left="120" w:leftChars="50" w:firstLine="0" w:firstLineChars="0"/>
      <w:outlineLvl w:val="3"/>
    </w:pPr>
    <w:rPr>
      <w:b/>
      <w:bCs/>
      <w:color w:val="000000"/>
      <w:lang w:val="zh-CN" w:bidi="zh-CN"/>
    </w:rPr>
  </w:style>
  <w:style w:type="paragraph" w:styleId="7">
    <w:name w:val="heading 5"/>
    <w:basedOn w:val="1"/>
    <w:next w:val="1"/>
    <w:link w:val="37"/>
    <w:semiHidden/>
    <w:unhideWhenUsed/>
    <w:qFormat/>
    <w:uiPriority w:val="0"/>
    <w:pPr>
      <w:keepNext/>
      <w:keepLines/>
      <w:numPr>
        <w:ilvl w:val="4"/>
        <w:numId w:val="2"/>
      </w:numPr>
      <w:adjustRightInd w:val="0"/>
      <w:ind w:left="962" w:leftChars="200" w:hanging="482" w:hangingChars="200"/>
      <w:outlineLvl w:val="4"/>
    </w:pPr>
    <w:rPr>
      <w:lang w:val="zh-CN" w:bidi="zh-CN"/>
    </w:rPr>
  </w:style>
  <w:style w:type="paragraph" w:styleId="8">
    <w:name w:val="heading 6"/>
    <w:basedOn w:val="1"/>
    <w:next w:val="1"/>
    <w:semiHidden/>
    <w:unhideWhenUsed/>
    <w:qFormat/>
    <w:uiPriority w:val="0"/>
    <w:pPr>
      <w:keepNext/>
      <w:keepLines/>
      <w:numPr>
        <w:ilvl w:val="5"/>
        <w:numId w:val="3"/>
      </w:numPr>
      <w:spacing w:before="240" w:after="64" w:line="317" w:lineRule="auto"/>
      <w:ind w:firstLineChars="0"/>
      <w:outlineLvl w:val="5"/>
    </w:pPr>
    <w:rPr>
      <w:rFonts w:ascii="Arial" w:hAnsi="Arial" w:eastAsia="黑体"/>
      <w:b/>
    </w:rPr>
  </w:style>
  <w:style w:type="paragraph" w:styleId="9">
    <w:name w:val="heading 7"/>
    <w:basedOn w:val="1"/>
    <w:next w:val="1"/>
    <w:semiHidden/>
    <w:unhideWhenUsed/>
    <w:qFormat/>
    <w:uiPriority w:val="0"/>
    <w:pPr>
      <w:keepNext/>
      <w:keepLines/>
      <w:numPr>
        <w:ilvl w:val="6"/>
        <w:numId w:val="3"/>
      </w:numPr>
      <w:spacing w:before="240" w:after="64" w:line="317" w:lineRule="auto"/>
      <w:ind w:firstLineChars="0"/>
      <w:outlineLvl w:val="6"/>
    </w:pPr>
    <w:rPr>
      <w:b/>
    </w:rPr>
  </w:style>
  <w:style w:type="paragraph" w:styleId="10">
    <w:name w:val="heading 8"/>
    <w:basedOn w:val="1"/>
    <w:next w:val="1"/>
    <w:semiHidden/>
    <w:unhideWhenUsed/>
    <w:qFormat/>
    <w:uiPriority w:val="0"/>
    <w:pPr>
      <w:keepNext/>
      <w:keepLines/>
      <w:numPr>
        <w:ilvl w:val="7"/>
        <w:numId w:val="3"/>
      </w:numPr>
      <w:spacing w:before="240" w:after="64" w:line="317" w:lineRule="auto"/>
      <w:ind w:firstLineChars="0"/>
      <w:outlineLvl w:val="7"/>
    </w:pPr>
    <w:rPr>
      <w:rFonts w:ascii="Arial" w:hAnsi="Arial" w:eastAsia="黑体"/>
    </w:rPr>
  </w:style>
  <w:style w:type="paragraph" w:styleId="11">
    <w:name w:val="heading 9"/>
    <w:basedOn w:val="1"/>
    <w:next w:val="1"/>
    <w:semiHidden/>
    <w:unhideWhenUsed/>
    <w:qFormat/>
    <w:uiPriority w:val="0"/>
    <w:pPr>
      <w:keepNext/>
      <w:keepLines/>
      <w:numPr>
        <w:ilvl w:val="8"/>
        <w:numId w:val="3"/>
      </w:numPr>
      <w:spacing w:before="240" w:after="64" w:line="317" w:lineRule="auto"/>
      <w:ind w:firstLineChars="0"/>
      <w:outlineLvl w:val="8"/>
    </w:pPr>
    <w:rPr>
      <w:rFonts w:ascii="Arial" w:hAnsi="Arial" w:eastAsia="黑体"/>
      <w:sz w:val="21"/>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4">
    <w:name w:val="Title"/>
    <w:basedOn w:val="1"/>
    <w:qFormat/>
    <w:uiPriority w:val="0"/>
    <w:pPr>
      <w:spacing w:before="240" w:after="60"/>
      <w:jc w:val="center"/>
      <w:outlineLvl w:val="0"/>
    </w:pPr>
    <w:rPr>
      <w:rFonts w:ascii="Arial" w:hAnsi="Arial"/>
      <w:b/>
      <w:sz w:val="32"/>
    </w:rPr>
  </w:style>
  <w:style w:type="paragraph" w:styleId="12">
    <w:name w:val="Normal Indent"/>
    <w:basedOn w:val="1"/>
    <w:qFormat/>
    <w:uiPriority w:val="99"/>
    <w:pPr>
      <w:ind w:firstLine="420"/>
    </w:pPr>
  </w:style>
  <w:style w:type="paragraph" w:styleId="13">
    <w:name w:val="annotation text"/>
    <w:basedOn w:val="1"/>
    <w:link w:val="57"/>
    <w:qFormat/>
    <w:uiPriority w:val="99"/>
    <w:pPr>
      <w:spacing w:line="240" w:lineRule="auto"/>
      <w:ind w:firstLine="425" w:firstLineChars="0"/>
      <w:jc w:val="left"/>
    </w:pPr>
    <w:rPr>
      <w:szCs w:val="20"/>
    </w:rPr>
  </w:style>
  <w:style w:type="paragraph" w:styleId="14">
    <w:name w:val="Body Text"/>
    <w:basedOn w:val="1"/>
    <w:qFormat/>
    <w:uiPriority w:val="0"/>
    <w:pPr>
      <w:ind w:firstLine="480"/>
    </w:pPr>
    <w:rPr>
      <w:rFonts w:ascii="宋体" w:hAnsi="宋体" w:cs="宋体"/>
      <w:lang w:val="zh-CN" w:bidi="zh-CN"/>
    </w:rPr>
  </w:style>
  <w:style w:type="paragraph" w:styleId="15">
    <w:name w:val="Date"/>
    <w:basedOn w:val="1"/>
    <w:next w:val="1"/>
    <w:qFormat/>
    <w:uiPriority w:val="0"/>
    <w:rPr>
      <w:szCs w:val="20"/>
    </w:rPr>
  </w:style>
  <w:style w:type="paragraph" w:styleId="16">
    <w:name w:val="Body Text Indent 2"/>
    <w:basedOn w:val="1"/>
    <w:qFormat/>
    <w:uiPriority w:val="99"/>
    <w:pPr>
      <w:snapToGrid w:val="0"/>
      <w:spacing w:after="120" w:line="480" w:lineRule="auto"/>
      <w:ind w:left="420" w:leftChars="200" w:firstLine="567" w:firstLineChars="0"/>
    </w:pPr>
    <w:rPr>
      <w:sz w:val="28"/>
      <w:szCs w:val="20"/>
    </w:rPr>
  </w:style>
  <w:style w:type="paragraph" w:styleId="17">
    <w:name w:val="Balloon Text"/>
    <w:basedOn w:val="1"/>
    <w:link w:val="59"/>
    <w:qFormat/>
    <w:uiPriority w:val="0"/>
    <w:pPr>
      <w:spacing w:line="240" w:lineRule="auto"/>
    </w:pPr>
    <w:rPr>
      <w:sz w:val="18"/>
      <w:szCs w:val="18"/>
    </w:rPr>
  </w:style>
  <w:style w:type="paragraph" w:styleId="18">
    <w:name w:val="footer"/>
    <w:basedOn w:val="1"/>
    <w:qFormat/>
    <w:uiPriority w:val="99"/>
    <w:pPr>
      <w:tabs>
        <w:tab w:val="center" w:pos="4153"/>
        <w:tab w:val="right" w:pos="8306"/>
      </w:tabs>
      <w:snapToGrid w:val="0"/>
      <w:jc w:val="left"/>
    </w:pPr>
    <w:rPr>
      <w:sz w:val="18"/>
      <w:szCs w:val="18"/>
    </w:rPr>
  </w:style>
  <w:style w:type="paragraph" w:styleId="19">
    <w:name w:val="header"/>
    <w:basedOn w:val="1"/>
    <w:link w:val="43"/>
    <w:qFormat/>
    <w:uiPriority w:val="0"/>
    <w:pPr>
      <w:widowControl/>
      <w:pBdr>
        <w:bottom w:val="single" w:color="auto" w:sz="6" w:space="1"/>
      </w:pBdr>
      <w:tabs>
        <w:tab w:val="center" w:pos="4153"/>
        <w:tab w:val="right" w:pos="8306"/>
      </w:tabs>
      <w:snapToGrid w:val="0"/>
      <w:spacing w:line="240" w:lineRule="auto"/>
      <w:ind w:firstLine="0" w:firstLineChars="0"/>
      <w:jc w:val="center"/>
    </w:pPr>
    <w:rPr>
      <w:sz w:val="21"/>
      <w:szCs w:val="21"/>
    </w:rPr>
  </w:style>
  <w:style w:type="paragraph" w:styleId="20">
    <w:name w:val="toc 1"/>
    <w:basedOn w:val="1"/>
    <w:next w:val="1"/>
    <w:qFormat/>
    <w:uiPriority w:val="0"/>
  </w:style>
  <w:style w:type="paragraph" w:styleId="21">
    <w:name w:val="Subtitle"/>
    <w:basedOn w:val="1"/>
    <w:next w:val="1"/>
    <w:qFormat/>
    <w:uiPriority w:val="11"/>
    <w:pPr>
      <w:outlineLvl w:val="1"/>
    </w:pPr>
    <w:rPr>
      <w:bCs/>
      <w:kern w:val="28"/>
      <w:szCs w:val="32"/>
    </w:rPr>
  </w:style>
  <w:style w:type="paragraph" w:styleId="22">
    <w:name w:val="annotation subject"/>
    <w:basedOn w:val="13"/>
    <w:next w:val="13"/>
    <w:link w:val="58"/>
    <w:uiPriority w:val="0"/>
    <w:pPr>
      <w:spacing w:line="360" w:lineRule="auto"/>
      <w:ind w:firstLine="200" w:firstLineChars="200"/>
    </w:pPr>
    <w:rPr>
      <w:b/>
      <w:bCs/>
      <w:szCs w:val="24"/>
    </w:rPr>
  </w:style>
  <w:style w:type="table" w:styleId="24">
    <w:name w:val="Table Grid"/>
    <w:basedOn w:val="23"/>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26">
    <w:name w:val="Hyperlink"/>
    <w:basedOn w:val="25"/>
    <w:qFormat/>
    <w:uiPriority w:val="99"/>
    <w:rPr>
      <w:rFonts w:cs="Times New Roman"/>
      <w:color w:val="0000FF"/>
      <w:u w:val="single"/>
    </w:rPr>
  </w:style>
  <w:style w:type="character" w:styleId="27">
    <w:name w:val="annotation reference"/>
    <w:basedOn w:val="25"/>
    <w:qFormat/>
    <w:uiPriority w:val="99"/>
    <w:rPr>
      <w:rFonts w:cs="Times New Roman"/>
      <w:sz w:val="21"/>
      <w:szCs w:val="21"/>
    </w:rPr>
  </w:style>
  <w:style w:type="paragraph" w:customStyle="1" w:styleId="28">
    <w:name w:val="Default"/>
    <w:basedOn w:val="29"/>
    <w:next w:val="1"/>
    <w:qFormat/>
    <w:uiPriority w:val="0"/>
    <w:pPr>
      <w:autoSpaceDE w:val="0"/>
      <w:autoSpaceDN w:val="0"/>
      <w:ind w:firstLine="480"/>
    </w:pPr>
    <w:rPr>
      <w:rFonts w:ascii="Times New Roman" w:hAnsi="Times New Roman"/>
      <w:color w:val="000000"/>
      <w:szCs w:val="24"/>
    </w:rPr>
  </w:style>
  <w:style w:type="paragraph" w:customStyle="1" w:styleId="29">
    <w:name w:val="纯文本1"/>
    <w:basedOn w:val="1"/>
    <w:qFormat/>
    <w:uiPriority w:val="0"/>
    <w:pPr>
      <w:adjustRightInd w:val="0"/>
    </w:pPr>
    <w:rPr>
      <w:rFonts w:ascii="宋体" w:hAnsi="Courier New"/>
      <w:szCs w:val="20"/>
    </w:rPr>
  </w:style>
  <w:style w:type="paragraph" w:customStyle="1" w:styleId="30">
    <w:name w:val="A标题4（中文）"/>
    <w:basedOn w:val="1"/>
    <w:qFormat/>
    <w:uiPriority w:val="0"/>
    <w:pPr>
      <w:numPr>
        <w:ilvl w:val="3"/>
        <w:numId w:val="4"/>
      </w:numPr>
      <w:ind w:firstLineChars="0"/>
    </w:pPr>
    <w:rPr>
      <w:b/>
      <w:bCs/>
    </w:rPr>
  </w:style>
  <w:style w:type="paragraph" w:customStyle="1" w:styleId="31">
    <w:name w:val="样式1"/>
    <w:basedOn w:val="1"/>
    <w:qFormat/>
    <w:uiPriority w:val="0"/>
    <w:rPr>
      <w:rFonts w:ascii="宋体" w:hAnsi="宋体"/>
    </w:rPr>
  </w:style>
  <w:style w:type="paragraph" w:customStyle="1" w:styleId="32">
    <w:name w:val="A标题1（中文）"/>
    <w:basedOn w:val="3"/>
    <w:link w:val="33"/>
    <w:qFormat/>
    <w:uiPriority w:val="0"/>
    <w:pPr>
      <w:numPr>
        <w:numId w:val="5"/>
      </w:numPr>
      <w:tabs>
        <w:tab w:val="left" w:pos="425"/>
      </w:tabs>
    </w:pPr>
    <w:rPr>
      <w:rFonts w:cs="宋体"/>
    </w:rPr>
  </w:style>
  <w:style w:type="character" w:customStyle="1" w:styleId="33">
    <w:name w:val="A标题1（中文） 字符"/>
    <w:link w:val="32"/>
    <w:qFormat/>
    <w:uiPriority w:val="0"/>
    <w:rPr>
      <w:rFonts w:ascii="Times New Roman" w:hAnsi="Times New Roman" w:eastAsia="宋体" w:cs="宋体"/>
      <w:b/>
      <w:bCs/>
      <w:kern w:val="44"/>
      <w:sz w:val="36"/>
      <w:szCs w:val="36"/>
      <w:lang w:val="zh-CN" w:bidi="zh-CN"/>
    </w:rPr>
  </w:style>
  <w:style w:type="paragraph" w:customStyle="1" w:styleId="34">
    <w:name w:val="A标题2（中文）"/>
    <w:basedOn w:val="5"/>
    <w:next w:val="35"/>
    <w:qFormat/>
    <w:uiPriority w:val="0"/>
    <w:pPr>
      <w:numPr>
        <w:numId w:val="6"/>
      </w:numPr>
      <w:ind w:left="0" w:firstLine="0"/>
    </w:pPr>
    <w:rPr>
      <w:rFonts w:cs="宋体"/>
      <w:color w:val="000000"/>
    </w:rPr>
  </w:style>
  <w:style w:type="paragraph" w:customStyle="1" w:styleId="35">
    <w:name w:val="A标题3（中文）"/>
    <w:basedOn w:val="2"/>
    <w:next w:val="30"/>
    <w:qFormat/>
    <w:uiPriority w:val="0"/>
    <w:pPr>
      <w:numPr>
        <w:numId w:val="6"/>
      </w:numPr>
      <w:tabs>
        <w:tab w:val="left" w:pos="729"/>
      </w:tabs>
      <w:adjustRightInd w:val="0"/>
      <w:snapToGrid w:val="0"/>
    </w:pPr>
    <w:rPr>
      <w:rFonts w:ascii="宋体" w:hAnsi="宋体" w:cs="宋体"/>
      <w:color w:val="000000"/>
      <w:sz w:val="28"/>
      <w:szCs w:val="28"/>
    </w:rPr>
  </w:style>
  <w:style w:type="paragraph" w:customStyle="1" w:styleId="36">
    <w:name w:val="Table Paragraph"/>
    <w:basedOn w:val="1"/>
    <w:qFormat/>
    <w:uiPriority w:val="1"/>
    <w:pPr>
      <w:spacing w:line="240" w:lineRule="auto"/>
      <w:ind w:firstLine="0" w:firstLineChars="0"/>
      <w:jc w:val="center"/>
    </w:pPr>
    <w:rPr>
      <w:sz w:val="21"/>
      <w:szCs w:val="21"/>
      <w:lang w:val="zh-CN" w:bidi="zh-CN"/>
    </w:rPr>
  </w:style>
  <w:style w:type="character" w:customStyle="1" w:styleId="37">
    <w:name w:val="标题 5 Char"/>
    <w:link w:val="7"/>
    <w:qFormat/>
    <w:uiPriority w:val="0"/>
    <w:rPr>
      <w:rFonts w:ascii="Times New Roman" w:hAnsi="Times New Roman" w:eastAsia="宋体" w:cs="Times New Roman"/>
      <w:lang w:val="zh-CN" w:bidi="zh-CN"/>
    </w:rPr>
  </w:style>
  <w:style w:type="character" w:customStyle="1" w:styleId="38">
    <w:name w:val="标题 4 Char"/>
    <w:link w:val="6"/>
    <w:qFormat/>
    <w:uiPriority w:val="0"/>
    <w:rPr>
      <w:rFonts w:ascii="Times New Roman" w:hAnsi="Times New Roman" w:eastAsia="宋体" w:cs="Times New Roman"/>
      <w:b/>
      <w:bCs/>
      <w:color w:val="000000"/>
      <w:sz w:val="24"/>
      <w:szCs w:val="24"/>
      <w:lang w:val="zh-CN" w:bidi="zh-CN"/>
    </w:rPr>
  </w:style>
  <w:style w:type="character" w:customStyle="1" w:styleId="39">
    <w:name w:val="Table Paragraph Char"/>
    <w:link w:val="40"/>
    <w:qFormat/>
    <w:uiPriority w:val="1"/>
    <w:rPr>
      <w:rFonts w:ascii="Times New Roman" w:hAnsi="Times New Roman" w:eastAsia="宋体" w:cs="Times New Roman"/>
      <w:sz w:val="21"/>
      <w:szCs w:val="21"/>
      <w:lang w:val="zh-CN" w:bidi="zh-CN"/>
    </w:rPr>
  </w:style>
  <w:style w:type="paragraph" w:customStyle="1" w:styleId="40">
    <w:name w:val="表格"/>
    <w:basedOn w:val="12"/>
    <w:next w:val="1"/>
    <w:link w:val="39"/>
    <w:qFormat/>
    <w:uiPriority w:val="1"/>
    <w:pPr>
      <w:spacing w:line="240" w:lineRule="auto"/>
      <w:ind w:firstLine="0" w:firstLineChars="0"/>
      <w:jc w:val="center"/>
    </w:pPr>
    <w:rPr>
      <w:color w:val="000000"/>
      <w:sz w:val="21"/>
      <w:szCs w:val="21"/>
      <w:lang w:val="zh-CN" w:bidi="zh-CN"/>
    </w:rPr>
  </w:style>
  <w:style w:type="paragraph" w:customStyle="1" w:styleId="41">
    <w:name w:val="目录大纲"/>
    <w:qFormat/>
    <w:uiPriority w:val="0"/>
    <w:pPr>
      <w:spacing w:before="80" w:after="80"/>
    </w:pPr>
    <w:rPr>
      <w:rFonts w:ascii="Times New Roman" w:hAnsi="Times New Roman" w:eastAsia="宋体" w:cstheme="minorBidi"/>
      <w:sz w:val="24"/>
      <w:szCs w:val="24"/>
      <w:lang w:val="en-US" w:eastAsia="zh-CN" w:bidi="ar-SA"/>
    </w:rPr>
  </w:style>
  <w:style w:type="character" w:customStyle="1" w:styleId="42">
    <w:name w:val="标题 1 Char"/>
    <w:link w:val="3"/>
    <w:qFormat/>
    <w:uiPriority w:val="0"/>
    <w:rPr>
      <w:rFonts w:ascii="Times New Roman" w:hAnsi="Times New Roman" w:eastAsia="宋体" w:cs="Times New Roman"/>
      <w:b/>
      <w:bCs/>
      <w:kern w:val="44"/>
      <w:sz w:val="36"/>
      <w:szCs w:val="36"/>
      <w:lang w:val="zh-CN" w:bidi="zh-CN"/>
    </w:rPr>
  </w:style>
  <w:style w:type="character" w:customStyle="1" w:styleId="43">
    <w:name w:val="页眉 Char"/>
    <w:link w:val="19"/>
    <w:qFormat/>
    <w:uiPriority w:val="0"/>
    <w:rPr>
      <w:rFonts w:ascii="Times New Roman" w:hAnsi="Times New Roman" w:eastAsia="宋体" w:cs="Times New Roman"/>
      <w:kern w:val="2"/>
      <w:sz w:val="21"/>
      <w:szCs w:val="21"/>
    </w:rPr>
  </w:style>
  <w:style w:type="paragraph" w:customStyle="1" w:styleId="44">
    <w:name w:val="表格文字！！！！"/>
    <w:basedOn w:val="1"/>
    <w:qFormat/>
    <w:uiPriority w:val="0"/>
    <w:pPr>
      <w:spacing w:line="240" w:lineRule="auto"/>
      <w:ind w:firstLine="0" w:firstLineChars="0"/>
      <w:jc w:val="center"/>
    </w:pPr>
    <w:rPr>
      <w:sz w:val="21"/>
    </w:rPr>
  </w:style>
  <w:style w:type="paragraph" w:customStyle="1" w:styleId="45">
    <w:name w:val="表格单倍行距"/>
    <w:basedOn w:val="1"/>
    <w:qFormat/>
    <w:uiPriority w:val="0"/>
    <w:pPr>
      <w:spacing w:line="240" w:lineRule="auto"/>
      <w:ind w:firstLine="0" w:firstLineChars="0"/>
      <w:jc w:val="center"/>
    </w:pPr>
    <w:rPr>
      <w:rFonts w:cs="宋体"/>
      <w:sz w:val="21"/>
      <w:szCs w:val="20"/>
    </w:rPr>
  </w:style>
  <w:style w:type="paragraph" w:customStyle="1" w:styleId="46">
    <w:name w:val="A表格（中文）"/>
    <w:basedOn w:val="45"/>
    <w:next w:val="47"/>
    <w:qFormat/>
    <w:uiPriority w:val="0"/>
    <w:rPr>
      <w:rFonts w:cs="Times New Roman"/>
      <w:color w:val="000000"/>
      <w:szCs w:val="21"/>
    </w:rPr>
  </w:style>
  <w:style w:type="paragraph" w:customStyle="1" w:styleId="47">
    <w:name w:val="A正文（中文）"/>
    <w:basedOn w:val="1"/>
    <w:qFormat/>
    <w:uiPriority w:val="0"/>
    <w:pPr>
      <w:adjustRightInd w:val="0"/>
      <w:snapToGrid w:val="0"/>
      <w:spacing w:beforeLines="50"/>
      <w:ind w:firstLine="480"/>
    </w:pPr>
    <w:rPr>
      <w:color w:val="000000"/>
    </w:rPr>
  </w:style>
  <w:style w:type="paragraph" w:customStyle="1" w:styleId="48">
    <w:name w:val="表格1"/>
    <w:basedOn w:val="1"/>
    <w:next w:val="1"/>
    <w:qFormat/>
    <w:uiPriority w:val="99"/>
    <w:pPr>
      <w:topLinePunct/>
      <w:autoSpaceDE w:val="0"/>
      <w:autoSpaceDN w:val="0"/>
      <w:adjustRightInd w:val="0"/>
      <w:spacing w:line="240" w:lineRule="auto"/>
      <w:ind w:firstLine="0" w:firstLineChars="0"/>
      <w:jc w:val="center"/>
      <w:textAlignment w:val="baseline"/>
    </w:pPr>
    <w:rPr>
      <w:rFonts w:ascii="宋体" w:hAnsi="Impact"/>
      <w:kern w:val="24"/>
      <w:sz w:val="28"/>
      <w:szCs w:val="20"/>
    </w:rPr>
  </w:style>
  <w:style w:type="paragraph" w:customStyle="1" w:styleId="49">
    <w:name w:val="正 文"/>
    <w:qFormat/>
    <w:uiPriority w:val="0"/>
    <w:pPr>
      <w:widowControl w:val="0"/>
      <w:spacing w:line="360" w:lineRule="auto"/>
      <w:ind w:firstLine="480" w:firstLineChars="200"/>
    </w:pPr>
    <w:rPr>
      <w:rFonts w:ascii="Times New Roman" w:hAnsi="Times New Roman" w:eastAsia="宋体" w:cs="宋体"/>
      <w:kern w:val="2"/>
      <w:sz w:val="24"/>
      <w:szCs w:val="24"/>
      <w:lang w:val="en-US" w:eastAsia="zh-CN" w:bidi="ar-SA"/>
    </w:rPr>
  </w:style>
  <w:style w:type="paragraph" w:customStyle="1" w:styleId="50">
    <w:name w:val="表格名"/>
    <w:basedOn w:val="21"/>
    <w:qFormat/>
    <w:uiPriority w:val="0"/>
    <w:pPr>
      <w:ind w:firstLine="0" w:firstLineChars="0"/>
      <w:jc w:val="center"/>
    </w:pPr>
    <w:rPr>
      <w:b/>
      <w:sz w:val="21"/>
      <w:szCs w:val="21"/>
    </w:rPr>
  </w:style>
  <w:style w:type="paragraph" w:customStyle="1" w:styleId="51">
    <w:name w:val="_Style 3"/>
    <w:qFormat/>
    <w:uiPriority w:val="1"/>
    <w:pPr>
      <w:widowControl w:val="0"/>
      <w:jc w:val="both"/>
    </w:pPr>
    <w:rPr>
      <w:rFonts w:ascii="Times New Roman" w:hAnsi="Times New Roman" w:eastAsia="宋体" w:cs="Times New Roman"/>
      <w:kern w:val="2"/>
      <w:sz w:val="24"/>
      <w:szCs w:val="22"/>
      <w:lang w:val="en-US" w:eastAsia="zh-CN" w:bidi="ar-SA"/>
    </w:rPr>
  </w:style>
  <w:style w:type="paragraph" w:customStyle="1" w:styleId="52">
    <w:name w:val="报告表正文"/>
    <w:basedOn w:val="1"/>
    <w:qFormat/>
    <w:uiPriority w:val="0"/>
    <w:pPr>
      <w:adjustRightInd w:val="0"/>
      <w:ind w:firstLine="482"/>
      <w:textAlignment w:val="baseline"/>
    </w:pPr>
    <w:rPr>
      <w:kern w:val="0"/>
      <w:szCs w:val="20"/>
    </w:rPr>
  </w:style>
  <w:style w:type="paragraph" w:customStyle="1" w:styleId="53">
    <w:name w:val="表格文字"/>
    <w:basedOn w:val="1"/>
    <w:qFormat/>
    <w:uiPriority w:val="0"/>
    <w:pPr>
      <w:wordWrap w:val="0"/>
      <w:topLinePunct/>
      <w:snapToGrid w:val="0"/>
      <w:ind w:firstLine="0"/>
      <w:jc w:val="center"/>
    </w:pPr>
    <w:rPr>
      <w:rFonts w:ascii="宋体" w:hAnsi="宋体"/>
      <w:snapToGrid w:val="0"/>
      <w:color w:val="FF0000"/>
      <w:kern w:val="0"/>
      <w:sz w:val="21"/>
    </w:rPr>
  </w:style>
  <w:style w:type="paragraph" w:customStyle="1" w:styleId="54">
    <w:name w:val="样式 方正仿宋_GBK 三号 行距: 固定值 28 磅"/>
    <w:basedOn w:val="1"/>
    <w:qFormat/>
    <w:uiPriority w:val="0"/>
    <w:pPr>
      <w:jc w:val="left"/>
    </w:pPr>
    <w:rPr>
      <w:rFonts w:ascii="方正仿宋_GBK" w:hAnsi="方正仿宋_GBK" w:cs="宋体"/>
      <w:sz w:val="28"/>
    </w:rPr>
  </w:style>
  <w:style w:type="paragraph" w:customStyle="1" w:styleId="55">
    <w:name w:val="WPSOffice手动目录 1"/>
    <w:qFormat/>
    <w:uiPriority w:val="0"/>
    <w:rPr>
      <w:rFonts w:ascii="Times New Roman" w:hAnsi="Times New Roman" w:eastAsia="宋体" w:cs="Times New Roman"/>
      <w:lang w:val="en-US" w:eastAsia="zh-CN" w:bidi="ar-SA"/>
    </w:rPr>
  </w:style>
  <w:style w:type="character" w:customStyle="1" w:styleId="56">
    <w:name w:val="font11"/>
    <w:basedOn w:val="25"/>
    <w:qFormat/>
    <w:uiPriority w:val="0"/>
    <w:rPr>
      <w:rFonts w:hint="default" w:ascii="Times New Roman" w:hAnsi="Times New Roman" w:cs="Times New Roman"/>
      <w:color w:val="000000"/>
      <w:sz w:val="21"/>
      <w:szCs w:val="21"/>
      <w:u w:val="none"/>
    </w:rPr>
  </w:style>
  <w:style w:type="character" w:customStyle="1" w:styleId="57">
    <w:name w:val="批注文字 Char"/>
    <w:basedOn w:val="25"/>
    <w:link w:val="13"/>
    <w:qFormat/>
    <w:uiPriority w:val="99"/>
    <w:rPr>
      <w:kern w:val="2"/>
      <w:sz w:val="24"/>
    </w:rPr>
  </w:style>
  <w:style w:type="character" w:customStyle="1" w:styleId="58">
    <w:name w:val="批注主题 Char"/>
    <w:basedOn w:val="57"/>
    <w:link w:val="22"/>
    <w:qFormat/>
    <w:uiPriority w:val="0"/>
    <w:rPr>
      <w:b/>
      <w:bCs/>
      <w:kern w:val="2"/>
      <w:sz w:val="24"/>
      <w:szCs w:val="24"/>
    </w:rPr>
  </w:style>
  <w:style w:type="character" w:customStyle="1" w:styleId="59">
    <w:name w:val="批注框文本 Char"/>
    <w:basedOn w:val="25"/>
    <w:link w:val="17"/>
    <w:qFormat/>
    <w:uiPriority w:val="0"/>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3" Type="http://schemas.openxmlformats.org/officeDocument/2006/relationships/fontTable" Target="fontTable.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emf"/><Relationship Id="rId20" Type="http://schemas.openxmlformats.org/officeDocument/2006/relationships/oleObject" Target="embeddings/oleObject3.bin"/><Relationship Id="rId2" Type="http://schemas.openxmlformats.org/officeDocument/2006/relationships/settings" Target="settings.xml"/><Relationship Id="rId19" Type="http://schemas.openxmlformats.org/officeDocument/2006/relationships/image" Target="media/image11.emf"/><Relationship Id="rId18" Type="http://schemas.openxmlformats.org/officeDocument/2006/relationships/oleObject" Target="embeddings/oleObject2.bin"/><Relationship Id="rId17" Type="http://schemas.openxmlformats.org/officeDocument/2006/relationships/image" Target="media/image10.png"/><Relationship Id="rId16" Type="http://schemas.openxmlformats.org/officeDocument/2006/relationships/image" Target="media/image9.emf"/><Relationship Id="rId15" Type="http://schemas.openxmlformats.org/officeDocument/2006/relationships/oleObject" Target="embeddings/oleObject1.bin"/><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7124</Words>
  <Characters>40612</Characters>
  <Lines>338</Lines>
  <Paragraphs>95</Paragraphs>
  <TotalTime>1</TotalTime>
  <ScaleCrop>false</ScaleCrop>
  <LinksUpToDate>false</LinksUpToDate>
  <CharactersWithSpaces>47641</CharactersWithSpaces>
  <Application>WPS Office_11.1.0.10228_F1E327BC-269C-435d-A152-05C5408002CA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2020-07-28T08:51:00Z</dcterms:created>
  <dc:creator>爱德龙</dc:creator>
  <cp:lastModifiedBy>爱德龙</cp:lastModifiedBy>
  <dcterms:modified xsi:type="dcterms:W3CDTF">2020-12-23T02:12:49Z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