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kern w:val="0"/>
          <w:sz w:val="32"/>
          <w:szCs w:val="32"/>
          <w:lang w:val="en-US" w:eastAsia="zh-CN" w:bidi="ar"/>
        </w:rPr>
      </w:pPr>
      <w:r>
        <w:rPr>
          <w:rFonts w:hint="eastAsia" w:ascii="黑体" w:hAnsi="宋体" w:eastAsia="黑体" w:cs="黑体"/>
          <w:kern w:val="0"/>
          <w:sz w:val="32"/>
          <w:szCs w:val="32"/>
          <w:lang w:val="en-US" w:eastAsia="zh-CN" w:bidi="ar"/>
        </w:rPr>
        <w:t>附件：</w:t>
      </w: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方正小标宋简体" w:hAnsi="方正小标宋简体" w:eastAsia="方正小标宋简体" w:cs="方正小标宋简体"/>
          <w:kern w:val="0"/>
          <w:sz w:val="44"/>
          <w:szCs w:val="44"/>
          <w:lang w:val="en-US"/>
        </w:rPr>
      </w:pPr>
      <w:bookmarkStart w:id="0" w:name="_GoBack"/>
      <w:r>
        <w:rPr>
          <w:rFonts w:hint="eastAsia" w:ascii="方正小标宋简体" w:hAnsi="方正小标宋简体" w:eastAsia="方正小标宋简体" w:cs="方正小标宋简体"/>
          <w:kern w:val="0"/>
          <w:sz w:val="44"/>
          <w:szCs w:val="44"/>
          <w:lang w:val="en-US" w:eastAsia="zh-CN" w:bidi="ar"/>
        </w:rPr>
        <w:t>广东省重点农业龙头企业认定与监测指标</w:t>
      </w:r>
    </w:p>
    <w:bookmarkEnd w:id="0"/>
    <w:p>
      <w:pPr>
        <w:pStyle w:val="2"/>
        <w:keepNext w:val="0"/>
        <w:keepLines w:val="0"/>
        <w:widowControl w:val="0"/>
        <w:suppressLineNumbers w:val="0"/>
        <w:adjustRightInd w:val="0"/>
        <w:snapToGrid w:val="0"/>
        <w:spacing w:before="0" w:beforeAutospacing="0" w:after="0" w:afterAutospacing="0" w:line="560" w:lineRule="exact"/>
        <w:ind w:left="0" w:right="0"/>
        <w:rPr>
          <w:lang w:val="en-US"/>
        </w:rPr>
      </w:pPr>
    </w:p>
    <w:tbl>
      <w:tblPr>
        <w:tblStyle w:val="8"/>
        <w:tblW w:w="13313" w:type="dxa"/>
        <w:jc w:val="center"/>
        <w:tblInd w:w="0" w:type="dxa"/>
        <w:shd w:val="clear" w:color="auto" w:fill="auto"/>
        <w:tblLayout w:type="fixed"/>
        <w:tblCellMar>
          <w:top w:w="0" w:type="dxa"/>
          <w:left w:w="108" w:type="dxa"/>
          <w:bottom w:w="0" w:type="dxa"/>
          <w:right w:w="108" w:type="dxa"/>
        </w:tblCellMar>
      </w:tblPr>
      <w:tblGrid>
        <w:gridCol w:w="542"/>
        <w:gridCol w:w="804"/>
        <w:gridCol w:w="912"/>
        <w:gridCol w:w="3463"/>
        <w:gridCol w:w="1987"/>
        <w:gridCol w:w="1466"/>
        <w:gridCol w:w="1640"/>
        <w:gridCol w:w="2499"/>
      </w:tblGrid>
      <w:tr>
        <w:tblPrEx>
          <w:shd w:val="clear" w:color="auto" w:fill="auto"/>
          <w:tblLayout w:type="fixed"/>
          <w:tblCellMar>
            <w:top w:w="0" w:type="dxa"/>
            <w:left w:w="108" w:type="dxa"/>
            <w:bottom w:w="0" w:type="dxa"/>
            <w:right w:w="108" w:type="dxa"/>
          </w:tblCellMar>
        </w:tblPrEx>
        <w:trPr>
          <w:trHeight w:val="397" w:hRule="atLeast"/>
          <w:tblHeader/>
          <w:jc w:val="center"/>
        </w:trPr>
        <w:tc>
          <w:tcPr>
            <w:tcW w:w="2258" w:type="dxa"/>
            <w:gridSpan w:val="3"/>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黑体" w:hAnsi="宋体" w:eastAsia="黑体" w:cs="黑体"/>
                <w:bCs/>
                <w:kern w:val="0"/>
                <w:sz w:val="16"/>
                <w:szCs w:val="16"/>
                <w:lang w:val="en-US"/>
              </w:rPr>
            </w:pPr>
            <w:r>
              <w:rPr>
                <w:rFonts w:hint="eastAsia" w:ascii="黑体" w:hAnsi="宋体" w:eastAsia="黑体" w:cs="黑体"/>
                <w:bCs/>
                <w:kern w:val="0"/>
                <w:sz w:val="16"/>
                <w:szCs w:val="16"/>
                <w:lang w:val="en-US" w:eastAsia="zh-CN" w:bidi="ar"/>
              </w:rPr>
              <w:t>企业类型</w:t>
            </w:r>
          </w:p>
        </w:tc>
        <w:tc>
          <w:tcPr>
            <w:tcW w:w="3463"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黑体" w:hAnsi="宋体" w:eastAsia="黑体" w:cs="黑体"/>
                <w:bCs/>
                <w:kern w:val="0"/>
                <w:sz w:val="16"/>
                <w:szCs w:val="16"/>
                <w:lang w:val="en-US"/>
              </w:rPr>
            </w:pPr>
            <w:r>
              <w:rPr>
                <w:rFonts w:hint="eastAsia" w:ascii="黑体" w:hAnsi="宋体" w:eastAsia="黑体" w:cs="黑体"/>
                <w:bCs/>
                <w:kern w:val="0"/>
                <w:sz w:val="16"/>
                <w:szCs w:val="16"/>
                <w:lang w:val="en-US" w:eastAsia="zh-CN" w:bidi="ar"/>
              </w:rPr>
              <w:t>农产品生产、休闲农业</w:t>
            </w:r>
          </w:p>
        </w:tc>
        <w:tc>
          <w:tcPr>
            <w:tcW w:w="1987"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黑体" w:hAnsi="宋体" w:eastAsia="黑体" w:cs="黑体"/>
                <w:bCs/>
                <w:kern w:val="0"/>
                <w:sz w:val="16"/>
                <w:szCs w:val="16"/>
                <w:lang w:val="en-US"/>
              </w:rPr>
            </w:pPr>
            <w:r>
              <w:rPr>
                <w:rFonts w:hint="eastAsia" w:ascii="黑体" w:hAnsi="宋体" w:eastAsia="黑体" w:cs="黑体"/>
                <w:bCs/>
                <w:kern w:val="0"/>
                <w:sz w:val="16"/>
                <w:szCs w:val="16"/>
                <w:lang w:val="en-US" w:eastAsia="zh-CN" w:bidi="ar"/>
              </w:rPr>
              <w:t>农产品加工、流通</w:t>
            </w:r>
          </w:p>
        </w:tc>
        <w:tc>
          <w:tcPr>
            <w:tcW w:w="1466"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黑体" w:hAnsi="宋体" w:eastAsia="黑体" w:cs="黑体"/>
                <w:bCs/>
                <w:kern w:val="0"/>
                <w:sz w:val="16"/>
                <w:szCs w:val="16"/>
                <w:lang w:val="en-US"/>
              </w:rPr>
            </w:pPr>
            <w:r>
              <w:rPr>
                <w:rFonts w:hint="eastAsia" w:ascii="黑体" w:hAnsi="宋体" w:eastAsia="黑体" w:cs="黑体"/>
                <w:bCs/>
                <w:kern w:val="0"/>
                <w:sz w:val="16"/>
                <w:szCs w:val="16"/>
                <w:lang w:val="en-US" w:eastAsia="zh-CN" w:bidi="ar"/>
              </w:rPr>
              <w:t>农产品批发市场</w:t>
            </w:r>
          </w:p>
        </w:tc>
        <w:tc>
          <w:tcPr>
            <w:tcW w:w="164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黑体" w:hAnsi="宋体" w:eastAsia="黑体" w:cs="黑体"/>
                <w:bCs/>
                <w:kern w:val="0"/>
                <w:sz w:val="16"/>
                <w:szCs w:val="16"/>
                <w:lang w:val="en-US"/>
              </w:rPr>
            </w:pPr>
            <w:r>
              <w:rPr>
                <w:rFonts w:hint="eastAsia" w:ascii="黑体" w:hAnsi="宋体" w:eastAsia="黑体" w:cs="黑体"/>
                <w:bCs/>
                <w:kern w:val="0"/>
                <w:sz w:val="16"/>
                <w:szCs w:val="16"/>
                <w:lang w:val="en-US" w:eastAsia="zh-CN" w:bidi="ar"/>
              </w:rPr>
              <w:t>农产品电子商务</w:t>
            </w:r>
          </w:p>
        </w:tc>
        <w:tc>
          <w:tcPr>
            <w:tcW w:w="2499"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黑体" w:hAnsi="宋体" w:eastAsia="黑体" w:cs="黑体"/>
                <w:bCs/>
                <w:kern w:val="0"/>
                <w:sz w:val="16"/>
                <w:szCs w:val="16"/>
                <w:lang w:val="en-US"/>
              </w:rPr>
            </w:pPr>
            <w:r>
              <w:rPr>
                <w:rFonts w:hint="eastAsia" w:ascii="黑体" w:hAnsi="宋体" w:eastAsia="黑体" w:cs="黑体"/>
                <w:bCs/>
                <w:kern w:val="0"/>
                <w:sz w:val="16"/>
                <w:szCs w:val="16"/>
                <w:lang w:val="en-US" w:eastAsia="zh-CN" w:bidi="ar"/>
              </w:rPr>
              <w:t>其他涉农企业</w:t>
            </w:r>
          </w:p>
        </w:tc>
      </w:tr>
      <w:tr>
        <w:tblPrEx>
          <w:shd w:val="clear" w:color="auto" w:fill="auto"/>
          <w:tblLayout w:type="fixed"/>
          <w:tblCellMar>
            <w:top w:w="0" w:type="dxa"/>
            <w:left w:w="108" w:type="dxa"/>
            <w:bottom w:w="0" w:type="dxa"/>
            <w:right w:w="108" w:type="dxa"/>
          </w:tblCellMar>
        </w:tblPrEx>
        <w:trPr>
          <w:trHeight w:val="397" w:hRule="atLeast"/>
          <w:jc w:val="center"/>
        </w:trPr>
        <w:tc>
          <w:tcPr>
            <w:tcW w:w="542"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default"/>
                <w:sz w:val="32"/>
              </w:rPr>
              <mc:AlternateContent>
                <mc:Choice Requires="wps">
                  <w:drawing>
                    <wp:anchor distT="0" distB="0" distL="114300" distR="114300" simplePos="0" relativeHeight="251658240" behindDoc="0" locked="0" layoutInCell="1" allowOverlap="1">
                      <wp:simplePos x="0" y="0"/>
                      <wp:positionH relativeFrom="column">
                        <wp:posOffset>-784225</wp:posOffset>
                      </wp:positionH>
                      <wp:positionV relativeFrom="paragraph">
                        <wp:posOffset>1890395</wp:posOffset>
                      </wp:positionV>
                      <wp:extent cx="495300" cy="1095375"/>
                      <wp:effectExtent l="0" t="0" r="7620" b="1905"/>
                      <wp:wrapNone/>
                      <wp:docPr id="4" name="文本框 4"/>
                      <wp:cNvGraphicFramePr/>
                      <a:graphic xmlns:a="http://schemas.openxmlformats.org/drawingml/2006/main">
                        <a:graphicData uri="http://schemas.microsoft.com/office/word/2010/wordprocessingShape">
                          <wps:wsp>
                            <wps:cNvSpPr txBox="1"/>
                            <wps:spPr>
                              <a:xfrm>
                                <a:off x="309245" y="1080135"/>
                                <a:ext cx="495300" cy="10953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9 —</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75pt;margin-top:148.85pt;height:86.25pt;width:39pt;z-index:251658240;mso-width-relative:page;mso-height-relative:page;" fillcolor="#FFFFFF [3201]" filled="t" stroked="f" coordsize="21600,21600" o:gfxdata="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1JBGzbAAAADAEAAA8AAAAAAAAAAQAgAAAA&#10;IgAAAGRycy9kb3ducmV2LnhtbFBLAQIUABQAAAAIAIdO4kC1e712QQIAAE4EAAAOAAAAAAAAAAEA&#10;IAAAACoBAABkcnMvZTJvRG9jLnhtbFBLBQYAAAAABgAGAFkBAADdBQAAAAA=&#10;">
                      <v:fill on="t" focussize="0,0"/>
                      <v:stroke on="f" weight="0.5pt"/>
                      <v:imagedata o:title=""/>
                      <o:lock v:ext="edit" aspectratio="f"/>
                      <v:textbox style="layout-flow:vertical-ideographic;">
                        <w:txbxContent>
                          <w:p>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9 —</w:t>
                            </w:r>
                          </w:p>
                        </w:txbxContent>
                      </v:textbox>
                    </v:shape>
                  </w:pict>
                </mc:Fallback>
              </mc:AlternateContent>
            </w:r>
            <w:r>
              <w:rPr>
                <w:rFonts w:hint="eastAsia" w:ascii="仿宋_GB2312" w:hAnsi="仿宋_GB2312" w:eastAsia="仿宋_GB2312" w:cs="仿宋_GB2312"/>
                <w:kern w:val="0"/>
                <w:sz w:val="16"/>
                <w:szCs w:val="16"/>
                <w:lang w:val="en-US" w:eastAsia="zh-CN" w:bidi="ar"/>
              </w:rPr>
              <w:t>指标 及评分标准</w:t>
            </w:r>
          </w:p>
        </w:tc>
        <w:tc>
          <w:tcPr>
            <w:tcW w:w="804"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企业</w:t>
            </w:r>
          </w:p>
          <w:p>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规模</w:t>
            </w:r>
          </w:p>
          <w:p>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（30分）</w:t>
            </w:r>
          </w:p>
        </w:tc>
        <w:tc>
          <w:tcPr>
            <w:tcW w:w="912"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1.年销售收入/交易额</w:t>
            </w:r>
          </w:p>
        </w:tc>
        <w:tc>
          <w:tcPr>
            <w:tcW w:w="3463"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农产品销售收入（主营业务收入）达4000万元的计25分、不达标的计0分；超过4000万元的，每超过500万元加1分，最高加5分。</w:t>
            </w:r>
          </w:p>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p>
        </w:tc>
        <w:tc>
          <w:tcPr>
            <w:tcW w:w="1987"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农产品销售收入达5000万元的计25分、不达标的计0分；超过5000万元的，每超过500万元加1分，最高加5分。</w:t>
            </w:r>
          </w:p>
        </w:tc>
        <w:tc>
          <w:tcPr>
            <w:tcW w:w="1466" w:type="dxa"/>
            <w:tcBorders>
              <w:top w:val="single" w:color="auto" w:sz="6" w:space="0"/>
              <w:left w:val="single" w:color="auto" w:sz="6" w:space="0"/>
              <w:bottom w:val="single" w:color="auto" w:sz="6"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农产品交易额达7.5亿元的计25分、不达标的计0分；超过7.5亿元的，每超过1.5亿元加1分，最高加5分。</w:t>
            </w:r>
          </w:p>
        </w:tc>
        <w:tc>
          <w:tcPr>
            <w:tcW w:w="1640" w:type="dxa"/>
            <w:tcBorders>
              <w:top w:val="single" w:color="auto" w:sz="6" w:space="0"/>
              <w:left w:val="single" w:color="auto" w:sz="4" w:space="0"/>
              <w:bottom w:val="nil"/>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农产品销售收入达2亿元的计25分、不达标的计0分；超过2亿元的，每超过1000万元加1分，最高加5分。</w:t>
            </w:r>
          </w:p>
        </w:tc>
        <w:tc>
          <w:tcPr>
            <w:tcW w:w="2499" w:type="dxa"/>
            <w:tcBorders>
              <w:top w:val="single" w:color="auto" w:sz="6" w:space="0"/>
              <w:left w:val="single" w:color="auto" w:sz="6" w:space="0"/>
              <w:bottom w:val="single" w:color="auto" w:sz="4"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从事农机、农药、兽药、饲料、肥料生产及服务的涉农主营业务收入达到8000万元；农技推广类的达到2500万元，其他类型的达到5000万元计25分、不达标的计0分；超过的，每超过500万元（农技推广类每超过200万元）加1分，最高加5分。</w:t>
            </w:r>
          </w:p>
        </w:tc>
      </w:tr>
      <w:tr>
        <w:tblPrEx>
          <w:shd w:val="clear" w:color="auto" w:fill="auto"/>
          <w:tblLayout w:type="fixed"/>
          <w:tblCellMar>
            <w:top w:w="0" w:type="dxa"/>
            <w:left w:w="108" w:type="dxa"/>
            <w:bottom w:w="0" w:type="dxa"/>
            <w:right w:w="108" w:type="dxa"/>
          </w:tblCellMar>
        </w:tblPrEx>
        <w:trPr>
          <w:trHeight w:val="397" w:hRule="atLeast"/>
          <w:jc w:val="center"/>
        </w:trPr>
        <w:tc>
          <w:tcPr>
            <w:tcW w:w="542"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04"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2"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2.总资产</w:t>
            </w:r>
          </w:p>
        </w:tc>
        <w:tc>
          <w:tcPr>
            <w:tcW w:w="3463"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2000万元及以上，不达标的扣2分。</w:t>
            </w:r>
          </w:p>
        </w:tc>
        <w:tc>
          <w:tcPr>
            <w:tcW w:w="1987"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4000万元及以上，不达标的扣2分。</w:t>
            </w:r>
          </w:p>
        </w:tc>
        <w:tc>
          <w:tcPr>
            <w:tcW w:w="1466" w:type="dxa"/>
            <w:tcBorders>
              <w:top w:val="single" w:color="auto" w:sz="6" w:space="0"/>
              <w:left w:val="single" w:color="auto" w:sz="6" w:space="0"/>
              <w:bottom w:val="single" w:color="auto" w:sz="6"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1.5亿元及以上，不达标的扣2分。</w:t>
            </w:r>
          </w:p>
        </w:tc>
        <w:tc>
          <w:tcPr>
            <w:tcW w:w="1640" w:type="dxa"/>
            <w:tcBorders>
              <w:top w:val="single" w:color="auto" w:sz="6" w:space="0"/>
              <w:left w:val="single" w:color="auto" w:sz="4" w:space="0"/>
              <w:bottom w:val="single" w:color="auto" w:sz="6"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w:t>
            </w:r>
          </w:p>
        </w:tc>
        <w:tc>
          <w:tcPr>
            <w:tcW w:w="2499" w:type="dxa"/>
            <w:tcBorders>
              <w:top w:val="single" w:color="auto" w:sz="6" w:space="0"/>
              <w:left w:val="single" w:color="auto" w:sz="4"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农技推广类企业达到1500万元以上，其他类型企业达到2000万元以上，不达标的扣2分。</w:t>
            </w:r>
          </w:p>
        </w:tc>
      </w:tr>
      <w:tr>
        <w:tblPrEx>
          <w:shd w:val="clear" w:color="auto" w:fill="auto"/>
          <w:tblLayout w:type="fixed"/>
          <w:tblCellMar>
            <w:top w:w="0" w:type="dxa"/>
            <w:left w:w="108" w:type="dxa"/>
            <w:bottom w:w="0" w:type="dxa"/>
            <w:right w:w="108" w:type="dxa"/>
          </w:tblCellMar>
        </w:tblPrEx>
        <w:trPr>
          <w:trHeight w:val="397" w:hRule="atLeast"/>
          <w:jc w:val="center"/>
        </w:trPr>
        <w:tc>
          <w:tcPr>
            <w:tcW w:w="542"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04"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2"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numPr>
                <w:ilvl w:val="0"/>
                <w:numId w:val="1"/>
              </w:numPr>
              <w:suppressLineNumbers w:val="0"/>
              <w:adjustRightInd w:val="0"/>
              <w:snapToGrid w:val="0"/>
              <w:spacing w:before="0" w:beforeAutospacing="0" w:after="0" w:afterAutospacing="0"/>
              <w:ind w:left="0" w:right="0" w:firstLine="0"/>
              <w:jc w:val="center"/>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固定</w:t>
            </w:r>
          </w:p>
          <w:p>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资产</w:t>
            </w:r>
          </w:p>
        </w:tc>
        <w:tc>
          <w:tcPr>
            <w:tcW w:w="3463"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1000万元及以上，不达标的扣2分。</w:t>
            </w:r>
          </w:p>
        </w:tc>
        <w:tc>
          <w:tcPr>
            <w:tcW w:w="1987"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1500万元及以上，不达标的扣2分。</w:t>
            </w:r>
          </w:p>
        </w:tc>
        <w:tc>
          <w:tcPr>
            <w:tcW w:w="1466" w:type="dxa"/>
            <w:tcBorders>
              <w:top w:val="single" w:color="auto" w:sz="6" w:space="0"/>
              <w:left w:val="single" w:color="auto" w:sz="6" w:space="0"/>
              <w:bottom w:val="single" w:color="auto" w:sz="6"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1亿元及以上，不达标的扣2分。</w:t>
            </w:r>
          </w:p>
        </w:tc>
        <w:tc>
          <w:tcPr>
            <w:tcW w:w="1640" w:type="dxa"/>
            <w:tcBorders>
              <w:top w:val="single" w:color="auto" w:sz="6" w:space="0"/>
              <w:left w:val="single" w:color="auto" w:sz="4" w:space="0"/>
              <w:bottom w:val="single" w:color="auto" w:sz="6"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w:t>
            </w:r>
          </w:p>
        </w:tc>
        <w:tc>
          <w:tcPr>
            <w:tcW w:w="2499" w:type="dxa"/>
            <w:tcBorders>
              <w:top w:val="single" w:color="auto" w:sz="6" w:space="0"/>
              <w:left w:val="single" w:color="auto" w:sz="4"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农技推广类达到800万元以上，其他类型企业达到1000万元以上，不达标的扣2分。</w:t>
            </w:r>
          </w:p>
        </w:tc>
      </w:tr>
      <w:tr>
        <w:tblPrEx>
          <w:shd w:val="clear" w:color="auto" w:fill="auto"/>
          <w:tblLayout w:type="fixed"/>
          <w:tblCellMar>
            <w:top w:w="0" w:type="dxa"/>
            <w:left w:w="108" w:type="dxa"/>
            <w:bottom w:w="0" w:type="dxa"/>
            <w:right w:w="108" w:type="dxa"/>
          </w:tblCellMar>
        </w:tblPrEx>
        <w:trPr>
          <w:trHeight w:val="397" w:hRule="atLeast"/>
          <w:jc w:val="center"/>
        </w:trPr>
        <w:tc>
          <w:tcPr>
            <w:tcW w:w="542"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716" w:type="dxa"/>
            <w:gridSpan w:val="2"/>
            <w:vMerge w:val="restar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企业信用（15分）</w:t>
            </w:r>
          </w:p>
        </w:tc>
        <w:tc>
          <w:tcPr>
            <w:tcW w:w="11055" w:type="dxa"/>
            <w:gridSpan w:val="5"/>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1.企业审核年度依法纳税的计5分，欠税的计0分。</w:t>
            </w:r>
          </w:p>
        </w:tc>
      </w:tr>
      <w:tr>
        <w:tblPrEx>
          <w:shd w:val="clear" w:color="auto" w:fill="auto"/>
          <w:tblLayout w:type="fixed"/>
          <w:tblCellMar>
            <w:top w:w="0" w:type="dxa"/>
            <w:left w:w="108" w:type="dxa"/>
            <w:bottom w:w="0" w:type="dxa"/>
            <w:right w:w="108" w:type="dxa"/>
          </w:tblCellMar>
        </w:tblPrEx>
        <w:trPr>
          <w:trHeight w:val="397" w:hRule="atLeast"/>
          <w:jc w:val="center"/>
        </w:trPr>
        <w:tc>
          <w:tcPr>
            <w:tcW w:w="542"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716" w:type="dxa"/>
            <w:gridSpan w:val="2"/>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055" w:type="dxa"/>
            <w:gridSpan w:val="5"/>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2.企业未拖欠职工工资，未欠缴社会保险费的计5分，若有一项不达标的扣5分。</w:t>
            </w:r>
          </w:p>
        </w:tc>
      </w:tr>
      <w:tr>
        <w:tblPrEx>
          <w:shd w:val="clear" w:color="auto" w:fill="auto"/>
          <w:tblLayout w:type="fixed"/>
          <w:tblCellMar>
            <w:top w:w="0" w:type="dxa"/>
            <w:left w:w="108" w:type="dxa"/>
            <w:bottom w:w="0" w:type="dxa"/>
            <w:right w:w="108" w:type="dxa"/>
          </w:tblCellMar>
        </w:tblPrEx>
        <w:trPr>
          <w:trHeight w:val="397" w:hRule="atLeast"/>
          <w:jc w:val="center"/>
        </w:trPr>
        <w:tc>
          <w:tcPr>
            <w:tcW w:w="542"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716" w:type="dxa"/>
            <w:gridSpan w:val="2"/>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055" w:type="dxa"/>
            <w:gridSpan w:val="5"/>
            <w:tcBorders>
              <w:top w:val="single" w:color="auto" w:sz="6" w:space="0"/>
              <w:left w:val="single" w:color="auto" w:sz="6" w:space="0"/>
              <w:bottom w:val="single" w:color="auto" w:sz="4"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3.企业在金融机构没有不良信贷记录的计5分，有不良记录的计0分。</w:t>
            </w:r>
          </w:p>
        </w:tc>
      </w:tr>
      <w:tr>
        <w:tblPrEx>
          <w:shd w:val="clear" w:color="auto" w:fill="auto"/>
          <w:tblLayout w:type="fixed"/>
          <w:tblCellMar>
            <w:top w:w="0" w:type="dxa"/>
            <w:left w:w="108" w:type="dxa"/>
            <w:bottom w:w="0" w:type="dxa"/>
            <w:right w:w="108" w:type="dxa"/>
          </w:tblCellMar>
        </w:tblPrEx>
        <w:trPr>
          <w:trHeight w:val="560" w:hRule="atLeast"/>
          <w:jc w:val="center"/>
        </w:trPr>
        <w:tc>
          <w:tcPr>
            <w:tcW w:w="542"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716" w:type="dxa"/>
            <w:gridSpan w:val="2"/>
            <w:tcBorders>
              <w:top w:val="single" w:color="auto" w:sz="6" w:space="0"/>
              <w:left w:val="single" w:color="auto" w:sz="6" w:space="0"/>
              <w:bottom w:val="single" w:color="auto" w:sz="4"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企业资产负债率</w:t>
            </w:r>
          </w:p>
          <w:p>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（5分）</w:t>
            </w:r>
          </w:p>
        </w:tc>
        <w:tc>
          <w:tcPr>
            <w:tcW w:w="3463" w:type="dxa"/>
            <w:tcBorders>
              <w:top w:val="single" w:color="auto" w:sz="4" w:space="0"/>
              <w:left w:val="single" w:color="auto" w:sz="6" w:space="0"/>
              <w:bottom w:val="single" w:color="auto" w:sz="4"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50%及以下的计5分，高于50%低于70%（含70%）的计3分，高于70%的计0分。</w:t>
            </w:r>
          </w:p>
        </w:tc>
        <w:tc>
          <w:tcPr>
            <w:tcW w:w="3453" w:type="dxa"/>
            <w:gridSpan w:val="2"/>
            <w:tcBorders>
              <w:top w:val="single" w:color="auto" w:sz="4" w:space="0"/>
              <w:left w:val="single" w:color="auto" w:sz="6"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60%及以下的计5分，高于60%低于80%（含80%）的计3分，高于80%的计0分。</w:t>
            </w:r>
          </w:p>
        </w:tc>
        <w:tc>
          <w:tcPr>
            <w:tcW w:w="4139" w:type="dxa"/>
            <w:gridSpan w:val="2"/>
            <w:tcBorders>
              <w:top w:val="single" w:color="auto" w:sz="4" w:space="0"/>
              <w:left w:val="single" w:color="auto" w:sz="4" w:space="0"/>
              <w:bottom w:val="single" w:color="auto" w:sz="4"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50%及以下的计5分，高于50%低于70%（含70%）的计3分，高于70%的计0分。</w:t>
            </w:r>
          </w:p>
        </w:tc>
      </w:tr>
      <w:tr>
        <w:tblPrEx>
          <w:shd w:val="clear" w:color="auto" w:fill="auto"/>
          <w:tblLayout w:type="fixed"/>
          <w:tblCellMar>
            <w:top w:w="0" w:type="dxa"/>
            <w:left w:w="108" w:type="dxa"/>
            <w:bottom w:w="0" w:type="dxa"/>
            <w:right w:w="108" w:type="dxa"/>
          </w:tblCellMar>
        </w:tblPrEx>
        <w:trPr>
          <w:trHeight w:val="495" w:hRule="atLeast"/>
          <w:jc w:val="center"/>
        </w:trPr>
        <w:tc>
          <w:tcPr>
            <w:tcW w:w="542"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716" w:type="dxa"/>
            <w:gridSpan w:val="2"/>
            <w:tcBorders>
              <w:top w:val="single" w:color="auto" w:sz="4"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企业总资产报酬率</w:t>
            </w:r>
          </w:p>
          <w:p>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（5分）</w:t>
            </w:r>
          </w:p>
        </w:tc>
        <w:tc>
          <w:tcPr>
            <w:tcW w:w="11055" w:type="dxa"/>
            <w:gridSpan w:val="5"/>
            <w:tcBorders>
              <w:top w:val="single" w:color="auto" w:sz="4"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企业的总资产报酬率≧现行一年期银行贷款基准利率的计5分，基准利率的50%≦报酬率&lt;基准利率的计3分，报酬率&lt;基准利率的50%的计0分。</w:t>
            </w:r>
          </w:p>
        </w:tc>
      </w:tr>
      <w:tr>
        <w:tblPrEx>
          <w:shd w:val="clear" w:color="auto" w:fill="auto"/>
          <w:tblLayout w:type="fixed"/>
          <w:tblCellMar>
            <w:top w:w="0" w:type="dxa"/>
            <w:left w:w="108" w:type="dxa"/>
            <w:bottom w:w="0" w:type="dxa"/>
            <w:right w:w="108" w:type="dxa"/>
          </w:tblCellMar>
        </w:tblPrEx>
        <w:trPr>
          <w:trHeight w:val="490" w:hRule="atLeast"/>
          <w:jc w:val="center"/>
        </w:trPr>
        <w:tc>
          <w:tcPr>
            <w:tcW w:w="542"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716" w:type="dxa"/>
            <w:gridSpan w:val="2"/>
            <w:vMerge w:val="restar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企业带动农户能力（20分）</w:t>
            </w:r>
          </w:p>
        </w:tc>
        <w:tc>
          <w:tcPr>
            <w:tcW w:w="11055" w:type="dxa"/>
            <w:gridSpan w:val="5"/>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1、以企业与各类经营主体、农户或经济组织签订合同、协议、“订单农业”、产销服务等方式带动农户。带动农户不足500户的计0分；500-1000户（不含）的计5分；1000-1500户（不含）的计7分；达到1500户的计10分；超过1500户的，每增加100户，加1分，最高加3分。</w:t>
            </w:r>
          </w:p>
        </w:tc>
      </w:tr>
      <w:tr>
        <w:tblPrEx>
          <w:shd w:val="clear" w:color="auto" w:fill="auto"/>
          <w:tblLayout w:type="fixed"/>
          <w:tblCellMar>
            <w:top w:w="0" w:type="dxa"/>
            <w:left w:w="108" w:type="dxa"/>
            <w:bottom w:w="0" w:type="dxa"/>
            <w:right w:w="108" w:type="dxa"/>
          </w:tblCellMar>
        </w:tblPrEx>
        <w:trPr>
          <w:trHeight w:val="487" w:hRule="atLeast"/>
          <w:jc w:val="center"/>
        </w:trPr>
        <w:tc>
          <w:tcPr>
            <w:tcW w:w="542"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716" w:type="dxa"/>
            <w:gridSpan w:val="2"/>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055" w:type="dxa"/>
            <w:gridSpan w:val="5"/>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2.企业所带动的农户从产业化经营中户均年取得收入1500元的计5分，不达标的计0分；取得收入超过1500元的，每增加500元，加1分，最高加2分。</w:t>
            </w:r>
          </w:p>
        </w:tc>
      </w:tr>
      <w:tr>
        <w:tblPrEx>
          <w:shd w:val="clear" w:color="auto" w:fill="auto"/>
          <w:tblLayout w:type="fixed"/>
          <w:tblCellMar>
            <w:top w:w="0" w:type="dxa"/>
            <w:left w:w="108" w:type="dxa"/>
            <w:bottom w:w="0" w:type="dxa"/>
            <w:right w:w="108" w:type="dxa"/>
          </w:tblCellMar>
        </w:tblPrEx>
        <w:trPr>
          <w:trHeight w:val="283" w:hRule="atLeast"/>
          <w:jc w:val="center"/>
        </w:trPr>
        <w:tc>
          <w:tcPr>
            <w:tcW w:w="542" w:type="dxa"/>
            <w:vMerge w:val="restart"/>
            <w:tcBorders>
              <w:top w:val="single" w:color="auto" w:sz="6" w:space="0"/>
              <w:left w:val="single" w:color="auto" w:sz="6" w:space="0"/>
              <w:bottom w:val="single" w:color="auto" w:sz="4" w:space="0"/>
              <w:right w:val="single" w:color="auto" w:sz="6" w:space="0"/>
            </w:tcBorders>
            <w:shd w:val="clear" w:color="auto" w:fill="auto"/>
            <w:vAlign w:val="center"/>
          </w:tcPr>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eastAsia="zh-CN" w:bidi="ar"/>
              </w:rPr>
            </w:pPr>
            <w:r>
              <w:rPr>
                <w:rFonts w:hint="default"/>
                <w:sz w:val="32"/>
              </w:rPr>
              <mc:AlternateContent>
                <mc:Choice Requires="wps">
                  <w:drawing>
                    <wp:anchor distT="0" distB="0" distL="114300" distR="114300" simplePos="0" relativeHeight="251659264" behindDoc="0" locked="0" layoutInCell="1" allowOverlap="1">
                      <wp:simplePos x="0" y="0"/>
                      <wp:positionH relativeFrom="column">
                        <wp:posOffset>-774700</wp:posOffset>
                      </wp:positionH>
                      <wp:positionV relativeFrom="paragraph">
                        <wp:posOffset>-179705</wp:posOffset>
                      </wp:positionV>
                      <wp:extent cx="495300" cy="1095375"/>
                      <wp:effectExtent l="0" t="0" r="7620" b="1905"/>
                      <wp:wrapNone/>
                      <wp:docPr id="5" name="文本框 5"/>
                      <wp:cNvGraphicFramePr/>
                      <a:graphic xmlns:a="http://schemas.openxmlformats.org/drawingml/2006/main">
                        <a:graphicData uri="http://schemas.microsoft.com/office/word/2010/wordprocessingShape">
                          <wps:wsp>
                            <wps:cNvSpPr txBox="1"/>
                            <wps:spPr>
                              <a:xfrm>
                                <a:off x="0" y="0"/>
                                <a:ext cx="495300" cy="10953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10 —</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pt;margin-top:-14.15pt;height:86.25pt;width:39pt;z-index:251659264;mso-width-relative:page;mso-height-relative:page;" fillcolor="#FFFFFF [3201]" filled="t" stroked="f" coordsize="21600,21600" o:gfxdata="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KUfzXZAAAADAEAAA8AAAAAAAAAAQAgAAAAIgAAAGRycy9kb3du&#10;cmV2LnhtbFBLAQIUABQAAAAIAIdO4kB88IFcNwIAAEMEAAAOAAAAAAAAAAEAIAAAACgBAABkcnMv&#10;ZTJvRG9jLnhtbFBLBQYAAAAABgAGAFkBAADRBQAAAAA=&#10;">
                      <v:fill on="t" focussize="0,0"/>
                      <v:stroke on="f" weight="0.5pt"/>
                      <v:imagedata o:title=""/>
                      <o:lock v:ext="edit" aspectratio="f"/>
                      <v:textbox style="layout-flow:vertical-ideographic;">
                        <w:txbxContent>
                          <w:p>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10 —</w:t>
                            </w:r>
                          </w:p>
                        </w:txbxContent>
                      </v:textbox>
                    </v:shape>
                  </w:pict>
                </mc:Fallback>
              </mc:AlternateConten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eastAsia="zh-CN" w:bidi="ar"/>
              </w:rPr>
            </w:pPr>
          </w:p>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指标及评分标准</w:t>
            </w:r>
          </w:p>
        </w:tc>
        <w:tc>
          <w:tcPr>
            <w:tcW w:w="171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eastAsia="zh-CN" w:bidi="ar"/>
              </w:rPr>
            </w:pPr>
            <w:r>
              <w:rPr>
                <w:rFonts w:hint="eastAsia" w:ascii="仿宋_GB2312" w:hAnsi="仿宋_GB2312" w:eastAsia="仿宋_GB2312" w:cs="仿宋_GB2312"/>
                <w:kern w:val="0"/>
                <w:sz w:val="16"/>
                <w:szCs w:val="16"/>
                <w:lang w:val="en-US" w:eastAsia="zh-CN" w:bidi="ar"/>
              </w:rPr>
              <w:t>企业生产示范基地与设施</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（10分）</w:t>
            </w:r>
          </w:p>
        </w:tc>
        <w:tc>
          <w:tcPr>
            <w:tcW w:w="3463"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1.种植企业：粮油作物种植的500亩及以上；蔬菜、水果、茶叶、中药材、糖蔗种植的分别达到200亩及以上；花卉种植或设施大棚种植的50亩及以上；油茶种植的2000亩及以上；商品林种植的10000亩及以上；其他作物种植的100亩及以上。</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2.畜禽养殖企业：家禽养殖年出栏量100万只及以上；牲畜养殖年出栏生猪1万头及以上，或年出栏牛羊1000头及以上。</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3.水产养殖企业：养殖面积100亩或年产量200吨及以上。</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4.海洋捕捞企业:生产渔船20艘或年产量1000吨及以上。</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5.休闲农（渔）业企业：自有基地规模原则上参照种植企业（水产养殖企业）。</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6.其他企业：有与经营规模相适应的示范基地或产量。</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达不到上述要求的计0分。</w:t>
            </w:r>
          </w:p>
        </w:tc>
        <w:tc>
          <w:tcPr>
            <w:tcW w:w="1987"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1.木材加工利用企业：造林面积3万亩及以上。达不到的计0分。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2.农产品加工企业：有符合食品加工卫生标准的加工场地和与经营规模相适应的生产设施。达到一项计5分，达到两项计10分。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3.农产品流通企业:有符合国家环保要求的交易场地和农产品保鲜贮运设施。达到一项计5分，达到两项计10分。</w:t>
            </w:r>
          </w:p>
        </w:tc>
        <w:tc>
          <w:tcPr>
            <w:tcW w:w="1466"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有符合国家环保要求的交易场地和农产品运输、贮藏设施。达到一项计5分，达到两项计10分。</w:t>
            </w:r>
          </w:p>
        </w:tc>
        <w:tc>
          <w:tcPr>
            <w:tcW w:w="164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有实体体验店（场）和保鲜贮运或其他配套设施。达到一项计5分，达到两项计10分</w:t>
            </w:r>
          </w:p>
        </w:tc>
        <w:tc>
          <w:tcPr>
            <w:tcW w:w="2499"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numPr>
                <w:ilvl w:val="0"/>
                <w:numId w:val="2"/>
              </w:numPr>
              <w:suppressLineNumbers w:val="0"/>
              <w:adjustRightInd w:val="0"/>
              <w:snapToGrid w:val="0"/>
              <w:spacing w:before="0" w:beforeLines="0" w:beforeAutospacing="0" w:after="0" w:afterLines="0" w:afterAutospacing="0" w:line="200" w:lineRule="exact"/>
              <w:ind w:left="0" w:right="0" w:firstLine="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涉农企业（不含农技推广类）：有与生产经营规模相适应的生产（加工）基地和相关配套设施。达到一项计5分，达到两项计10分。</w:t>
            </w:r>
          </w:p>
          <w:p>
            <w:pPr>
              <w:keepNext w:val="0"/>
              <w:keepLines w:val="0"/>
              <w:widowControl w:val="0"/>
              <w:numPr>
                <w:ilvl w:val="0"/>
                <w:numId w:val="2"/>
              </w:numPr>
              <w:suppressLineNumbers w:val="0"/>
              <w:adjustRightInd w:val="0"/>
              <w:snapToGrid w:val="0"/>
              <w:spacing w:before="0" w:beforeLines="0" w:beforeAutospacing="0" w:after="0" w:afterLines="0" w:afterAutospacing="0" w:line="200" w:lineRule="exact"/>
              <w:ind w:left="0" w:right="0" w:firstLine="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农技推广类企业：有1项及以上先进技术（良种）在全省范围内有较大示范推广应用面积。视推广应用情况计分，最高计10分。</w:t>
            </w:r>
          </w:p>
        </w:tc>
      </w:tr>
      <w:tr>
        <w:tblPrEx>
          <w:shd w:val="clear" w:color="auto" w:fill="auto"/>
          <w:tblLayout w:type="fixed"/>
          <w:tblCellMar>
            <w:top w:w="0" w:type="dxa"/>
            <w:left w:w="108" w:type="dxa"/>
            <w:bottom w:w="0" w:type="dxa"/>
            <w:right w:w="108" w:type="dxa"/>
          </w:tblCellMar>
        </w:tblPrEx>
        <w:trPr>
          <w:trHeight w:val="283" w:hRule="atLeast"/>
          <w:jc w:val="center"/>
        </w:trPr>
        <w:tc>
          <w:tcPr>
            <w:tcW w:w="542" w:type="dxa"/>
            <w:vMerge w:val="continue"/>
            <w:tcBorders>
              <w:top w:val="single" w:color="auto" w:sz="6" w:space="0"/>
              <w:left w:val="single" w:color="auto" w:sz="6" w:space="0"/>
              <w:bottom w:val="single" w:color="auto" w:sz="4" w:space="0"/>
              <w:right w:val="single" w:color="auto" w:sz="6" w:space="0"/>
            </w:tcBorders>
            <w:shd w:val="clear" w:color="auto" w:fill="auto"/>
            <w:vAlign w:val="center"/>
          </w:tcPr>
          <w:p>
            <w:pPr>
              <w:keepNext w:val="0"/>
              <w:keepLines w:val="0"/>
              <w:suppressLineNumbers w:val="0"/>
              <w:spacing w:before="0" w:beforeLines="0" w:beforeAutospacing="0" w:after="0" w:afterLines="0" w:afterAutospacing="0" w:line="200" w:lineRule="exact"/>
              <w:ind w:left="0" w:right="0"/>
              <w:rPr>
                <w:rFonts w:hint="default" w:ascii="Calibri" w:hAnsi="Calibri" w:cs="Calibri"/>
                <w:sz w:val="20"/>
                <w:szCs w:val="20"/>
              </w:rPr>
            </w:pPr>
          </w:p>
        </w:tc>
        <w:tc>
          <w:tcPr>
            <w:tcW w:w="1716" w:type="dxa"/>
            <w:gridSpan w:val="2"/>
            <w:tcBorders>
              <w:top w:val="single" w:color="auto" w:sz="6" w:space="0"/>
              <w:left w:val="single" w:color="auto" w:sz="6" w:space="0"/>
              <w:bottom w:val="single" w:color="auto" w:sz="4" w:space="0"/>
              <w:right w:val="single" w:color="auto" w:sz="6" w:space="0"/>
            </w:tcBorders>
            <w:shd w:val="clear" w:color="auto" w:fill="auto"/>
            <w:vAlign w:val="center"/>
          </w:tcPr>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企业及产品竞争力</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center"/>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kern w:val="0"/>
                <w:sz w:val="16"/>
                <w:szCs w:val="16"/>
                <w:lang w:val="en-US" w:eastAsia="zh-CN" w:bidi="ar"/>
              </w:rPr>
              <w:t>（15分）</w:t>
            </w:r>
          </w:p>
        </w:tc>
        <w:tc>
          <w:tcPr>
            <w:tcW w:w="11055" w:type="dxa"/>
            <w:gridSpan w:val="5"/>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b/>
                <w:w w:val="100"/>
                <w:kern w:val="0"/>
                <w:sz w:val="16"/>
                <w:szCs w:val="16"/>
                <w:lang w:val="en-US"/>
              </w:rPr>
            </w:pPr>
            <w:r>
              <w:rPr>
                <w:rFonts w:hint="eastAsia" w:ascii="仿宋_GB2312" w:hAnsi="仿宋_GB2312" w:eastAsia="仿宋_GB2312" w:cs="仿宋_GB2312"/>
                <w:b/>
                <w:w w:val="100"/>
                <w:kern w:val="0"/>
                <w:sz w:val="16"/>
                <w:szCs w:val="16"/>
                <w:lang w:val="en-US" w:eastAsia="zh-CN" w:bidi="ar"/>
              </w:rPr>
              <w:t>符合以下条件的增计分数，最多计15分：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1.建立了质量管理体系和标准体系，计1分。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2.通过质量管理体系认证，计1分。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3.能够按照或高于国家标准、行业标准、地方标准进行生产，计1分。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4.使用国家或省</w:t>
            </w:r>
            <w:r>
              <w:rPr>
                <w:rFonts w:hint="eastAsia" w:ascii="仿宋_GB2312" w:hAnsi="仿宋_GB2312" w:eastAsia="仿宋_GB2312" w:cs="仿宋_GB2312"/>
                <w:color w:val="auto"/>
                <w:w w:val="100"/>
                <w:kern w:val="0"/>
                <w:sz w:val="16"/>
                <w:szCs w:val="16"/>
                <w:shd w:val="clear" w:fill="FFFFFF"/>
                <w:lang w:val="en-US" w:eastAsia="zh-CN" w:bidi="ar"/>
              </w:rPr>
              <w:t>农产品质量安全追溯管理平台，开展农产品质量安全</w:t>
            </w:r>
            <w:r>
              <w:rPr>
                <w:rFonts w:hint="eastAsia" w:ascii="仿宋_GB2312" w:hAnsi="仿宋_GB2312" w:eastAsia="仿宋_GB2312" w:cs="仿宋_GB2312"/>
                <w:w w:val="100"/>
                <w:kern w:val="0"/>
                <w:sz w:val="16"/>
                <w:szCs w:val="16"/>
                <w:lang w:val="en-US" w:eastAsia="zh-CN" w:bidi="ar"/>
              </w:rPr>
              <w:t>追溯管理的计2分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5.获得政府质量奖、无公害农产品、绿色食品、有机食品认证，有其中一项的计2分。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6.获省名牌产品（农业类）认定资质，计1分。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7.入围省名特优新农产品区域公用品牌核心企业、品牌产品，计1分。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8.获农产品原产地、地理标志产品认证，有其中一项的计2分。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9.有专利证书，计2分。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10.有商标注册证，计1分。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11.通过环境管理体系认证、职业健康安全管理体系认证、食品安全管理体系认证、危害分析和关键控制点体系认证、通过环保达标评定，有其中一项的计2分。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12.拥有新品种权，计1分。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13.获省级及以上科技成果奖、科技推广奖，有其中一项的计2分。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14.获高新技术企业资格，计2分。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15.被评为农业农村部畜禽养殖标准化示范场、水产健康养殖示范场，有其中一项的计2分。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16.被列为省“菜篮子”基地、粤港澳大湾区“菜篮子”生产基地及产品加工企业，有其中一项的计2分。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17.被评为中国种业骨干企业、国家或省级良种场，有其中一项的计2分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18.被评为省级及以上休闲农业与乡村旅游示范点、农业公园、3A级及以上旅游景点，有其中一项的计2分。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default" w:ascii="仿宋_GB2312" w:hAnsi="仿宋_GB2312" w:eastAsia="仿宋_GB2312" w:cs="仿宋_GB2312"/>
                <w:w w:val="100"/>
                <w:kern w:val="0"/>
                <w:sz w:val="16"/>
                <w:szCs w:val="16"/>
                <w:lang w:val="en-US"/>
              </w:rPr>
            </w:pPr>
            <w:r>
              <w:rPr>
                <w:rFonts w:hint="eastAsia" w:ascii="仿宋_GB2312" w:hAnsi="仿宋_GB2312" w:eastAsia="仿宋_GB2312" w:cs="仿宋_GB2312"/>
                <w:w w:val="100"/>
                <w:kern w:val="0"/>
                <w:sz w:val="16"/>
                <w:szCs w:val="16"/>
                <w:lang w:val="en-US" w:eastAsia="zh-CN" w:bidi="ar"/>
              </w:rPr>
              <w:t>19.有企业管理制度和财务制度的计1分。</w:t>
            </w:r>
          </w:p>
          <w:p>
            <w:pPr>
              <w:keepNext w:val="0"/>
              <w:keepLines w:val="0"/>
              <w:widowControl w:val="0"/>
              <w:suppressLineNumbers w:val="0"/>
              <w:adjustRightInd w:val="0"/>
              <w:snapToGrid w:val="0"/>
              <w:spacing w:before="0" w:beforeLines="0" w:beforeAutospacing="0" w:after="0" w:afterLines="0" w:afterAutospacing="0" w:line="200" w:lineRule="exact"/>
              <w:ind w:left="0" w:right="0"/>
              <w:jc w:val="both"/>
              <w:rPr>
                <w:rFonts w:hint="eastAsia" w:ascii="仿宋_GB2312" w:hAnsi="仿宋_GB2312" w:eastAsia="仿宋_GB2312" w:cs="仿宋_GB2312"/>
                <w:kern w:val="0"/>
                <w:sz w:val="16"/>
                <w:szCs w:val="16"/>
                <w:lang w:val="en-US"/>
              </w:rPr>
            </w:pPr>
            <w:r>
              <w:rPr>
                <w:rFonts w:hint="eastAsia" w:ascii="仿宋_GB2312" w:hAnsi="仿宋_GB2312" w:eastAsia="仿宋_GB2312" w:cs="仿宋_GB2312"/>
                <w:w w:val="100"/>
                <w:kern w:val="0"/>
                <w:sz w:val="16"/>
                <w:szCs w:val="16"/>
                <w:lang w:val="en-US" w:eastAsia="zh-CN" w:bidi="ar"/>
              </w:rPr>
              <w:t>20.获得省级及以上其他奖励的计1分。</w:t>
            </w:r>
          </w:p>
        </w:tc>
      </w:tr>
    </w:tbl>
    <w:p>
      <w:pPr>
        <w:spacing w:beforeLines="0" w:afterLines="0" w:line="20" w:lineRule="exact"/>
        <w:rPr>
          <w:rFonts w:hint="eastAsia"/>
          <w:lang w:val="en-US" w:eastAsia="zh-CN"/>
        </w:rPr>
      </w:pPr>
    </w:p>
    <w:p>
      <w:pPr>
        <w:pStyle w:val="2"/>
        <w:tabs>
          <w:tab w:val="left" w:pos="6930"/>
        </w:tabs>
        <w:spacing w:before="0" w:beforeLines="0" w:after="0" w:afterLines="0" w:line="20" w:lineRule="exact"/>
        <w:rPr>
          <w:rFonts w:hint="eastAsia"/>
          <w:lang w:val="en-US" w:eastAsia="zh-CN"/>
        </w:rPr>
        <w:sectPr>
          <w:footerReference r:id="rId3" w:type="default"/>
          <w:pgSz w:w="16781" w:h="11849" w:orient="landscape"/>
          <w:pgMar w:top="1587" w:right="1531" w:bottom="1587" w:left="1531" w:header="720" w:footer="1417" w:gutter="0"/>
          <w:pgNumType w:fmt="decimal"/>
          <w:cols w:space="0" w:num="1"/>
          <w:rtlGutter w:val="0"/>
          <w:docGrid w:type="lines" w:linePitch="386" w:charSpace="0"/>
        </w:sectPr>
      </w:pPr>
    </w:p>
    <w:p>
      <w:pPr>
        <w:pStyle w:val="2"/>
        <w:tabs>
          <w:tab w:val="left" w:pos="6930"/>
        </w:tabs>
        <w:rPr>
          <w:rFonts w:hint="eastAsia"/>
          <w:lang w:val="en-US" w:eastAsia="zh-CN"/>
        </w:rPr>
      </w:pPr>
    </w:p>
    <w:p>
      <w:pPr>
        <w:pStyle w:val="3"/>
        <w:keepNext w:val="0"/>
        <w:keepLines w:val="0"/>
        <w:pageBreakBefore w:val="0"/>
        <w:widowControl w:val="0"/>
        <w:kinsoku/>
        <w:wordWrap w:val="0"/>
        <w:overflowPunct/>
        <w:topLinePunct w:val="0"/>
        <w:autoSpaceDE/>
        <w:autoSpaceDN/>
        <w:bidi w:val="0"/>
        <w:adjustRightInd/>
        <w:snapToGrid/>
        <w:spacing w:line="590" w:lineRule="exact"/>
        <w:ind w:left="0" w:leftChars="0" w:right="0" w:rightChars="0"/>
        <w:jc w:val="left"/>
        <w:textAlignment w:val="auto"/>
        <w:outlineLvl w:val="9"/>
      </w:pPr>
    </w:p>
    <w:sectPr>
      <w:footerReference r:id="rId4" w:type="default"/>
      <w:pgSz w:w="11849" w:h="16781"/>
      <w:pgMar w:top="1871" w:right="1531" w:bottom="1871" w:left="1531" w:header="720" w:footer="72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宋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Math">
    <w:panose1 w:val="02040503050406030204"/>
    <w:charset w:val="00"/>
    <w:family w:val="auto"/>
    <w:pitch w:val="default"/>
    <w:sig w:usb0="E00002FF" w:usb1="420024FF" w:usb2="00000000" w:usb3="00000000" w:csb0="2000019F" w:csb1="00000000"/>
  </w:font>
  <w:font w:name="Verdana">
    <w:panose1 w:val="020B0604030504040204"/>
    <w:charset w:val="00"/>
    <w:family w:val="auto"/>
    <w:pitch w:val="default"/>
    <w:sig w:usb0="A10006FF" w:usb1="4000205B" w:usb2="0000001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宋体">
    <w:panose1 w:val="02010600030101010101"/>
    <w:charset w:val="86"/>
    <w:family w:val="auto"/>
    <w:pitch w:val="default"/>
    <w:sig w:usb0="00000003" w:usb1="288F0000" w:usb2="00000006" w:usb3="00000000" w:csb0="00040001" w:csb1="00000000"/>
  </w:font>
  <w:font w:name="@黑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auto"/>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宋体 ! important">
    <w:altName w:val="宋体"/>
    <w:panose1 w:val="00000000000000000000"/>
    <w:charset w:val="00"/>
    <w:family w:val="auto"/>
    <w:pitch w:val="default"/>
    <w:sig w:usb0="00000000" w:usb1="00000000" w:usb2="00000000" w:usb3="00000000" w:csb0="00000000" w:csb1="00000000"/>
  </w:font>
  <w:font w:name="微软简标宋">
    <w:altName w:val="宋体"/>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Lucida Sans Unicode">
    <w:panose1 w:val="020B0602030504020204"/>
    <w:charset w:val="00"/>
    <w:family w:val="auto"/>
    <w:pitch w:val="default"/>
    <w:sig w:usb0="80001AFF" w:usb1="0000396B" w:usb2="00000000" w:usb3="00000000" w:csb0="200000BF" w:csb1="D7F70000"/>
  </w:font>
  <w:font w:name="Tahoma">
    <w:panose1 w:val="020B0604030504040204"/>
    <w:charset w:val="00"/>
    <w:family w:val="auto"/>
    <w:pitch w:val="default"/>
    <w:sig w:usb0="E1002EFF" w:usb1="C000605B" w:usb2="00000029" w:usb3="00000000" w:csb0="200101FF" w:csb1="20280000"/>
  </w:font>
  <w:font w:name="方正仿宋简体">
    <w:altName w:val="微软雅黑"/>
    <w:panose1 w:val="02010601030101010101"/>
    <w:charset w:val="86"/>
    <w:family w:val="auto"/>
    <w:pitch w:val="default"/>
    <w:sig w:usb0="00000000" w:usb1="00000000" w:usb2="0000000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Helvetica">
    <w:altName w:val="Arial"/>
    <w:panose1 w:val="020B0604020202030204"/>
    <w:charset w:val="00"/>
    <w:family w:val="auto"/>
    <w:pitch w:val="default"/>
    <w:sig w:usb0="00000000" w:usb1="00000000" w:usb2="00000000" w:usb3="00000000" w:csb0="00000093" w:csb1="00000000"/>
  </w:font>
  <w:font w:name="华文仿宋">
    <w:altName w:val="仿宋"/>
    <w:panose1 w:val="02010600040101010101"/>
    <w:charset w:val="86"/>
    <w:family w:val="auto"/>
    <w:pitch w:val="default"/>
    <w:sig w:usb0="00000000" w:usb1="00000000" w:usb2="00000000" w:usb3="00000000" w:csb0="0004009F" w:csb1="DFD70000"/>
  </w:font>
  <w:font w:name="ˎ̥">
    <w:altName w:val="Times New Roman"/>
    <w:panose1 w:val="00000000000000000000"/>
    <w:charset w:val="01"/>
    <w:family w:val="auto"/>
    <w:pitch w:val="default"/>
    <w:sig w:usb0="00000000" w:usb1="00000000" w:usb2="00000000"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Calibri">
    <w:panose1 w:val="020F0502020204030204"/>
    <w:charset w:val="86"/>
    <w:family w:val="swiss"/>
    <w:pitch w:val="default"/>
    <w:sig w:usb0="E10002FF" w:usb1="4000ACFF" w:usb2="00000009"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方正大标宋简体">
    <w:altName w:val="微软雅黑"/>
    <w:panose1 w:val="02010601030101010101"/>
    <w:charset w:val="86"/>
    <w:family w:val="script"/>
    <w:pitch w:val="default"/>
    <w:sig w:usb0="00000000" w:usb1="00000000" w:usb2="00000000" w:usb3="00000000" w:csb0="00040000" w:csb1="00000000"/>
  </w:font>
  <w:font w:name="MingLiU">
    <w:panose1 w:val="02020509000000000000"/>
    <w:charset w:val="88"/>
    <w:family w:val="modern"/>
    <w:pitch w:val="default"/>
    <w:sig w:usb0="A00002FF" w:usb1="28CFFCFA" w:usb2="00000016" w:usb3="00000000" w:csb0="00100001" w:csb1="00000000"/>
  </w:font>
  <w:font w:name="华文细黑">
    <w:altName w:val="微软雅黑"/>
    <w:panose1 w:val="02010600040101010101"/>
    <w:charset w:val="86"/>
    <w:family w:val="auto"/>
    <w:pitch w:val="default"/>
    <w:sig w:usb0="00000000" w:usb1="00000000" w:usb2="00000000" w:usb3="00000000" w:csb0="0004009F" w:csb1="DFD70000"/>
  </w:font>
  <w:font w:name="Calibri Light">
    <w:altName w:val="Calibri"/>
    <w:panose1 w:val="020F0302020204030204"/>
    <w:charset w:val="00"/>
    <w:family w:val="swiss"/>
    <w:pitch w:val="default"/>
    <w:sig w:usb0="00000000" w:usb1="00000000" w:usb2="00000000" w:usb3="00000000" w:csb0="2000019F" w:csb1="00000000"/>
  </w:font>
  <w:font w:name="黑体">
    <w:panose1 w:val="02010609060101010101"/>
    <w:charset w:val="7A"/>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草檀斋毛泽东字体">
    <w:altName w:val="宋体"/>
    <w:panose1 w:val="02010601030101010101"/>
    <w:charset w:val="86"/>
    <w:family w:val="auto"/>
    <w:pitch w:val="default"/>
    <w:sig w:usb0="00000000" w:usb1="00000000" w:usb2="00000000" w:usb3="00000000" w:csb0="00040000" w:csb1="00000000"/>
  </w:font>
  <w:font w:name="Batang">
    <w:panose1 w:val="02030600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BatangChe">
    <w:panose1 w:val="02030609000101010101"/>
    <w:charset w:val="81"/>
    <w:family w:val="auto"/>
    <w:pitch w:val="default"/>
    <w:sig w:usb0="B00002AF" w:usb1="69D77CFB" w:usb2="00000030" w:usb3="00000000" w:csb0="4008009F" w:csb1="DFD70000"/>
  </w:font>
  <w:font w:name="方正中等线简体">
    <w:altName w:val="宋体"/>
    <w:panose1 w:val="02010601030101010101"/>
    <w:charset w:val="86"/>
    <w:family w:val="auto"/>
    <w:pitch w:val="default"/>
    <w:sig w:usb0="00000000" w:usb1="00000000" w:usb2="00000010" w:usb3="00000000" w:csb0="00040000" w:csb1="00000000"/>
  </w:font>
  <w:font w:name="FangSong_GB2312">
    <w:altName w:val="仿宋_GB2312"/>
    <w:panose1 w:val="00000000000000000000"/>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Wingdings 2">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
    <w:altName w:val="Segoe Print"/>
    <w:panose1 w:val="00000000000000000000"/>
    <w:charset w:val="00"/>
    <w:family w:val="auto"/>
    <w:pitch w:val="default"/>
    <w:sig w:usb0="00000000" w:usb1="00000000" w:usb2="00000000" w:usb3="00000000" w:csb0="00000000" w:csb1="00000000"/>
  </w:font>
  <w:font w:name="_x000B__x000C_">
    <w:altName w:val="Times New Roman"/>
    <w:panose1 w:val="00000000000000000000"/>
    <w:charset w:val="01"/>
    <w:family w:val="roman"/>
    <w:pitch w:val="default"/>
    <w:sig w:usb0="00000000" w:usb1="00000000" w:usb2="00000000" w:usb3="00000000" w:csb0="00040001" w:csb1="00000000"/>
  </w:font>
  <w:font w:name="_x000B__x000C_">
    <w:altName w:val="Times New Roman"/>
    <w:panose1 w:val="00000000000000000000"/>
    <w:charset w:val="00"/>
    <w:family w:val="roman"/>
    <w:pitch w:val="default"/>
    <w:sig w:usb0="00000000" w:usb1="00000000" w:usb2="00000000" w:usb3="00000000" w:csb0="00000001" w:csb1="00000000"/>
  </w:font>
  <w:font w:name="Î¢ÈíÑÅºÚ Western">
    <w:altName w:val="Times New Roman"/>
    <w:panose1 w:val="00000000000000000000"/>
    <w:charset w:val="00"/>
    <w:family w:val="swiss"/>
    <w:pitch w:val="default"/>
    <w:sig w:usb0="00000000" w:usb1="00000000" w:usb2="00000000" w:usb3="00000000" w:csb0="00000001" w:csb1="00000000"/>
  </w:font>
  <w:font w:name="EU-BZ">
    <w:altName w:val="Times New Roman"/>
    <w:panose1 w:val="00000000000000000000"/>
    <w:charset w:val="00"/>
    <w:family w:val="roman"/>
    <w:pitch w:val="default"/>
    <w:sig w:usb0="00000000" w:usb1="00000000" w:usb2="00000000" w:usb3="00000000" w:csb0="00000001" w:csb1="00000000"/>
  </w:font>
  <w:font w:name="??_GB2312">
    <w:altName w:val="Times New Roman"/>
    <w:panose1 w:val="00000000000000000000"/>
    <w:charset w:val="00"/>
    <w:family w:val="auto"/>
    <w:pitch w:val="default"/>
    <w:sig w:usb0="00000000" w:usb1="00000000" w:usb2="00000000" w:usb3="00000000" w:csb0="00000001" w:csb1="00000000"/>
  </w:font>
  <w:font w:name="方正粗黑宋简体">
    <w:panose1 w:val="02000000000000000000"/>
    <w:charset w:val="86"/>
    <w:family w:val="auto"/>
    <w:pitch w:val="default"/>
    <w:sig w:usb0="A00002BF" w:usb1="184F6CFA" w:usb2="00000012" w:usb3="00000000" w:csb0="00040001" w:csb1="00000000"/>
  </w:font>
  <w:font w:name="Malgun Gothic Semilight">
    <w:altName w:val="宋体"/>
    <w:panose1 w:val="020B0502040204020203"/>
    <w:charset w:val="86"/>
    <w:family w:val="auto"/>
    <w:pitch w:val="default"/>
    <w:sig w:usb0="00000000" w:usb1="00000000" w:usb2="00000012" w:usb3="00000000" w:csb0="203E01BD" w:csb1="D7FF0000"/>
  </w:font>
  <w:font w:name="PMingLiU-ExtB">
    <w:panose1 w:val="02020500000000000000"/>
    <w:charset w:val="88"/>
    <w:family w:val="auto"/>
    <w:pitch w:val="default"/>
    <w:sig w:usb0="8000002F" w:usb1="02000008" w:usb2="00000000" w:usb3="00000000" w:csb0="00100001" w:csb1="00000000"/>
  </w:font>
  <w:font w:name="Microsoft JhengHei Light">
    <w:altName w:val="Microsoft JhengHei"/>
    <w:panose1 w:val="020B0304030504040204"/>
    <w:charset w:val="88"/>
    <w:family w:val="auto"/>
    <w:pitch w:val="default"/>
    <w:sig w:usb0="00000000" w:usb1="00000000" w:usb2="00000016" w:usb3="00000000" w:csb0="00100009" w:csb1="00000000"/>
  </w:font>
  <w:font w:name="Malgun Gothic">
    <w:panose1 w:val="020B0503020000020004"/>
    <w:charset w:val="81"/>
    <w:family w:val="auto"/>
    <w:pitch w:val="default"/>
    <w:sig w:usb0="900002AF" w:usb1="01D77CFB" w:usb2="00000012" w:usb3="00000000" w:csb0="00080001" w:csb1="00000000"/>
  </w:font>
  <w:font w:name="Microsoft JhengHei">
    <w:panose1 w:val="020B0604030504040204"/>
    <w:charset w:val="88"/>
    <w:family w:val="auto"/>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CEE4EA"/>
    <w:multiLevelType w:val="multilevel"/>
    <w:tmpl w:val="5FCEE4EA"/>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5FCEE4F5"/>
    <w:multiLevelType w:val="multilevel"/>
    <w:tmpl w:val="5FCEE4F5"/>
    <w:lvl w:ilvl="0" w:tentative="0">
      <w:start w:val="3"/>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7D1731"/>
    <w:rsid w:val="3B7D1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widowControl w:val="0"/>
      <w:suppressLineNumbers w:val="0"/>
      <w:spacing w:before="260" w:beforeAutospacing="0" w:after="260" w:afterAutospacing="0" w:line="415" w:lineRule="auto"/>
      <w:ind w:left="0" w:right="0"/>
      <w:jc w:val="both"/>
      <w:outlineLvl w:val="2"/>
    </w:pPr>
    <w:rPr>
      <w:rFonts w:hint="default" w:ascii="Calibri" w:hAnsi="Calibri" w:eastAsia="仿宋_GB2312" w:cs="Calibri"/>
      <w:b/>
      <w:kern w:val="2"/>
      <w:sz w:val="32"/>
      <w:szCs w:val="32"/>
      <w:lang w:val="en-US" w:eastAsia="zh-CN" w:bidi="ar"/>
    </w:rPr>
  </w:style>
  <w:style w:type="character" w:default="1" w:styleId="7">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3">
    <w:name w:val="Body Text"/>
    <w:basedOn w:val="1"/>
    <w:uiPriority w:val="0"/>
    <w:pPr>
      <w:spacing w:after="120" w:afterLines="0" w:afterAutospacing="0"/>
    </w:pPr>
  </w:style>
  <w:style w:type="paragraph" w:styleId="4">
    <w:name w:val="footer"/>
    <w:basedOn w:val="1"/>
    <w:uiPriority w:val="0"/>
    <w:pPr>
      <w:keepNext w:val="0"/>
      <w:keepLines w:val="0"/>
      <w:widowControl w:val="0"/>
      <w:suppressLineNumbers w:val="0"/>
      <w:tabs>
        <w:tab w:val="center" w:pos="4153"/>
        <w:tab w:val="right" w:pos="8306"/>
      </w:tabs>
      <w:snapToGrid w:val="0"/>
      <w:spacing w:before="0" w:beforeAutospacing="0" w:after="0" w:afterAutospacing="0"/>
      <w:ind w:left="0" w:right="0"/>
      <w:jc w:val="left"/>
    </w:pPr>
    <w:rPr>
      <w:rFonts w:hint="default" w:ascii="Calibri" w:hAnsi="Calibri" w:eastAsia="仿宋_GB2312" w:cs="Times New Roman"/>
      <w:kern w:val="2"/>
      <w:sz w:val="18"/>
      <w:szCs w:val="18"/>
      <w:lang w:val="en-US" w:eastAsia="zh-CN" w:bidi="ar"/>
    </w:rPr>
  </w:style>
  <w:style w:type="paragraph" w:styleId="5">
    <w:name w:val="toc 1"/>
    <w:basedOn w:val="1"/>
    <w:next w:val="1"/>
    <w:uiPriority w:val="0"/>
    <w:pPr>
      <w:spacing w:line="660" w:lineRule="exact"/>
      <w:ind w:firstLine="705"/>
    </w:pPr>
    <w:rPr>
      <w:rFonts w:ascii="仿宋_GB2312" w:hAnsi="Calibri" w:eastAsia="仿宋_GB2312" w:cs="Times New Roman"/>
      <w:color w:val="000000"/>
      <w:sz w:val="36"/>
      <w:szCs w:val="36"/>
    </w:rPr>
  </w:style>
  <w:style w:type="paragraph" w:styleId="6">
    <w:name w:val="Normal (Web)"/>
    <w:basedOn w:val="1"/>
    <w:next w:val="4"/>
    <w:uiPriority w:val="0"/>
    <w:pPr>
      <w:keepNext w:val="0"/>
      <w:keepLines w:val="0"/>
      <w:widowControl w:val="0"/>
      <w:suppressLineNumbers w:val="0"/>
      <w:spacing w:before="0" w:beforeAutospacing="1" w:after="0" w:afterAutospacing="1"/>
      <w:ind w:left="0" w:right="0"/>
      <w:jc w:val="left"/>
    </w:pPr>
    <w:rPr>
      <w:rFonts w:hint="default" w:ascii="Calibri" w:hAnsi="Calibri" w:eastAsia="宋体" w:cs="Times New Roman"/>
      <w:kern w:val="0"/>
      <w:sz w:val="24"/>
      <w:szCs w:val="24"/>
      <w:lang w:val="en-US" w:eastAsia="zh-CN" w:bidi="ar"/>
    </w:r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0">
    <w:name w:val="p0"/>
    <w:basedOn w:val="1"/>
    <w:qFormat/>
    <w:uiPriority w:val="0"/>
    <w:pPr>
      <w:widowControl/>
    </w:pPr>
    <w:rPr>
      <w:rFonts w:eastAsia="仿宋_GB2312"/>
      <w:snapToGrid w:val="0"/>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省农业厅</Company>
  <Pages>1</Pages>
  <Words>0</Words>
  <Characters>0</Characters>
  <Lines>0</Lines>
  <Paragraphs>0</Paragraphs>
  <TotalTime>1</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2020-12-28T09:02:00Z</dcterms:created>
  <dc:creator>小许</dc:creator>
  <cp:lastModifiedBy>小许</cp:lastModifiedBy>
  <dcterms:modified xsi:type="dcterms:W3CDTF">2020-12-28T09:03:33Z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