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360" w:lineRule="auto"/>
        <w:jc w:val="center"/>
        <w:rPr>
          <w:rFonts w:ascii="宋体"/>
          <w:b/>
          <w:bCs/>
          <w:snapToGrid w:val="0"/>
          <w:sz w:val="44"/>
          <w:szCs w:val="44"/>
        </w:rPr>
      </w:pPr>
      <w:r>
        <w:rPr>
          <w:rFonts w:hint="eastAsia" w:ascii="宋体" w:hAnsi="宋体" w:cs="宋体"/>
          <w:b/>
          <w:bCs/>
          <w:snapToGrid w:val="0"/>
          <w:sz w:val="44"/>
          <w:szCs w:val="44"/>
        </w:rPr>
        <w:t>恩平市义兴水质自动监测站运营方案</w:t>
      </w:r>
    </w:p>
    <w:p>
      <w:pPr>
        <w:widowControl/>
        <w:adjustRightInd w:val="0"/>
        <w:snapToGrid w:val="0"/>
        <w:spacing w:line="360" w:lineRule="auto"/>
        <w:rPr>
          <w:rFonts w:ascii="宋体"/>
          <w:b/>
          <w:bCs/>
          <w:snapToGrid w:val="0"/>
          <w:sz w:val="21"/>
          <w:szCs w:val="21"/>
        </w:rPr>
      </w:pPr>
      <w:bookmarkStart w:id="0" w:name="_Toc397695644"/>
    </w:p>
    <w:p>
      <w:pPr>
        <w:widowControl/>
        <w:adjustRightInd w:val="0"/>
        <w:snapToGrid w:val="0"/>
        <w:spacing w:line="360" w:lineRule="auto"/>
        <w:rPr>
          <w:rFonts w:ascii="宋体"/>
          <w:b/>
          <w:bCs/>
          <w:snapToGrid w:val="0"/>
          <w:sz w:val="21"/>
          <w:szCs w:val="21"/>
        </w:rPr>
      </w:pPr>
      <w:r>
        <w:rPr>
          <w:rFonts w:ascii="宋体" w:hAnsi="宋体" w:cs="宋体"/>
          <w:b/>
          <w:bCs/>
          <w:snapToGrid w:val="0"/>
          <w:sz w:val="21"/>
          <w:szCs w:val="21"/>
        </w:rPr>
        <w:t>1</w:t>
      </w:r>
      <w:r>
        <w:rPr>
          <w:rFonts w:hint="eastAsia" w:ascii="宋体" w:hAnsi="宋体" w:cs="宋体"/>
          <w:b/>
          <w:bCs/>
          <w:snapToGrid w:val="0"/>
          <w:sz w:val="21"/>
          <w:szCs w:val="21"/>
        </w:rPr>
        <w:t>、项目概况</w:t>
      </w:r>
    </w:p>
    <w:p>
      <w:pPr>
        <w:widowControl/>
        <w:adjustRightInd w:val="0"/>
        <w:snapToGrid w:val="0"/>
        <w:spacing w:line="360" w:lineRule="auto"/>
        <w:ind w:firstLine="420" w:firstLineChars="200"/>
        <w:rPr>
          <w:rFonts w:ascii="宋体"/>
          <w:snapToGrid w:val="0"/>
          <w:sz w:val="21"/>
          <w:szCs w:val="21"/>
        </w:rPr>
      </w:pPr>
      <w:r>
        <w:rPr>
          <w:rFonts w:hint="eastAsia" w:ascii="宋体" w:hAnsi="宋体" w:cs="宋体"/>
          <w:snapToGrid w:val="0"/>
          <w:sz w:val="21"/>
          <w:szCs w:val="21"/>
        </w:rPr>
        <w:t>本次政府采购委托第三方代维恩平市义兴水质自动监测站（以下简称水站），于</w:t>
      </w:r>
      <w:r>
        <w:rPr>
          <w:rFonts w:ascii="宋体" w:hAnsi="宋体" w:cs="宋体"/>
          <w:snapToGrid w:val="0"/>
          <w:sz w:val="21"/>
          <w:szCs w:val="21"/>
        </w:rPr>
        <w:t>2016</w:t>
      </w:r>
      <w:r>
        <w:rPr>
          <w:rFonts w:hint="eastAsia" w:ascii="宋体" w:hAnsi="宋体" w:cs="宋体"/>
          <w:snapToGrid w:val="0"/>
          <w:sz w:val="21"/>
          <w:szCs w:val="21"/>
        </w:rPr>
        <w:t>年底建成。水站涉及监测项目有水温、</w:t>
      </w:r>
      <w:r>
        <w:rPr>
          <w:rFonts w:ascii="宋体" w:hAnsi="宋体" w:cs="宋体"/>
          <w:snapToGrid w:val="0"/>
          <w:sz w:val="21"/>
          <w:szCs w:val="21"/>
        </w:rPr>
        <w:t>pH</w:t>
      </w:r>
      <w:r>
        <w:rPr>
          <w:rFonts w:hint="eastAsia" w:ascii="宋体" w:hAnsi="宋体" w:cs="宋体"/>
          <w:snapToGrid w:val="0"/>
          <w:sz w:val="21"/>
          <w:szCs w:val="21"/>
        </w:rPr>
        <w:t>值、溶解氧、电导率、浊度、高锰酸盐指数、化学需氧量、氨氮、总磷共</w:t>
      </w:r>
      <w:r>
        <w:rPr>
          <w:rFonts w:ascii="宋体" w:hAnsi="宋体" w:cs="宋体"/>
          <w:snapToGrid w:val="0"/>
          <w:sz w:val="21"/>
          <w:szCs w:val="21"/>
        </w:rPr>
        <w:t>9</w:t>
      </w:r>
      <w:r>
        <w:rPr>
          <w:rFonts w:hint="eastAsia" w:ascii="宋体" w:hAnsi="宋体" w:cs="宋体"/>
          <w:snapToGrid w:val="0"/>
          <w:sz w:val="21"/>
          <w:szCs w:val="21"/>
        </w:rPr>
        <w:t>个项目；为确保该水站的正常运行，连续、稳定地为监控平台提供有效的实时监测数据，现采取第三方代维的方式对已安装设备进行运行维护管理，政府采购方式确定。</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 </w:t>
      </w:r>
    </w:p>
    <w:p>
      <w:pPr>
        <w:widowControl/>
        <w:adjustRightInd w:val="0"/>
        <w:snapToGrid w:val="0"/>
        <w:spacing w:line="360" w:lineRule="auto"/>
        <w:rPr>
          <w:rFonts w:ascii="宋体"/>
          <w:b/>
          <w:bCs/>
          <w:snapToGrid w:val="0"/>
          <w:sz w:val="21"/>
          <w:szCs w:val="21"/>
        </w:rPr>
      </w:pPr>
      <w:r>
        <w:rPr>
          <w:rFonts w:ascii="宋体" w:hAnsi="宋体" w:cs="宋体"/>
          <w:b/>
          <w:bCs/>
          <w:snapToGrid w:val="0"/>
          <w:sz w:val="21"/>
          <w:szCs w:val="21"/>
        </w:rPr>
        <w:t>2</w:t>
      </w:r>
      <w:r>
        <w:rPr>
          <w:rFonts w:hint="eastAsia" w:ascii="宋体" w:hAnsi="宋体" w:cs="宋体"/>
          <w:b/>
          <w:bCs/>
          <w:snapToGrid w:val="0"/>
          <w:sz w:val="21"/>
          <w:szCs w:val="21"/>
        </w:rPr>
        <w:t>、需求总则及工程范围</w:t>
      </w:r>
    </w:p>
    <w:p>
      <w:pPr>
        <w:widowControl/>
        <w:adjustRightInd w:val="0"/>
        <w:snapToGrid w:val="0"/>
        <w:spacing w:line="360" w:lineRule="auto"/>
        <w:ind w:firstLine="420" w:firstLineChars="200"/>
        <w:rPr>
          <w:rFonts w:ascii="宋体"/>
          <w:snapToGrid w:val="0"/>
          <w:sz w:val="21"/>
          <w:szCs w:val="21"/>
        </w:rPr>
      </w:pPr>
      <w:r>
        <w:rPr>
          <w:rFonts w:hint="eastAsia" w:ascii="宋体" w:hAnsi="宋体" w:cs="宋体"/>
          <w:snapToGrid w:val="0"/>
          <w:sz w:val="21"/>
          <w:szCs w:val="21"/>
        </w:rPr>
        <w:t>本次采购的项目为水质自动监测系统的运营维护及管理，要求负责水质自动监测系统的运营维护及管理工作。</w:t>
      </w:r>
    </w:p>
    <w:p>
      <w:pPr>
        <w:widowControl/>
        <w:adjustRightInd w:val="0"/>
        <w:snapToGrid w:val="0"/>
        <w:spacing w:line="360" w:lineRule="auto"/>
        <w:ind w:firstLine="422" w:firstLineChars="200"/>
        <w:rPr>
          <w:rFonts w:ascii="宋体"/>
          <w:b/>
          <w:bCs/>
          <w:snapToGrid w:val="0"/>
          <w:sz w:val="21"/>
          <w:szCs w:val="21"/>
        </w:rPr>
      </w:pPr>
      <w:r>
        <w:rPr>
          <w:rFonts w:ascii="宋体" w:hAnsi="宋体" w:cs="宋体"/>
          <w:b/>
          <w:bCs/>
          <w:snapToGrid w:val="0"/>
          <w:sz w:val="21"/>
          <w:szCs w:val="21"/>
        </w:rPr>
        <w:t>2.1</w:t>
      </w:r>
      <w:r>
        <w:rPr>
          <w:rFonts w:hint="eastAsia" w:ascii="宋体" w:hAnsi="宋体" w:cs="宋体"/>
          <w:b/>
          <w:bCs/>
          <w:snapToGrid w:val="0"/>
          <w:sz w:val="21"/>
          <w:szCs w:val="21"/>
        </w:rPr>
        <w:t>管理范围包括：</w:t>
      </w:r>
      <w:r>
        <w:rPr>
          <w:rFonts w:ascii="宋体" w:hAnsi="宋体" w:cs="宋体"/>
          <w:b/>
          <w:bCs/>
          <w:snapToGrid w:val="0"/>
          <w:sz w:val="21"/>
          <w:szCs w:val="21"/>
        </w:rPr>
        <w:t xml:space="preserve"> </w:t>
      </w:r>
    </w:p>
    <w:p>
      <w:pPr>
        <w:widowControl/>
        <w:adjustRightInd w:val="0"/>
        <w:snapToGrid w:val="0"/>
        <w:spacing w:line="360" w:lineRule="auto"/>
        <w:ind w:firstLine="422" w:firstLineChars="200"/>
        <w:rPr>
          <w:rFonts w:ascii="宋体"/>
          <w:snapToGrid w:val="0"/>
          <w:sz w:val="21"/>
          <w:szCs w:val="21"/>
        </w:rPr>
      </w:pPr>
      <w:r>
        <w:rPr>
          <w:rFonts w:ascii="宋体" w:hAnsi="宋体" w:cs="宋体"/>
          <w:b/>
          <w:bCs/>
          <w:snapToGrid w:val="0"/>
          <w:sz w:val="21"/>
          <w:szCs w:val="21"/>
        </w:rPr>
        <w:t xml:space="preserve">2.1.1 </w:t>
      </w:r>
      <w:r>
        <w:rPr>
          <w:rFonts w:hint="eastAsia" w:ascii="宋体" w:hAnsi="宋体" w:cs="宋体"/>
          <w:b/>
          <w:bCs/>
          <w:snapToGrid w:val="0"/>
          <w:sz w:val="21"/>
          <w:szCs w:val="21"/>
        </w:rPr>
        <w:t>监测仪器：</w:t>
      </w:r>
      <w:r>
        <w:rPr>
          <w:rFonts w:hint="eastAsia" w:ascii="宋体" w:hAnsi="宋体" w:cs="宋体"/>
          <w:snapToGrid w:val="0"/>
          <w:sz w:val="21"/>
          <w:szCs w:val="21"/>
        </w:rPr>
        <w:t>水站现有的地表水水质在线监测仪器</w:t>
      </w:r>
    </w:p>
    <w:p>
      <w:pPr>
        <w:widowControl/>
        <w:adjustRightInd w:val="0"/>
        <w:snapToGrid w:val="0"/>
        <w:spacing w:line="360" w:lineRule="auto"/>
        <w:ind w:firstLine="422" w:firstLineChars="200"/>
        <w:rPr>
          <w:rFonts w:ascii="宋体"/>
          <w:snapToGrid w:val="0"/>
          <w:sz w:val="21"/>
          <w:szCs w:val="21"/>
        </w:rPr>
      </w:pPr>
      <w:r>
        <w:rPr>
          <w:rFonts w:ascii="宋体" w:hAnsi="宋体" w:cs="宋体"/>
          <w:b/>
          <w:bCs/>
          <w:snapToGrid w:val="0"/>
          <w:sz w:val="21"/>
          <w:szCs w:val="21"/>
        </w:rPr>
        <w:t xml:space="preserve">2.1.2 </w:t>
      </w:r>
      <w:r>
        <w:rPr>
          <w:rFonts w:hint="eastAsia" w:ascii="宋体" w:hAnsi="宋体" w:cs="宋体"/>
          <w:b/>
          <w:bCs/>
          <w:snapToGrid w:val="0"/>
          <w:sz w:val="21"/>
          <w:szCs w:val="21"/>
        </w:rPr>
        <w:t>其它设备及设施</w:t>
      </w:r>
      <w:r>
        <w:rPr>
          <w:rFonts w:hint="eastAsia" w:ascii="宋体" w:hAnsi="宋体" w:cs="宋体"/>
          <w:snapToGrid w:val="0"/>
          <w:sz w:val="21"/>
          <w:szCs w:val="21"/>
        </w:rPr>
        <w:t>：站房内包括控制系统、配电系统、数据传输系统、防雷系统、通讯设施等的配套系统。</w:t>
      </w:r>
    </w:p>
    <w:p>
      <w:pPr>
        <w:widowControl/>
        <w:adjustRightInd w:val="0"/>
        <w:snapToGrid w:val="0"/>
        <w:spacing w:line="360" w:lineRule="auto"/>
        <w:ind w:firstLine="422" w:firstLineChars="200"/>
        <w:rPr>
          <w:rFonts w:ascii="宋体"/>
          <w:b/>
          <w:bCs/>
          <w:snapToGrid w:val="0"/>
          <w:sz w:val="21"/>
          <w:szCs w:val="21"/>
        </w:rPr>
      </w:pPr>
      <w:r>
        <w:rPr>
          <w:rFonts w:ascii="宋体" w:hAnsi="宋体" w:cs="宋体"/>
          <w:b/>
          <w:bCs/>
          <w:snapToGrid w:val="0"/>
          <w:sz w:val="21"/>
          <w:szCs w:val="21"/>
        </w:rPr>
        <w:t xml:space="preserve">2.2 </w:t>
      </w:r>
      <w:r>
        <w:rPr>
          <w:rFonts w:hint="eastAsia" w:ascii="宋体" w:hAnsi="宋体" w:cs="宋体"/>
          <w:b/>
          <w:bCs/>
          <w:snapToGrid w:val="0"/>
          <w:sz w:val="21"/>
          <w:szCs w:val="21"/>
        </w:rPr>
        <w:t>管理内容包括：</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2.2.1 </w:t>
      </w:r>
      <w:r>
        <w:rPr>
          <w:rFonts w:hint="eastAsia" w:ascii="宋体" w:hAnsi="宋体" w:cs="宋体"/>
          <w:snapToGrid w:val="0"/>
          <w:sz w:val="21"/>
          <w:szCs w:val="21"/>
        </w:rPr>
        <w:t>提供并定期更换水站系统和仪表所需的试剂与各种备品备件。</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2.2.2 </w:t>
      </w:r>
      <w:r>
        <w:rPr>
          <w:rFonts w:hint="eastAsia" w:ascii="宋体" w:hAnsi="宋体" w:cs="宋体"/>
          <w:snapToGrid w:val="0"/>
          <w:sz w:val="21"/>
          <w:szCs w:val="21"/>
        </w:rPr>
        <w:t>对水站系统和仪表进行定期检修、保养。</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2.2.3 </w:t>
      </w:r>
      <w:r>
        <w:rPr>
          <w:rFonts w:hint="eastAsia" w:ascii="宋体" w:hAnsi="宋体" w:cs="宋体"/>
          <w:snapToGrid w:val="0"/>
          <w:sz w:val="21"/>
          <w:szCs w:val="21"/>
        </w:rPr>
        <w:t>及时排除水站系统和仪表出现的故障。</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2.2.4 </w:t>
      </w:r>
      <w:r>
        <w:rPr>
          <w:rFonts w:hint="eastAsia" w:ascii="宋体" w:hAnsi="宋体" w:cs="宋体"/>
          <w:snapToGrid w:val="0"/>
          <w:sz w:val="21"/>
          <w:szCs w:val="21"/>
        </w:rPr>
        <w:t>对水站仪表进行定期校准。</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2.2.5 </w:t>
      </w:r>
      <w:r>
        <w:rPr>
          <w:rFonts w:hint="eastAsia" w:ascii="宋体" w:hAnsi="宋体" w:cs="宋体"/>
          <w:snapToGrid w:val="0"/>
          <w:sz w:val="21"/>
          <w:szCs w:val="21"/>
        </w:rPr>
        <w:t>承担水站质量保证工作，配合恩平市环境监测站进行质量控制工作。</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2.2.6 </w:t>
      </w:r>
      <w:r>
        <w:rPr>
          <w:rFonts w:hint="eastAsia" w:ascii="宋体" w:hAnsi="宋体" w:cs="宋体"/>
          <w:snapToGrid w:val="0"/>
          <w:sz w:val="21"/>
          <w:szCs w:val="21"/>
        </w:rPr>
        <w:t>每月向恩平市环境监测站上报各水站自动监测仪器的有效数据、数据捕获率、仪器运转率及维护、运行情况报告。</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2.2.7 </w:t>
      </w:r>
      <w:r>
        <w:rPr>
          <w:rFonts w:hint="eastAsia" w:ascii="宋体" w:hAnsi="宋体" w:cs="宋体"/>
          <w:snapToGrid w:val="0"/>
          <w:sz w:val="21"/>
          <w:szCs w:val="21"/>
        </w:rPr>
        <w:t>安排专人每天</w:t>
      </w:r>
      <w:r>
        <w:rPr>
          <w:rFonts w:ascii="宋体" w:hAnsi="宋体" w:cs="宋体"/>
          <w:snapToGrid w:val="0"/>
          <w:sz w:val="21"/>
          <w:szCs w:val="21"/>
        </w:rPr>
        <w:t>24</w:t>
      </w:r>
      <w:r>
        <w:rPr>
          <w:rFonts w:hint="eastAsia" w:ascii="宋体" w:hAnsi="宋体" w:cs="宋体"/>
          <w:snapToGrid w:val="0"/>
          <w:sz w:val="21"/>
          <w:szCs w:val="21"/>
        </w:rPr>
        <w:t>小时监控各水站数据，发现异常及时确认仪器状态，较水环境功能区划目标水质变差两级或两级以上的，或有毒有害物质浓度异常的，须</w:t>
      </w:r>
      <w:r>
        <w:rPr>
          <w:rFonts w:ascii="宋体" w:hAnsi="宋体" w:cs="宋体"/>
          <w:snapToGrid w:val="0"/>
          <w:sz w:val="21"/>
          <w:szCs w:val="21"/>
        </w:rPr>
        <w:t>3</w:t>
      </w:r>
      <w:r>
        <w:rPr>
          <w:rFonts w:hint="eastAsia" w:ascii="宋体" w:hAnsi="宋体" w:cs="宋体"/>
          <w:snapToGrid w:val="0"/>
          <w:sz w:val="21"/>
          <w:szCs w:val="21"/>
        </w:rPr>
        <w:t>小时内上报给业主方。</w:t>
      </w:r>
    </w:p>
    <w:p>
      <w:pPr>
        <w:widowControl/>
        <w:adjustRightInd w:val="0"/>
        <w:snapToGrid w:val="0"/>
        <w:spacing w:line="360" w:lineRule="auto"/>
        <w:ind w:firstLine="422" w:firstLineChars="200"/>
        <w:rPr>
          <w:rFonts w:ascii="宋体"/>
          <w:b/>
          <w:bCs/>
          <w:snapToGrid w:val="0"/>
          <w:sz w:val="21"/>
          <w:szCs w:val="21"/>
        </w:rPr>
      </w:pPr>
      <w:r>
        <w:rPr>
          <w:rFonts w:ascii="宋体" w:hAnsi="宋体" w:cs="宋体"/>
          <w:b/>
          <w:bCs/>
          <w:snapToGrid w:val="0"/>
          <w:sz w:val="21"/>
          <w:szCs w:val="21"/>
        </w:rPr>
        <w:t xml:space="preserve">2.3 </w:t>
      </w:r>
      <w:r>
        <w:rPr>
          <w:rFonts w:hint="eastAsia" w:ascii="宋体" w:hAnsi="宋体" w:cs="宋体"/>
          <w:b/>
          <w:bCs/>
          <w:snapToGrid w:val="0"/>
          <w:sz w:val="21"/>
          <w:szCs w:val="21"/>
        </w:rPr>
        <w:t>代维工作须保证：</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2.3.1 </w:t>
      </w:r>
      <w:r>
        <w:rPr>
          <w:rFonts w:hint="eastAsia" w:ascii="宋体" w:hAnsi="宋体" w:cs="宋体"/>
          <w:snapToGrid w:val="0"/>
          <w:sz w:val="21"/>
          <w:szCs w:val="21"/>
        </w:rPr>
        <w:t>设备运行：正常、稳定、维护及时快捷。</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2.3.2 </w:t>
      </w:r>
      <w:r>
        <w:rPr>
          <w:rFonts w:hint="eastAsia" w:ascii="宋体" w:hAnsi="宋体" w:cs="宋体"/>
          <w:snapToGrid w:val="0"/>
          <w:sz w:val="21"/>
          <w:szCs w:val="21"/>
        </w:rPr>
        <w:t>数据传输：实时、有效、准确、连续、可靠、安全，可供主管部门随时抽查调用。</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2.3.3</w:t>
      </w:r>
      <w:r>
        <w:rPr>
          <w:rFonts w:hint="eastAsia" w:ascii="宋体" w:hAnsi="宋体" w:cs="宋体"/>
          <w:snapToGrid w:val="0"/>
          <w:sz w:val="21"/>
          <w:szCs w:val="21"/>
        </w:rPr>
        <w:t>代维期为</w:t>
      </w:r>
      <w:r>
        <w:rPr>
          <w:rFonts w:ascii="宋体" w:hAnsi="宋体" w:cs="宋体"/>
          <w:snapToGrid w:val="0"/>
          <w:sz w:val="21"/>
          <w:szCs w:val="21"/>
        </w:rPr>
        <w:t>1</w:t>
      </w:r>
      <w:r>
        <w:rPr>
          <w:rFonts w:hint="eastAsia" w:ascii="宋体" w:hAnsi="宋体" w:cs="宋体"/>
          <w:snapToGrid w:val="0"/>
          <w:sz w:val="21"/>
          <w:szCs w:val="21"/>
        </w:rPr>
        <w:t>年，代维期的开始时间按合同要求执行。</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2.4  </w:t>
      </w:r>
      <w:bookmarkStart w:id="1" w:name="OLE_LINK5"/>
      <w:bookmarkStart w:id="2" w:name="OLE_LINK6"/>
      <w:r>
        <w:rPr>
          <w:rFonts w:hint="eastAsia" w:ascii="宋体" w:hAnsi="宋体" w:cs="宋体"/>
          <w:snapToGrid w:val="0"/>
          <w:sz w:val="21"/>
          <w:szCs w:val="21"/>
        </w:rPr>
        <w:t>承包方式为包工包料，包括运营的义兴水质站所需的试剂、易损件、备品备件、人工，但不包括不可抗拒原因产生的设备、设施损坏。</w:t>
      </w:r>
      <w:bookmarkEnd w:id="1"/>
      <w:bookmarkEnd w:id="2"/>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2.5  </w:t>
      </w:r>
      <w:r>
        <w:rPr>
          <w:rFonts w:hint="eastAsia" w:ascii="宋体" w:hAnsi="宋体" w:cs="宋体"/>
          <w:snapToGrid w:val="0"/>
          <w:sz w:val="21"/>
          <w:szCs w:val="21"/>
        </w:rPr>
        <w:t>在运营维护及管理期间，运营方须遵守国家的有关法律、法规及其他规定，本着为业主方负责的精神，依照规范，科学管理，确保代维的各监测监控系统运行达到国家及行业颁布的技术标准和业主方要求的考核指标要求，真正发挥水质自动监测系统效能和作用。</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2.6</w:t>
      </w:r>
      <w:r>
        <w:rPr>
          <w:rFonts w:hint="eastAsia" w:ascii="宋体" w:hAnsi="宋体" w:cs="宋体"/>
          <w:snapToGrid w:val="0"/>
          <w:sz w:val="21"/>
          <w:szCs w:val="21"/>
        </w:rPr>
        <w:t>财产保护：委托运营维护及管理的全部资产（包括全部产权和建筑物、设备及配套设施）属业主方所有。未经业主方同意，运营方不得以任何方式对各类财产进行出售、抵押或转移；同时，在委托运营及管理期间，运营方有责任保证上述全部资产的完整、安全并处于良好状态。</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 </w:t>
      </w:r>
    </w:p>
    <w:p>
      <w:pPr>
        <w:widowControl/>
        <w:adjustRightInd w:val="0"/>
        <w:snapToGrid w:val="0"/>
        <w:spacing w:line="360" w:lineRule="auto"/>
        <w:rPr>
          <w:rFonts w:ascii="宋体"/>
          <w:b/>
          <w:bCs/>
          <w:snapToGrid w:val="0"/>
          <w:sz w:val="21"/>
          <w:szCs w:val="21"/>
        </w:rPr>
      </w:pPr>
      <w:r>
        <w:rPr>
          <w:rFonts w:ascii="宋体" w:hAnsi="宋体" w:cs="宋体"/>
          <w:b/>
          <w:bCs/>
          <w:snapToGrid w:val="0"/>
          <w:sz w:val="21"/>
          <w:szCs w:val="21"/>
        </w:rPr>
        <w:t>3</w:t>
      </w:r>
      <w:r>
        <w:rPr>
          <w:rFonts w:hint="eastAsia" w:ascii="宋体" w:hAnsi="宋体" w:cs="宋体"/>
          <w:b/>
          <w:bCs/>
          <w:snapToGrid w:val="0"/>
          <w:sz w:val="21"/>
          <w:szCs w:val="21"/>
        </w:rPr>
        <w:t>、代维水站监测项目</w:t>
      </w:r>
    </w:p>
    <w:tbl>
      <w:tblPr>
        <w:tblStyle w:val="4"/>
        <w:tblW w:w="8695" w:type="dxa"/>
        <w:jc w:val="center"/>
        <w:tblLayout w:type="fixed"/>
        <w:tblCellMar>
          <w:top w:w="0" w:type="dxa"/>
          <w:left w:w="108" w:type="dxa"/>
          <w:bottom w:w="0" w:type="dxa"/>
          <w:right w:w="108" w:type="dxa"/>
        </w:tblCellMar>
      </w:tblPr>
      <w:tblGrid>
        <w:gridCol w:w="1292"/>
        <w:gridCol w:w="7403"/>
      </w:tblGrid>
      <w:tr>
        <w:tblPrEx>
          <w:tblCellMar>
            <w:top w:w="0" w:type="dxa"/>
            <w:left w:w="108" w:type="dxa"/>
            <w:bottom w:w="0" w:type="dxa"/>
            <w:right w:w="108" w:type="dxa"/>
          </w:tblCellMar>
        </w:tblPrEx>
        <w:trPr>
          <w:trHeight w:val="20" w:hRule="atLeast"/>
          <w:jc w:val="center"/>
        </w:trPr>
        <w:tc>
          <w:tcPr>
            <w:tcW w:w="1292" w:type="dxa"/>
            <w:tcBorders>
              <w:top w:val="single" w:color="000000" w:sz="4" w:space="0"/>
              <w:left w:val="nil"/>
              <w:bottom w:val="single" w:color="000000" w:sz="4" w:space="0"/>
              <w:right w:val="single" w:color="000000" w:sz="4" w:space="0"/>
            </w:tcBorders>
            <w:vAlign w:val="center"/>
          </w:tcPr>
          <w:p>
            <w:pPr>
              <w:widowControl/>
              <w:adjustRightInd w:val="0"/>
              <w:snapToGrid w:val="0"/>
              <w:jc w:val="center"/>
              <w:rPr>
                <w:rFonts w:ascii="宋体"/>
                <w:b/>
                <w:bCs/>
                <w:snapToGrid w:val="0"/>
                <w:sz w:val="21"/>
                <w:szCs w:val="21"/>
              </w:rPr>
            </w:pPr>
            <w:r>
              <w:rPr>
                <w:rFonts w:hint="eastAsia" w:ascii="宋体" w:hAnsi="宋体" w:cs="宋体"/>
                <w:b/>
                <w:bCs/>
                <w:snapToGrid w:val="0"/>
                <w:sz w:val="21"/>
                <w:szCs w:val="21"/>
              </w:rPr>
              <w:t>水站名称</w:t>
            </w:r>
          </w:p>
        </w:tc>
        <w:tc>
          <w:tcPr>
            <w:tcW w:w="7403" w:type="dxa"/>
            <w:tcBorders>
              <w:top w:val="single" w:color="000000" w:sz="4" w:space="0"/>
              <w:left w:val="nil"/>
              <w:bottom w:val="single" w:color="000000" w:sz="4" w:space="0"/>
              <w:right w:val="single" w:color="000000" w:sz="4" w:space="0"/>
            </w:tcBorders>
            <w:vAlign w:val="center"/>
          </w:tcPr>
          <w:p>
            <w:pPr>
              <w:widowControl/>
              <w:adjustRightInd w:val="0"/>
              <w:snapToGrid w:val="0"/>
              <w:jc w:val="center"/>
              <w:rPr>
                <w:rFonts w:ascii="宋体"/>
                <w:b/>
                <w:bCs/>
                <w:snapToGrid w:val="0"/>
                <w:sz w:val="21"/>
                <w:szCs w:val="21"/>
              </w:rPr>
            </w:pPr>
            <w:r>
              <w:rPr>
                <w:rFonts w:hint="eastAsia" w:ascii="宋体" w:hAnsi="宋体" w:cs="宋体"/>
                <w:b/>
                <w:bCs/>
                <w:snapToGrid w:val="0"/>
                <w:sz w:val="21"/>
                <w:szCs w:val="21"/>
              </w:rPr>
              <w:t>监测项目</w:t>
            </w:r>
          </w:p>
        </w:tc>
      </w:tr>
      <w:tr>
        <w:tblPrEx>
          <w:tblCellMar>
            <w:top w:w="0" w:type="dxa"/>
            <w:left w:w="108" w:type="dxa"/>
            <w:bottom w:w="0" w:type="dxa"/>
            <w:right w:w="108" w:type="dxa"/>
          </w:tblCellMar>
        </w:tblPrEx>
        <w:trPr>
          <w:trHeight w:val="20" w:hRule="atLeast"/>
          <w:jc w:val="center"/>
        </w:trPr>
        <w:tc>
          <w:tcPr>
            <w:tcW w:w="1292" w:type="dxa"/>
            <w:tcBorders>
              <w:top w:val="single" w:color="000000" w:sz="4" w:space="0"/>
              <w:left w:val="nil"/>
              <w:bottom w:val="single" w:color="000000" w:sz="4" w:space="0"/>
              <w:right w:val="single" w:color="000000" w:sz="4" w:space="0"/>
            </w:tcBorders>
            <w:vAlign w:val="center"/>
          </w:tcPr>
          <w:p>
            <w:pPr>
              <w:widowControl/>
              <w:adjustRightInd w:val="0"/>
              <w:snapToGrid w:val="0"/>
              <w:jc w:val="center"/>
              <w:rPr>
                <w:rFonts w:ascii="宋体"/>
                <w:snapToGrid w:val="0"/>
                <w:sz w:val="21"/>
                <w:szCs w:val="21"/>
              </w:rPr>
            </w:pPr>
            <w:r>
              <w:rPr>
                <w:rFonts w:hint="eastAsia" w:ascii="宋体" w:hAnsi="宋体" w:cs="宋体"/>
                <w:snapToGrid w:val="0"/>
                <w:sz w:val="21"/>
                <w:szCs w:val="21"/>
              </w:rPr>
              <w:t>义兴</w:t>
            </w:r>
          </w:p>
        </w:tc>
        <w:tc>
          <w:tcPr>
            <w:tcW w:w="7403" w:type="dxa"/>
            <w:tcBorders>
              <w:top w:val="single" w:color="000000" w:sz="4" w:space="0"/>
              <w:left w:val="nil"/>
              <w:bottom w:val="single" w:color="000000" w:sz="4" w:space="0"/>
              <w:right w:val="single" w:color="000000" w:sz="4" w:space="0"/>
            </w:tcBorders>
            <w:vAlign w:val="center"/>
          </w:tcPr>
          <w:p>
            <w:pPr>
              <w:widowControl/>
              <w:adjustRightInd w:val="0"/>
              <w:snapToGrid w:val="0"/>
              <w:rPr>
                <w:rFonts w:ascii="宋体"/>
                <w:snapToGrid w:val="0"/>
                <w:sz w:val="21"/>
                <w:szCs w:val="21"/>
              </w:rPr>
            </w:pPr>
            <w:r>
              <w:rPr>
                <w:rFonts w:hint="eastAsia" w:ascii="宋体" w:hAnsi="宋体" w:cs="宋体"/>
                <w:snapToGrid w:val="0"/>
                <w:sz w:val="21"/>
                <w:szCs w:val="21"/>
              </w:rPr>
              <w:t>水温、</w:t>
            </w:r>
            <w:r>
              <w:rPr>
                <w:rFonts w:ascii="宋体" w:hAnsi="宋体" w:cs="宋体"/>
                <w:snapToGrid w:val="0"/>
                <w:sz w:val="21"/>
                <w:szCs w:val="21"/>
              </w:rPr>
              <w:t>pH</w:t>
            </w:r>
            <w:r>
              <w:rPr>
                <w:rFonts w:hint="eastAsia" w:ascii="宋体" w:hAnsi="宋体" w:cs="宋体"/>
                <w:snapToGrid w:val="0"/>
                <w:sz w:val="21"/>
                <w:szCs w:val="21"/>
              </w:rPr>
              <w:t>值、溶解氧、电导率、浊度、高锰酸盐指数、化学需氧量、氨氮、总磷</w:t>
            </w:r>
          </w:p>
        </w:tc>
      </w:tr>
    </w:tbl>
    <w:p>
      <w:pPr>
        <w:widowControl/>
        <w:adjustRightInd w:val="0"/>
        <w:snapToGrid w:val="0"/>
        <w:spacing w:line="360" w:lineRule="auto"/>
        <w:ind w:firstLine="422" w:firstLineChars="200"/>
        <w:rPr>
          <w:rFonts w:ascii="宋体"/>
          <w:b/>
          <w:bCs/>
          <w:snapToGrid w:val="0"/>
          <w:sz w:val="21"/>
          <w:szCs w:val="21"/>
        </w:rPr>
      </w:pPr>
      <w:r>
        <w:rPr>
          <w:rFonts w:ascii="宋体" w:hAnsi="宋体" w:cs="宋体"/>
          <w:b/>
          <w:bCs/>
          <w:snapToGrid w:val="0"/>
          <w:sz w:val="21"/>
          <w:szCs w:val="21"/>
        </w:rPr>
        <w:t xml:space="preserve"> </w:t>
      </w:r>
    </w:p>
    <w:p>
      <w:pPr>
        <w:widowControl/>
        <w:adjustRightInd w:val="0"/>
        <w:snapToGrid w:val="0"/>
        <w:spacing w:line="360" w:lineRule="auto"/>
        <w:rPr>
          <w:rFonts w:ascii="宋体"/>
          <w:b/>
          <w:bCs/>
          <w:snapToGrid w:val="0"/>
          <w:sz w:val="21"/>
          <w:szCs w:val="21"/>
        </w:rPr>
      </w:pPr>
      <w:r>
        <w:rPr>
          <w:rFonts w:ascii="宋体" w:hAnsi="宋体" w:cs="宋体"/>
          <w:b/>
          <w:bCs/>
          <w:snapToGrid w:val="0"/>
          <w:sz w:val="21"/>
          <w:szCs w:val="21"/>
        </w:rPr>
        <w:t>4</w:t>
      </w:r>
      <w:r>
        <w:rPr>
          <w:rFonts w:hint="eastAsia" w:ascii="宋体" w:hAnsi="宋体" w:cs="宋体"/>
          <w:b/>
          <w:bCs/>
          <w:snapToGrid w:val="0"/>
          <w:sz w:val="21"/>
          <w:szCs w:val="21"/>
        </w:rPr>
        <w:t>、总体要求</w:t>
      </w:r>
    </w:p>
    <w:p>
      <w:pPr>
        <w:widowControl/>
        <w:adjustRightInd w:val="0"/>
        <w:snapToGrid w:val="0"/>
        <w:spacing w:line="360" w:lineRule="auto"/>
        <w:ind w:firstLine="420" w:firstLineChars="200"/>
        <w:jc w:val="left"/>
        <w:rPr>
          <w:rFonts w:ascii="宋体"/>
          <w:snapToGrid w:val="0"/>
          <w:sz w:val="21"/>
          <w:szCs w:val="21"/>
        </w:rPr>
      </w:pPr>
      <w:r>
        <w:rPr>
          <w:rFonts w:hint="eastAsia" w:ascii="宋体" w:hAnsi="宋体" w:cs="宋体"/>
          <w:snapToGrid w:val="0"/>
          <w:sz w:val="21"/>
          <w:szCs w:val="21"/>
          <w:u w:val="single"/>
        </w:rPr>
        <w:t>凡标有“★”的内容均被视为重要的技术要求和性能指标。运营方要特别加以注意，须对此回答并完全满足这些要求。</w:t>
      </w:r>
    </w:p>
    <w:p>
      <w:pPr>
        <w:widowControl/>
        <w:adjustRightInd w:val="0"/>
        <w:snapToGrid w:val="0"/>
        <w:spacing w:line="360" w:lineRule="auto"/>
        <w:ind w:firstLine="422" w:firstLineChars="200"/>
        <w:rPr>
          <w:rFonts w:ascii="宋体"/>
          <w:b/>
          <w:bCs/>
          <w:snapToGrid w:val="0"/>
          <w:sz w:val="21"/>
          <w:szCs w:val="21"/>
        </w:rPr>
      </w:pPr>
      <w:r>
        <w:rPr>
          <w:rFonts w:ascii="宋体" w:hAnsi="宋体" w:cs="宋体"/>
          <w:b/>
          <w:bCs/>
          <w:snapToGrid w:val="0"/>
          <w:sz w:val="21"/>
          <w:szCs w:val="21"/>
        </w:rPr>
        <w:t>4.1</w:t>
      </w:r>
      <w:r>
        <w:rPr>
          <w:rFonts w:hint="eastAsia" w:ascii="宋体" w:hAnsi="宋体" w:cs="宋体"/>
          <w:b/>
          <w:bCs/>
          <w:snapToGrid w:val="0"/>
          <w:sz w:val="21"/>
          <w:szCs w:val="21"/>
        </w:rPr>
        <w:t>对运营方的要求</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4.1.1</w:t>
      </w:r>
      <w:r>
        <w:rPr>
          <w:rFonts w:hint="eastAsia" w:ascii="宋体" w:hAnsi="宋体" w:cs="宋体"/>
          <w:snapToGrid w:val="0"/>
          <w:sz w:val="21"/>
          <w:szCs w:val="21"/>
        </w:rPr>
        <w:t>运营方在中国应具有水质自动监测站的实际建设案例。</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4.1.2</w:t>
      </w:r>
      <w:r>
        <w:rPr>
          <w:rFonts w:hint="eastAsia" w:ascii="宋体" w:hAnsi="宋体" w:cs="宋体"/>
          <w:snapToGrid w:val="0"/>
          <w:sz w:val="21"/>
          <w:szCs w:val="21"/>
        </w:rPr>
        <w:t>运营方资金保证充足。</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4.1.3</w:t>
      </w:r>
      <w:r>
        <w:rPr>
          <w:rFonts w:hint="eastAsia" w:ascii="宋体" w:hAnsi="宋体" w:cs="宋体"/>
          <w:snapToGrid w:val="0"/>
          <w:sz w:val="21"/>
          <w:szCs w:val="21"/>
        </w:rPr>
        <w:t>运营方应为本项目在广东省设立服务及办事机构。</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4.1.4</w:t>
      </w:r>
      <w:r>
        <w:rPr>
          <w:rFonts w:hint="eastAsia" w:ascii="宋体" w:hAnsi="宋体" w:cs="宋体"/>
          <w:snapToGrid w:val="0"/>
          <w:sz w:val="21"/>
          <w:szCs w:val="21"/>
        </w:rPr>
        <w:t>运营方应具备完善的系统配件供应渠道。</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4.1.5</w:t>
      </w:r>
      <w:r>
        <w:rPr>
          <w:rFonts w:hint="eastAsia" w:ascii="宋体" w:hAnsi="宋体" w:cs="宋体"/>
          <w:snapToGrid w:val="0"/>
          <w:sz w:val="21"/>
          <w:szCs w:val="21"/>
        </w:rPr>
        <w:t>运营方应具备完善的国内外仪表配件供应渠道。</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4.1.6 </w:t>
      </w:r>
      <w:r>
        <w:rPr>
          <w:rFonts w:hint="eastAsia" w:ascii="宋体" w:hAnsi="宋体" w:cs="宋体"/>
          <w:snapToGrid w:val="0"/>
          <w:sz w:val="21"/>
          <w:szCs w:val="21"/>
        </w:rPr>
        <w:t>运营方应具备一定数量的相关领域的技术人才；运营方应具备水质自动监测系统运营及管理的人才、技术；同时具备相当的能力和条件，可以对水站的运营维护模式作深入的研究。</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4.1.7</w:t>
      </w:r>
      <w:r>
        <w:rPr>
          <w:rFonts w:hint="eastAsia" w:ascii="宋体" w:hAnsi="宋体" w:cs="宋体"/>
          <w:snapToGrid w:val="0"/>
          <w:sz w:val="21"/>
          <w:szCs w:val="21"/>
        </w:rPr>
        <w:t>在水质自动监测系统运营及管理期间，运营方拥有管理自主权，但没有对外经营权。</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4.1.8</w:t>
      </w:r>
      <w:r>
        <w:rPr>
          <w:rFonts w:hint="eastAsia" w:ascii="宋体" w:hAnsi="宋体" w:cs="宋体"/>
          <w:snapToGrid w:val="0"/>
          <w:sz w:val="21"/>
          <w:szCs w:val="21"/>
        </w:rPr>
        <w:t>在水质自动监测系统运营及管理期间，运营方应严格按照业主制订的操作规范和规章制度，对所管理的系统及仪器设备进行规范操作和精心维护及必要维修，保证系统及仪器设备的正常运行，达到业主提出的系统及仪器设备考核指标要求。运营方须接受业主代表的定期或不定期检查和考核。</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4.1.9</w:t>
      </w:r>
      <w:r>
        <w:rPr>
          <w:rFonts w:hint="eastAsia" w:ascii="宋体" w:hAnsi="宋体" w:cs="宋体"/>
          <w:snapToGrid w:val="0"/>
          <w:sz w:val="21"/>
          <w:szCs w:val="21"/>
        </w:rPr>
        <w:t>不论何时，运营方都应承担监测数据的保密责任；运营方按照业主的要求，进行报告和传输有关的监测数据，均不得向外界传递任何监测数据。</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4.1.10</w:t>
      </w:r>
      <w:r>
        <w:rPr>
          <w:rFonts w:hint="eastAsia" w:ascii="宋体" w:hAnsi="宋体" w:cs="宋体"/>
          <w:snapToGrid w:val="0"/>
          <w:sz w:val="21"/>
          <w:szCs w:val="21"/>
        </w:rPr>
        <w:t>不论何时，运营方无权将业主的任何资产进行对外投资、合作、经济担保及资产抵押。</w:t>
      </w:r>
    </w:p>
    <w:p>
      <w:pPr>
        <w:widowControl/>
        <w:adjustRightInd w:val="0"/>
        <w:snapToGrid w:val="0"/>
        <w:spacing w:line="360" w:lineRule="auto"/>
        <w:ind w:firstLine="422" w:firstLineChars="200"/>
        <w:rPr>
          <w:rFonts w:ascii="宋体"/>
          <w:b/>
          <w:bCs/>
          <w:snapToGrid w:val="0"/>
          <w:sz w:val="21"/>
          <w:szCs w:val="21"/>
        </w:rPr>
      </w:pPr>
      <w:r>
        <w:rPr>
          <w:rFonts w:ascii="宋体" w:hAnsi="宋体" w:cs="宋体"/>
          <w:b/>
          <w:bCs/>
          <w:snapToGrid w:val="0"/>
          <w:sz w:val="21"/>
          <w:szCs w:val="21"/>
        </w:rPr>
        <w:t xml:space="preserve">4.2 </w:t>
      </w:r>
      <w:r>
        <w:rPr>
          <w:rFonts w:hint="eastAsia" w:ascii="宋体" w:hAnsi="宋体" w:cs="宋体"/>
          <w:b/>
          <w:bCs/>
          <w:snapToGrid w:val="0"/>
          <w:sz w:val="21"/>
          <w:szCs w:val="21"/>
        </w:rPr>
        <w:t>对运营方提供服务的要求</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4.2.1 </w:t>
      </w:r>
      <w:r>
        <w:rPr>
          <w:rFonts w:hint="eastAsia" w:ascii="宋体" w:hAnsi="宋体" w:cs="宋体"/>
          <w:snapToGrid w:val="0"/>
          <w:sz w:val="21"/>
          <w:szCs w:val="21"/>
        </w:rPr>
        <w:t>取水部分</w:t>
      </w:r>
    </w:p>
    <w:p>
      <w:pPr>
        <w:widowControl/>
        <w:adjustRightInd w:val="0"/>
        <w:snapToGrid w:val="0"/>
        <w:spacing w:line="360" w:lineRule="auto"/>
        <w:ind w:firstLine="420" w:firstLineChars="200"/>
        <w:rPr>
          <w:rFonts w:ascii="宋体"/>
          <w:snapToGrid w:val="0"/>
          <w:sz w:val="21"/>
          <w:szCs w:val="21"/>
        </w:rPr>
      </w:pPr>
      <w:r>
        <w:rPr>
          <w:rFonts w:hint="eastAsia" w:ascii="宋体" w:hAnsi="宋体" w:cs="宋体"/>
          <w:snapToGrid w:val="0"/>
          <w:sz w:val="21"/>
          <w:szCs w:val="21"/>
        </w:rPr>
        <w:t>保证取水设备与水体接触部分清洁无杂物缠绕。定期测试取样水泵，保证水样抽取正常。取水管道每年更换一次。</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4.2.2 </w:t>
      </w:r>
      <w:r>
        <w:rPr>
          <w:rFonts w:hint="eastAsia" w:ascii="宋体" w:hAnsi="宋体" w:cs="宋体"/>
          <w:snapToGrid w:val="0"/>
          <w:sz w:val="21"/>
          <w:szCs w:val="21"/>
        </w:rPr>
        <w:t>预处理部分</w:t>
      </w:r>
    </w:p>
    <w:p>
      <w:pPr>
        <w:widowControl/>
        <w:adjustRightInd w:val="0"/>
        <w:snapToGrid w:val="0"/>
        <w:spacing w:line="360" w:lineRule="auto"/>
        <w:ind w:firstLine="420" w:firstLineChars="200"/>
        <w:rPr>
          <w:rFonts w:ascii="宋体"/>
          <w:snapToGrid w:val="0"/>
          <w:sz w:val="21"/>
          <w:szCs w:val="21"/>
        </w:rPr>
      </w:pPr>
      <w:r>
        <w:rPr>
          <w:rFonts w:hint="eastAsia" w:ascii="宋体" w:hAnsi="宋体" w:cs="宋体"/>
          <w:snapToGrid w:val="0"/>
          <w:sz w:val="21"/>
          <w:szCs w:val="21"/>
        </w:rPr>
        <w:t>保持预处理部分的清洁与正常处理效果。每周清洗预处理装置，每月更换易损备件，保证工作正常。</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4.2.3 </w:t>
      </w:r>
      <w:r>
        <w:rPr>
          <w:rFonts w:hint="eastAsia" w:ascii="宋体" w:hAnsi="宋体" w:cs="宋体"/>
          <w:snapToGrid w:val="0"/>
          <w:sz w:val="21"/>
          <w:szCs w:val="21"/>
        </w:rPr>
        <w:t>电气控制部分</w:t>
      </w:r>
    </w:p>
    <w:p>
      <w:pPr>
        <w:widowControl/>
        <w:adjustRightInd w:val="0"/>
        <w:snapToGrid w:val="0"/>
        <w:spacing w:line="360" w:lineRule="auto"/>
        <w:ind w:firstLine="420" w:firstLineChars="200"/>
        <w:rPr>
          <w:rFonts w:ascii="宋体"/>
          <w:snapToGrid w:val="0"/>
          <w:sz w:val="21"/>
          <w:szCs w:val="21"/>
        </w:rPr>
      </w:pPr>
      <w:r>
        <w:rPr>
          <w:rFonts w:hint="eastAsia" w:ascii="宋体" w:hAnsi="宋体" w:cs="宋体"/>
          <w:snapToGrid w:val="0"/>
          <w:sz w:val="21"/>
          <w:szCs w:val="21"/>
        </w:rPr>
        <w:t>可根据用户需求改变采样频率或</w:t>
      </w:r>
      <w:r>
        <w:rPr>
          <w:rFonts w:ascii="宋体" w:hAnsi="宋体" w:cs="宋体"/>
          <w:snapToGrid w:val="0"/>
          <w:sz w:val="21"/>
          <w:szCs w:val="21"/>
        </w:rPr>
        <w:t>PLC</w:t>
      </w:r>
      <w:r>
        <w:rPr>
          <w:rFonts w:hint="eastAsia" w:ascii="宋体" w:hAnsi="宋体" w:cs="宋体"/>
          <w:snapToGrid w:val="0"/>
          <w:sz w:val="21"/>
          <w:szCs w:val="21"/>
        </w:rPr>
        <w:t>程序。每周检修各类自控阀门，保证工作正常。</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4.2.4 </w:t>
      </w:r>
      <w:r>
        <w:rPr>
          <w:rFonts w:hint="eastAsia" w:ascii="宋体" w:hAnsi="宋体" w:cs="宋体"/>
          <w:snapToGrid w:val="0"/>
          <w:sz w:val="21"/>
          <w:szCs w:val="21"/>
        </w:rPr>
        <w:t>仪表部分</w:t>
      </w:r>
    </w:p>
    <w:p>
      <w:pPr>
        <w:widowControl/>
        <w:adjustRightInd w:val="0"/>
        <w:snapToGrid w:val="0"/>
        <w:spacing w:line="360" w:lineRule="auto"/>
        <w:ind w:firstLine="420" w:firstLineChars="200"/>
        <w:rPr>
          <w:rFonts w:ascii="宋体"/>
          <w:snapToGrid w:val="0"/>
          <w:sz w:val="21"/>
          <w:szCs w:val="21"/>
        </w:rPr>
      </w:pPr>
      <w:r>
        <w:rPr>
          <w:rFonts w:hint="eastAsia" w:ascii="宋体" w:hAnsi="宋体" w:cs="宋体"/>
          <w:snapToGrid w:val="0"/>
          <w:sz w:val="21"/>
          <w:szCs w:val="21"/>
        </w:rPr>
        <w:t>定期配制并更换试剂，确保试剂在保质期内使用。定期更换易损备件和电极液。定期清洗仪表电极、管道、测量室、阀门及其他与水样、试剂接触的零件。</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4.2.5 </w:t>
      </w:r>
      <w:r>
        <w:rPr>
          <w:rFonts w:hint="eastAsia" w:ascii="宋体" w:hAnsi="宋体" w:cs="宋体"/>
          <w:snapToGrid w:val="0"/>
          <w:sz w:val="21"/>
          <w:szCs w:val="21"/>
        </w:rPr>
        <w:t>数据传输部分</w:t>
      </w:r>
    </w:p>
    <w:p>
      <w:pPr>
        <w:widowControl/>
        <w:adjustRightInd w:val="0"/>
        <w:snapToGrid w:val="0"/>
        <w:spacing w:line="360" w:lineRule="auto"/>
        <w:ind w:firstLine="420" w:firstLineChars="200"/>
        <w:rPr>
          <w:rFonts w:ascii="宋体"/>
          <w:snapToGrid w:val="0"/>
          <w:sz w:val="21"/>
          <w:szCs w:val="21"/>
        </w:rPr>
      </w:pPr>
      <w:r>
        <w:rPr>
          <w:rFonts w:hint="eastAsia" w:ascii="宋体" w:hAnsi="宋体" w:cs="宋体"/>
          <w:snapToGrid w:val="0"/>
          <w:sz w:val="21"/>
          <w:szCs w:val="21"/>
        </w:rPr>
        <w:t>专人</w:t>
      </w:r>
      <w:r>
        <w:rPr>
          <w:rFonts w:ascii="宋体" w:hAnsi="宋体" w:cs="宋体"/>
          <w:snapToGrid w:val="0"/>
          <w:sz w:val="21"/>
          <w:szCs w:val="21"/>
        </w:rPr>
        <w:t>24</w:t>
      </w:r>
      <w:r>
        <w:rPr>
          <w:rFonts w:hint="eastAsia" w:ascii="宋体" w:hAnsi="宋体" w:cs="宋体"/>
          <w:snapToGrid w:val="0"/>
          <w:sz w:val="21"/>
          <w:szCs w:val="21"/>
        </w:rPr>
        <w:t>小时负责监控数据传输，发现数据异常或仪器故障，须第一时间赶赴现场确认数据是否准确，并即时向业主报告；发现传输异常或数据平台有问题时，须即时解决并即时向业主报告。</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4.2.6 </w:t>
      </w:r>
      <w:r>
        <w:rPr>
          <w:rFonts w:hint="eastAsia" w:ascii="宋体" w:hAnsi="宋体" w:cs="宋体"/>
          <w:snapToGrid w:val="0"/>
          <w:sz w:val="21"/>
          <w:szCs w:val="21"/>
        </w:rPr>
        <w:t>其他部分</w:t>
      </w:r>
    </w:p>
    <w:p>
      <w:pPr>
        <w:widowControl/>
        <w:adjustRightInd w:val="0"/>
        <w:snapToGrid w:val="0"/>
        <w:spacing w:line="360" w:lineRule="auto"/>
        <w:ind w:firstLine="420" w:firstLineChars="200"/>
        <w:rPr>
          <w:rFonts w:ascii="宋体"/>
          <w:snapToGrid w:val="0"/>
          <w:sz w:val="21"/>
          <w:szCs w:val="21"/>
        </w:rPr>
      </w:pPr>
      <w:r>
        <w:rPr>
          <w:rFonts w:hint="eastAsia" w:ascii="宋体" w:hAnsi="宋体" w:cs="宋体"/>
          <w:snapToGrid w:val="0"/>
          <w:sz w:val="21"/>
          <w:szCs w:val="21"/>
        </w:rPr>
        <w:t>每周定期维护空压机、发电机、纯水器；每周定期检查测试电源稳压器。</w:t>
      </w:r>
    </w:p>
    <w:p>
      <w:pPr>
        <w:widowControl/>
        <w:adjustRightInd w:val="0"/>
        <w:snapToGrid w:val="0"/>
        <w:spacing w:line="360" w:lineRule="auto"/>
        <w:ind w:firstLine="422" w:firstLineChars="200"/>
        <w:rPr>
          <w:rFonts w:ascii="宋体"/>
          <w:b/>
          <w:bCs/>
          <w:snapToGrid w:val="0"/>
          <w:sz w:val="21"/>
          <w:szCs w:val="21"/>
        </w:rPr>
      </w:pPr>
      <w:r>
        <w:rPr>
          <w:rFonts w:ascii="宋体" w:hAnsi="宋体" w:cs="宋体"/>
          <w:b/>
          <w:bCs/>
          <w:snapToGrid w:val="0"/>
          <w:sz w:val="21"/>
          <w:szCs w:val="21"/>
        </w:rPr>
        <w:t xml:space="preserve">4.3 </w:t>
      </w:r>
      <w:r>
        <w:rPr>
          <w:rFonts w:hint="eastAsia" w:ascii="宋体" w:hAnsi="宋体" w:cs="宋体"/>
          <w:b/>
          <w:bCs/>
          <w:snapToGrid w:val="0"/>
          <w:sz w:val="21"/>
          <w:szCs w:val="21"/>
        </w:rPr>
        <w:t>对运营方的装备要求</w:t>
      </w:r>
    </w:p>
    <w:p>
      <w:pPr>
        <w:widowControl/>
        <w:adjustRightInd w:val="0"/>
        <w:snapToGrid w:val="0"/>
        <w:spacing w:line="360" w:lineRule="auto"/>
        <w:ind w:firstLine="420" w:firstLineChars="200"/>
        <w:jc w:val="left"/>
        <w:rPr>
          <w:rFonts w:ascii="宋体"/>
          <w:snapToGrid w:val="0"/>
          <w:sz w:val="21"/>
          <w:szCs w:val="21"/>
        </w:rPr>
      </w:pPr>
      <w:r>
        <w:rPr>
          <w:rFonts w:ascii="宋体" w:hAnsi="宋体" w:cs="宋体"/>
          <w:snapToGrid w:val="0"/>
          <w:sz w:val="21"/>
          <w:szCs w:val="21"/>
        </w:rPr>
        <w:t xml:space="preserve">4.3.1 </w:t>
      </w:r>
      <w:r>
        <w:rPr>
          <w:rFonts w:hint="eastAsia" w:ascii="宋体" w:hAnsi="宋体" w:cs="宋体"/>
          <w:snapToGrid w:val="0"/>
          <w:sz w:val="21"/>
          <w:szCs w:val="21"/>
        </w:rPr>
        <w:t>运营方应具有水质自动监测系统的分析仪表备用机，在仪表发生故障不能在短期内维修完毕时可直接使用备用机替代工作（期间发生的费用另计），所提供的备用机需提供国内用户名录；备用机应具有中华人民共和国计量器具型式批准证书；具有环保部环保产品认证证书并通过中国环境监测总站检测合格。</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4.3.2 </w:t>
      </w:r>
      <w:r>
        <w:rPr>
          <w:rFonts w:hint="eastAsia" w:ascii="宋体" w:hAnsi="宋体" w:cs="宋体"/>
          <w:snapToGrid w:val="0"/>
          <w:sz w:val="21"/>
          <w:szCs w:val="21"/>
        </w:rPr>
        <w:t>运营方应具有水质自动系统常规参数（如五参数）的国际知名品牌的便携式仪器，可在需要时用于水站的比对考核。</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4.3.3 </w:t>
      </w:r>
      <w:r>
        <w:rPr>
          <w:rFonts w:hint="eastAsia" w:ascii="宋体" w:hAnsi="宋体" w:cs="宋体"/>
          <w:snapToGrid w:val="0"/>
          <w:sz w:val="21"/>
          <w:szCs w:val="21"/>
        </w:rPr>
        <w:t>运营方应在广东省内配备专业人员，巡检人员须配备专用工具，包括便携式电脑、万用表、远程数据查询系统等；同时，还须配备通讯调试工具，包括各种硬件接口线、改线工具、接口调试软件及常用零部件等。</w:t>
      </w:r>
    </w:p>
    <w:p>
      <w:pPr>
        <w:widowControl/>
        <w:adjustRightInd w:val="0"/>
        <w:snapToGrid w:val="0"/>
        <w:spacing w:line="360" w:lineRule="auto"/>
        <w:ind w:firstLine="422" w:firstLineChars="200"/>
        <w:rPr>
          <w:rFonts w:ascii="宋体"/>
          <w:b/>
          <w:bCs/>
          <w:snapToGrid w:val="0"/>
          <w:sz w:val="21"/>
          <w:szCs w:val="21"/>
        </w:rPr>
      </w:pPr>
      <w:r>
        <w:rPr>
          <w:rFonts w:ascii="宋体" w:hAnsi="宋体" w:cs="宋体"/>
          <w:b/>
          <w:bCs/>
          <w:snapToGrid w:val="0"/>
          <w:sz w:val="21"/>
          <w:szCs w:val="21"/>
        </w:rPr>
        <w:t xml:space="preserve">4.4 </w:t>
      </w:r>
      <w:r>
        <w:rPr>
          <w:rFonts w:hint="eastAsia" w:ascii="宋体" w:hAnsi="宋体" w:cs="宋体"/>
          <w:b/>
          <w:bCs/>
          <w:snapToGrid w:val="0"/>
          <w:sz w:val="21"/>
          <w:szCs w:val="21"/>
        </w:rPr>
        <w:t>对运营方的运营管理要求</w:t>
      </w:r>
    </w:p>
    <w:p>
      <w:pPr>
        <w:widowControl/>
        <w:adjustRightInd w:val="0"/>
        <w:snapToGrid w:val="0"/>
        <w:spacing w:line="360" w:lineRule="auto"/>
        <w:ind w:firstLine="420" w:firstLineChars="200"/>
        <w:rPr>
          <w:rFonts w:ascii="宋体"/>
          <w:snapToGrid w:val="0"/>
          <w:sz w:val="21"/>
          <w:szCs w:val="21"/>
        </w:rPr>
      </w:pPr>
      <w:r>
        <w:rPr>
          <w:rFonts w:hint="eastAsia" w:ascii="宋体" w:hAnsi="宋体" w:cs="宋体"/>
          <w:snapToGrid w:val="0"/>
          <w:sz w:val="21"/>
          <w:szCs w:val="21"/>
        </w:rPr>
        <w:t>★</w:t>
      </w:r>
      <w:r>
        <w:rPr>
          <w:rFonts w:ascii="宋体" w:hAnsi="宋体" w:cs="宋体"/>
          <w:snapToGrid w:val="0"/>
          <w:sz w:val="21"/>
          <w:szCs w:val="21"/>
        </w:rPr>
        <w:t>4.4.1</w:t>
      </w:r>
      <w:r>
        <w:rPr>
          <w:rFonts w:hint="eastAsia" w:ascii="宋体" w:hAnsi="宋体" w:cs="宋体"/>
          <w:snapToGrid w:val="0"/>
          <w:sz w:val="21"/>
          <w:szCs w:val="21"/>
        </w:rPr>
        <w:t>代维管理期内，运营方应确保有效数据捕获率≥</w:t>
      </w:r>
      <w:r>
        <w:rPr>
          <w:rFonts w:ascii="宋体" w:hAnsi="宋体" w:cs="宋体"/>
          <w:snapToGrid w:val="0"/>
          <w:sz w:val="21"/>
          <w:szCs w:val="21"/>
        </w:rPr>
        <w:t>85%</w:t>
      </w:r>
      <w:r>
        <w:rPr>
          <w:rFonts w:hint="eastAsia" w:ascii="宋体" w:hAnsi="宋体" w:cs="宋体"/>
          <w:snapToGrid w:val="0"/>
          <w:sz w:val="21"/>
          <w:szCs w:val="21"/>
        </w:rPr>
        <w:t>（以月考核，除去停水、停电、性能测试及其他不可抗力因素引起的故障）。</w:t>
      </w:r>
    </w:p>
    <w:p>
      <w:pPr>
        <w:widowControl/>
        <w:adjustRightInd w:val="0"/>
        <w:snapToGrid w:val="0"/>
        <w:spacing w:line="360" w:lineRule="auto"/>
        <w:ind w:firstLine="420" w:firstLineChars="200"/>
        <w:rPr>
          <w:rFonts w:ascii="宋体"/>
          <w:snapToGrid w:val="0"/>
          <w:sz w:val="21"/>
          <w:szCs w:val="21"/>
        </w:rPr>
      </w:pPr>
      <w:r>
        <w:rPr>
          <w:rFonts w:hint="eastAsia" w:ascii="宋体" w:hAnsi="宋体" w:cs="宋体"/>
          <w:snapToGrid w:val="0"/>
          <w:sz w:val="21"/>
          <w:szCs w:val="21"/>
        </w:rPr>
        <w:t>仪表准确度运营要求：五参数仪表≤±</w:t>
      </w:r>
      <w:r>
        <w:rPr>
          <w:rFonts w:ascii="宋体" w:hAnsi="宋体" w:cs="宋体"/>
          <w:snapToGrid w:val="0"/>
          <w:sz w:val="21"/>
          <w:szCs w:val="21"/>
        </w:rPr>
        <w:t>10</w:t>
      </w:r>
      <w:r>
        <w:rPr>
          <w:rFonts w:hint="eastAsia" w:ascii="宋体" w:hAnsi="宋体" w:cs="宋体"/>
          <w:snapToGrid w:val="0"/>
          <w:sz w:val="21"/>
          <w:szCs w:val="21"/>
        </w:rPr>
        <w:t>％，其他仪表≤±</w:t>
      </w:r>
      <w:r>
        <w:rPr>
          <w:rFonts w:ascii="宋体" w:hAnsi="宋体" w:cs="宋体"/>
          <w:snapToGrid w:val="0"/>
          <w:sz w:val="21"/>
          <w:szCs w:val="21"/>
        </w:rPr>
        <w:t>15%</w:t>
      </w:r>
      <w:r>
        <w:rPr>
          <w:rFonts w:hint="eastAsia" w:ascii="宋体" w:hAnsi="宋体" w:cs="宋体"/>
          <w:snapToGrid w:val="0"/>
          <w:sz w:val="21"/>
          <w:szCs w:val="21"/>
        </w:rPr>
        <w:t>（相对误差）。</w:t>
      </w:r>
    </w:p>
    <w:p>
      <w:pPr>
        <w:widowControl/>
        <w:adjustRightInd w:val="0"/>
        <w:snapToGrid w:val="0"/>
        <w:spacing w:line="360" w:lineRule="auto"/>
        <w:ind w:firstLine="420" w:firstLineChars="200"/>
        <w:rPr>
          <w:rFonts w:ascii="宋体"/>
          <w:snapToGrid w:val="0"/>
          <w:sz w:val="21"/>
          <w:szCs w:val="21"/>
        </w:rPr>
      </w:pPr>
      <w:r>
        <w:rPr>
          <w:rFonts w:hint="eastAsia" w:ascii="宋体" w:hAnsi="宋体" w:cs="宋体"/>
          <w:snapToGrid w:val="0"/>
          <w:sz w:val="21"/>
          <w:szCs w:val="21"/>
        </w:rPr>
        <w:t>仪表精密度运营要求：全部仪表≤±</w:t>
      </w:r>
      <w:r>
        <w:rPr>
          <w:rFonts w:ascii="宋体" w:hAnsi="宋体" w:cs="宋体"/>
          <w:snapToGrid w:val="0"/>
          <w:sz w:val="21"/>
          <w:szCs w:val="21"/>
        </w:rPr>
        <w:t>5%</w:t>
      </w:r>
      <w:r>
        <w:rPr>
          <w:rFonts w:hint="eastAsia" w:ascii="宋体" w:hAnsi="宋体" w:cs="宋体"/>
          <w:snapToGrid w:val="0"/>
          <w:sz w:val="21"/>
          <w:szCs w:val="21"/>
        </w:rPr>
        <w:t>（测定</w:t>
      </w:r>
      <w:r>
        <w:rPr>
          <w:rFonts w:ascii="宋体" w:hAnsi="宋体" w:cs="宋体"/>
          <w:snapToGrid w:val="0"/>
          <w:sz w:val="21"/>
          <w:szCs w:val="21"/>
        </w:rPr>
        <w:t>8</w:t>
      </w:r>
      <w:r>
        <w:rPr>
          <w:rFonts w:hint="eastAsia" w:ascii="宋体" w:hAnsi="宋体" w:cs="宋体"/>
          <w:snapToGrid w:val="0"/>
          <w:sz w:val="21"/>
          <w:szCs w:val="21"/>
        </w:rPr>
        <w:t>次的相对标准偏差）。</w:t>
      </w:r>
    </w:p>
    <w:p>
      <w:pPr>
        <w:widowControl/>
        <w:adjustRightInd w:val="0"/>
        <w:snapToGrid w:val="0"/>
        <w:spacing w:line="360" w:lineRule="auto"/>
        <w:ind w:firstLine="420" w:firstLineChars="200"/>
        <w:rPr>
          <w:rFonts w:ascii="宋体"/>
          <w:snapToGrid w:val="0"/>
          <w:sz w:val="21"/>
          <w:szCs w:val="21"/>
        </w:rPr>
      </w:pPr>
      <w:r>
        <w:rPr>
          <w:rFonts w:hint="eastAsia" w:ascii="宋体" w:hAnsi="宋体" w:cs="宋体"/>
          <w:snapToGrid w:val="0"/>
          <w:sz w:val="21"/>
          <w:szCs w:val="21"/>
        </w:rPr>
        <w:t>★</w:t>
      </w:r>
      <w:r>
        <w:rPr>
          <w:rFonts w:ascii="宋体" w:hAnsi="宋体" w:cs="宋体"/>
          <w:snapToGrid w:val="0"/>
          <w:sz w:val="21"/>
          <w:szCs w:val="21"/>
        </w:rPr>
        <w:t>4.4.2</w:t>
      </w:r>
      <w:r>
        <w:rPr>
          <w:rFonts w:hint="eastAsia" w:ascii="宋体" w:hAnsi="宋体" w:cs="宋体"/>
          <w:snapToGrid w:val="0"/>
          <w:sz w:val="21"/>
          <w:szCs w:val="21"/>
        </w:rPr>
        <w:t>系统出现故障时，运营方应在</w:t>
      </w:r>
      <w:r>
        <w:rPr>
          <w:rFonts w:ascii="宋体" w:hAnsi="宋体" w:cs="宋体"/>
          <w:snapToGrid w:val="0"/>
          <w:sz w:val="21"/>
          <w:szCs w:val="21"/>
        </w:rPr>
        <w:t>12</w:t>
      </w:r>
      <w:r>
        <w:rPr>
          <w:rFonts w:hint="eastAsia" w:ascii="宋体" w:hAnsi="宋体" w:cs="宋体"/>
          <w:snapToGrid w:val="0"/>
          <w:sz w:val="21"/>
          <w:szCs w:val="21"/>
        </w:rPr>
        <w:t>小时内到达现场检修，如</w:t>
      </w:r>
      <w:r>
        <w:rPr>
          <w:rFonts w:ascii="宋体" w:hAnsi="宋体" w:cs="宋体"/>
          <w:snapToGrid w:val="0"/>
          <w:sz w:val="21"/>
          <w:szCs w:val="21"/>
        </w:rPr>
        <w:t>48</w:t>
      </w:r>
      <w:r>
        <w:rPr>
          <w:rFonts w:hint="eastAsia" w:ascii="宋体" w:hAnsi="宋体" w:cs="宋体"/>
          <w:snapToGrid w:val="0"/>
          <w:sz w:val="21"/>
          <w:szCs w:val="21"/>
        </w:rPr>
        <w:t>小时内无法排除故障，可在满足</w:t>
      </w:r>
      <w:r>
        <w:rPr>
          <w:rFonts w:ascii="宋体" w:hAnsi="宋体" w:cs="宋体"/>
          <w:snapToGrid w:val="0"/>
          <w:sz w:val="21"/>
          <w:szCs w:val="21"/>
        </w:rPr>
        <w:t>5.3</w:t>
      </w:r>
      <w:r>
        <w:rPr>
          <w:rFonts w:hint="eastAsia" w:ascii="宋体" w:hAnsi="宋体" w:cs="宋体"/>
          <w:snapToGrid w:val="0"/>
          <w:sz w:val="21"/>
          <w:szCs w:val="21"/>
        </w:rPr>
        <w:t>有关要求时，直接使用备用机替代工作，并报告业主协商处理方案。</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4.4.3 </w:t>
      </w:r>
      <w:r>
        <w:rPr>
          <w:rFonts w:hint="eastAsia" w:ascii="宋体" w:hAnsi="宋体" w:cs="宋体"/>
          <w:snapToGrid w:val="0"/>
          <w:sz w:val="21"/>
          <w:szCs w:val="21"/>
        </w:rPr>
        <w:t>运营方应提供完整的水质自动监测系统运营管理实施方案。</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4.4.4 </w:t>
      </w:r>
      <w:r>
        <w:rPr>
          <w:rFonts w:hint="eastAsia" w:ascii="宋体" w:hAnsi="宋体" w:cs="宋体"/>
          <w:snapToGrid w:val="0"/>
          <w:sz w:val="21"/>
          <w:szCs w:val="21"/>
        </w:rPr>
        <w:t>运营方应列明水质自动监测系统运营及管理期间的各项费用预算开资</w:t>
      </w:r>
      <w:bookmarkStart w:id="3" w:name="OLE_LINK4"/>
      <w:bookmarkStart w:id="4" w:name="OLE_LINK3"/>
      <w:r>
        <w:rPr>
          <w:rFonts w:hint="eastAsia" w:ascii="宋体" w:hAnsi="宋体" w:cs="宋体"/>
          <w:snapToGrid w:val="0"/>
          <w:sz w:val="21"/>
          <w:szCs w:val="21"/>
        </w:rPr>
        <w:t>。</w:t>
      </w:r>
      <w:bookmarkEnd w:id="3"/>
      <w:bookmarkEnd w:id="4"/>
    </w:p>
    <w:p>
      <w:pPr>
        <w:widowControl/>
        <w:adjustRightInd w:val="0"/>
        <w:snapToGrid w:val="0"/>
        <w:spacing w:line="360" w:lineRule="auto"/>
        <w:ind w:firstLine="420" w:firstLineChars="200"/>
        <w:rPr>
          <w:rFonts w:ascii="宋体"/>
          <w:snapToGrid w:val="0"/>
          <w:color w:val="FF0000"/>
          <w:sz w:val="21"/>
          <w:szCs w:val="21"/>
        </w:rPr>
      </w:pPr>
      <w:r>
        <w:rPr>
          <w:rFonts w:ascii="宋体" w:hAnsi="宋体" w:cs="宋体"/>
          <w:snapToGrid w:val="0"/>
          <w:color w:val="FF0000"/>
          <w:sz w:val="21"/>
          <w:szCs w:val="21"/>
        </w:rPr>
        <w:t xml:space="preserve">4.4.5 </w:t>
      </w:r>
      <w:r>
        <w:rPr>
          <w:rFonts w:hint="eastAsia" w:ascii="宋体" w:hAnsi="宋体" w:cs="宋体"/>
          <w:snapToGrid w:val="0"/>
          <w:color w:val="FF0000"/>
          <w:sz w:val="21"/>
          <w:szCs w:val="21"/>
        </w:rPr>
        <w:t>运营方需</w:t>
      </w:r>
      <w:r>
        <w:rPr>
          <w:rFonts w:hint="eastAsia" w:ascii="宋体" w:hAnsi="宋体" w:cs="宋体"/>
          <w:snapToGrid w:val="0"/>
          <w:color w:val="FF0000"/>
          <w:sz w:val="21"/>
          <w:szCs w:val="21"/>
          <w:lang w:val="en-US" w:eastAsia="zh-CN"/>
        </w:rPr>
        <w:t>收集仪器产生的</w:t>
      </w:r>
      <w:r>
        <w:rPr>
          <w:rFonts w:hint="eastAsia" w:ascii="宋体" w:hAnsi="宋体" w:cs="宋体"/>
          <w:snapToGrid w:val="0"/>
          <w:color w:val="FF0000"/>
          <w:sz w:val="21"/>
          <w:szCs w:val="21"/>
        </w:rPr>
        <w:t>废液</w:t>
      </w:r>
      <w:r>
        <w:rPr>
          <w:rFonts w:hint="eastAsia" w:ascii="宋体" w:hAnsi="宋体" w:cs="宋体"/>
          <w:snapToGrid w:val="0"/>
          <w:color w:val="FF0000"/>
          <w:sz w:val="21"/>
          <w:szCs w:val="21"/>
          <w:lang w:val="en-US" w:eastAsia="zh-CN"/>
        </w:rPr>
        <w:t>并存放在站点</w:t>
      </w:r>
      <w:r>
        <w:rPr>
          <w:rFonts w:hint="eastAsia" w:ascii="宋体" w:hAnsi="宋体" w:cs="宋体"/>
          <w:snapToGrid w:val="0"/>
          <w:color w:val="FF0000"/>
          <w:sz w:val="21"/>
          <w:szCs w:val="21"/>
        </w:rPr>
        <w:t>。</w:t>
      </w:r>
    </w:p>
    <w:p>
      <w:pPr>
        <w:widowControl/>
        <w:adjustRightInd w:val="0"/>
        <w:snapToGrid w:val="0"/>
        <w:spacing w:line="360" w:lineRule="auto"/>
        <w:ind w:firstLine="422" w:firstLineChars="200"/>
        <w:rPr>
          <w:rFonts w:ascii="宋体"/>
          <w:b/>
          <w:bCs/>
          <w:snapToGrid w:val="0"/>
          <w:sz w:val="21"/>
          <w:szCs w:val="21"/>
        </w:rPr>
      </w:pPr>
      <w:r>
        <w:rPr>
          <w:rFonts w:ascii="宋体" w:hAnsi="宋体" w:cs="宋体"/>
          <w:b/>
          <w:bCs/>
          <w:snapToGrid w:val="0"/>
          <w:sz w:val="21"/>
          <w:szCs w:val="21"/>
        </w:rPr>
        <w:t>4.5</w:t>
      </w:r>
      <w:r>
        <w:rPr>
          <w:rFonts w:hint="eastAsia" w:ascii="宋体" w:hAnsi="宋体" w:cs="宋体"/>
          <w:b/>
          <w:bCs/>
          <w:snapToGrid w:val="0"/>
          <w:sz w:val="21"/>
          <w:szCs w:val="21"/>
        </w:rPr>
        <w:t>对运营方运营技术人员资质要求</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4.5.1</w:t>
      </w:r>
      <w:r>
        <w:rPr>
          <w:rFonts w:hint="eastAsia" w:ascii="宋体" w:hAnsi="宋体" w:cs="宋体"/>
          <w:snapToGrid w:val="0"/>
          <w:sz w:val="21"/>
          <w:szCs w:val="21"/>
        </w:rPr>
        <w:t>运营方负责运营的技术人员需进行定期培训，熟悉运营维护的使用技术与服务要求。</w:t>
      </w:r>
    </w:p>
    <w:p>
      <w:pPr>
        <w:widowControl/>
        <w:adjustRightInd w:val="0"/>
        <w:snapToGrid w:val="0"/>
        <w:spacing w:line="360" w:lineRule="auto"/>
        <w:rPr>
          <w:rFonts w:ascii="宋体"/>
          <w:b/>
          <w:bCs/>
          <w:snapToGrid w:val="0"/>
          <w:sz w:val="21"/>
          <w:szCs w:val="21"/>
        </w:rPr>
      </w:pPr>
      <w:r>
        <w:rPr>
          <w:rFonts w:ascii="宋体" w:hAnsi="宋体" w:cs="宋体"/>
          <w:b/>
          <w:bCs/>
          <w:snapToGrid w:val="0"/>
          <w:sz w:val="21"/>
          <w:szCs w:val="21"/>
        </w:rPr>
        <w:t xml:space="preserve">5. </w:t>
      </w:r>
      <w:r>
        <w:rPr>
          <w:rFonts w:hint="eastAsia" w:ascii="宋体" w:hAnsi="宋体" w:cs="宋体"/>
          <w:b/>
          <w:bCs/>
          <w:snapToGrid w:val="0"/>
          <w:sz w:val="21"/>
          <w:szCs w:val="21"/>
        </w:rPr>
        <w:t>技术规格和要求</w:t>
      </w:r>
    </w:p>
    <w:p>
      <w:pPr>
        <w:widowControl/>
        <w:adjustRightInd w:val="0"/>
        <w:snapToGrid w:val="0"/>
        <w:spacing w:line="360" w:lineRule="auto"/>
        <w:ind w:firstLine="422" w:firstLineChars="200"/>
        <w:rPr>
          <w:rFonts w:ascii="宋体"/>
          <w:b/>
          <w:bCs/>
          <w:snapToGrid w:val="0"/>
          <w:sz w:val="21"/>
          <w:szCs w:val="21"/>
        </w:rPr>
      </w:pPr>
      <w:r>
        <w:rPr>
          <w:rFonts w:ascii="宋体" w:hAnsi="宋体" w:cs="宋体"/>
          <w:b/>
          <w:bCs/>
          <w:snapToGrid w:val="0"/>
          <w:sz w:val="21"/>
          <w:szCs w:val="21"/>
        </w:rPr>
        <w:t>5.1</w:t>
      </w:r>
      <w:r>
        <w:rPr>
          <w:rFonts w:hint="eastAsia" w:ascii="宋体" w:hAnsi="宋体" w:cs="宋体"/>
          <w:b/>
          <w:bCs/>
          <w:snapToGrid w:val="0"/>
          <w:sz w:val="21"/>
          <w:szCs w:val="21"/>
        </w:rPr>
        <w:t>日常维护要求</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5.1.1</w:t>
      </w:r>
      <w:r>
        <w:rPr>
          <w:rFonts w:hint="eastAsia" w:ascii="宋体" w:hAnsi="宋体" w:cs="宋体"/>
          <w:snapToGrid w:val="0"/>
          <w:sz w:val="21"/>
          <w:szCs w:val="21"/>
        </w:rPr>
        <w:t>要求运营方每周对水站仪器至少进行一次标准溶液或标准样品核查，要求连续测定</w:t>
      </w:r>
      <w:r>
        <w:rPr>
          <w:rFonts w:ascii="宋体" w:hAnsi="宋体" w:cs="宋体"/>
          <w:snapToGrid w:val="0"/>
          <w:sz w:val="21"/>
          <w:szCs w:val="21"/>
        </w:rPr>
        <w:t>2</w:t>
      </w:r>
      <w:r>
        <w:rPr>
          <w:rFonts w:hint="eastAsia" w:ascii="宋体" w:hAnsi="宋体" w:cs="宋体"/>
          <w:snapToGrid w:val="0"/>
          <w:sz w:val="21"/>
          <w:szCs w:val="21"/>
        </w:rPr>
        <w:t>次，准确度不大于推荐值的±</w:t>
      </w:r>
      <w:r>
        <w:rPr>
          <w:rFonts w:ascii="宋体" w:hAnsi="宋体" w:cs="宋体"/>
          <w:snapToGrid w:val="0"/>
          <w:sz w:val="21"/>
          <w:szCs w:val="21"/>
        </w:rPr>
        <w:t>15%</w:t>
      </w:r>
      <w:r>
        <w:rPr>
          <w:rFonts w:hint="eastAsia" w:ascii="宋体" w:hAnsi="宋体" w:cs="宋体"/>
          <w:snapToGrid w:val="0"/>
          <w:sz w:val="21"/>
          <w:szCs w:val="21"/>
        </w:rPr>
        <w:t>，精密度相对标准偏差不大于±</w:t>
      </w:r>
      <w:r>
        <w:rPr>
          <w:rFonts w:ascii="宋体" w:hAnsi="宋体" w:cs="宋体"/>
          <w:snapToGrid w:val="0"/>
          <w:sz w:val="21"/>
          <w:szCs w:val="21"/>
        </w:rPr>
        <w:t>10%</w:t>
      </w:r>
      <w:r>
        <w:rPr>
          <w:rFonts w:hint="eastAsia" w:ascii="宋体" w:hAnsi="宋体" w:cs="宋体"/>
          <w:snapToGrid w:val="0"/>
          <w:sz w:val="21"/>
          <w:szCs w:val="21"/>
        </w:rPr>
        <w:t>，并将结果报业主方。如果核查不合格，需及时查找原因，进行整改直到合格为止，整改情况需及时报业主方。</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5.1.2</w:t>
      </w:r>
      <w:r>
        <w:rPr>
          <w:rFonts w:hint="eastAsia" w:ascii="宋体" w:hAnsi="宋体" w:cs="宋体"/>
          <w:snapToGrid w:val="0"/>
          <w:sz w:val="21"/>
          <w:szCs w:val="21"/>
        </w:rPr>
        <w:t>要求运营方参照</w:t>
      </w:r>
      <w:r>
        <w:rPr>
          <w:rFonts w:hint="eastAsia" w:ascii="宋体" w:hAnsi="宋体" w:cs="宋体"/>
        </w:rPr>
        <w:t>《地表水自动监测技术规范》（试行）</w:t>
      </w:r>
      <w:r>
        <w:rPr>
          <w:rFonts w:ascii="宋体" w:hAnsi="宋体" w:cs="宋体"/>
        </w:rPr>
        <w:t>HJ915-2017</w:t>
      </w:r>
      <w:r>
        <w:rPr>
          <w:rFonts w:hint="eastAsia" w:ascii="宋体" w:hAnsi="宋体" w:cs="宋体"/>
          <w:snapToGrid w:val="0"/>
          <w:sz w:val="21"/>
          <w:szCs w:val="21"/>
        </w:rPr>
        <w:t>每年两次对各水站的仪器开展性能测试，保证仪器在正常使用期内各性能指标符合标书要求，并将性能测试报告报业主方。</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5.1.3</w:t>
      </w:r>
      <w:r>
        <w:rPr>
          <w:rFonts w:hint="eastAsia" w:ascii="宋体" w:hAnsi="宋体" w:cs="宋体"/>
          <w:snapToGrid w:val="0"/>
          <w:sz w:val="21"/>
          <w:szCs w:val="21"/>
        </w:rPr>
        <w:t>要求运营方对校准、质控和异常等数据及时做出标识，并做好记录，以备抽查。</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5.1.4</w:t>
      </w:r>
      <w:r>
        <w:rPr>
          <w:rFonts w:hint="eastAsia" w:ascii="宋体" w:hAnsi="宋体" w:cs="宋体"/>
          <w:snapToGrid w:val="0"/>
          <w:sz w:val="21"/>
          <w:szCs w:val="21"/>
        </w:rPr>
        <w:t>要求运营方指定专人</w:t>
      </w:r>
      <w:r>
        <w:rPr>
          <w:rFonts w:ascii="宋体" w:hAnsi="宋体" w:cs="宋体"/>
          <w:snapToGrid w:val="0"/>
          <w:sz w:val="21"/>
          <w:szCs w:val="21"/>
        </w:rPr>
        <w:t>24</w:t>
      </w:r>
      <w:r>
        <w:rPr>
          <w:rFonts w:hint="eastAsia" w:ascii="宋体" w:hAnsi="宋体" w:cs="宋体"/>
          <w:snapToGrid w:val="0"/>
          <w:sz w:val="21"/>
          <w:szCs w:val="21"/>
        </w:rPr>
        <w:t>小时监视各水站实时监测数据，发现水质异常（水质较水环境功能区划目标变差两个级别，或有毒有害物质浓度出现异常升高）时，立即赶到现场与业主方进行联合排查，经核实确认水质污染后，即刻电话报告业主方负责人或值班人员，并于</w:t>
      </w:r>
      <w:r>
        <w:rPr>
          <w:rFonts w:ascii="宋体" w:hAnsi="宋体" w:cs="宋体"/>
          <w:snapToGrid w:val="0"/>
          <w:sz w:val="21"/>
          <w:szCs w:val="21"/>
        </w:rPr>
        <w:t>12</w:t>
      </w:r>
      <w:r>
        <w:rPr>
          <w:rFonts w:hint="eastAsia" w:ascii="宋体" w:hAnsi="宋体" w:cs="宋体"/>
          <w:snapToGrid w:val="0"/>
          <w:sz w:val="21"/>
          <w:szCs w:val="21"/>
        </w:rPr>
        <w:t>小时内以书面形式报告。</w:t>
      </w:r>
    </w:p>
    <w:p>
      <w:pPr>
        <w:widowControl/>
        <w:adjustRightInd w:val="0"/>
        <w:snapToGrid w:val="0"/>
        <w:spacing w:line="360" w:lineRule="auto"/>
        <w:ind w:firstLine="422" w:firstLineChars="200"/>
        <w:rPr>
          <w:rFonts w:ascii="宋体"/>
          <w:b/>
          <w:bCs/>
          <w:snapToGrid w:val="0"/>
          <w:sz w:val="21"/>
          <w:szCs w:val="21"/>
        </w:rPr>
      </w:pPr>
      <w:r>
        <w:rPr>
          <w:rFonts w:ascii="宋体" w:hAnsi="宋体" w:cs="宋体"/>
          <w:b/>
          <w:bCs/>
          <w:snapToGrid w:val="0"/>
          <w:sz w:val="21"/>
          <w:szCs w:val="21"/>
        </w:rPr>
        <w:t xml:space="preserve">5.2 </w:t>
      </w:r>
      <w:r>
        <w:rPr>
          <w:rFonts w:hint="eastAsia" w:ascii="宋体" w:hAnsi="宋体" w:cs="宋体"/>
          <w:b/>
          <w:bCs/>
          <w:snapToGrid w:val="0"/>
          <w:sz w:val="21"/>
          <w:szCs w:val="21"/>
        </w:rPr>
        <w:t>系统仪器故障处理要求</w:t>
      </w:r>
    </w:p>
    <w:p>
      <w:pPr>
        <w:widowControl/>
        <w:adjustRightInd w:val="0"/>
        <w:snapToGrid w:val="0"/>
        <w:spacing w:line="360" w:lineRule="auto"/>
        <w:ind w:firstLine="420" w:firstLineChars="200"/>
        <w:rPr>
          <w:rFonts w:ascii="宋体"/>
          <w:snapToGrid w:val="0"/>
          <w:sz w:val="21"/>
          <w:szCs w:val="21"/>
        </w:rPr>
      </w:pPr>
      <w:r>
        <w:rPr>
          <w:rFonts w:hint="eastAsia" w:ascii="宋体" w:hAnsi="宋体" w:cs="宋体"/>
          <w:snapToGrid w:val="0"/>
          <w:sz w:val="21"/>
          <w:szCs w:val="21"/>
        </w:rPr>
        <w:t>当系统仪器出现故障时，保证在</w:t>
      </w:r>
      <w:r>
        <w:rPr>
          <w:rFonts w:ascii="宋体" w:hAnsi="宋体" w:cs="宋体"/>
          <w:snapToGrid w:val="0"/>
          <w:sz w:val="21"/>
          <w:szCs w:val="21"/>
        </w:rPr>
        <w:t>12</w:t>
      </w:r>
      <w:r>
        <w:rPr>
          <w:rFonts w:hint="eastAsia" w:ascii="宋体" w:hAnsi="宋体" w:cs="宋体"/>
          <w:snapToGrid w:val="0"/>
          <w:sz w:val="21"/>
          <w:szCs w:val="21"/>
        </w:rPr>
        <w:t>小时内到达现场检修，如</w:t>
      </w:r>
      <w:r>
        <w:rPr>
          <w:rFonts w:ascii="宋体" w:hAnsi="宋体" w:cs="宋体"/>
          <w:snapToGrid w:val="0"/>
          <w:sz w:val="21"/>
          <w:szCs w:val="21"/>
        </w:rPr>
        <w:t>48</w:t>
      </w:r>
      <w:r>
        <w:rPr>
          <w:rFonts w:hint="eastAsia" w:ascii="宋体" w:hAnsi="宋体" w:cs="宋体"/>
          <w:snapToGrid w:val="0"/>
          <w:sz w:val="21"/>
          <w:szCs w:val="21"/>
        </w:rPr>
        <w:t>小时内无法排除故障，可在满足</w:t>
      </w:r>
      <w:r>
        <w:rPr>
          <w:rFonts w:ascii="宋体" w:hAnsi="宋体" w:cs="宋体"/>
          <w:snapToGrid w:val="0"/>
          <w:sz w:val="21"/>
          <w:szCs w:val="21"/>
        </w:rPr>
        <w:t>5.3</w:t>
      </w:r>
      <w:r>
        <w:rPr>
          <w:rFonts w:hint="eastAsia" w:ascii="宋体" w:hAnsi="宋体" w:cs="宋体"/>
          <w:snapToGrid w:val="0"/>
          <w:sz w:val="21"/>
          <w:szCs w:val="21"/>
        </w:rPr>
        <w:t>有关要求时，直接使用备用机替代工作，并及时以书面形式报告业主，协商解决方案。</w:t>
      </w:r>
    </w:p>
    <w:p>
      <w:pPr>
        <w:widowControl/>
        <w:adjustRightInd w:val="0"/>
        <w:snapToGrid w:val="0"/>
        <w:spacing w:line="360" w:lineRule="auto"/>
        <w:ind w:firstLine="422" w:firstLineChars="200"/>
        <w:rPr>
          <w:rFonts w:ascii="宋体"/>
          <w:b/>
          <w:bCs/>
          <w:snapToGrid w:val="0"/>
          <w:sz w:val="21"/>
          <w:szCs w:val="21"/>
        </w:rPr>
      </w:pPr>
      <w:r>
        <w:rPr>
          <w:rFonts w:ascii="宋体" w:hAnsi="宋体" w:cs="宋体"/>
          <w:b/>
          <w:bCs/>
          <w:snapToGrid w:val="0"/>
          <w:sz w:val="21"/>
          <w:szCs w:val="21"/>
        </w:rPr>
        <w:t xml:space="preserve">5.3 </w:t>
      </w:r>
      <w:r>
        <w:rPr>
          <w:rFonts w:hint="eastAsia" w:ascii="宋体" w:hAnsi="宋体" w:cs="宋体"/>
          <w:b/>
          <w:bCs/>
          <w:snapToGrid w:val="0"/>
          <w:sz w:val="21"/>
          <w:szCs w:val="21"/>
        </w:rPr>
        <w:t>仪器设备运行要求</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5.3.1</w:t>
      </w:r>
      <w:r>
        <w:rPr>
          <w:rFonts w:hint="eastAsia" w:ascii="宋体" w:hAnsi="宋体" w:cs="宋体"/>
          <w:snapToGrid w:val="0"/>
          <w:sz w:val="21"/>
          <w:szCs w:val="21"/>
        </w:rPr>
        <w:t>所有项目平均无故障连续运行时间≥</w:t>
      </w:r>
      <w:r>
        <w:rPr>
          <w:rFonts w:ascii="宋体" w:hAnsi="宋体" w:cs="宋体"/>
          <w:snapToGrid w:val="0"/>
          <w:sz w:val="21"/>
          <w:szCs w:val="21"/>
        </w:rPr>
        <w:t>720h/</w:t>
      </w:r>
      <w:r>
        <w:rPr>
          <w:rFonts w:hint="eastAsia" w:ascii="宋体" w:hAnsi="宋体" w:cs="宋体"/>
          <w:snapToGrid w:val="0"/>
          <w:sz w:val="21"/>
          <w:szCs w:val="21"/>
        </w:rPr>
        <w:t>次。</w:t>
      </w:r>
    </w:p>
    <w:p>
      <w:pPr>
        <w:widowControl/>
        <w:adjustRightInd w:val="0"/>
        <w:snapToGrid w:val="0"/>
        <w:spacing w:line="360" w:lineRule="auto"/>
        <w:ind w:firstLine="420" w:firstLineChars="200"/>
        <w:rPr>
          <w:rFonts w:hint="default" w:ascii="宋体" w:eastAsia="宋体"/>
          <w:snapToGrid w:val="0"/>
          <w:color w:val="FF0000"/>
          <w:sz w:val="21"/>
          <w:szCs w:val="21"/>
          <w:lang w:val="en-US" w:eastAsia="zh-CN"/>
        </w:rPr>
      </w:pPr>
      <w:r>
        <w:rPr>
          <w:rFonts w:ascii="宋体" w:hAnsi="宋体" w:cs="宋体"/>
          <w:snapToGrid w:val="0"/>
          <w:sz w:val="21"/>
          <w:szCs w:val="21"/>
        </w:rPr>
        <w:t>5.3.2</w:t>
      </w:r>
      <w:r>
        <w:rPr>
          <w:rFonts w:hint="eastAsia" w:ascii="宋体" w:hAnsi="宋体" w:cs="宋体"/>
          <w:snapToGrid w:val="0"/>
          <w:sz w:val="21"/>
          <w:szCs w:val="21"/>
        </w:rPr>
        <w:t>设备运转率应大于</w:t>
      </w:r>
      <w:r>
        <w:rPr>
          <w:rFonts w:ascii="宋体" w:hAnsi="宋体" w:cs="宋体"/>
          <w:snapToGrid w:val="0"/>
          <w:sz w:val="21"/>
          <w:szCs w:val="21"/>
        </w:rPr>
        <w:t>95%</w:t>
      </w:r>
      <w:r>
        <w:rPr>
          <w:rFonts w:hint="eastAsia" w:ascii="宋体" w:hAnsi="宋体" w:cs="宋体"/>
          <w:snapToGrid w:val="0"/>
          <w:sz w:val="21"/>
          <w:szCs w:val="21"/>
          <w:lang w:eastAsia="zh-CN"/>
        </w:rPr>
        <w:t>，</w:t>
      </w:r>
      <w:r>
        <w:rPr>
          <w:rFonts w:hint="eastAsia" w:ascii="宋体" w:hAnsi="宋体" w:cs="宋体"/>
          <w:snapToGrid w:val="0"/>
          <w:color w:val="FF0000"/>
          <w:sz w:val="21"/>
          <w:szCs w:val="21"/>
          <w:lang w:val="en-US" w:eastAsia="zh-CN"/>
        </w:rPr>
        <w:t>如停电、台风</w:t>
      </w:r>
      <w:r>
        <w:rPr>
          <w:rFonts w:hint="eastAsia" w:ascii="宋体" w:hAnsi="宋体" w:cs="宋体"/>
          <w:snapToGrid w:val="0"/>
          <w:color w:val="FF0000"/>
          <w:sz w:val="21"/>
          <w:szCs w:val="21"/>
          <w:lang w:val="en-US" w:eastAsia="zh-CN"/>
        </w:rPr>
        <w:t>暴雨</w:t>
      </w:r>
      <w:r>
        <w:rPr>
          <w:rFonts w:hint="eastAsia" w:ascii="宋体" w:hAnsi="宋体" w:cs="宋体"/>
          <w:snapToGrid w:val="0"/>
          <w:color w:val="FF0000"/>
          <w:sz w:val="21"/>
          <w:szCs w:val="21"/>
          <w:lang w:val="en-US" w:eastAsia="zh-CN"/>
        </w:rPr>
        <w:t>等自然灾害等自然灾害原因导致站点无法正常运行除外。</w:t>
      </w:r>
      <w:bookmarkStart w:id="5" w:name="_GoBack"/>
      <w:bookmarkEnd w:id="5"/>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5.3.3</w:t>
      </w:r>
      <w:r>
        <w:rPr>
          <w:rFonts w:hint="eastAsia" w:ascii="宋体" w:hAnsi="宋体" w:cs="宋体"/>
          <w:snapToGrid w:val="0"/>
          <w:sz w:val="21"/>
          <w:szCs w:val="21"/>
        </w:rPr>
        <w:t>代维方负责在运营期结束时，设备保持完好，在使用年限内（按国家规定</w:t>
      </w:r>
      <w:r>
        <w:rPr>
          <w:rFonts w:ascii="宋体" w:hAnsi="宋体" w:cs="宋体"/>
          <w:snapToGrid w:val="0"/>
          <w:sz w:val="21"/>
          <w:szCs w:val="21"/>
        </w:rPr>
        <w:t>6</w:t>
      </w:r>
      <w:r>
        <w:rPr>
          <w:rFonts w:hint="eastAsia" w:ascii="宋体" w:hAnsi="宋体" w:cs="宋体"/>
          <w:snapToGrid w:val="0"/>
          <w:sz w:val="21"/>
          <w:szCs w:val="21"/>
        </w:rPr>
        <w:t>年）的仪器设备性能测试指标、仪器设备维护及检修应满足《地表水自动监测技术规范》（试行）</w:t>
      </w:r>
      <w:r>
        <w:rPr>
          <w:rFonts w:ascii="宋体" w:hAnsi="宋体" w:cs="宋体"/>
          <w:snapToGrid w:val="0"/>
          <w:sz w:val="21"/>
          <w:szCs w:val="21"/>
        </w:rPr>
        <w:t>HJ915-2017</w:t>
      </w:r>
      <w:r>
        <w:rPr>
          <w:rFonts w:hint="eastAsia" w:ascii="宋体" w:hAnsi="宋体" w:cs="宋体"/>
          <w:snapToGrid w:val="0"/>
          <w:sz w:val="21"/>
          <w:szCs w:val="21"/>
        </w:rPr>
        <w:t>的要求。</w:t>
      </w:r>
    </w:p>
    <w:p>
      <w:pPr>
        <w:widowControl/>
        <w:adjustRightInd w:val="0"/>
        <w:snapToGrid w:val="0"/>
        <w:spacing w:line="360" w:lineRule="auto"/>
        <w:ind w:firstLine="420" w:firstLineChars="200"/>
        <w:rPr>
          <w:rFonts w:ascii="宋体"/>
          <w:b/>
          <w:bCs/>
          <w:snapToGrid w:val="0"/>
          <w:sz w:val="21"/>
          <w:szCs w:val="21"/>
        </w:rPr>
      </w:pPr>
      <w:r>
        <w:rPr>
          <w:rFonts w:hint="eastAsia" w:ascii="宋体" w:hAnsi="宋体" w:cs="宋体"/>
          <w:snapToGrid w:val="0"/>
          <w:sz w:val="21"/>
          <w:szCs w:val="21"/>
        </w:rPr>
        <w:t>★</w:t>
      </w:r>
      <w:r>
        <w:rPr>
          <w:rFonts w:ascii="宋体" w:hAnsi="宋体" w:cs="宋体"/>
          <w:b/>
          <w:bCs/>
          <w:snapToGrid w:val="0"/>
          <w:sz w:val="21"/>
          <w:szCs w:val="21"/>
        </w:rPr>
        <w:t xml:space="preserve">5.4 </w:t>
      </w:r>
      <w:r>
        <w:rPr>
          <w:rFonts w:hint="eastAsia" w:ascii="宋体" w:hAnsi="宋体" w:cs="宋体"/>
          <w:b/>
          <w:bCs/>
          <w:snapToGrid w:val="0"/>
          <w:sz w:val="21"/>
          <w:szCs w:val="21"/>
        </w:rPr>
        <w:t>监测数据要求</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5.4.1</w:t>
      </w:r>
      <w:r>
        <w:rPr>
          <w:rFonts w:hint="eastAsia" w:ascii="宋体" w:hAnsi="宋体" w:cs="宋体"/>
          <w:snapToGrid w:val="0"/>
          <w:sz w:val="21"/>
          <w:szCs w:val="21"/>
        </w:rPr>
        <w:t>监测数据应满足国家环境保护总局发布的</w:t>
      </w:r>
      <w:r>
        <w:rPr>
          <w:rFonts w:ascii="宋体" w:hAnsi="宋体" w:cs="宋体"/>
          <w:snapToGrid w:val="0"/>
          <w:sz w:val="21"/>
          <w:szCs w:val="21"/>
        </w:rPr>
        <w:t>HJ/T 96-2003</w:t>
      </w:r>
      <w:r>
        <w:rPr>
          <w:rFonts w:hint="eastAsia" w:ascii="宋体" w:hAnsi="宋体" w:cs="宋体"/>
          <w:snapToGrid w:val="0"/>
          <w:sz w:val="21"/>
          <w:szCs w:val="21"/>
        </w:rPr>
        <w:t>至</w:t>
      </w:r>
      <w:r>
        <w:rPr>
          <w:rFonts w:ascii="宋体" w:hAnsi="宋体" w:cs="宋体"/>
          <w:snapToGrid w:val="0"/>
          <w:sz w:val="21"/>
          <w:szCs w:val="21"/>
        </w:rPr>
        <w:t xml:space="preserve"> HJ/T 104-2003</w:t>
      </w:r>
      <w:r>
        <w:rPr>
          <w:rFonts w:hint="eastAsia" w:ascii="宋体" w:hAnsi="宋体" w:cs="宋体"/>
          <w:snapToGrid w:val="0"/>
          <w:sz w:val="21"/>
          <w:szCs w:val="21"/>
        </w:rPr>
        <w:t>的有关要求。</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5.4.2</w:t>
      </w:r>
      <w:r>
        <w:rPr>
          <w:rFonts w:hint="eastAsia" w:ascii="宋体" w:hAnsi="宋体" w:cs="宋体"/>
          <w:snapToGrid w:val="0"/>
          <w:sz w:val="21"/>
          <w:szCs w:val="21"/>
        </w:rPr>
        <w:t>五参数自动分析仪、高锰酸盐指数水质自动分析仪、总磷水质自动分析仪、氨氮水质自动分析仪、</w:t>
      </w:r>
      <w:r>
        <w:rPr>
          <w:rFonts w:hint="eastAsia" w:ascii="宋体" w:hAnsi="宋体" w:cs="宋体"/>
          <w:snapToGrid w:val="0"/>
          <w:color w:val="FF0000"/>
          <w:sz w:val="21"/>
          <w:szCs w:val="21"/>
          <w:lang w:val="en-US" w:eastAsia="zh-CN"/>
        </w:rPr>
        <w:t>化学需氧量</w:t>
      </w:r>
      <w:r>
        <w:rPr>
          <w:rFonts w:hint="eastAsia" w:ascii="宋体" w:hAnsi="宋体" w:cs="宋体"/>
          <w:snapToGrid w:val="0"/>
          <w:color w:val="FF0000"/>
          <w:sz w:val="21"/>
          <w:szCs w:val="21"/>
        </w:rPr>
        <w:t>自动分析仪</w:t>
      </w:r>
      <w:r>
        <w:rPr>
          <w:rFonts w:hint="eastAsia" w:ascii="宋体" w:hAnsi="宋体" w:cs="宋体"/>
          <w:snapToGrid w:val="0"/>
          <w:sz w:val="21"/>
          <w:szCs w:val="21"/>
        </w:rPr>
        <w:t>等至少每</w:t>
      </w:r>
      <w:r>
        <w:rPr>
          <w:rFonts w:ascii="宋体" w:hAnsi="宋体" w:cs="宋体"/>
          <w:snapToGrid w:val="0"/>
          <w:sz w:val="21"/>
          <w:szCs w:val="21"/>
        </w:rPr>
        <w:t>4</w:t>
      </w:r>
      <w:r>
        <w:rPr>
          <w:rFonts w:hint="eastAsia" w:ascii="宋体" w:hAnsi="宋体" w:cs="宋体"/>
          <w:snapToGrid w:val="0"/>
          <w:sz w:val="21"/>
          <w:szCs w:val="21"/>
        </w:rPr>
        <w:t>小时获得一个监测值，每天保证至少有</w:t>
      </w:r>
      <w:r>
        <w:rPr>
          <w:rFonts w:ascii="宋体" w:hAnsi="宋体" w:cs="宋体"/>
          <w:snapToGrid w:val="0"/>
          <w:sz w:val="21"/>
          <w:szCs w:val="21"/>
        </w:rPr>
        <w:t xml:space="preserve"> 6</w:t>
      </w:r>
      <w:r>
        <w:rPr>
          <w:rFonts w:hint="eastAsia" w:ascii="宋体" w:hAnsi="宋体" w:cs="宋体"/>
          <w:snapToGrid w:val="0"/>
          <w:sz w:val="21"/>
          <w:szCs w:val="21"/>
        </w:rPr>
        <w:t>个测试数据。</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5.4.4</w:t>
      </w:r>
      <w:r>
        <w:rPr>
          <w:rFonts w:hint="eastAsia" w:ascii="宋体" w:hAnsi="宋体" w:cs="宋体"/>
          <w:snapToGrid w:val="0"/>
          <w:sz w:val="21"/>
          <w:szCs w:val="21"/>
        </w:rPr>
        <w:t>代维方负责实时传输至监控平台数据的传输率高于</w:t>
      </w:r>
      <w:r>
        <w:rPr>
          <w:rFonts w:ascii="宋体" w:hAnsi="宋体" w:cs="宋体"/>
          <w:snapToGrid w:val="0"/>
          <w:sz w:val="21"/>
          <w:szCs w:val="21"/>
        </w:rPr>
        <w:t>90%</w:t>
      </w:r>
      <w:r>
        <w:rPr>
          <w:rFonts w:hint="eastAsia" w:ascii="宋体" w:hAnsi="宋体" w:cs="宋体"/>
          <w:snapToGrid w:val="0"/>
          <w:sz w:val="21"/>
          <w:szCs w:val="21"/>
        </w:rPr>
        <w:t>。</w:t>
      </w:r>
    </w:p>
    <w:p>
      <w:pPr>
        <w:widowControl/>
        <w:adjustRightInd w:val="0"/>
        <w:snapToGrid w:val="0"/>
        <w:spacing w:line="360" w:lineRule="auto"/>
        <w:ind w:firstLine="422" w:firstLineChars="200"/>
        <w:rPr>
          <w:rFonts w:ascii="宋体"/>
          <w:b/>
          <w:bCs/>
          <w:snapToGrid w:val="0"/>
          <w:sz w:val="21"/>
          <w:szCs w:val="21"/>
        </w:rPr>
      </w:pPr>
      <w:r>
        <w:rPr>
          <w:rFonts w:ascii="宋体" w:hAnsi="宋体" w:cs="宋体"/>
          <w:b/>
          <w:bCs/>
          <w:snapToGrid w:val="0"/>
          <w:sz w:val="21"/>
          <w:szCs w:val="21"/>
        </w:rPr>
        <w:t>5.5</w:t>
      </w:r>
      <w:r>
        <w:rPr>
          <w:rFonts w:hint="eastAsia" w:ascii="宋体" w:hAnsi="宋体" w:cs="宋体"/>
          <w:b/>
          <w:bCs/>
          <w:snapToGrid w:val="0"/>
          <w:sz w:val="21"/>
          <w:szCs w:val="21"/>
        </w:rPr>
        <w:t>设备校验要求</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5.5.1</w:t>
      </w:r>
      <w:r>
        <w:rPr>
          <w:rFonts w:hint="eastAsia" w:ascii="宋体" w:hAnsi="宋体" w:cs="宋体"/>
          <w:snapToGrid w:val="0"/>
          <w:sz w:val="21"/>
          <w:szCs w:val="21"/>
        </w:rPr>
        <w:t>设备的日常校验由代维方负责，至少每季度一次，并满足国家环境保护总局发布的</w:t>
      </w:r>
      <w:r>
        <w:rPr>
          <w:rFonts w:ascii="宋体" w:hAnsi="宋体" w:cs="宋体"/>
          <w:snapToGrid w:val="0"/>
          <w:sz w:val="21"/>
          <w:szCs w:val="21"/>
        </w:rPr>
        <w:t>HJ/T 96-2003</w:t>
      </w:r>
      <w:r>
        <w:rPr>
          <w:rFonts w:hint="eastAsia" w:ascii="宋体" w:hAnsi="宋体" w:cs="宋体"/>
          <w:snapToGrid w:val="0"/>
          <w:sz w:val="21"/>
          <w:szCs w:val="21"/>
        </w:rPr>
        <w:t>至</w:t>
      </w:r>
      <w:r>
        <w:rPr>
          <w:rFonts w:ascii="宋体" w:hAnsi="宋体" w:cs="宋体"/>
          <w:snapToGrid w:val="0"/>
          <w:sz w:val="21"/>
          <w:szCs w:val="21"/>
        </w:rPr>
        <w:t xml:space="preserve"> HJ/T 104-2003</w:t>
      </w:r>
      <w:r>
        <w:rPr>
          <w:rFonts w:hint="eastAsia" w:ascii="宋体" w:hAnsi="宋体" w:cs="宋体"/>
          <w:snapToGrid w:val="0"/>
          <w:sz w:val="21"/>
          <w:szCs w:val="21"/>
        </w:rPr>
        <w:t>的要求。</w:t>
      </w:r>
      <w:r>
        <w:rPr>
          <w:rFonts w:ascii="宋体" w:hAnsi="宋体" w:cs="宋体"/>
          <w:snapToGrid w:val="0"/>
          <w:sz w:val="21"/>
          <w:szCs w:val="21"/>
        </w:rPr>
        <w:t xml:space="preserve"> </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5.5.2</w:t>
      </w:r>
      <w:r>
        <w:rPr>
          <w:rFonts w:hint="eastAsia" w:ascii="宋体" w:hAnsi="宋体" w:cs="宋体"/>
          <w:snapToGrid w:val="0"/>
          <w:sz w:val="21"/>
          <w:szCs w:val="21"/>
        </w:rPr>
        <w:t>代维方根据国家环境保护总局发布的</w:t>
      </w:r>
      <w:r>
        <w:rPr>
          <w:rFonts w:ascii="宋体" w:hAnsi="宋体" w:cs="宋体"/>
          <w:snapToGrid w:val="0"/>
          <w:sz w:val="21"/>
          <w:szCs w:val="21"/>
        </w:rPr>
        <w:t>HJ/T 96-2003</w:t>
      </w:r>
      <w:r>
        <w:rPr>
          <w:rFonts w:hint="eastAsia" w:ascii="宋体" w:hAnsi="宋体" w:cs="宋体"/>
          <w:snapToGrid w:val="0"/>
          <w:sz w:val="21"/>
          <w:szCs w:val="21"/>
        </w:rPr>
        <w:t>至</w:t>
      </w:r>
      <w:r>
        <w:rPr>
          <w:rFonts w:ascii="宋体" w:hAnsi="宋体" w:cs="宋体"/>
          <w:snapToGrid w:val="0"/>
          <w:sz w:val="21"/>
          <w:szCs w:val="21"/>
        </w:rPr>
        <w:t xml:space="preserve"> HJ/T 104-2003</w:t>
      </w:r>
      <w:r>
        <w:rPr>
          <w:rFonts w:hint="eastAsia" w:ascii="宋体" w:hAnsi="宋体" w:cs="宋体"/>
          <w:snapToGrid w:val="0"/>
          <w:sz w:val="21"/>
          <w:szCs w:val="21"/>
        </w:rPr>
        <w:t>的要求进行技术档案的管理。</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5.5.3</w:t>
      </w:r>
      <w:r>
        <w:rPr>
          <w:rFonts w:hint="eastAsia" w:ascii="宋体" w:hAnsi="宋体" w:cs="宋体"/>
          <w:snapToGrid w:val="0"/>
          <w:sz w:val="21"/>
          <w:szCs w:val="21"/>
        </w:rPr>
        <w:t>监测数据的所有权归委托方，代维方需承担对监测数据的保密义务。未经委托方同意代维方不得将监测数据告知第三方，或另作它用。</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 </w:t>
      </w:r>
    </w:p>
    <w:p>
      <w:pPr>
        <w:widowControl/>
        <w:adjustRightInd w:val="0"/>
        <w:snapToGrid w:val="0"/>
        <w:spacing w:line="360" w:lineRule="auto"/>
        <w:rPr>
          <w:rFonts w:ascii="宋体"/>
          <w:b/>
          <w:bCs/>
          <w:snapToGrid w:val="0"/>
          <w:sz w:val="21"/>
          <w:szCs w:val="21"/>
        </w:rPr>
      </w:pPr>
      <w:r>
        <w:rPr>
          <w:rFonts w:ascii="宋体" w:hAnsi="宋体" w:cs="宋体"/>
          <w:b/>
          <w:bCs/>
          <w:snapToGrid w:val="0"/>
          <w:sz w:val="21"/>
          <w:szCs w:val="21"/>
        </w:rPr>
        <w:t xml:space="preserve">6. </w:t>
      </w:r>
      <w:r>
        <w:rPr>
          <w:rFonts w:hint="eastAsia" w:ascii="宋体" w:hAnsi="宋体" w:cs="宋体"/>
          <w:b/>
          <w:bCs/>
          <w:snapToGrid w:val="0"/>
          <w:sz w:val="21"/>
          <w:szCs w:val="21"/>
        </w:rPr>
        <w:t>运营限价及处罚措施</w:t>
      </w:r>
    </w:p>
    <w:p>
      <w:pPr>
        <w:widowControl/>
        <w:adjustRightInd w:val="0"/>
        <w:snapToGrid w:val="0"/>
        <w:spacing w:line="360" w:lineRule="auto"/>
        <w:ind w:firstLine="422" w:firstLineChars="200"/>
        <w:rPr>
          <w:rFonts w:ascii="宋体"/>
          <w:b/>
          <w:bCs/>
          <w:snapToGrid w:val="0"/>
          <w:sz w:val="21"/>
          <w:szCs w:val="21"/>
        </w:rPr>
      </w:pPr>
      <w:r>
        <w:rPr>
          <w:rFonts w:ascii="宋体" w:hAnsi="宋体" w:cs="宋体"/>
          <w:b/>
          <w:bCs/>
          <w:snapToGrid w:val="0"/>
          <w:sz w:val="21"/>
          <w:szCs w:val="21"/>
        </w:rPr>
        <w:t xml:space="preserve">6.1 </w:t>
      </w:r>
      <w:r>
        <w:rPr>
          <w:rFonts w:hint="eastAsia" w:ascii="宋体" w:hAnsi="宋体" w:cs="宋体"/>
          <w:b/>
          <w:bCs/>
          <w:snapToGrid w:val="0"/>
          <w:sz w:val="21"/>
          <w:szCs w:val="21"/>
        </w:rPr>
        <w:t>运营期限及限价</w:t>
      </w:r>
    </w:p>
    <w:p>
      <w:pPr>
        <w:widowControl/>
        <w:adjustRightInd w:val="0"/>
        <w:snapToGrid w:val="0"/>
        <w:spacing w:line="360" w:lineRule="auto"/>
        <w:ind w:firstLine="420" w:firstLineChars="200"/>
        <w:rPr>
          <w:rFonts w:ascii="宋体"/>
          <w:snapToGrid w:val="0"/>
          <w:sz w:val="21"/>
          <w:szCs w:val="21"/>
        </w:rPr>
      </w:pPr>
      <w:r>
        <w:rPr>
          <w:rFonts w:hint="eastAsia" w:ascii="宋体" w:hAnsi="宋体" w:cs="宋体"/>
          <w:snapToGrid w:val="0"/>
          <w:sz w:val="21"/>
          <w:szCs w:val="21"/>
        </w:rPr>
        <w:t>该项目服务期限为</w:t>
      </w:r>
      <w:r>
        <w:rPr>
          <w:rFonts w:ascii="宋体" w:hAnsi="宋体" w:cs="宋体"/>
          <w:snapToGrid w:val="0"/>
          <w:sz w:val="21"/>
          <w:szCs w:val="21"/>
        </w:rPr>
        <w:t>2021</w:t>
      </w:r>
      <w:r>
        <w:rPr>
          <w:rFonts w:hint="eastAsia" w:ascii="宋体" w:hAnsi="宋体" w:cs="宋体"/>
          <w:snapToGrid w:val="0"/>
          <w:sz w:val="21"/>
          <w:szCs w:val="21"/>
        </w:rPr>
        <w:t>年</w:t>
      </w:r>
      <w:r>
        <w:rPr>
          <w:rFonts w:ascii="宋体" w:hAnsi="宋体" w:cs="宋体"/>
          <w:snapToGrid w:val="0"/>
          <w:sz w:val="21"/>
          <w:szCs w:val="21"/>
        </w:rPr>
        <w:t>1</w:t>
      </w:r>
      <w:r>
        <w:rPr>
          <w:rFonts w:hint="eastAsia" w:ascii="宋体" w:hAnsi="宋体" w:cs="宋体"/>
          <w:snapToGrid w:val="0"/>
          <w:sz w:val="21"/>
          <w:szCs w:val="21"/>
        </w:rPr>
        <w:t>月</w:t>
      </w:r>
      <w:r>
        <w:rPr>
          <w:rFonts w:ascii="宋体" w:hAnsi="宋体" w:cs="宋体"/>
          <w:snapToGrid w:val="0"/>
          <w:sz w:val="21"/>
          <w:szCs w:val="21"/>
        </w:rPr>
        <w:t>1</w:t>
      </w:r>
      <w:r>
        <w:rPr>
          <w:rFonts w:hint="eastAsia" w:ascii="宋体" w:hAnsi="宋体" w:cs="宋体"/>
          <w:snapToGrid w:val="0"/>
          <w:sz w:val="21"/>
          <w:szCs w:val="21"/>
        </w:rPr>
        <w:t>日至</w:t>
      </w:r>
      <w:r>
        <w:rPr>
          <w:rFonts w:ascii="宋体" w:hAnsi="宋体" w:cs="宋体"/>
          <w:snapToGrid w:val="0"/>
          <w:sz w:val="21"/>
          <w:szCs w:val="21"/>
        </w:rPr>
        <w:t>2021</w:t>
      </w:r>
      <w:r>
        <w:rPr>
          <w:rFonts w:hint="eastAsia" w:ascii="宋体" w:hAnsi="宋体" w:cs="宋体"/>
          <w:snapToGrid w:val="0"/>
          <w:sz w:val="21"/>
          <w:szCs w:val="21"/>
        </w:rPr>
        <w:t>年</w:t>
      </w:r>
      <w:r>
        <w:rPr>
          <w:rFonts w:ascii="宋体" w:hAnsi="宋体" w:cs="宋体"/>
          <w:snapToGrid w:val="0"/>
          <w:sz w:val="21"/>
          <w:szCs w:val="21"/>
        </w:rPr>
        <w:t>12</w:t>
      </w:r>
      <w:r>
        <w:rPr>
          <w:rFonts w:hint="eastAsia" w:ascii="宋体" w:hAnsi="宋体" w:cs="宋体"/>
          <w:snapToGrid w:val="0"/>
          <w:sz w:val="21"/>
          <w:szCs w:val="21"/>
        </w:rPr>
        <w:t>月</w:t>
      </w:r>
      <w:r>
        <w:rPr>
          <w:rFonts w:ascii="宋体" w:hAnsi="宋体" w:cs="宋体"/>
          <w:snapToGrid w:val="0"/>
          <w:sz w:val="21"/>
          <w:szCs w:val="21"/>
        </w:rPr>
        <w:t>31</w:t>
      </w:r>
      <w:r>
        <w:rPr>
          <w:rFonts w:hint="eastAsia" w:ascii="宋体" w:hAnsi="宋体" w:cs="宋体"/>
          <w:snapToGrid w:val="0"/>
          <w:sz w:val="21"/>
          <w:szCs w:val="21"/>
        </w:rPr>
        <w:t>日，运行维护限价：￥</w:t>
      </w:r>
      <w:r>
        <w:rPr>
          <w:rFonts w:ascii="宋体" w:hAnsi="宋体" w:cs="宋体"/>
          <w:snapToGrid w:val="0"/>
          <w:sz w:val="21"/>
          <w:szCs w:val="21"/>
        </w:rPr>
        <w:t>145000</w:t>
      </w:r>
      <w:r>
        <w:rPr>
          <w:rFonts w:hint="eastAsia" w:ascii="宋体" w:hAnsi="宋体" w:cs="宋体"/>
          <w:snapToGrid w:val="0"/>
          <w:sz w:val="21"/>
          <w:szCs w:val="21"/>
        </w:rPr>
        <w:t>元（大写：拾肆万伍仟元整）</w:t>
      </w:r>
    </w:p>
    <w:p>
      <w:pPr>
        <w:widowControl/>
        <w:adjustRightInd w:val="0"/>
        <w:snapToGrid w:val="0"/>
        <w:spacing w:line="360" w:lineRule="auto"/>
        <w:ind w:firstLine="420" w:firstLineChars="200"/>
        <w:rPr>
          <w:rFonts w:ascii="宋体"/>
          <w:snapToGrid w:val="0"/>
          <w:sz w:val="21"/>
          <w:szCs w:val="21"/>
        </w:rPr>
      </w:pPr>
      <w:r>
        <w:rPr>
          <w:rFonts w:hint="eastAsia" w:ascii="宋体" w:hAnsi="宋体" w:cs="宋体"/>
          <w:snapToGrid w:val="0"/>
          <w:sz w:val="21"/>
          <w:szCs w:val="21"/>
        </w:rPr>
        <w:t>付款方式：按政府采购方式结算。</w:t>
      </w:r>
      <w:r>
        <w:rPr>
          <w:rFonts w:ascii="宋体" w:hAnsi="宋体" w:cs="宋体"/>
          <w:snapToGrid w:val="0"/>
          <w:sz w:val="21"/>
          <w:szCs w:val="21"/>
        </w:rPr>
        <w:t xml:space="preserve"> </w:t>
      </w:r>
    </w:p>
    <w:p>
      <w:pPr>
        <w:widowControl/>
        <w:adjustRightInd w:val="0"/>
        <w:snapToGrid w:val="0"/>
        <w:spacing w:line="360" w:lineRule="auto"/>
        <w:ind w:firstLine="422" w:firstLineChars="200"/>
        <w:rPr>
          <w:rFonts w:ascii="宋体"/>
          <w:b/>
          <w:bCs/>
          <w:snapToGrid w:val="0"/>
          <w:sz w:val="21"/>
          <w:szCs w:val="21"/>
        </w:rPr>
      </w:pPr>
      <w:r>
        <w:rPr>
          <w:rFonts w:ascii="宋体" w:hAnsi="宋体" w:cs="宋体"/>
          <w:b/>
          <w:bCs/>
          <w:snapToGrid w:val="0"/>
          <w:sz w:val="21"/>
          <w:szCs w:val="21"/>
        </w:rPr>
        <w:t>6.2</w:t>
      </w:r>
      <w:r>
        <w:rPr>
          <w:rFonts w:hint="eastAsia" w:ascii="宋体" w:hAnsi="宋体" w:cs="宋体"/>
          <w:b/>
          <w:bCs/>
          <w:snapToGrid w:val="0"/>
          <w:sz w:val="21"/>
          <w:szCs w:val="21"/>
        </w:rPr>
        <w:t>处罚措施</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6.2.1 </w:t>
      </w:r>
      <w:r>
        <w:rPr>
          <w:rFonts w:hint="eastAsia" w:ascii="宋体" w:hAnsi="宋体" w:cs="宋体"/>
          <w:snapToGrid w:val="0"/>
          <w:sz w:val="21"/>
          <w:szCs w:val="21"/>
        </w:rPr>
        <w:t>发现监测数据造假，业主方有权对运营方实施人民币</w:t>
      </w:r>
      <w:r>
        <w:rPr>
          <w:rFonts w:ascii="宋体" w:hAnsi="宋体" w:cs="宋体"/>
          <w:snapToGrid w:val="0"/>
          <w:sz w:val="21"/>
          <w:szCs w:val="21"/>
        </w:rPr>
        <w:t>5</w:t>
      </w:r>
      <w:r>
        <w:rPr>
          <w:rFonts w:hint="eastAsia" w:ascii="宋体" w:hAnsi="宋体" w:cs="宋体"/>
          <w:snapToGrid w:val="0"/>
          <w:sz w:val="21"/>
          <w:szCs w:val="21"/>
        </w:rPr>
        <w:t>万元</w:t>
      </w:r>
      <w:r>
        <w:rPr>
          <w:rFonts w:ascii="宋体" w:hAnsi="宋体" w:cs="宋体"/>
          <w:snapToGrid w:val="0"/>
          <w:sz w:val="21"/>
          <w:szCs w:val="21"/>
        </w:rPr>
        <w:t>-10</w:t>
      </w:r>
      <w:r>
        <w:rPr>
          <w:rFonts w:hint="eastAsia" w:ascii="宋体" w:hAnsi="宋体" w:cs="宋体"/>
          <w:snapToGrid w:val="0"/>
          <w:sz w:val="21"/>
          <w:szCs w:val="21"/>
        </w:rPr>
        <w:t>万元的经济处罚。</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6.2.2 </w:t>
      </w:r>
      <w:r>
        <w:rPr>
          <w:rFonts w:hint="eastAsia" w:ascii="宋体" w:hAnsi="宋体" w:cs="宋体"/>
          <w:snapToGrid w:val="0"/>
          <w:sz w:val="21"/>
          <w:szCs w:val="21"/>
        </w:rPr>
        <w:t>未按照以上要求落实水站维护的，业主方有权视情节轻重对运营方实施人民币</w:t>
      </w:r>
      <w:r>
        <w:rPr>
          <w:rFonts w:ascii="宋体" w:hAnsi="宋体" w:cs="宋体"/>
          <w:snapToGrid w:val="0"/>
          <w:sz w:val="21"/>
          <w:szCs w:val="21"/>
        </w:rPr>
        <w:t>1</w:t>
      </w:r>
      <w:r>
        <w:rPr>
          <w:rFonts w:hint="eastAsia" w:ascii="宋体" w:hAnsi="宋体" w:cs="宋体"/>
          <w:snapToGrid w:val="0"/>
          <w:sz w:val="21"/>
          <w:szCs w:val="21"/>
        </w:rPr>
        <w:t>万元</w:t>
      </w:r>
      <w:r>
        <w:rPr>
          <w:rFonts w:ascii="宋体" w:hAnsi="宋体" w:cs="宋体"/>
          <w:snapToGrid w:val="0"/>
          <w:sz w:val="21"/>
          <w:szCs w:val="21"/>
        </w:rPr>
        <w:t>-10</w:t>
      </w:r>
      <w:r>
        <w:rPr>
          <w:rFonts w:hint="eastAsia" w:ascii="宋体" w:hAnsi="宋体" w:cs="宋体"/>
          <w:snapToGrid w:val="0"/>
          <w:sz w:val="21"/>
          <w:szCs w:val="21"/>
        </w:rPr>
        <w:t>万元的经济处罚。</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6.2.3 </w:t>
      </w:r>
      <w:r>
        <w:rPr>
          <w:rFonts w:hint="eastAsia" w:ascii="宋体" w:hAnsi="宋体" w:cs="宋体"/>
          <w:snapToGrid w:val="0"/>
          <w:sz w:val="21"/>
          <w:szCs w:val="21"/>
        </w:rPr>
        <w:t>运营方未按</w:t>
      </w:r>
      <w:r>
        <w:rPr>
          <w:rFonts w:ascii="宋体" w:hAnsi="宋体" w:cs="宋体"/>
          <w:snapToGrid w:val="0"/>
          <w:sz w:val="21"/>
          <w:szCs w:val="21"/>
        </w:rPr>
        <w:t>2.2.7</w:t>
      </w:r>
      <w:r>
        <w:rPr>
          <w:rFonts w:hint="eastAsia" w:ascii="宋体" w:hAnsi="宋体" w:cs="宋体"/>
          <w:snapToGrid w:val="0"/>
          <w:sz w:val="21"/>
          <w:szCs w:val="21"/>
        </w:rPr>
        <w:t>要求提供代维服务的，每个水站每次处以人民币</w:t>
      </w:r>
      <w:r>
        <w:rPr>
          <w:rFonts w:ascii="宋体" w:hAnsi="宋体" w:cs="宋体"/>
          <w:snapToGrid w:val="0"/>
          <w:sz w:val="21"/>
          <w:szCs w:val="21"/>
        </w:rPr>
        <w:t>5000</w:t>
      </w:r>
      <w:r>
        <w:rPr>
          <w:rFonts w:hint="eastAsia" w:ascii="宋体" w:hAnsi="宋体" w:cs="宋体"/>
          <w:snapToGrid w:val="0"/>
          <w:sz w:val="21"/>
          <w:szCs w:val="21"/>
        </w:rPr>
        <w:t>元经济处罚。</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6.2.4 </w:t>
      </w:r>
      <w:r>
        <w:rPr>
          <w:rFonts w:hint="eastAsia" w:ascii="宋体" w:hAnsi="宋体" w:cs="宋体"/>
          <w:snapToGrid w:val="0"/>
          <w:sz w:val="21"/>
          <w:szCs w:val="21"/>
        </w:rPr>
        <w:t>日常维护每月达不到</w:t>
      </w:r>
      <w:r>
        <w:rPr>
          <w:rFonts w:ascii="宋体" w:hAnsi="宋体" w:cs="宋体"/>
          <w:snapToGrid w:val="0"/>
          <w:sz w:val="21"/>
          <w:szCs w:val="21"/>
        </w:rPr>
        <w:t>5.1</w:t>
      </w:r>
      <w:r>
        <w:rPr>
          <w:rFonts w:hint="eastAsia" w:ascii="宋体" w:hAnsi="宋体" w:cs="宋体"/>
          <w:snapToGrid w:val="0"/>
          <w:sz w:val="21"/>
          <w:szCs w:val="21"/>
        </w:rPr>
        <w:t>要求的，每个水站每次处以人民币</w:t>
      </w:r>
      <w:r>
        <w:rPr>
          <w:rFonts w:ascii="宋体" w:hAnsi="宋体" w:cs="宋体"/>
          <w:snapToGrid w:val="0"/>
          <w:sz w:val="21"/>
          <w:szCs w:val="21"/>
        </w:rPr>
        <w:t>5000</w:t>
      </w:r>
      <w:r>
        <w:rPr>
          <w:rFonts w:hint="eastAsia" w:ascii="宋体" w:hAnsi="宋体" w:cs="宋体"/>
          <w:snapToGrid w:val="0"/>
          <w:sz w:val="21"/>
          <w:szCs w:val="21"/>
        </w:rPr>
        <w:t>元经济处罚。</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6.2.5 </w:t>
      </w:r>
      <w:r>
        <w:rPr>
          <w:rFonts w:hint="eastAsia" w:ascii="宋体" w:hAnsi="宋体" w:cs="宋体"/>
          <w:snapToGrid w:val="0"/>
          <w:sz w:val="21"/>
          <w:szCs w:val="21"/>
        </w:rPr>
        <w:t>仪器设备运行每月达不到</w:t>
      </w:r>
      <w:r>
        <w:rPr>
          <w:rFonts w:ascii="宋体" w:hAnsi="宋体" w:cs="宋体"/>
          <w:snapToGrid w:val="0"/>
          <w:sz w:val="21"/>
          <w:szCs w:val="21"/>
        </w:rPr>
        <w:t>5.3</w:t>
      </w:r>
      <w:r>
        <w:rPr>
          <w:rFonts w:hint="eastAsia" w:ascii="宋体" w:hAnsi="宋体" w:cs="宋体"/>
          <w:snapToGrid w:val="0"/>
          <w:sz w:val="21"/>
          <w:szCs w:val="21"/>
        </w:rPr>
        <w:t>要求的，每个水站每次处以人民币</w:t>
      </w:r>
      <w:r>
        <w:rPr>
          <w:rFonts w:ascii="宋体" w:hAnsi="宋体" w:cs="宋体"/>
          <w:snapToGrid w:val="0"/>
          <w:sz w:val="21"/>
          <w:szCs w:val="21"/>
        </w:rPr>
        <w:t>5000</w:t>
      </w:r>
      <w:r>
        <w:rPr>
          <w:rFonts w:hint="eastAsia" w:ascii="宋体" w:hAnsi="宋体" w:cs="宋体"/>
          <w:snapToGrid w:val="0"/>
          <w:sz w:val="21"/>
          <w:szCs w:val="21"/>
        </w:rPr>
        <w:t>元经济处罚。</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6.2.6</w:t>
      </w:r>
      <w:r>
        <w:rPr>
          <w:rFonts w:hint="eastAsia" w:ascii="宋体" w:hAnsi="宋体" w:cs="宋体"/>
          <w:snapToGrid w:val="0"/>
          <w:sz w:val="21"/>
          <w:szCs w:val="21"/>
        </w:rPr>
        <w:t>系统仪器故障处理每月达不到</w:t>
      </w:r>
      <w:r>
        <w:rPr>
          <w:rFonts w:ascii="宋体" w:hAnsi="宋体" w:cs="宋体"/>
          <w:snapToGrid w:val="0"/>
          <w:sz w:val="21"/>
          <w:szCs w:val="21"/>
        </w:rPr>
        <w:t>5.2</w:t>
      </w:r>
      <w:r>
        <w:rPr>
          <w:rFonts w:hint="eastAsia" w:ascii="宋体" w:hAnsi="宋体" w:cs="宋体"/>
          <w:snapToGrid w:val="0"/>
          <w:sz w:val="21"/>
          <w:szCs w:val="21"/>
        </w:rPr>
        <w:t>要求的，每个水站每次处以人民币</w:t>
      </w:r>
      <w:r>
        <w:rPr>
          <w:rFonts w:ascii="宋体" w:hAnsi="宋体" w:cs="宋体"/>
          <w:snapToGrid w:val="0"/>
          <w:sz w:val="21"/>
          <w:szCs w:val="21"/>
        </w:rPr>
        <w:t>5000</w:t>
      </w:r>
      <w:r>
        <w:rPr>
          <w:rFonts w:hint="eastAsia" w:ascii="宋体" w:hAnsi="宋体" w:cs="宋体"/>
          <w:snapToGrid w:val="0"/>
          <w:sz w:val="21"/>
          <w:szCs w:val="21"/>
        </w:rPr>
        <w:t>元经济处罚。</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6.2.7 </w:t>
      </w:r>
      <w:r>
        <w:rPr>
          <w:rFonts w:hint="eastAsia" w:ascii="宋体" w:hAnsi="宋体" w:cs="宋体"/>
          <w:snapToGrid w:val="0"/>
          <w:sz w:val="21"/>
          <w:szCs w:val="21"/>
        </w:rPr>
        <w:t>监测数据每月达不到</w:t>
      </w:r>
      <w:r>
        <w:rPr>
          <w:rFonts w:ascii="宋体" w:hAnsi="宋体" w:cs="宋体"/>
          <w:snapToGrid w:val="0"/>
          <w:sz w:val="21"/>
          <w:szCs w:val="21"/>
        </w:rPr>
        <w:t>5.4</w:t>
      </w:r>
      <w:r>
        <w:rPr>
          <w:rFonts w:hint="eastAsia" w:ascii="宋体" w:hAnsi="宋体" w:cs="宋体"/>
          <w:snapToGrid w:val="0"/>
          <w:sz w:val="21"/>
          <w:szCs w:val="21"/>
        </w:rPr>
        <w:t>要求的，每个水站每次处以人民币</w:t>
      </w:r>
      <w:r>
        <w:rPr>
          <w:rFonts w:ascii="宋体" w:hAnsi="宋体" w:cs="宋体"/>
          <w:snapToGrid w:val="0"/>
          <w:sz w:val="21"/>
          <w:szCs w:val="21"/>
        </w:rPr>
        <w:t>5000</w:t>
      </w:r>
      <w:r>
        <w:rPr>
          <w:rFonts w:hint="eastAsia" w:ascii="宋体" w:hAnsi="宋体" w:cs="宋体"/>
          <w:snapToGrid w:val="0"/>
          <w:sz w:val="21"/>
          <w:szCs w:val="21"/>
        </w:rPr>
        <w:t>元经济处罚。</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6.2.8 </w:t>
      </w:r>
      <w:r>
        <w:rPr>
          <w:rFonts w:hint="eastAsia" w:ascii="宋体" w:hAnsi="宋体" w:cs="宋体"/>
          <w:snapToGrid w:val="0"/>
          <w:sz w:val="21"/>
          <w:szCs w:val="21"/>
        </w:rPr>
        <w:t>业主方上、下半年各进行一次质控考核，水站每次一个项目不合格的处以人民币</w:t>
      </w:r>
      <w:r>
        <w:rPr>
          <w:rFonts w:ascii="宋体" w:hAnsi="宋体" w:cs="宋体"/>
          <w:snapToGrid w:val="0"/>
          <w:sz w:val="21"/>
          <w:szCs w:val="21"/>
        </w:rPr>
        <w:t>1000</w:t>
      </w:r>
      <w:r>
        <w:rPr>
          <w:rFonts w:hint="eastAsia" w:ascii="宋体" w:hAnsi="宋体" w:cs="宋体"/>
          <w:snapToGrid w:val="0"/>
          <w:sz w:val="21"/>
          <w:szCs w:val="21"/>
        </w:rPr>
        <w:t>元经济处罚。</w:t>
      </w:r>
    </w:p>
    <w:p>
      <w:pPr>
        <w:widowControl/>
        <w:adjustRightInd w:val="0"/>
        <w:snapToGrid w:val="0"/>
        <w:spacing w:line="360" w:lineRule="auto"/>
        <w:ind w:firstLine="422" w:firstLineChars="200"/>
        <w:rPr>
          <w:rFonts w:ascii="宋体"/>
          <w:b/>
          <w:bCs/>
          <w:snapToGrid w:val="0"/>
          <w:sz w:val="21"/>
          <w:szCs w:val="21"/>
        </w:rPr>
      </w:pPr>
      <w:r>
        <w:rPr>
          <w:rFonts w:ascii="宋体" w:hAnsi="宋体" w:cs="宋体"/>
          <w:b/>
          <w:bCs/>
          <w:snapToGrid w:val="0"/>
          <w:sz w:val="21"/>
          <w:szCs w:val="21"/>
        </w:rPr>
        <w:t xml:space="preserve"> </w:t>
      </w:r>
    </w:p>
    <w:p>
      <w:pPr>
        <w:widowControl/>
        <w:adjustRightInd w:val="0"/>
        <w:snapToGrid w:val="0"/>
        <w:spacing w:line="360" w:lineRule="auto"/>
        <w:rPr>
          <w:rFonts w:ascii="宋体"/>
          <w:b/>
          <w:bCs/>
          <w:snapToGrid w:val="0"/>
          <w:sz w:val="21"/>
          <w:szCs w:val="21"/>
        </w:rPr>
      </w:pPr>
      <w:r>
        <w:rPr>
          <w:rFonts w:ascii="宋体" w:hAnsi="宋体" w:cs="宋体"/>
          <w:b/>
          <w:bCs/>
          <w:snapToGrid w:val="0"/>
          <w:sz w:val="21"/>
          <w:szCs w:val="21"/>
        </w:rPr>
        <w:t>7</w:t>
      </w:r>
      <w:r>
        <w:rPr>
          <w:rFonts w:hint="eastAsia" w:ascii="宋体" w:hAnsi="宋体" w:cs="宋体"/>
          <w:b/>
          <w:bCs/>
          <w:snapToGrid w:val="0"/>
          <w:sz w:val="21"/>
          <w:szCs w:val="21"/>
        </w:rPr>
        <w:t>．检验与考核</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7.1</w:t>
      </w:r>
      <w:r>
        <w:rPr>
          <w:rFonts w:hint="eastAsia" w:ascii="宋体" w:hAnsi="宋体" w:cs="宋体"/>
          <w:snapToGrid w:val="0"/>
          <w:sz w:val="21"/>
          <w:szCs w:val="21"/>
        </w:rPr>
        <w:t>检验与考核由恩平市环境监测组织有关人员按有关规定及有关合同内容等进行。</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7.2 </w:t>
      </w:r>
      <w:r>
        <w:rPr>
          <w:rFonts w:hint="eastAsia" w:ascii="宋体" w:hAnsi="宋体" w:cs="宋体"/>
          <w:snapToGrid w:val="0"/>
          <w:sz w:val="21"/>
          <w:szCs w:val="21"/>
        </w:rPr>
        <w:t>年度考核参照</w:t>
      </w:r>
      <w:r>
        <w:rPr>
          <w:rFonts w:hint="eastAsia" w:ascii="宋体" w:hAnsi="宋体" w:cs="宋体"/>
        </w:rPr>
        <w:t>《地表水自动监测技术规范》（试行）</w:t>
      </w:r>
      <w:r>
        <w:rPr>
          <w:rFonts w:ascii="宋体" w:hAnsi="宋体" w:cs="宋体"/>
        </w:rPr>
        <w:t>HJ915-2017</w:t>
      </w:r>
      <w:r>
        <w:rPr>
          <w:rFonts w:hint="eastAsia" w:ascii="宋体" w:hAnsi="宋体" w:cs="宋体"/>
          <w:snapToGrid w:val="0"/>
          <w:sz w:val="21"/>
          <w:szCs w:val="21"/>
        </w:rPr>
        <w:t>的要求，根据如下考核表确定的内容进行。</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7.3</w:t>
      </w:r>
      <w:r>
        <w:rPr>
          <w:rFonts w:hint="eastAsia" w:ascii="宋体" w:hAnsi="宋体" w:cs="宋体"/>
          <w:snapToGrid w:val="0"/>
          <w:sz w:val="21"/>
          <w:szCs w:val="21"/>
        </w:rPr>
        <w:t>综合考核：</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7.3.1 </w:t>
      </w:r>
      <w:r>
        <w:rPr>
          <w:rFonts w:hint="eastAsia" w:ascii="宋体" w:hAnsi="宋体" w:cs="宋体"/>
          <w:snapToGrid w:val="0"/>
          <w:sz w:val="21"/>
          <w:szCs w:val="21"/>
        </w:rPr>
        <w:t>每年年度考核中，如环保部门的抽查结果累计</w:t>
      </w:r>
      <w:r>
        <w:rPr>
          <w:rFonts w:ascii="宋体" w:hAnsi="宋体" w:cs="宋体"/>
          <w:snapToGrid w:val="0"/>
          <w:sz w:val="21"/>
          <w:szCs w:val="21"/>
        </w:rPr>
        <w:t>4</w:t>
      </w:r>
      <w:r>
        <w:rPr>
          <w:rFonts w:hint="eastAsia" w:ascii="宋体" w:hAnsi="宋体" w:cs="宋体"/>
          <w:snapToGrid w:val="0"/>
          <w:sz w:val="21"/>
          <w:szCs w:val="21"/>
        </w:rPr>
        <w:t>次不合格；考核表中累计不合格单项目的个数或次数超过考核项目总数的</w:t>
      </w:r>
      <w:r>
        <w:rPr>
          <w:rFonts w:ascii="宋体" w:hAnsi="宋体" w:cs="宋体"/>
          <w:snapToGrid w:val="0"/>
          <w:sz w:val="21"/>
          <w:szCs w:val="21"/>
        </w:rPr>
        <w:t>40</w:t>
      </w:r>
      <w:r>
        <w:rPr>
          <w:rFonts w:hint="eastAsia" w:ascii="宋体" w:hAnsi="宋体" w:cs="宋体"/>
          <w:snapToGrid w:val="0"/>
          <w:sz w:val="21"/>
          <w:szCs w:val="21"/>
        </w:rPr>
        <w:t>％的，则该年度考核不合格。</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7.3.2  </w:t>
      </w:r>
      <w:r>
        <w:rPr>
          <w:rFonts w:hint="eastAsia" w:ascii="宋体" w:hAnsi="宋体" w:cs="宋体"/>
          <w:snapToGrid w:val="0"/>
          <w:sz w:val="21"/>
          <w:szCs w:val="21"/>
        </w:rPr>
        <w:t>在一年代维期内，如运营资质不在有效期的时间超过两个月，则该年度考核不合格。</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7.3.3 </w:t>
      </w:r>
      <w:r>
        <w:rPr>
          <w:rFonts w:hint="eastAsia" w:ascii="宋体" w:hAnsi="宋体" w:cs="宋体"/>
          <w:snapToGrid w:val="0"/>
          <w:sz w:val="21"/>
          <w:szCs w:val="21"/>
        </w:rPr>
        <w:t>代维方须确保其运营资质在运营期内有效，如运营资质不在有效期内，委托方有权不延续往后年度的运营合同，代维方须无条件服从。</w:t>
      </w:r>
    </w:p>
    <w:p>
      <w:pPr>
        <w:widowControl/>
        <w:adjustRightInd w:val="0"/>
        <w:snapToGrid w:val="0"/>
        <w:spacing w:line="360" w:lineRule="auto"/>
        <w:ind w:firstLine="422" w:firstLineChars="200"/>
        <w:jc w:val="center"/>
        <w:rPr>
          <w:rFonts w:ascii="宋体"/>
          <w:b/>
          <w:bCs/>
          <w:snapToGrid w:val="0"/>
          <w:sz w:val="21"/>
          <w:szCs w:val="21"/>
        </w:rPr>
      </w:pPr>
      <w:r>
        <w:rPr>
          <w:rFonts w:hint="eastAsia" w:ascii="宋体" w:hAnsi="宋体" w:cs="宋体"/>
          <w:b/>
          <w:bCs/>
          <w:snapToGrid w:val="0"/>
          <w:sz w:val="21"/>
          <w:szCs w:val="21"/>
        </w:rPr>
        <w:t>代维考核表</w:t>
      </w:r>
    </w:p>
    <w:tbl>
      <w:tblPr>
        <w:tblStyle w:val="4"/>
        <w:tblW w:w="8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2440"/>
        <w:gridCol w:w="5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jc w:val="center"/>
        </w:trPr>
        <w:tc>
          <w:tcPr>
            <w:tcW w:w="3308" w:type="dxa"/>
            <w:gridSpan w:val="2"/>
            <w:vAlign w:val="center"/>
          </w:tcPr>
          <w:p>
            <w:pPr>
              <w:widowControl/>
              <w:snapToGrid w:val="0"/>
              <w:spacing w:line="276" w:lineRule="auto"/>
              <w:jc w:val="center"/>
              <w:rPr>
                <w:rFonts w:ascii="宋体"/>
                <w:b/>
                <w:bCs/>
              </w:rPr>
            </w:pPr>
            <w:r>
              <w:rPr>
                <w:rFonts w:hint="eastAsia" w:ascii="宋体" w:hAnsi="宋体" w:cs="宋体"/>
                <w:b/>
                <w:bCs/>
              </w:rPr>
              <w:t>考核内容</w:t>
            </w:r>
          </w:p>
        </w:tc>
        <w:tc>
          <w:tcPr>
            <w:tcW w:w="5512" w:type="dxa"/>
            <w:vAlign w:val="center"/>
          </w:tcPr>
          <w:p>
            <w:pPr>
              <w:widowControl/>
              <w:snapToGrid w:val="0"/>
              <w:spacing w:line="276" w:lineRule="auto"/>
              <w:jc w:val="center"/>
              <w:rPr>
                <w:rFonts w:ascii="宋体"/>
                <w:b/>
                <w:bCs/>
              </w:rPr>
            </w:pPr>
            <w:r>
              <w:rPr>
                <w:rFonts w:hint="eastAsia" w:ascii="宋体" w:hAnsi="宋体" w:cs="宋体"/>
                <w:b/>
                <w:bCs/>
              </w:rPr>
              <w:t>考核要求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jc w:val="center"/>
        </w:trPr>
        <w:tc>
          <w:tcPr>
            <w:tcW w:w="868" w:type="dxa"/>
            <w:vMerge w:val="restart"/>
            <w:vAlign w:val="center"/>
          </w:tcPr>
          <w:p>
            <w:pPr>
              <w:widowControl/>
              <w:snapToGrid w:val="0"/>
              <w:spacing w:line="276" w:lineRule="auto"/>
              <w:rPr>
                <w:rFonts w:ascii="宋体"/>
              </w:rPr>
            </w:pPr>
            <w:r>
              <w:rPr>
                <w:rFonts w:hint="eastAsia" w:ascii="宋体" w:hAnsi="宋体" w:cs="宋体"/>
              </w:rPr>
              <w:t>数据准确性</w:t>
            </w:r>
          </w:p>
        </w:tc>
        <w:tc>
          <w:tcPr>
            <w:tcW w:w="2440" w:type="dxa"/>
            <w:vAlign w:val="center"/>
          </w:tcPr>
          <w:p>
            <w:pPr>
              <w:widowControl/>
              <w:snapToGrid w:val="0"/>
              <w:spacing w:line="276" w:lineRule="auto"/>
              <w:rPr>
                <w:rFonts w:ascii="宋体"/>
              </w:rPr>
            </w:pPr>
            <w:r>
              <w:rPr>
                <w:rFonts w:hint="eastAsia" w:ascii="宋体" w:hAnsi="宋体" w:cs="宋体"/>
              </w:rPr>
              <w:t>仪器技术指标</w:t>
            </w:r>
          </w:p>
        </w:tc>
        <w:tc>
          <w:tcPr>
            <w:tcW w:w="5512" w:type="dxa"/>
            <w:vAlign w:val="center"/>
          </w:tcPr>
          <w:p>
            <w:pPr>
              <w:widowControl/>
              <w:snapToGrid w:val="0"/>
              <w:spacing w:line="276" w:lineRule="auto"/>
              <w:rPr>
                <w:rFonts w:ascii="宋体"/>
              </w:rPr>
            </w:pPr>
            <w:r>
              <w:rPr>
                <w:rFonts w:hint="eastAsia" w:ascii="宋体" w:hAnsi="宋体" w:cs="宋体"/>
              </w:rPr>
              <w:t>符合《地表水自动监测技术规范（试行）》（</w:t>
            </w:r>
            <w:r>
              <w:rPr>
                <w:rFonts w:ascii="宋体" w:hAnsi="宋体" w:cs="宋体"/>
              </w:rPr>
              <w:t>HJ915-2017</w:t>
            </w:r>
            <w:r>
              <w:rPr>
                <w:rFonts w:hint="eastAsia" w:ascii="宋体" w:hAnsi="宋体" w:cs="宋体"/>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68" w:type="dxa"/>
            <w:vMerge w:val="continue"/>
            <w:vAlign w:val="center"/>
          </w:tcPr>
          <w:p>
            <w:pPr>
              <w:widowControl/>
              <w:spacing w:line="276" w:lineRule="auto"/>
              <w:jc w:val="left"/>
              <w:rPr>
                <w:rFonts w:ascii="宋体"/>
              </w:rPr>
            </w:pPr>
          </w:p>
        </w:tc>
        <w:tc>
          <w:tcPr>
            <w:tcW w:w="2440" w:type="dxa"/>
            <w:vAlign w:val="center"/>
          </w:tcPr>
          <w:p>
            <w:pPr>
              <w:widowControl/>
              <w:snapToGrid w:val="0"/>
              <w:spacing w:line="276" w:lineRule="auto"/>
              <w:rPr>
                <w:rFonts w:ascii="宋体"/>
              </w:rPr>
            </w:pPr>
            <w:r>
              <w:rPr>
                <w:rFonts w:hint="eastAsia" w:ascii="宋体" w:hAnsi="宋体" w:cs="宋体"/>
              </w:rPr>
              <w:t>平均无故障连续运行时间</w:t>
            </w:r>
          </w:p>
        </w:tc>
        <w:tc>
          <w:tcPr>
            <w:tcW w:w="5512" w:type="dxa"/>
            <w:vAlign w:val="center"/>
          </w:tcPr>
          <w:p>
            <w:pPr>
              <w:widowControl/>
              <w:snapToGrid w:val="0"/>
              <w:spacing w:line="276" w:lineRule="auto"/>
              <w:rPr>
                <w:rFonts w:ascii="宋体"/>
              </w:rPr>
            </w:pPr>
            <w:r>
              <w:rPr>
                <w:rFonts w:hint="eastAsia" w:ascii="宋体" w:hAnsi="宋体" w:cs="宋体"/>
              </w:rPr>
              <w:t>≥</w:t>
            </w:r>
            <w:r>
              <w:rPr>
                <w:rFonts w:ascii="宋体" w:hAnsi="宋体" w:cs="宋体"/>
              </w:rPr>
              <w:t>720h/</w:t>
            </w:r>
            <w:r>
              <w:rPr>
                <w:rFonts w:hint="eastAsia" w:ascii="宋体" w:hAnsi="宋体" w:cs="宋体"/>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3308" w:type="dxa"/>
            <w:gridSpan w:val="2"/>
            <w:vAlign w:val="center"/>
          </w:tcPr>
          <w:p>
            <w:pPr>
              <w:widowControl/>
              <w:snapToGrid w:val="0"/>
              <w:spacing w:line="276" w:lineRule="auto"/>
              <w:rPr>
                <w:rFonts w:ascii="宋体"/>
              </w:rPr>
            </w:pPr>
            <w:r>
              <w:rPr>
                <w:rFonts w:hint="eastAsia" w:ascii="宋体" w:hAnsi="宋体" w:cs="宋体"/>
              </w:rPr>
              <w:t>设备完好情况</w:t>
            </w:r>
          </w:p>
        </w:tc>
        <w:tc>
          <w:tcPr>
            <w:tcW w:w="5512" w:type="dxa"/>
            <w:vAlign w:val="center"/>
          </w:tcPr>
          <w:p>
            <w:pPr>
              <w:widowControl/>
              <w:snapToGrid w:val="0"/>
              <w:spacing w:line="276" w:lineRule="auto"/>
              <w:rPr>
                <w:rFonts w:ascii="宋体"/>
              </w:rPr>
            </w:pPr>
            <w:r>
              <w:rPr>
                <w:rFonts w:hint="eastAsia" w:ascii="宋体" w:hAnsi="宋体" w:cs="宋体"/>
              </w:rPr>
              <w:t>设备完好，各项指标满足</w:t>
            </w:r>
            <w:r>
              <w:rPr>
                <w:rFonts w:ascii="宋体" w:hAnsi="宋体" w:cs="宋体"/>
              </w:rPr>
              <w:t>HJ/T 96-2003</w:t>
            </w:r>
            <w:r>
              <w:rPr>
                <w:rFonts w:hint="eastAsia" w:ascii="宋体" w:hAnsi="宋体" w:cs="宋体"/>
              </w:rPr>
              <w:t>至</w:t>
            </w:r>
            <w:r>
              <w:rPr>
                <w:rFonts w:ascii="宋体" w:hAnsi="宋体" w:cs="宋体"/>
              </w:rPr>
              <w:t>HJ/T104-2003</w:t>
            </w:r>
            <w:r>
              <w:rPr>
                <w:rFonts w:hint="eastAsia" w:ascii="宋体" w:hAnsi="宋体" w:cs="宋体"/>
              </w:rPr>
              <w:t>等相关标准要求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3308" w:type="dxa"/>
            <w:gridSpan w:val="2"/>
            <w:vAlign w:val="center"/>
          </w:tcPr>
          <w:p>
            <w:pPr>
              <w:widowControl/>
              <w:snapToGrid w:val="0"/>
              <w:spacing w:line="276" w:lineRule="auto"/>
              <w:rPr>
                <w:rFonts w:ascii="宋体"/>
              </w:rPr>
            </w:pPr>
            <w:r>
              <w:rPr>
                <w:rFonts w:hint="eastAsia" w:ascii="宋体" w:hAnsi="宋体" w:cs="宋体"/>
              </w:rPr>
              <w:t>数据数量要求</w:t>
            </w:r>
          </w:p>
        </w:tc>
        <w:tc>
          <w:tcPr>
            <w:tcW w:w="5512" w:type="dxa"/>
            <w:vAlign w:val="center"/>
          </w:tcPr>
          <w:p>
            <w:pPr>
              <w:widowControl/>
              <w:snapToGrid w:val="0"/>
              <w:spacing w:line="276" w:lineRule="auto"/>
              <w:rPr>
                <w:rFonts w:ascii="宋体"/>
              </w:rPr>
            </w:pPr>
            <w:r>
              <w:rPr>
                <w:rFonts w:hint="eastAsia" w:ascii="宋体" w:hAnsi="宋体" w:cs="宋体"/>
              </w:rPr>
              <w:t>数据有效率≥</w:t>
            </w:r>
            <w:r>
              <w:rPr>
                <w:rFonts w:ascii="宋体" w:hAnsi="宋体" w:cs="宋体"/>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3308" w:type="dxa"/>
            <w:gridSpan w:val="2"/>
            <w:vAlign w:val="center"/>
          </w:tcPr>
          <w:p>
            <w:pPr>
              <w:widowControl/>
              <w:snapToGrid w:val="0"/>
              <w:spacing w:line="276" w:lineRule="auto"/>
              <w:rPr>
                <w:rFonts w:ascii="宋体"/>
              </w:rPr>
            </w:pPr>
            <w:r>
              <w:rPr>
                <w:rFonts w:hint="eastAsia" w:ascii="宋体" w:hAnsi="宋体" w:cs="宋体"/>
              </w:rPr>
              <w:t>设备运转率</w:t>
            </w:r>
          </w:p>
        </w:tc>
        <w:tc>
          <w:tcPr>
            <w:tcW w:w="5512" w:type="dxa"/>
            <w:vAlign w:val="center"/>
          </w:tcPr>
          <w:p>
            <w:pPr>
              <w:widowControl/>
              <w:snapToGrid w:val="0"/>
              <w:spacing w:line="276" w:lineRule="auto"/>
              <w:rPr>
                <w:rFonts w:ascii="宋体"/>
              </w:rPr>
            </w:pPr>
            <w:r>
              <w:rPr>
                <w:rFonts w:hint="eastAsia" w:ascii="宋体" w:hAnsi="宋体" w:cs="宋体"/>
              </w:rPr>
              <w:t>满足≥</w:t>
            </w:r>
            <w:r>
              <w:rPr>
                <w:rFonts w:ascii="宋体" w:hAnsi="宋体" w:cs="宋体"/>
              </w:rPr>
              <w:t>95%</w:t>
            </w:r>
            <w:r>
              <w:rPr>
                <w:rFonts w:hint="eastAsia" w:ascii="宋体" w:hAnsi="宋体" w:cs="宋体"/>
              </w:rPr>
              <w:t>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3308" w:type="dxa"/>
            <w:gridSpan w:val="2"/>
            <w:vAlign w:val="center"/>
          </w:tcPr>
          <w:p>
            <w:pPr>
              <w:widowControl/>
              <w:snapToGrid w:val="0"/>
              <w:spacing w:line="276" w:lineRule="auto"/>
              <w:rPr>
                <w:rFonts w:ascii="宋体"/>
              </w:rPr>
            </w:pPr>
            <w:r>
              <w:rPr>
                <w:rFonts w:hint="eastAsia" w:ascii="宋体" w:hAnsi="宋体" w:cs="宋体"/>
              </w:rPr>
              <w:t>校验</w:t>
            </w:r>
          </w:p>
        </w:tc>
        <w:tc>
          <w:tcPr>
            <w:tcW w:w="5512" w:type="dxa"/>
            <w:vAlign w:val="center"/>
          </w:tcPr>
          <w:p>
            <w:pPr>
              <w:widowControl/>
              <w:snapToGrid w:val="0"/>
              <w:spacing w:line="276" w:lineRule="auto"/>
              <w:rPr>
                <w:rFonts w:ascii="宋体"/>
              </w:rPr>
            </w:pPr>
            <w:r>
              <w:rPr>
                <w:rFonts w:hint="eastAsia" w:ascii="宋体" w:hAnsi="宋体" w:cs="宋体"/>
              </w:rPr>
              <w:t>按相关标准与说明书要求进行校验，结果满足要求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68" w:type="dxa"/>
            <w:vMerge w:val="restart"/>
            <w:vAlign w:val="center"/>
          </w:tcPr>
          <w:p>
            <w:pPr>
              <w:widowControl/>
              <w:snapToGrid w:val="0"/>
              <w:spacing w:line="276" w:lineRule="auto"/>
              <w:rPr>
                <w:rFonts w:ascii="宋体"/>
              </w:rPr>
            </w:pPr>
            <w:r>
              <w:rPr>
                <w:rFonts w:hint="eastAsia" w:ascii="宋体" w:hAnsi="宋体" w:cs="宋体"/>
              </w:rPr>
              <w:t>质量保证和质量控制</w:t>
            </w:r>
          </w:p>
        </w:tc>
        <w:tc>
          <w:tcPr>
            <w:tcW w:w="2440" w:type="dxa"/>
            <w:vAlign w:val="center"/>
          </w:tcPr>
          <w:p>
            <w:pPr>
              <w:widowControl/>
              <w:snapToGrid w:val="0"/>
              <w:spacing w:line="276" w:lineRule="auto"/>
              <w:rPr>
                <w:rFonts w:ascii="宋体"/>
              </w:rPr>
            </w:pPr>
            <w:r>
              <w:rPr>
                <w:rFonts w:hint="eastAsia" w:ascii="宋体" w:hAnsi="宋体" w:cs="宋体"/>
              </w:rPr>
              <w:t>操作人员</w:t>
            </w:r>
          </w:p>
        </w:tc>
        <w:tc>
          <w:tcPr>
            <w:tcW w:w="5512" w:type="dxa"/>
            <w:vAlign w:val="center"/>
          </w:tcPr>
          <w:p>
            <w:pPr>
              <w:widowControl/>
              <w:snapToGrid w:val="0"/>
              <w:spacing w:line="276" w:lineRule="auto"/>
              <w:rPr>
                <w:rFonts w:ascii="宋体"/>
              </w:rPr>
            </w:pPr>
            <w:r>
              <w:rPr>
                <w:rFonts w:hint="eastAsia" w:ascii="宋体" w:hAnsi="宋体" w:cs="宋体"/>
              </w:rPr>
              <w:t>操作人员培训考核合格，持证上岗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68" w:type="dxa"/>
            <w:vMerge w:val="continue"/>
            <w:vAlign w:val="center"/>
          </w:tcPr>
          <w:p>
            <w:pPr>
              <w:widowControl/>
              <w:spacing w:line="276" w:lineRule="auto"/>
              <w:jc w:val="left"/>
              <w:rPr>
                <w:rFonts w:ascii="宋体"/>
              </w:rPr>
            </w:pPr>
          </w:p>
        </w:tc>
        <w:tc>
          <w:tcPr>
            <w:tcW w:w="2440" w:type="dxa"/>
            <w:vAlign w:val="center"/>
          </w:tcPr>
          <w:p>
            <w:pPr>
              <w:widowControl/>
              <w:snapToGrid w:val="0"/>
              <w:spacing w:line="276" w:lineRule="auto"/>
              <w:rPr>
                <w:rFonts w:ascii="宋体"/>
              </w:rPr>
            </w:pPr>
            <w:r>
              <w:rPr>
                <w:rFonts w:hint="eastAsia" w:ascii="宋体" w:hAnsi="宋体" w:cs="宋体"/>
              </w:rPr>
              <w:t>标准溶液</w:t>
            </w:r>
          </w:p>
        </w:tc>
        <w:tc>
          <w:tcPr>
            <w:tcW w:w="5512" w:type="dxa"/>
            <w:vAlign w:val="center"/>
          </w:tcPr>
          <w:p>
            <w:pPr>
              <w:widowControl/>
              <w:snapToGrid w:val="0"/>
              <w:spacing w:line="276" w:lineRule="auto"/>
              <w:rPr>
                <w:rFonts w:ascii="宋体"/>
              </w:rPr>
            </w:pPr>
            <w:r>
              <w:rPr>
                <w:rFonts w:hint="eastAsia" w:ascii="宋体" w:hAnsi="宋体" w:cs="宋体"/>
              </w:rPr>
              <w:t>每周对标准溶液进行核查，结果符合表</w:t>
            </w:r>
            <w:r>
              <w:rPr>
                <w:rFonts w:ascii="宋体" w:hAnsi="宋体" w:cs="宋体"/>
              </w:rPr>
              <w:t>2</w:t>
            </w:r>
            <w:r>
              <w:rPr>
                <w:rFonts w:hint="eastAsia" w:ascii="宋体" w:hAnsi="宋体" w:cs="宋体"/>
              </w:rPr>
              <w:t>水站运维准确度精密度要求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868" w:type="dxa"/>
            <w:vMerge w:val="continue"/>
            <w:vAlign w:val="center"/>
          </w:tcPr>
          <w:p>
            <w:pPr>
              <w:widowControl/>
              <w:spacing w:line="276" w:lineRule="auto"/>
              <w:jc w:val="left"/>
              <w:rPr>
                <w:rFonts w:ascii="宋体"/>
              </w:rPr>
            </w:pPr>
          </w:p>
        </w:tc>
        <w:tc>
          <w:tcPr>
            <w:tcW w:w="2440" w:type="dxa"/>
            <w:vAlign w:val="center"/>
          </w:tcPr>
          <w:p>
            <w:pPr>
              <w:widowControl/>
              <w:snapToGrid w:val="0"/>
              <w:spacing w:line="276" w:lineRule="auto"/>
              <w:rPr>
                <w:rFonts w:ascii="宋体"/>
              </w:rPr>
            </w:pPr>
            <w:r>
              <w:rPr>
                <w:rFonts w:hint="eastAsia" w:ascii="宋体" w:hAnsi="宋体" w:cs="宋体"/>
              </w:rPr>
              <w:t>实际水样对比实验（托管站负责）</w:t>
            </w:r>
          </w:p>
        </w:tc>
        <w:tc>
          <w:tcPr>
            <w:tcW w:w="5512" w:type="dxa"/>
            <w:vAlign w:val="center"/>
          </w:tcPr>
          <w:p>
            <w:pPr>
              <w:widowControl/>
              <w:snapToGrid w:val="0"/>
              <w:spacing w:line="276" w:lineRule="auto"/>
              <w:rPr>
                <w:rFonts w:ascii="宋体"/>
              </w:rPr>
            </w:pPr>
            <w:r>
              <w:rPr>
                <w:rFonts w:hint="eastAsia" w:ascii="宋体" w:hAnsi="宋体" w:cs="宋体"/>
              </w:rPr>
              <w:t>每月进行实际水样比对实验，结果符合表</w:t>
            </w:r>
            <w:r>
              <w:rPr>
                <w:rFonts w:ascii="宋体" w:hAnsi="宋体" w:cs="宋体"/>
              </w:rPr>
              <w:t>2</w:t>
            </w:r>
            <w:r>
              <w:rPr>
                <w:rFonts w:hint="eastAsia" w:ascii="宋体" w:hAnsi="宋体" w:cs="宋体"/>
              </w:rPr>
              <w:t>水站运维准确度精密度要求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68" w:type="dxa"/>
            <w:vMerge w:val="restart"/>
            <w:vAlign w:val="center"/>
          </w:tcPr>
          <w:p>
            <w:pPr>
              <w:widowControl/>
              <w:snapToGrid w:val="0"/>
              <w:spacing w:line="276" w:lineRule="auto"/>
              <w:rPr>
                <w:rFonts w:ascii="宋体"/>
              </w:rPr>
            </w:pPr>
            <w:r>
              <w:rPr>
                <w:rFonts w:hint="eastAsia" w:ascii="宋体" w:hAnsi="宋体" w:cs="宋体"/>
              </w:rPr>
              <w:t>运行与日常维护</w:t>
            </w:r>
          </w:p>
        </w:tc>
        <w:tc>
          <w:tcPr>
            <w:tcW w:w="2440" w:type="dxa"/>
            <w:vAlign w:val="center"/>
          </w:tcPr>
          <w:p>
            <w:pPr>
              <w:widowControl/>
              <w:snapToGrid w:val="0"/>
              <w:spacing w:line="276" w:lineRule="auto"/>
              <w:rPr>
                <w:rFonts w:ascii="宋体"/>
              </w:rPr>
            </w:pPr>
            <w:r>
              <w:rPr>
                <w:rFonts w:hint="eastAsia" w:ascii="宋体" w:hAnsi="宋体" w:cs="宋体"/>
              </w:rPr>
              <w:t>站房、辅助设备</w:t>
            </w:r>
          </w:p>
        </w:tc>
        <w:tc>
          <w:tcPr>
            <w:tcW w:w="5512" w:type="dxa"/>
            <w:vAlign w:val="center"/>
          </w:tcPr>
          <w:p>
            <w:pPr>
              <w:widowControl/>
              <w:snapToGrid w:val="0"/>
              <w:spacing w:line="276" w:lineRule="auto"/>
              <w:rPr>
                <w:rFonts w:ascii="宋体"/>
              </w:rPr>
            </w:pPr>
            <w:r>
              <w:rPr>
                <w:rFonts w:hint="eastAsia" w:ascii="宋体" w:hAnsi="宋体" w:cs="宋体"/>
              </w:rPr>
              <w:t>保持站房清洁，保证监测用房内的温度、湿度满足仪器正常运行的需求，辅助设备工作正常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68" w:type="dxa"/>
            <w:vMerge w:val="continue"/>
            <w:vAlign w:val="center"/>
          </w:tcPr>
          <w:p>
            <w:pPr>
              <w:widowControl/>
              <w:spacing w:line="276" w:lineRule="auto"/>
              <w:jc w:val="left"/>
              <w:rPr>
                <w:rFonts w:ascii="宋体"/>
              </w:rPr>
            </w:pPr>
          </w:p>
        </w:tc>
        <w:tc>
          <w:tcPr>
            <w:tcW w:w="2440" w:type="dxa"/>
            <w:vAlign w:val="center"/>
          </w:tcPr>
          <w:p>
            <w:pPr>
              <w:widowControl/>
              <w:snapToGrid w:val="0"/>
              <w:spacing w:line="276" w:lineRule="auto"/>
              <w:rPr>
                <w:rFonts w:ascii="宋体"/>
              </w:rPr>
            </w:pPr>
            <w:r>
              <w:rPr>
                <w:rFonts w:hint="eastAsia" w:ascii="宋体" w:hAnsi="宋体" w:cs="宋体"/>
              </w:rPr>
              <w:t>采水、排水及内部管路</w:t>
            </w:r>
          </w:p>
        </w:tc>
        <w:tc>
          <w:tcPr>
            <w:tcW w:w="5512" w:type="dxa"/>
            <w:vAlign w:val="center"/>
          </w:tcPr>
          <w:p>
            <w:pPr>
              <w:widowControl/>
              <w:snapToGrid w:val="0"/>
              <w:spacing w:line="276" w:lineRule="auto"/>
              <w:rPr>
                <w:rFonts w:ascii="宋体"/>
              </w:rPr>
            </w:pPr>
            <w:r>
              <w:rPr>
                <w:rFonts w:hint="eastAsia" w:ascii="宋体" w:hAnsi="宋体" w:cs="宋体"/>
              </w:rPr>
              <w:t>定期维护和清洁，保证内部管路通畅，防止堵塞和泄漏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68" w:type="dxa"/>
            <w:vMerge w:val="continue"/>
            <w:vAlign w:val="center"/>
          </w:tcPr>
          <w:p>
            <w:pPr>
              <w:widowControl/>
              <w:spacing w:line="276" w:lineRule="auto"/>
              <w:jc w:val="left"/>
              <w:rPr>
                <w:rFonts w:ascii="宋体"/>
              </w:rPr>
            </w:pPr>
          </w:p>
        </w:tc>
        <w:tc>
          <w:tcPr>
            <w:tcW w:w="2440" w:type="dxa"/>
            <w:vAlign w:val="center"/>
          </w:tcPr>
          <w:p>
            <w:pPr>
              <w:widowControl/>
              <w:snapToGrid w:val="0"/>
              <w:spacing w:line="276" w:lineRule="auto"/>
              <w:rPr>
                <w:rFonts w:ascii="宋体"/>
              </w:rPr>
            </w:pPr>
            <w:r>
              <w:rPr>
                <w:rFonts w:hint="eastAsia" w:ascii="宋体" w:hAnsi="宋体" w:cs="宋体"/>
              </w:rPr>
              <w:t>自动分析仪</w:t>
            </w:r>
          </w:p>
        </w:tc>
        <w:tc>
          <w:tcPr>
            <w:tcW w:w="5512" w:type="dxa"/>
            <w:vAlign w:val="center"/>
          </w:tcPr>
          <w:p>
            <w:pPr>
              <w:widowControl/>
              <w:snapToGrid w:val="0"/>
              <w:spacing w:line="276" w:lineRule="auto"/>
              <w:rPr>
                <w:rFonts w:ascii="宋体"/>
              </w:rPr>
            </w:pPr>
            <w:r>
              <w:rPr>
                <w:rFonts w:hint="eastAsia" w:ascii="宋体" w:hAnsi="宋体" w:cs="宋体"/>
              </w:rPr>
              <w:t>定期清洗、定期更换试剂、定期更换易耗品、定期校准仪器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68" w:type="dxa"/>
            <w:vMerge w:val="continue"/>
            <w:vAlign w:val="center"/>
          </w:tcPr>
          <w:p>
            <w:pPr>
              <w:widowControl/>
              <w:spacing w:line="276" w:lineRule="auto"/>
              <w:jc w:val="left"/>
              <w:rPr>
                <w:rFonts w:ascii="宋体"/>
              </w:rPr>
            </w:pPr>
          </w:p>
        </w:tc>
        <w:tc>
          <w:tcPr>
            <w:tcW w:w="2440" w:type="dxa"/>
            <w:vAlign w:val="center"/>
          </w:tcPr>
          <w:p>
            <w:pPr>
              <w:widowControl/>
              <w:snapToGrid w:val="0"/>
              <w:spacing w:line="276" w:lineRule="auto"/>
              <w:rPr>
                <w:rFonts w:ascii="宋体"/>
              </w:rPr>
            </w:pPr>
            <w:r>
              <w:rPr>
                <w:rFonts w:hint="eastAsia" w:ascii="宋体" w:hAnsi="宋体" w:cs="宋体"/>
              </w:rPr>
              <w:t>电路、仪器传输</w:t>
            </w:r>
          </w:p>
        </w:tc>
        <w:tc>
          <w:tcPr>
            <w:tcW w:w="5512" w:type="dxa"/>
            <w:vAlign w:val="center"/>
          </w:tcPr>
          <w:p>
            <w:pPr>
              <w:widowControl/>
              <w:snapToGrid w:val="0"/>
              <w:spacing w:line="276" w:lineRule="auto"/>
              <w:rPr>
                <w:rFonts w:ascii="宋体"/>
              </w:rPr>
            </w:pPr>
            <w:r>
              <w:rPr>
                <w:rFonts w:hint="eastAsia" w:ascii="宋体" w:hAnsi="宋体" w:cs="宋体"/>
              </w:rPr>
              <w:t>保持电路、仪器传输系统正常工作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68" w:type="dxa"/>
            <w:vMerge w:val="continue"/>
            <w:vAlign w:val="center"/>
          </w:tcPr>
          <w:p>
            <w:pPr>
              <w:widowControl/>
              <w:spacing w:line="276" w:lineRule="auto"/>
              <w:jc w:val="left"/>
              <w:rPr>
                <w:rFonts w:ascii="宋体"/>
              </w:rPr>
            </w:pPr>
          </w:p>
        </w:tc>
        <w:tc>
          <w:tcPr>
            <w:tcW w:w="2440" w:type="dxa"/>
            <w:vAlign w:val="center"/>
          </w:tcPr>
          <w:p>
            <w:pPr>
              <w:widowControl/>
              <w:snapToGrid w:val="0"/>
              <w:spacing w:line="276" w:lineRule="auto"/>
              <w:rPr>
                <w:rFonts w:ascii="宋体"/>
              </w:rPr>
            </w:pPr>
            <w:r>
              <w:rPr>
                <w:rFonts w:hint="eastAsia" w:ascii="宋体" w:hAnsi="宋体" w:cs="宋体"/>
              </w:rPr>
              <w:t>维护工作量</w:t>
            </w:r>
          </w:p>
        </w:tc>
        <w:tc>
          <w:tcPr>
            <w:tcW w:w="5512" w:type="dxa"/>
            <w:vAlign w:val="center"/>
          </w:tcPr>
          <w:p>
            <w:pPr>
              <w:widowControl/>
              <w:snapToGrid w:val="0"/>
              <w:spacing w:line="276" w:lineRule="auto"/>
              <w:rPr>
                <w:rFonts w:ascii="宋体"/>
              </w:rPr>
            </w:pPr>
            <w:r>
              <w:rPr>
                <w:rFonts w:hint="eastAsia" w:ascii="宋体" w:hAnsi="宋体" w:cs="宋体"/>
              </w:rPr>
              <w:t>按标准要求定时远程监控及对自动监测仪器设备进行现场维护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3308" w:type="dxa"/>
            <w:gridSpan w:val="2"/>
            <w:vAlign w:val="center"/>
          </w:tcPr>
          <w:p>
            <w:pPr>
              <w:widowControl/>
              <w:snapToGrid w:val="0"/>
              <w:spacing w:line="276" w:lineRule="auto"/>
              <w:rPr>
                <w:rFonts w:ascii="宋体"/>
              </w:rPr>
            </w:pPr>
            <w:r>
              <w:rPr>
                <w:rFonts w:hint="eastAsia" w:ascii="宋体" w:hAnsi="宋体" w:cs="宋体"/>
              </w:rPr>
              <w:t>检修</w:t>
            </w:r>
          </w:p>
        </w:tc>
        <w:tc>
          <w:tcPr>
            <w:tcW w:w="5512" w:type="dxa"/>
            <w:vAlign w:val="center"/>
          </w:tcPr>
          <w:p>
            <w:pPr>
              <w:widowControl/>
              <w:snapToGrid w:val="0"/>
              <w:spacing w:line="276" w:lineRule="auto"/>
              <w:rPr>
                <w:rFonts w:ascii="宋体"/>
              </w:rPr>
            </w:pPr>
            <w:r>
              <w:rPr>
                <w:rFonts w:hint="eastAsia" w:ascii="宋体" w:hAnsi="宋体" w:cs="宋体"/>
              </w:rPr>
              <w:t>按标准要求，对系统进行检修，在更换新的仪器或修复后的仪器在运行之前按规定进行必要的检测和校准，各项指标达到要求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68" w:type="dxa"/>
            <w:vMerge w:val="restart"/>
            <w:vAlign w:val="center"/>
          </w:tcPr>
          <w:p>
            <w:pPr>
              <w:widowControl/>
              <w:snapToGrid w:val="0"/>
              <w:spacing w:line="276" w:lineRule="auto"/>
              <w:rPr>
                <w:rFonts w:ascii="宋体"/>
              </w:rPr>
            </w:pPr>
            <w:r>
              <w:rPr>
                <w:rFonts w:hint="eastAsia" w:ascii="宋体" w:hAnsi="宋体" w:cs="宋体"/>
              </w:rPr>
              <w:t>仪器技术</w:t>
            </w:r>
            <w:r>
              <w:rPr>
                <w:rFonts w:ascii="宋体" w:hAnsi="宋体" w:cs="宋体"/>
              </w:rPr>
              <w:t xml:space="preserve"> </w:t>
            </w:r>
            <w:r>
              <w:rPr>
                <w:rFonts w:hint="eastAsia" w:ascii="宋体" w:hAnsi="宋体" w:cs="宋体"/>
              </w:rPr>
              <w:t>档案</w:t>
            </w:r>
          </w:p>
        </w:tc>
        <w:tc>
          <w:tcPr>
            <w:tcW w:w="2440" w:type="dxa"/>
            <w:vAlign w:val="center"/>
          </w:tcPr>
          <w:p>
            <w:pPr>
              <w:widowControl/>
              <w:snapToGrid w:val="0"/>
              <w:spacing w:line="276" w:lineRule="auto"/>
              <w:rPr>
                <w:rFonts w:ascii="宋体"/>
              </w:rPr>
            </w:pPr>
            <w:r>
              <w:rPr>
                <w:rFonts w:hint="eastAsia" w:ascii="宋体" w:hAnsi="宋体" w:cs="宋体"/>
              </w:rPr>
              <w:t>仪器操作使用说明或</w:t>
            </w:r>
          </w:p>
          <w:p>
            <w:pPr>
              <w:widowControl/>
              <w:snapToGrid w:val="0"/>
              <w:spacing w:line="276" w:lineRule="auto"/>
              <w:rPr>
                <w:rFonts w:ascii="宋体"/>
              </w:rPr>
            </w:pPr>
            <w:r>
              <w:rPr>
                <w:rFonts w:hint="eastAsia" w:ascii="宋体" w:hAnsi="宋体" w:cs="宋体"/>
              </w:rPr>
              <w:t>维护技术要求</w:t>
            </w:r>
          </w:p>
        </w:tc>
        <w:tc>
          <w:tcPr>
            <w:tcW w:w="5512" w:type="dxa"/>
            <w:vAlign w:val="center"/>
          </w:tcPr>
          <w:p>
            <w:pPr>
              <w:widowControl/>
              <w:snapToGrid w:val="0"/>
              <w:spacing w:line="276" w:lineRule="auto"/>
              <w:rPr>
                <w:rFonts w:ascii="宋体"/>
              </w:rPr>
            </w:pPr>
            <w:r>
              <w:rPr>
                <w:rFonts w:hint="eastAsia" w:ascii="宋体" w:hAnsi="宋体" w:cs="宋体"/>
              </w:rPr>
              <w:t>有仪器操作使用说明及维护规程，记录清晰、完整，符合《地表水自动监测技术规范》（试行）</w:t>
            </w:r>
            <w:r>
              <w:rPr>
                <w:rFonts w:ascii="宋体" w:hAnsi="宋体" w:cs="宋体"/>
              </w:rPr>
              <w:t>HJ915-2017</w:t>
            </w:r>
            <w:r>
              <w:rPr>
                <w:rFonts w:hint="eastAsia" w:ascii="宋体" w:hAnsi="宋体" w:cs="宋体"/>
              </w:rPr>
              <w:t>中第</w:t>
            </w:r>
            <w:r>
              <w:rPr>
                <w:rFonts w:ascii="宋体" w:hAnsi="宋体" w:cs="宋体"/>
              </w:rPr>
              <w:t>10</w:t>
            </w:r>
            <w:r>
              <w:rPr>
                <w:rFonts w:hint="eastAsia" w:ascii="宋体" w:hAnsi="宋体" w:cs="宋体"/>
              </w:rPr>
              <w:t>章技术档案要求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68" w:type="dxa"/>
            <w:vMerge w:val="continue"/>
            <w:vAlign w:val="center"/>
          </w:tcPr>
          <w:p>
            <w:pPr>
              <w:widowControl/>
              <w:spacing w:line="276" w:lineRule="auto"/>
              <w:jc w:val="left"/>
              <w:rPr>
                <w:rFonts w:ascii="宋体"/>
              </w:rPr>
            </w:pPr>
          </w:p>
        </w:tc>
        <w:tc>
          <w:tcPr>
            <w:tcW w:w="2440" w:type="dxa"/>
            <w:vAlign w:val="center"/>
          </w:tcPr>
          <w:p>
            <w:pPr>
              <w:widowControl/>
              <w:snapToGrid w:val="0"/>
              <w:spacing w:line="276" w:lineRule="auto"/>
              <w:rPr>
                <w:rFonts w:ascii="宋体"/>
              </w:rPr>
            </w:pPr>
            <w:r>
              <w:rPr>
                <w:rFonts w:hint="eastAsia" w:ascii="宋体" w:hAnsi="宋体" w:cs="宋体"/>
              </w:rPr>
              <w:t>例行检查记录、核查记录、校验记录、仪器设备的检修记录</w:t>
            </w:r>
          </w:p>
        </w:tc>
        <w:tc>
          <w:tcPr>
            <w:tcW w:w="5512" w:type="dxa"/>
            <w:vAlign w:val="center"/>
          </w:tcPr>
          <w:p>
            <w:pPr>
              <w:widowControl/>
              <w:snapToGrid w:val="0"/>
              <w:spacing w:line="276" w:lineRule="auto"/>
              <w:rPr>
                <w:rFonts w:ascii="宋体"/>
              </w:rPr>
            </w:pPr>
            <w:r>
              <w:rPr>
                <w:rFonts w:hint="eastAsia" w:ascii="宋体" w:hAnsi="宋体" w:cs="宋体"/>
              </w:rPr>
              <w:t>运行维护记录、校验、检修、保养等记录清晰、完整，符合《地表水自动监测技术规范》（试行）</w:t>
            </w:r>
            <w:r>
              <w:rPr>
                <w:rFonts w:ascii="宋体" w:hAnsi="宋体" w:cs="宋体"/>
              </w:rPr>
              <w:t>HJ915-2017</w:t>
            </w:r>
            <w:r>
              <w:rPr>
                <w:rFonts w:hint="eastAsia" w:ascii="宋体" w:hAnsi="宋体" w:cs="宋体"/>
              </w:rPr>
              <w:t>第</w:t>
            </w:r>
            <w:r>
              <w:rPr>
                <w:rFonts w:ascii="宋体" w:hAnsi="宋体" w:cs="宋体"/>
              </w:rPr>
              <w:t>10</w:t>
            </w:r>
            <w:r>
              <w:rPr>
                <w:rFonts w:hint="eastAsia" w:ascii="宋体" w:hAnsi="宋体" w:cs="宋体"/>
              </w:rPr>
              <w:t>章技术档案要求</w:t>
            </w:r>
          </w:p>
        </w:tc>
      </w:tr>
    </w:tbl>
    <w:p>
      <w:pPr>
        <w:widowControl/>
        <w:adjustRightInd w:val="0"/>
        <w:snapToGrid w:val="0"/>
        <w:spacing w:line="360" w:lineRule="auto"/>
        <w:rPr>
          <w:rFonts w:ascii="宋体"/>
          <w:snapToGrid w:val="0"/>
          <w:sz w:val="21"/>
          <w:szCs w:val="21"/>
        </w:rPr>
      </w:pPr>
    </w:p>
    <w:p>
      <w:pPr>
        <w:widowControl/>
        <w:adjustRightInd w:val="0"/>
        <w:snapToGrid w:val="0"/>
        <w:spacing w:line="360" w:lineRule="auto"/>
        <w:ind w:firstLine="422" w:firstLineChars="200"/>
        <w:rPr>
          <w:rFonts w:ascii="宋体"/>
          <w:b/>
          <w:bCs/>
          <w:snapToGrid w:val="0"/>
          <w:sz w:val="21"/>
          <w:szCs w:val="21"/>
        </w:rPr>
      </w:pPr>
      <w:r>
        <w:rPr>
          <w:rFonts w:ascii="宋体" w:hAnsi="宋体" w:cs="宋体"/>
          <w:b/>
          <w:bCs/>
          <w:snapToGrid w:val="0"/>
          <w:sz w:val="21"/>
          <w:szCs w:val="21"/>
        </w:rPr>
        <w:t xml:space="preserve"> </w:t>
      </w:r>
    </w:p>
    <w:p>
      <w:pPr>
        <w:widowControl/>
        <w:adjustRightInd w:val="0"/>
        <w:snapToGrid w:val="0"/>
        <w:spacing w:line="360" w:lineRule="auto"/>
        <w:ind w:firstLine="422" w:firstLineChars="200"/>
        <w:rPr>
          <w:rFonts w:ascii="宋体"/>
          <w:b/>
          <w:bCs/>
          <w:snapToGrid w:val="0"/>
          <w:sz w:val="21"/>
          <w:szCs w:val="21"/>
        </w:rPr>
      </w:pPr>
    </w:p>
    <w:p>
      <w:pPr>
        <w:widowControl/>
        <w:adjustRightInd w:val="0"/>
        <w:snapToGrid w:val="0"/>
        <w:spacing w:line="360" w:lineRule="auto"/>
        <w:ind w:firstLine="422" w:firstLineChars="200"/>
        <w:rPr>
          <w:rFonts w:ascii="宋体"/>
          <w:b/>
          <w:bCs/>
          <w:snapToGrid w:val="0"/>
          <w:sz w:val="21"/>
          <w:szCs w:val="21"/>
        </w:rPr>
      </w:pPr>
    </w:p>
    <w:p>
      <w:pPr>
        <w:widowControl/>
        <w:adjustRightInd w:val="0"/>
        <w:snapToGrid w:val="0"/>
        <w:spacing w:line="360" w:lineRule="auto"/>
        <w:rPr>
          <w:rFonts w:ascii="宋体"/>
          <w:b/>
          <w:bCs/>
          <w:snapToGrid w:val="0"/>
          <w:sz w:val="21"/>
          <w:szCs w:val="21"/>
        </w:rPr>
      </w:pPr>
      <w:r>
        <w:rPr>
          <w:rFonts w:ascii="宋体" w:hAnsi="宋体" w:cs="宋体"/>
          <w:b/>
          <w:bCs/>
          <w:snapToGrid w:val="0"/>
          <w:sz w:val="21"/>
          <w:szCs w:val="21"/>
        </w:rPr>
        <w:t>8</w:t>
      </w:r>
      <w:r>
        <w:rPr>
          <w:rFonts w:hint="eastAsia" w:ascii="宋体" w:hAnsi="宋体" w:cs="宋体"/>
          <w:b/>
          <w:bCs/>
          <w:snapToGrid w:val="0"/>
          <w:sz w:val="21"/>
          <w:szCs w:val="21"/>
        </w:rPr>
        <w:t>、交接方式</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8.1</w:t>
      </w:r>
      <w:r>
        <w:rPr>
          <w:rFonts w:hint="eastAsia" w:ascii="宋体" w:hAnsi="宋体" w:cs="宋体"/>
          <w:snapToGrid w:val="0"/>
          <w:sz w:val="21"/>
          <w:szCs w:val="21"/>
        </w:rPr>
        <w:t>业主方应在合同生效前向运营方提供水质自动监测系统的以下技术资料：</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(1)</w:t>
      </w:r>
      <w:r>
        <w:rPr>
          <w:rFonts w:hint="eastAsia" w:ascii="宋体" w:hAnsi="宋体" w:cs="宋体"/>
          <w:snapToGrid w:val="0"/>
          <w:sz w:val="21"/>
          <w:szCs w:val="21"/>
        </w:rPr>
        <w:t>产品技术说明书（包括软件部分）</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(2)</w:t>
      </w:r>
      <w:r>
        <w:rPr>
          <w:rFonts w:hint="eastAsia" w:ascii="宋体" w:hAnsi="宋体" w:cs="宋体"/>
          <w:snapToGrid w:val="0"/>
          <w:sz w:val="21"/>
          <w:szCs w:val="21"/>
        </w:rPr>
        <w:t>电气原理图</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(3)</w:t>
      </w:r>
      <w:r>
        <w:rPr>
          <w:rFonts w:hint="eastAsia" w:ascii="宋体" w:hAnsi="宋体" w:cs="宋体"/>
          <w:snapToGrid w:val="0"/>
          <w:sz w:val="21"/>
          <w:szCs w:val="21"/>
        </w:rPr>
        <w:t>电气接线图</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(4)</w:t>
      </w:r>
      <w:r>
        <w:rPr>
          <w:rFonts w:hint="eastAsia" w:ascii="宋体" w:hAnsi="宋体" w:cs="宋体"/>
          <w:snapToGrid w:val="0"/>
          <w:sz w:val="21"/>
          <w:szCs w:val="21"/>
        </w:rPr>
        <w:t>安装手册</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(5)</w:t>
      </w:r>
      <w:r>
        <w:rPr>
          <w:rFonts w:hint="eastAsia" w:ascii="宋体" w:hAnsi="宋体" w:cs="宋体"/>
          <w:snapToGrid w:val="0"/>
          <w:sz w:val="21"/>
          <w:szCs w:val="21"/>
        </w:rPr>
        <w:t>操作手册</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(6)</w:t>
      </w:r>
      <w:r>
        <w:rPr>
          <w:rFonts w:hint="eastAsia" w:ascii="宋体" w:hAnsi="宋体" w:cs="宋体"/>
          <w:snapToGrid w:val="0"/>
          <w:sz w:val="21"/>
          <w:szCs w:val="21"/>
        </w:rPr>
        <w:t>维修维护手册</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(7)</w:t>
      </w:r>
      <w:r>
        <w:rPr>
          <w:rFonts w:hint="eastAsia" w:ascii="宋体" w:hAnsi="宋体" w:cs="宋体"/>
          <w:snapToGrid w:val="0"/>
          <w:sz w:val="21"/>
          <w:szCs w:val="21"/>
        </w:rPr>
        <w:t>出厂明细表（装箱单）</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(8)</w:t>
      </w:r>
      <w:r>
        <w:rPr>
          <w:rFonts w:hint="eastAsia" w:ascii="宋体" w:hAnsi="宋体" w:cs="宋体"/>
          <w:snapToGrid w:val="0"/>
          <w:sz w:val="21"/>
          <w:szCs w:val="21"/>
        </w:rPr>
        <w:t>产品技术标准（含验收标准）和试验方法</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(9)</w:t>
      </w:r>
      <w:r>
        <w:rPr>
          <w:rFonts w:hint="eastAsia" w:ascii="宋体" w:hAnsi="宋体" w:cs="宋体"/>
          <w:snapToGrid w:val="0"/>
          <w:sz w:val="21"/>
          <w:szCs w:val="21"/>
        </w:rPr>
        <w:t>出厂检验报告和合格证书</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(10)</w:t>
      </w:r>
      <w:r>
        <w:rPr>
          <w:rFonts w:hint="eastAsia" w:ascii="宋体" w:hAnsi="宋体" w:cs="宋体"/>
          <w:snapToGrid w:val="0"/>
          <w:sz w:val="21"/>
          <w:szCs w:val="21"/>
        </w:rPr>
        <w:t>产品试剂配方</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(11)</w:t>
      </w:r>
      <w:r>
        <w:rPr>
          <w:rFonts w:hint="eastAsia" w:ascii="宋体" w:hAnsi="宋体" w:cs="宋体"/>
          <w:snapToGrid w:val="0"/>
          <w:sz w:val="21"/>
          <w:szCs w:val="21"/>
        </w:rPr>
        <w:t>通讯协议</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8.2</w:t>
      </w:r>
      <w:r>
        <w:rPr>
          <w:rFonts w:hint="eastAsia" w:ascii="宋体" w:hAnsi="宋体" w:cs="宋体"/>
          <w:snapToGrid w:val="0"/>
          <w:sz w:val="21"/>
          <w:szCs w:val="21"/>
        </w:rPr>
        <w:t>在合同生效前运营方应与业主方共同对水质自动监测系统的运行情况、数据采集情况进行实际考察，并且做好备案。</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8.3 </w:t>
      </w:r>
      <w:r>
        <w:rPr>
          <w:rFonts w:hint="eastAsia" w:ascii="宋体" w:hAnsi="宋体" w:cs="宋体"/>
          <w:snapToGrid w:val="0"/>
          <w:sz w:val="21"/>
          <w:szCs w:val="21"/>
        </w:rPr>
        <w:t>用户可提供的运营条件：运营所需的水、电及数据传输用线路由各托管站配合提供。</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 </w:t>
      </w:r>
    </w:p>
    <w:p>
      <w:pPr>
        <w:widowControl/>
        <w:adjustRightInd w:val="0"/>
        <w:snapToGrid w:val="0"/>
        <w:spacing w:line="360" w:lineRule="auto"/>
        <w:rPr>
          <w:rFonts w:ascii="宋体"/>
          <w:b/>
          <w:bCs/>
          <w:snapToGrid w:val="0"/>
          <w:sz w:val="21"/>
          <w:szCs w:val="21"/>
        </w:rPr>
      </w:pPr>
      <w:r>
        <w:rPr>
          <w:rFonts w:ascii="宋体" w:hAnsi="宋体" w:cs="宋体"/>
          <w:b/>
          <w:bCs/>
          <w:snapToGrid w:val="0"/>
          <w:sz w:val="21"/>
          <w:szCs w:val="21"/>
        </w:rPr>
        <w:t>9</w:t>
      </w:r>
      <w:r>
        <w:rPr>
          <w:rFonts w:hint="eastAsia" w:ascii="宋体" w:hAnsi="宋体" w:cs="宋体"/>
          <w:b/>
          <w:bCs/>
          <w:snapToGrid w:val="0"/>
          <w:sz w:val="21"/>
          <w:szCs w:val="21"/>
        </w:rPr>
        <w:t>、技术规范和标准</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9.1  </w:t>
      </w:r>
      <w:r>
        <w:rPr>
          <w:rFonts w:hint="eastAsia" w:ascii="宋体" w:hAnsi="宋体" w:cs="宋体"/>
          <w:snapToGrid w:val="0"/>
          <w:sz w:val="21"/>
          <w:szCs w:val="21"/>
        </w:rPr>
        <w:t>国家环境保护总局发布的</w:t>
      </w:r>
      <w:r>
        <w:rPr>
          <w:rFonts w:ascii="宋体" w:hAnsi="宋体" w:cs="宋体"/>
          <w:snapToGrid w:val="0"/>
          <w:sz w:val="21"/>
          <w:szCs w:val="21"/>
        </w:rPr>
        <w:t>HJ/T 96-2003</w:t>
      </w:r>
      <w:r>
        <w:rPr>
          <w:rFonts w:hint="eastAsia" w:ascii="宋体" w:hAnsi="宋体" w:cs="宋体"/>
          <w:snapToGrid w:val="0"/>
          <w:sz w:val="21"/>
          <w:szCs w:val="21"/>
        </w:rPr>
        <w:t>至</w:t>
      </w:r>
      <w:r>
        <w:rPr>
          <w:rFonts w:ascii="宋体" w:hAnsi="宋体" w:cs="宋体"/>
          <w:snapToGrid w:val="0"/>
          <w:sz w:val="21"/>
          <w:szCs w:val="21"/>
        </w:rPr>
        <w:t>HJ/T 104-2003</w:t>
      </w:r>
      <w:r>
        <w:rPr>
          <w:rFonts w:hint="eastAsia" w:ascii="宋体" w:hAnsi="宋体" w:cs="宋体"/>
          <w:snapToGrid w:val="0"/>
          <w:sz w:val="21"/>
          <w:szCs w:val="21"/>
        </w:rPr>
        <w:t>标准</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9.2  </w:t>
      </w:r>
      <w:r>
        <w:rPr>
          <w:rFonts w:hint="eastAsia" w:ascii="宋体" w:hAnsi="宋体" w:cs="宋体"/>
          <w:snapToGrid w:val="0"/>
          <w:sz w:val="21"/>
          <w:szCs w:val="21"/>
        </w:rPr>
        <w:t>国家标准分析方法及《水和废水监测分析方法》</w:t>
      </w:r>
    </w:p>
    <w:p>
      <w:pPr>
        <w:widowControl/>
        <w:adjustRightInd w:val="0"/>
        <w:snapToGrid w:val="0"/>
        <w:spacing w:line="360" w:lineRule="auto"/>
        <w:ind w:firstLine="420" w:firstLineChars="200"/>
        <w:rPr>
          <w:rFonts w:ascii="宋体" w:hAnsi="宋体" w:cs="宋体"/>
          <w:snapToGrid w:val="0"/>
          <w:sz w:val="21"/>
          <w:szCs w:val="21"/>
        </w:rPr>
      </w:pPr>
      <w:r>
        <w:rPr>
          <w:rFonts w:ascii="宋体" w:hAnsi="宋体" w:cs="宋体"/>
          <w:snapToGrid w:val="0"/>
          <w:sz w:val="21"/>
          <w:szCs w:val="21"/>
        </w:rPr>
        <w:t xml:space="preserve">9.3 </w:t>
      </w:r>
      <w:r>
        <w:rPr>
          <w:rFonts w:hint="eastAsia" w:ascii="宋体" w:hAnsi="宋体" w:cs="宋体"/>
        </w:rPr>
        <w:t>《</w:t>
      </w:r>
      <w:r>
        <w:rPr>
          <w:rFonts w:hint="eastAsia" w:ascii="宋体" w:hAnsi="宋体" w:cs="宋体"/>
          <w:snapToGrid w:val="0"/>
          <w:sz w:val="21"/>
          <w:szCs w:val="21"/>
        </w:rPr>
        <w:t>地表水自动监测技术规范》（试行）</w:t>
      </w:r>
      <w:r>
        <w:rPr>
          <w:rFonts w:ascii="宋体" w:hAnsi="宋体" w:cs="宋体"/>
          <w:snapToGrid w:val="0"/>
          <w:sz w:val="21"/>
          <w:szCs w:val="21"/>
        </w:rPr>
        <w:t>HJ915-2017</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9.4 </w:t>
      </w:r>
      <w:r>
        <w:rPr>
          <w:rFonts w:hint="eastAsia" w:ascii="宋体" w:hAnsi="宋体" w:cs="宋体"/>
          <w:snapToGrid w:val="0"/>
          <w:sz w:val="21"/>
          <w:szCs w:val="21"/>
        </w:rPr>
        <w:t>《国家地表水自动监测站运行管理办法》</w:t>
      </w:r>
    </w:p>
    <w:p>
      <w:pPr>
        <w:widowControl/>
        <w:adjustRightInd w:val="0"/>
        <w:snapToGrid w:val="0"/>
        <w:spacing w:line="360" w:lineRule="auto"/>
        <w:ind w:firstLine="420" w:firstLineChars="200"/>
        <w:rPr>
          <w:rFonts w:ascii="宋体"/>
          <w:snapToGrid w:val="0"/>
          <w:sz w:val="21"/>
          <w:szCs w:val="21"/>
        </w:rPr>
      </w:pPr>
      <w:r>
        <w:rPr>
          <w:rFonts w:ascii="宋体" w:hAnsi="宋体" w:cs="宋体"/>
          <w:snapToGrid w:val="0"/>
          <w:sz w:val="21"/>
          <w:szCs w:val="21"/>
        </w:rPr>
        <w:t xml:space="preserve">9.5 </w:t>
      </w:r>
      <w:r>
        <w:rPr>
          <w:rFonts w:hint="eastAsia" w:ascii="宋体" w:hAnsi="宋体" w:cs="宋体"/>
          <w:snapToGrid w:val="0"/>
          <w:sz w:val="21"/>
          <w:szCs w:val="21"/>
        </w:rPr>
        <w:t>《广东省地表水水质自动监测系统管理办法》</w:t>
      </w:r>
    </w:p>
    <w:bookmarkEnd w:id="0"/>
    <w:p/>
    <w:p/>
    <w:p/>
    <w:p>
      <w:pPr>
        <w:tabs>
          <w:tab w:val="left" w:pos="4615"/>
        </w:tabs>
        <w:rPr>
          <w:rFonts w:ascii="宋体"/>
          <w:snapToGrid w:val="0"/>
          <w:sz w:val="21"/>
          <w:szCs w:val="21"/>
        </w:rPr>
      </w:pPr>
      <w:r>
        <w:tab/>
      </w:r>
      <w:r>
        <w:rPr>
          <w:rFonts w:hint="eastAsia" w:ascii="宋体" w:hAnsi="宋体" w:cs="宋体"/>
          <w:snapToGrid w:val="0"/>
          <w:sz w:val="21"/>
          <w:szCs w:val="21"/>
        </w:rPr>
        <w:t>江门市生态环境局恩平分局</w:t>
      </w:r>
    </w:p>
    <w:p>
      <w:pPr>
        <w:tabs>
          <w:tab w:val="left" w:pos="4815"/>
        </w:tabs>
        <w:rPr>
          <w:rFonts w:ascii="宋体"/>
          <w:snapToGrid w:val="0"/>
          <w:sz w:val="21"/>
          <w:szCs w:val="21"/>
        </w:rPr>
      </w:pPr>
      <w:r>
        <w:rPr>
          <w:rFonts w:ascii="宋体" w:hAnsi="宋体" w:cs="宋体"/>
          <w:snapToGrid w:val="0"/>
          <w:sz w:val="21"/>
          <w:szCs w:val="21"/>
        </w:rPr>
        <w:t xml:space="preserve">                                               2021</w:t>
      </w:r>
      <w:r>
        <w:rPr>
          <w:rFonts w:hint="eastAsia" w:ascii="宋体" w:hAnsi="宋体" w:cs="宋体"/>
          <w:snapToGrid w:val="0"/>
          <w:sz w:val="21"/>
          <w:szCs w:val="21"/>
        </w:rPr>
        <w:t>年</w:t>
      </w:r>
      <w:r>
        <w:rPr>
          <w:rFonts w:ascii="宋体" w:hAnsi="宋体" w:cs="宋体"/>
          <w:snapToGrid w:val="0"/>
          <w:sz w:val="21"/>
          <w:szCs w:val="21"/>
        </w:rPr>
        <w:t>3</w:t>
      </w:r>
      <w:r>
        <w:rPr>
          <w:rFonts w:hint="eastAsia" w:ascii="宋体" w:hAnsi="宋体" w:cs="宋体"/>
          <w:snapToGrid w:val="0"/>
          <w:sz w:val="21"/>
          <w:szCs w:val="21"/>
        </w:rPr>
        <w:t>月</w:t>
      </w:r>
      <w:r>
        <w:rPr>
          <w:rFonts w:ascii="宋体" w:hAnsi="宋体" w:cs="宋体"/>
          <w:snapToGrid w:val="0"/>
          <w:sz w:val="21"/>
          <w:szCs w:val="21"/>
        </w:rPr>
        <w:t>11</w:t>
      </w:r>
      <w:r>
        <w:rPr>
          <w:rFonts w:hint="eastAsia" w:ascii="宋体" w:hAnsi="宋体" w:cs="宋体"/>
          <w:snapToGrid w:val="0"/>
          <w:sz w:val="21"/>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5"/>
    <w:lvl w:ilvl="0" w:tentative="0">
      <w:start w:val="1"/>
      <w:numFmt w:val="none"/>
      <w:pStyle w:val="2"/>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DBF"/>
    <w:rsid w:val="000216FD"/>
    <w:rsid w:val="00073DF9"/>
    <w:rsid w:val="00131AED"/>
    <w:rsid w:val="00164B1A"/>
    <w:rsid w:val="00175371"/>
    <w:rsid w:val="001931FE"/>
    <w:rsid w:val="001A0131"/>
    <w:rsid w:val="001B7C4A"/>
    <w:rsid w:val="001C1355"/>
    <w:rsid w:val="001E1AD9"/>
    <w:rsid w:val="00200903"/>
    <w:rsid w:val="00287FB4"/>
    <w:rsid w:val="002A37B3"/>
    <w:rsid w:val="002A5215"/>
    <w:rsid w:val="002C1617"/>
    <w:rsid w:val="002D6536"/>
    <w:rsid w:val="002E2090"/>
    <w:rsid w:val="003A2A56"/>
    <w:rsid w:val="0044572C"/>
    <w:rsid w:val="00450B5C"/>
    <w:rsid w:val="00463A80"/>
    <w:rsid w:val="004902D0"/>
    <w:rsid w:val="004908A5"/>
    <w:rsid w:val="004B2DBF"/>
    <w:rsid w:val="004D4DA3"/>
    <w:rsid w:val="004E2FBC"/>
    <w:rsid w:val="004F3990"/>
    <w:rsid w:val="0051665E"/>
    <w:rsid w:val="00521AFE"/>
    <w:rsid w:val="005408BC"/>
    <w:rsid w:val="00552128"/>
    <w:rsid w:val="00566B45"/>
    <w:rsid w:val="005D248D"/>
    <w:rsid w:val="005E77F7"/>
    <w:rsid w:val="00612F33"/>
    <w:rsid w:val="0067541C"/>
    <w:rsid w:val="006D7725"/>
    <w:rsid w:val="006F56AE"/>
    <w:rsid w:val="006F740A"/>
    <w:rsid w:val="00766A38"/>
    <w:rsid w:val="00780381"/>
    <w:rsid w:val="007B5609"/>
    <w:rsid w:val="00844AA6"/>
    <w:rsid w:val="00881C73"/>
    <w:rsid w:val="00892151"/>
    <w:rsid w:val="008D2CAD"/>
    <w:rsid w:val="008E7A28"/>
    <w:rsid w:val="0095560C"/>
    <w:rsid w:val="00956FC9"/>
    <w:rsid w:val="009704F8"/>
    <w:rsid w:val="009706D3"/>
    <w:rsid w:val="00987698"/>
    <w:rsid w:val="009C0F5F"/>
    <w:rsid w:val="009C1F6A"/>
    <w:rsid w:val="00A13CAD"/>
    <w:rsid w:val="00A46F99"/>
    <w:rsid w:val="00A62C7C"/>
    <w:rsid w:val="00A775EE"/>
    <w:rsid w:val="00A77748"/>
    <w:rsid w:val="00A96056"/>
    <w:rsid w:val="00AA15C3"/>
    <w:rsid w:val="00AA33BB"/>
    <w:rsid w:val="00AC0301"/>
    <w:rsid w:val="00AC1427"/>
    <w:rsid w:val="00AD6524"/>
    <w:rsid w:val="00B3364D"/>
    <w:rsid w:val="00B370D7"/>
    <w:rsid w:val="00B54988"/>
    <w:rsid w:val="00BF7879"/>
    <w:rsid w:val="00C012A5"/>
    <w:rsid w:val="00C71499"/>
    <w:rsid w:val="00C8602A"/>
    <w:rsid w:val="00C936D9"/>
    <w:rsid w:val="00CA2AEC"/>
    <w:rsid w:val="00CB37CB"/>
    <w:rsid w:val="00CD4CB0"/>
    <w:rsid w:val="00D831E5"/>
    <w:rsid w:val="00DA0808"/>
    <w:rsid w:val="00DA733D"/>
    <w:rsid w:val="00DC061E"/>
    <w:rsid w:val="00DE7E31"/>
    <w:rsid w:val="00E630CC"/>
    <w:rsid w:val="00E76832"/>
    <w:rsid w:val="00E91C60"/>
    <w:rsid w:val="00F94D36"/>
    <w:rsid w:val="00FE3B85"/>
    <w:rsid w:val="0C9370F4"/>
    <w:rsid w:val="10D13C18"/>
    <w:rsid w:val="18AC64AC"/>
    <w:rsid w:val="1B281ABD"/>
    <w:rsid w:val="209D0577"/>
    <w:rsid w:val="36075030"/>
    <w:rsid w:val="39645882"/>
    <w:rsid w:val="398546F3"/>
    <w:rsid w:val="60CC20F2"/>
    <w:rsid w:val="742F26E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0"/>
      <w:sz w:val="20"/>
      <w:szCs w:val="20"/>
      <w:lang w:val="en-US" w:eastAsia="zh-CN" w:bidi="ar-SA"/>
    </w:rPr>
  </w:style>
  <w:style w:type="paragraph" w:styleId="2">
    <w:name w:val="heading 1"/>
    <w:basedOn w:val="3"/>
    <w:next w:val="1"/>
    <w:link w:val="6"/>
    <w:qFormat/>
    <w:uiPriority w:val="99"/>
    <w:pPr>
      <w:numPr>
        <w:ilvl w:val="0"/>
        <w:numId w:val="1"/>
      </w:numPr>
      <w:spacing w:before="340" w:after="330" w:line="480" w:lineRule="auto"/>
      <w:outlineLvl w:val="0"/>
    </w:pPr>
    <w:rPr>
      <w:b w:val="0"/>
      <w:bCs w:val="0"/>
      <w:sz w:val="20"/>
      <w:szCs w:val="20"/>
    </w:rPr>
  </w:style>
  <w:style w:type="paragraph" w:styleId="3">
    <w:name w:val="heading 3"/>
    <w:basedOn w:val="1"/>
    <w:next w:val="1"/>
    <w:link w:val="7"/>
    <w:qFormat/>
    <w:uiPriority w:val="99"/>
    <w:pPr>
      <w:keepNext/>
      <w:keepLines/>
      <w:spacing w:before="260" w:after="260" w:line="416" w:lineRule="auto"/>
      <w:outlineLvl w:val="2"/>
    </w:pPr>
    <w:rPr>
      <w:b/>
      <w:bCs/>
      <w:sz w:val="32"/>
      <w:szCs w:val="32"/>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6">
    <w:name w:val="Heading 1 Char"/>
    <w:basedOn w:val="5"/>
    <w:link w:val="2"/>
    <w:qFormat/>
    <w:locked/>
    <w:uiPriority w:val="99"/>
    <w:rPr>
      <w:rFonts w:ascii="Times New Roman" w:hAnsi="Times New Roman" w:eastAsia="宋体" w:cs="Times New Roman"/>
      <w:kern w:val="0"/>
      <w:sz w:val="20"/>
      <w:szCs w:val="20"/>
    </w:rPr>
  </w:style>
  <w:style w:type="character" w:customStyle="1" w:styleId="7">
    <w:name w:val="Heading 3 Char"/>
    <w:basedOn w:val="5"/>
    <w:link w:val="3"/>
    <w:semiHidden/>
    <w:qFormat/>
    <w:locked/>
    <w:uiPriority w:val="99"/>
    <w:rPr>
      <w:rFonts w:ascii="Times New Roman" w:hAnsi="Times New Roman" w:eastAsia="宋体" w:cs="Times New Roman"/>
      <w:b/>
      <w:bCs/>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7</Pages>
  <Words>888</Words>
  <Characters>5068</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2018-04-08T02:03:00Z</dcterms:created>
  <dc:creator>zkk392363564@outlook.com</dc:creator>
  <cp:lastModifiedBy>西门大官人</cp:lastModifiedBy>
  <cp:lastPrinted>2021-03-11T08:18:00Z</cp:lastPrinted>
  <dcterms:modified xsi:type="dcterms:W3CDTF">2021-03-16T02:05:57Z</dcterms:modified>
  <dc:title>恩平市义兴水质自动监测站运营方案</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