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仿宋" w:hAnsi="仿宋" w:eastAsia="仿宋" w:cs="仿宋"/>
          <w:b/>
          <w:bCs/>
          <w:sz w:val="32"/>
          <w:szCs w:val="32"/>
        </w:rPr>
      </w:pPr>
    </w:p>
    <w:p>
      <w:pPr>
        <w:jc w:val="center"/>
        <w:outlineLvl w:val="0"/>
        <w:rPr>
          <w:rFonts w:cs="魏碑-简" w:asciiTheme="majorEastAsia" w:hAnsiTheme="majorEastAsia" w:eastAsiaTheme="majorEastAsia"/>
          <w:b/>
          <w:bCs/>
          <w:sz w:val="44"/>
          <w:szCs w:val="44"/>
        </w:rPr>
      </w:pPr>
      <w:r>
        <w:rPr>
          <w:rFonts w:hint="eastAsia" w:cs="魏碑-简" w:asciiTheme="majorEastAsia" w:hAnsiTheme="majorEastAsia" w:eastAsiaTheme="majorEastAsia"/>
          <w:b/>
          <w:bCs/>
          <w:sz w:val="44"/>
          <w:szCs w:val="44"/>
        </w:rPr>
        <w:t>《江门市华侨华人文化交流合作促进条例》（草案）</w:t>
      </w:r>
      <w:r>
        <w:rPr>
          <w:rFonts w:hint="eastAsia" w:cs="魏碑-简" w:asciiTheme="majorEastAsia" w:hAnsiTheme="majorEastAsia" w:eastAsiaTheme="majorEastAsia"/>
          <w:b/>
          <w:bCs/>
          <w:sz w:val="44"/>
          <w:szCs w:val="44"/>
          <w:lang w:eastAsia="zh-Hans"/>
        </w:rPr>
        <w:t>起草说明</w:t>
      </w:r>
    </w:p>
    <w:p>
      <w:pPr>
        <w:rPr>
          <w:rFonts w:ascii="仿宋" w:hAnsi="仿宋" w:eastAsia="仿宋"/>
          <w:sz w:val="32"/>
          <w:szCs w:val="32"/>
          <w:lang w:eastAsia="zh-Hans"/>
        </w:rPr>
      </w:pPr>
    </w:p>
    <w:p>
      <w:pPr>
        <w:jc w:val="center"/>
        <w:rPr>
          <w:rFonts w:ascii="仿宋" w:hAnsi="仿宋" w:eastAsia="仿宋"/>
          <w:sz w:val="32"/>
          <w:szCs w:val="32"/>
        </w:rPr>
      </w:pPr>
    </w:p>
    <w:sdt>
      <w:sdtPr>
        <w:rPr>
          <w:rFonts w:ascii="仿宋" w:hAnsi="仿宋" w:eastAsia="仿宋"/>
          <w:sz w:val="32"/>
          <w:szCs w:val="32"/>
        </w:rPr>
        <w:id w:val="733833382"/>
      </w:sdtPr>
      <w:sdtEndPr>
        <w:rPr>
          <w:rFonts w:hint="eastAsia" w:ascii="仿宋" w:hAnsi="仿宋" w:eastAsia="仿宋" w:cs="魏碑-简"/>
          <w:kern w:val="0"/>
          <w:sz w:val="32"/>
          <w:szCs w:val="32"/>
        </w:rPr>
      </w:sdtEndPr>
      <w:sdtContent>
        <w:sdt>
          <w:sdtPr>
            <w:rPr>
              <w:rFonts w:ascii="仿宋" w:hAnsi="仿宋" w:eastAsia="仿宋"/>
              <w:sz w:val="32"/>
              <w:szCs w:val="32"/>
            </w:rPr>
            <w:id w:val="918410999"/>
          </w:sdtPr>
          <w:sdtEndPr>
            <w:rPr>
              <w:rFonts w:hint="eastAsia" w:ascii="仿宋" w:hAnsi="仿宋" w:eastAsia="仿宋" w:cs="魏碑-简"/>
              <w:kern w:val="0"/>
              <w:sz w:val="32"/>
              <w:szCs w:val="32"/>
            </w:rPr>
          </w:sdtEndPr>
          <w:sdtContent>
            <w:sdt>
              <w:sdtPr>
                <w:rPr>
                  <w:rFonts w:ascii="仿宋" w:hAnsi="仿宋" w:eastAsia="仿宋"/>
                  <w:sz w:val="32"/>
                  <w:szCs w:val="32"/>
                </w:rPr>
                <w:id w:val="717931333"/>
              </w:sdtPr>
              <w:sdtEndPr>
                <w:rPr>
                  <w:rFonts w:hint="eastAsia" w:ascii="仿宋" w:hAnsi="仿宋" w:eastAsia="仿宋" w:cs="魏碑-简"/>
                  <w:kern w:val="0"/>
                  <w:sz w:val="32"/>
                  <w:szCs w:val="32"/>
                </w:rPr>
              </w:sdtEndPr>
              <w:sdtContent>
                <w:sdt>
                  <w:sdtPr>
                    <w:rPr>
                      <w:rFonts w:ascii="仿宋" w:hAnsi="仿宋" w:eastAsia="仿宋"/>
                      <w:sz w:val="32"/>
                      <w:szCs w:val="32"/>
                    </w:rPr>
                    <w:id w:val="-1915853292"/>
                  </w:sdtPr>
                  <w:sdtEndPr>
                    <w:rPr>
                      <w:rFonts w:ascii="仿宋" w:hAnsi="仿宋" w:eastAsia="仿宋" w:cs="魏碑-简"/>
                      <w:kern w:val="0"/>
                      <w:sz w:val="32"/>
                      <w:szCs w:val="32"/>
                    </w:rPr>
                  </w:sdtEndPr>
                  <w:sdtContent>
                    <w:p>
                      <w:pPr>
                        <w:spacing w:line="360" w:lineRule="auto"/>
                        <w:jc w:val="center"/>
                        <w:rPr>
                          <w:rFonts w:ascii="仿宋" w:hAnsi="仿宋" w:eastAsia="仿宋" w:cs="魏碑-简"/>
                          <w:sz w:val="32"/>
                          <w:szCs w:val="32"/>
                        </w:rPr>
                      </w:pPr>
                      <w:bookmarkStart w:id="0" w:name="_Toc152122705_WPSOffice_Type1"/>
                      <w:r>
                        <w:rPr>
                          <w:rFonts w:hint="eastAsia" w:ascii="仿宋" w:hAnsi="仿宋" w:eastAsia="仿宋" w:cs="魏碑-简"/>
                          <w:sz w:val="32"/>
                          <w:szCs w:val="32"/>
                        </w:rPr>
                        <w:t>目录</w:t>
                      </w:r>
                    </w:p>
                    <w:p>
                      <w:pPr>
                        <w:pStyle w:val="14"/>
                      </w:pPr>
                      <w:r>
                        <w:fldChar w:fldCharType="begin"/>
                      </w:r>
                      <w:r>
                        <w:instrText xml:space="preserve"> HYPERLINK \l "_Toc1109308134_WPSOffice_Level1" </w:instrText>
                      </w:r>
                      <w:r>
                        <w:fldChar w:fldCharType="separate"/>
                      </w:r>
                      <w:sdt>
                        <w:sdtPr>
                          <w:rPr>
                            <w:rFonts w:hint="eastAsia"/>
                          </w:rPr>
                          <w:id w:val="684169086"/>
                          <w:placeholder>
                            <w:docPart w:val="{1bf2f9e4-6ffc-4178-9da4-4c48079a1f30}"/>
                          </w:placeholder>
                        </w:sdtPr>
                        <w:sdtEndPr>
                          <w:rPr>
                            <w:rFonts w:hint="eastAsia"/>
                          </w:rPr>
                        </w:sdtEndPr>
                        <w:sdtContent>
                          <w:r>
                            <w:rPr>
                              <w:rFonts w:hint="eastAsia"/>
                            </w:rPr>
                            <w:t>一、 立法思路</w:t>
                          </w:r>
                        </w:sdtContent>
                      </w:sdt>
                      <w:r>
                        <w:rPr>
                          <w:rFonts w:hint="eastAsia"/>
                        </w:rPr>
                        <w:tab/>
                      </w:r>
                      <w:bookmarkStart w:id="1" w:name="_Toc1109308134_WPSOffice_Level1Page"/>
                      <w:r>
                        <w:rPr>
                          <w:rFonts w:hint="eastAsia"/>
                        </w:rPr>
                        <w:t>2</w:t>
                      </w:r>
                      <w:bookmarkEnd w:id="1"/>
                      <w:r>
                        <w:rPr>
                          <w:rFonts w:hint="eastAsia"/>
                        </w:rPr>
                        <w:fldChar w:fldCharType="end"/>
                      </w:r>
                    </w:p>
                    <w:p>
                      <w:pPr>
                        <w:pStyle w:val="14"/>
                      </w:pPr>
                      <w:r>
                        <w:fldChar w:fldCharType="begin"/>
                      </w:r>
                      <w:r>
                        <w:instrText xml:space="preserve"> HYPERLINK \l "_Toc152122705_WPSOffice_Level1" </w:instrText>
                      </w:r>
                      <w:r>
                        <w:fldChar w:fldCharType="separate"/>
                      </w:r>
                      <w:sdt>
                        <w:sdtPr>
                          <w:rPr>
                            <w:rFonts w:hint="eastAsia"/>
                          </w:rPr>
                          <w:id w:val="1589973019"/>
                          <w:placeholder>
                            <w:docPart w:val="{47286c93-022b-4a15-8cec-ccdbfa2e95a0}"/>
                          </w:placeholder>
                        </w:sdtPr>
                        <w:sdtEndPr>
                          <w:rPr>
                            <w:rFonts w:hint="eastAsia"/>
                          </w:rPr>
                        </w:sdtEndPr>
                        <w:sdtContent>
                          <w:r>
                            <w:rPr>
                              <w:rFonts w:hint="eastAsia"/>
                            </w:rPr>
                            <w:t>二、 《草案》的主要内容</w:t>
                          </w:r>
                        </w:sdtContent>
                      </w:sdt>
                      <w:r>
                        <w:rPr>
                          <w:rFonts w:hint="eastAsia"/>
                        </w:rPr>
                        <w:tab/>
                      </w:r>
                      <w:bookmarkStart w:id="2" w:name="_Toc152122705_WPSOffice_Level1Page"/>
                      <w:r>
                        <w:rPr>
                          <w:rFonts w:hint="eastAsia"/>
                        </w:rPr>
                        <w:t>7</w:t>
                      </w:r>
                      <w:bookmarkEnd w:id="2"/>
                      <w:r>
                        <w:rPr>
                          <w:rFonts w:hint="eastAsia"/>
                        </w:rPr>
                        <w:fldChar w:fldCharType="end"/>
                      </w:r>
                    </w:p>
                    <w:p>
                      <w:pPr>
                        <w:pStyle w:val="14"/>
                      </w:pPr>
                      <w:r>
                        <w:fldChar w:fldCharType="begin"/>
                      </w:r>
                      <w:r>
                        <w:instrText xml:space="preserve"> HYPERLINK \l "_Toc1220763005_WPSOffice_Level1" </w:instrText>
                      </w:r>
                      <w:r>
                        <w:fldChar w:fldCharType="separate"/>
                      </w:r>
                      <w:sdt>
                        <w:sdtPr>
                          <w:rPr>
                            <w:rFonts w:hint="eastAsia"/>
                          </w:rPr>
                          <w:id w:val="629829754"/>
                          <w:placeholder>
                            <w:docPart w:val="{6bf6ff98-631a-40d6-99da-eed681142285}"/>
                          </w:placeholder>
                        </w:sdtPr>
                        <w:sdtEndPr>
                          <w:rPr>
                            <w:rFonts w:hint="eastAsia"/>
                          </w:rPr>
                        </w:sdtEndPr>
                        <w:sdtContent>
                          <w:r>
                            <w:rPr>
                              <w:rFonts w:hint="eastAsia"/>
                            </w:rPr>
                            <w:t>三、 《草案》的重点内容</w:t>
                          </w:r>
                        </w:sdtContent>
                      </w:sdt>
                      <w:r>
                        <w:rPr>
                          <w:rFonts w:hint="eastAsia"/>
                        </w:rPr>
                        <w:tab/>
                      </w:r>
                      <w:bookmarkStart w:id="3" w:name="_Toc1220763005_WPSOffice_Level1Page"/>
                      <w:r>
                        <w:rPr>
                          <w:rFonts w:hint="eastAsia"/>
                        </w:rPr>
                        <w:t>9</w:t>
                      </w:r>
                      <w:bookmarkEnd w:id="3"/>
                      <w:r>
                        <w:rPr>
                          <w:rFonts w:hint="eastAsia"/>
                        </w:rPr>
                        <w:fldChar w:fldCharType="end"/>
                      </w:r>
                    </w:p>
                    <w:p>
                      <w:pPr>
                        <w:pStyle w:val="14"/>
                      </w:pPr>
                      <w:r>
                        <w:fldChar w:fldCharType="begin"/>
                      </w:r>
                      <w:r>
                        <w:instrText xml:space="preserve"> HYPERLINK \l "_Toc305061597_WPSOffice_Level1" </w:instrText>
                      </w:r>
                      <w:r>
                        <w:fldChar w:fldCharType="separate"/>
                      </w:r>
                      <w:sdt>
                        <w:sdtPr>
                          <w:rPr>
                            <w:rFonts w:hint="eastAsia"/>
                          </w:rPr>
                          <w:id w:val="1501926423"/>
                          <w:placeholder>
                            <w:docPart w:val="{f16751fc-efa8-4bcb-b844-1852723ee9b6}"/>
                          </w:placeholder>
                        </w:sdtPr>
                        <w:sdtEndPr>
                          <w:rPr>
                            <w:rFonts w:hint="eastAsia"/>
                          </w:rPr>
                        </w:sdtEndPr>
                        <w:sdtContent>
                          <w:r>
                            <w:rPr>
                              <w:rFonts w:hint="eastAsia"/>
                            </w:rPr>
                            <w:t>四、 立法创新亮点</w:t>
                          </w:r>
                        </w:sdtContent>
                      </w:sdt>
                      <w:r>
                        <w:rPr>
                          <w:rFonts w:hint="eastAsia"/>
                        </w:rPr>
                        <w:tab/>
                      </w:r>
                      <w:bookmarkStart w:id="4" w:name="_Toc305061597_WPSOffice_Level1Page"/>
                      <w:r>
                        <w:rPr>
                          <w:rFonts w:hint="eastAsia"/>
                        </w:rPr>
                        <w:t>13</w:t>
                      </w:r>
                      <w:bookmarkEnd w:id="4"/>
                      <w:r>
                        <w:rPr>
                          <w:rFonts w:hint="eastAsia"/>
                        </w:rPr>
                        <w:fldChar w:fldCharType="end"/>
                      </w:r>
                    </w:p>
                  </w:sdtContent>
                </w:sdt>
                <w:bookmarkEnd w:id="0"/>
                <w:p>
                  <w:pPr>
                    <w:pStyle w:val="14"/>
                  </w:pPr>
                </w:p>
              </w:sdtContent>
            </w:sdt>
          </w:sdtContent>
        </w:sdt>
      </w:sdtContent>
    </w:sdt>
    <w:p>
      <w:pPr>
        <w:pStyle w:val="14"/>
        <w:rPr>
          <w:rFonts w:cs="Times New Roman"/>
        </w:rPr>
      </w:pPr>
      <w:r>
        <w:br w:type="page"/>
      </w:r>
    </w:p>
    <w:p>
      <w:pPr>
        <w:pStyle w:val="7"/>
      </w:pPr>
      <w:bookmarkStart w:id="5" w:name="_Toc1109308134_WPSOffice_Level1"/>
      <w:r>
        <w:rPr>
          <w:rFonts w:hint="eastAsia"/>
        </w:rPr>
        <w:t>一、立法思路</w:t>
      </w:r>
      <w:bookmarkEnd w:id="5"/>
    </w:p>
    <w:p>
      <w:pPr>
        <w:pStyle w:val="6"/>
        <w:widowControl/>
        <w:numPr>
          <w:ilvl w:val="0"/>
          <w:numId w:val="1"/>
        </w:numPr>
        <w:spacing w:beforeAutospacing="0" w:afterAutospacing="0"/>
        <w:ind w:firstLine="687" w:firstLineChars="200"/>
        <w:jc w:val="both"/>
        <w:outlineLvl w:val="1"/>
        <w:rPr>
          <w:rFonts w:ascii="楷体" w:hAnsi="楷体" w:eastAsia="楷体" w:cs="华文仿宋"/>
          <w:b/>
          <w:bCs/>
          <w:color w:val="333333"/>
          <w:spacing w:val="11"/>
          <w:sz w:val="32"/>
          <w:szCs w:val="32"/>
        </w:rPr>
      </w:pPr>
      <w:r>
        <w:rPr>
          <w:rFonts w:hint="eastAsia" w:ascii="楷体" w:hAnsi="楷体" w:eastAsia="楷体" w:cs="华文仿宋"/>
          <w:b/>
          <w:bCs/>
          <w:color w:val="333333"/>
          <w:spacing w:val="11"/>
          <w:sz w:val="32"/>
          <w:szCs w:val="32"/>
          <w:lang w:eastAsia="zh-Hans"/>
        </w:rPr>
        <w:t>政策背景解读</w:t>
      </w:r>
    </w:p>
    <w:p>
      <w:pPr>
        <w:pStyle w:val="6"/>
        <w:widowControl/>
        <w:numPr>
          <w:ilvl w:val="0"/>
          <w:numId w:val="2"/>
        </w:numPr>
        <w:spacing w:beforeAutospacing="0" w:afterAutospacing="0"/>
        <w:ind w:firstLine="687" w:firstLineChars="200"/>
        <w:jc w:val="both"/>
        <w:outlineLvl w:val="1"/>
        <w:rPr>
          <w:rFonts w:ascii="仿宋" w:hAnsi="仿宋" w:eastAsia="仿宋" w:cs="华文仿宋"/>
          <w:b/>
          <w:bCs/>
          <w:color w:val="333333"/>
          <w:spacing w:val="11"/>
          <w:sz w:val="32"/>
          <w:szCs w:val="32"/>
        </w:rPr>
      </w:pPr>
      <w:r>
        <w:rPr>
          <w:rFonts w:hint="eastAsia" w:ascii="仿宋" w:hAnsi="仿宋" w:eastAsia="仿宋" w:cs="华文仿宋"/>
          <w:b/>
          <w:bCs/>
          <w:color w:val="333333"/>
          <w:spacing w:val="11"/>
          <w:sz w:val="32"/>
          <w:szCs w:val="32"/>
          <w:lang w:eastAsia="zh-Hans"/>
        </w:rPr>
        <w:t>“十四五”规划提出到</w:t>
      </w:r>
      <w:r>
        <w:rPr>
          <w:rFonts w:ascii="仿宋" w:hAnsi="仿宋" w:eastAsia="仿宋" w:cs="华文仿宋"/>
          <w:b/>
          <w:bCs/>
          <w:color w:val="333333"/>
          <w:spacing w:val="11"/>
          <w:sz w:val="32"/>
          <w:szCs w:val="32"/>
          <w:lang w:eastAsia="zh-Hans"/>
        </w:rPr>
        <w:t>2035</w:t>
      </w:r>
      <w:r>
        <w:rPr>
          <w:rFonts w:hint="eastAsia" w:ascii="仿宋" w:hAnsi="仿宋" w:eastAsia="仿宋" w:cs="华文仿宋"/>
          <w:b/>
          <w:bCs/>
          <w:color w:val="333333"/>
          <w:spacing w:val="11"/>
          <w:sz w:val="32"/>
          <w:szCs w:val="32"/>
          <w:lang w:eastAsia="zh-Hans"/>
        </w:rPr>
        <w:t>年建成文化强国</w:t>
      </w:r>
    </w:p>
    <w:p>
      <w:pPr>
        <w:pStyle w:val="6"/>
        <w:widowControl/>
        <w:spacing w:beforeAutospacing="0" w:afterAutospacing="0"/>
        <w:ind w:firstLine="684" w:firstLineChars="200"/>
        <w:jc w:val="both"/>
        <w:rPr>
          <w:rFonts w:ascii="仿宋" w:hAnsi="仿宋" w:eastAsia="仿宋" w:cs="STFangsong Regular"/>
          <w:color w:val="333333"/>
          <w:spacing w:val="11"/>
          <w:sz w:val="32"/>
          <w:szCs w:val="32"/>
          <w:lang w:eastAsia="zh-Hans"/>
        </w:rPr>
      </w:pPr>
      <w:r>
        <w:rPr>
          <w:rFonts w:hint="eastAsia" w:ascii="仿宋" w:hAnsi="仿宋" w:eastAsia="仿宋" w:cs="STFangsong Regular"/>
          <w:color w:val="333333"/>
          <w:spacing w:val="11"/>
          <w:sz w:val="32"/>
          <w:szCs w:val="32"/>
          <w:lang w:eastAsia="zh-Hans"/>
        </w:rPr>
        <w:t>中共中央第十九届中央委员会第五次会议全体通过的</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关于制定国民经济和社会发展第十四个五年规划和二〇三五年远景目标的建议</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整体布局和宏观规划了我国下一阶段的重要建设任务以及推进步骤</w:t>
      </w:r>
      <w:r>
        <w:rPr>
          <w:rFonts w:ascii="仿宋" w:hAnsi="仿宋" w:eastAsia="仿宋" w:cs="STFangsong Regular"/>
          <w:color w:val="333333"/>
          <w:spacing w:val="11"/>
          <w:sz w:val="32"/>
          <w:szCs w:val="32"/>
          <w:lang w:eastAsia="zh-Hans"/>
        </w:rPr>
        <w:t>。</w:t>
      </w:r>
    </w:p>
    <w:p>
      <w:pPr>
        <w:pStyle w:val="6"/>
        <w:widowControl/>
        <w:spacing w:beforeAutospacing="0" w:afterAutospacing="0"/>
        <w:ind w:firstLine="684" w:firstLineChars="200"/>
        <w:jc w:val="both"/>
        <w:rPr>
          <w:rFonts w:ascii="仿宋" w:hAnsi="仿宋" w:eastAsia="仿宋" w:cs="STFangsong Regular"/>
          <w:color w:val="333333"/>
          <w:spacing w:val="11"/>
          <w:sz w:val="32"/>
          <w:szCs w:val="32"/>
          <w:lang w:eastAsia="zh-Hans"/>
        </w:rPr>
      </w:pPr>
      <w:r>
        <w:rPr>
          <w:rFonts w:hint="eastAsia" w:ascii="仿宋" w:hAnsi="仿宋" w:eastAsia="仿宋" w:cs="STFangsong Regular"/>
          <w:color w:val="333333"/>
          <w:spacing w:val="11"/>
          <w:sz w:val="32"/>
          <w:szCs w:val="32"/>
          <w:lang w:eastAsia="zh-Hans"/>
        </w:rPr>
        <w:t>其中</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直接提出到</w:t>
      </w:r>
      <w:r>
        <w:rPr>
          <w:rFonts w:ascii="仿宋" w:hAnsi="仿宋" w:eastAsia="仿宋" w:cs="STFangsong Regular"/>
          <w:color w:val="333333"/>
          <w:spacing w:val="11"/>
          <w:sz w:val="32"/>
          <w:szCs w:val="32"/>
          <w:lang w:eastAsia="zh-Hans"/>
        </w:rPr>
        <w:t>2035</w:t>
      </w:r>
      <w:r>
        <w:rPr>
          <w:rFonts w:hint="eastAsia" w:ascii="仿宋" w:hAnsi="仿宋" w:eastAsia="仿宋" w:cs="STFangsong Regular"/>
          <w:color w:val="333333"/>
          <w:spacing w:val="11"/>
          <w:sz w:val="32"/>
          <w:szCs w:val="32"/>
          <w:lang w:eastAsia="zh-Hans"/>
        </w:rPr>
        <w:t>年</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我国要建成文化强国</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经过“十三五”规划的顺利推进</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目前我国文化建设已经取得了瞩目的成效</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“中华文化影响力进一步提升</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中华民族凝聚力进一步增强”</w:t>
      </w:r>
      <w:r>
        <w:rPr>
          <w:rFonts w:ascii="仿宋" w:hAnsi="仿宋" w:eastAsia="仿宋" w:cs="STFangsong Regular"/>
          <w:color w:val="333333"/>
          <w:spacing w:val="11"/>
          <w:sz w:val="32"/>
          <w:szCs w:val="32"/>
          <w:lang w:eastAsia="zh-Hans"/>
        </w:rPr>
        <w:t>。</w:t>
      </w:r>
    </w:p>
    <w:p>
      <w:pPr>
        <w:pStyle w:val="6"/>
        <w:widowControl/>
        <w:spacing w:beforeAutospacing="0" w:afterAutospacing="0"/>
        <w:ind w:firstLine="684" w:firstLineChars="200"/>
        <w:jc w:val="both"/>
        <w:rPr>
          <w:rFonts w:ascii="仿宋" w:hAnsi="仿宋" w:eastAsia="仿宋" w:cs="STFangsong Regular"/>
          <w:color w:val="333333"/>
          <w:spacing w:val="11"/>
          <w:sz w:val="32"/>
          <w:szCs w:val="32"/>
          <w:lang w:eastAsia="zh-Hans"/>
        </w:rPr>
      </w:pPr>
      <w:r>
        <w:rPr>
          <w:rFonts w:hint="eastAsia" w:ascii="仿宋" w:hAnsi="仿宋" w:eastAsia="仿宋" w:cs="STFangsong Regular"/>
          <w:color w:val="333333"/>
          <w:spacing w:val="11"/>
          <w:sz w:val="32"/>
          <w:szCs w:val="32"/>
          <w:lang w:eastAsia="zh-Hans"/>
        </w:rPr>
        <w:t>规划提出</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下一阶段</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我国文化强国建设要进一步“繁荣发展文化事业和文化产业</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提高国家文化软实力”中专门将“加强对外文化交流和多层次文明对话”放在“健全现代文化产业体系”项下</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指出</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坚持把社会效益放在首位、社会效益和经济效益相统一，深化文化体制改革，完善文化产业规划和政策，加强文化市场体系建设，扩大优质文化产品供给。实施文化产业数字化战略，加快发展新型文化企业、文化业态、文化消费模式。规范发展文化产业园区，推动区域文化产业带建设。推动文化和旅游融合发展，建设一批富有文化底蕴的世界级旅游景区和度假区，打造一批文化特色鲜明的国家级旅游休闲城市和街区，发展红色旅游和乡村旅游。</w:t>
      </w:r>
      <w:r>
        <w:rPr>
          <w:rFonts w:hint="eastAsia" w:ascii="仿宋" w:hAnsi="仿宋" w:eastAsia="仿宋" w:cs="STFangsong Regular"/>
          <w:color w:val="333333"/>
          <w:spacing w:val="11"/>
          <w:sz w:val="32"/>
          <w:szCs w:val="32"/>
        </w:rPr>
        <w:t>讲好中国故事为着力点，创新推进国际传播，加强对外文化交流和多层次文明对话。</w:t>
      </w:r>
      <w:r>
        <w:rPr>
          <w:rFonts w:hint="eastAsia" w:ascii="仿宋" w:hAnsi="仿宋" w:eastAsia="仿宋" w:cs="STFangsong Regular"/>
          <w:color w:val="333333"/>
          <w:spacing w:val="11"/>
          <w:sz w:val="32"/>
          <w:szCs w:val="32"/>
          <w:lang w:eastAsia="zh-Hans"/>
        </w:rPr>
        <w:t>”</w:t>
      </w:r>
    </w:p>
    <w:p>
      <w:pPr>
        <w:pStyle w:val="6"/>
        <w:widowControl/>
        <w:spacing w:beforeAutospacing="0" w:afterAutospacing="0"/>
        <w:ind w:firstLine="684" w:firstLineChars="200"/>
        <w:jc w:val="both"/>
        <w:rPr>
          <w:rFonts w:hint="eastAsia" w:ascii="仿宋" w:hAnsi="仿宋" w:eastAsia="仿宋" w:cs="STFangsong Regular"/>
          <w:color w:val="333333"/>
          <w:spacing w:val="11"/>
          <w:sz w:val="32"/>
          <w:szCs w:val="32"/>
        </w:rPr>
      </w:pPr>
      <w:r>
        <w:rPr>
          <w:rFonts w:hint="eastAsia" w:ascii="仿宋" w:hAnsi="仿宋" w:eastAsia="仿宋" w:cs="STFangsong Regular"/>
          <w:color w:val="333333"/>
          <w:spacing w:val="11"/>
          <w:sz w:val="32"/>
          <w:szCs w:val="32"/>
          <w:lang w:eastAsia="zh-CN"/>
        </w:rPr>
        <w:t>“</w:t>
      </w:r>
      <w:r>
        <w:rPr>
          <w:rFonts w:hint="eastAsia" w:ascii="仿宋" w:hAnsi="仿宋" w:eastAsia="仿宋" w:cs="STFangsong Regular"/>
          <w:color w:val="333333"/>
          <w:spacing w:val="11"/>
          <w:sz w:val="32"/>
          <w:szCs w:val="32"/>
          <w:lang w:eastAsia="zh-Hans"/>
        </w:rPr>
        <w:t>十四五</w:t>
      </w:r>
      <w:r>
        <w:rPr>
          <w:rFonts w:hint="eastAsia" w:ascii="仿宋" w:hAnsi="仿宋" w:eastAsia="仿宋" w:cs="STFangsong Regular"/>
          <w:color w:val="333333"/>
          <w:spacing w:val="11"/>
          <w:sz w:val="32"/>
          <w:szCs w:val="32"/>
          <w:lang w:eastAsia="zh-CN"/>
        </w:rPr>
        <w:t>”</w:t>
      </w:r>
      <w:r>
        <w:rPr>
          <w:rFonts w:hint="eastAsia" w:ascii="仿宋" w:hAnsi="仿宋" w:eastAsia="仿宋" w:cs="STFangsong Regular"/>
          <w:color w:val="333333"/>
          <w:spacing w:val="11"/>
          <w:sz w:val="32"/>
          <w:szCs w:val="32"/>
          <w:lang w:eastAsia="zh-Hans"/>
        </w:rPr>
        <w:t>规划的文化战略布局</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明确将立足文化资源开发的产业建设作为开展交流对话的前提</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换言之</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打造丰富优质的文化供给</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是推进对外交流的前提准备</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有鉴于此</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条例设计工作开展的第一部分</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草案第二章</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即着眼于文化资源的研究</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整合与开发</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创新转化</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为交流合作打下物质基础</w:t>
      </w:r>
      <w:r>
        <w:rPr>
          <w:rFonts w:ascii="仿宋" w:hAnsi="仿宋" w:eastAsia="仿宋" w:cs="STFangsong Regular"/>
          <w:color w:val="333333"/>
          <w:spacing w:val="11"/>
          <w:sz w:val="32"/>
          <w:szCs w:val="32"/>
          <w:lang w:eastAsia="zh-Hans"/>
        </w:rPr>
        <w:t>。</w:t>
      </w:r>
    </w:p>
    <w:p>
      <w:pPr>
        <w:pStyle w:val="6"/>
        <w:widowControl/>
        <w:numPr>
          <w:ilvl w:val="0"/>
          <w:numId w:val="2"/>
        </w:numPr>
        <w:spacing w:beforeAutospacing="0" w:afterAutospacing="0"/>
        <w:ind w:firstLine="687" w:firstLineChars="200"/>
        <w:jc w:val="both"/>
        <w:outlineLvl w:val="1"/>
        <w:rPr>
          <w:rFonts w:ascii="仿宋" w:hAnsi="仿宋" w:eastAsia="仿宋" w:cs="华文仿宋"/>
          <w:b/>
          <w:bCs/>
          <w:color w:val="333333"/>
          <w:spacing w:val="11"/>
          <w:sz w:val="32"/>
          <w:szCs w:val="32"/>
        </w:rPr>
      </w:pPr>
      <w:r>
        <w:rPr>
          <w:rFonts w:hint="eastAsia" w:ascii="仿宋" w:hAnsi="仿宋" w:eastAsia="仿宋" w:cs="华文仿宋"/>
          <w:b/>
          <w:bCs/>
          <w:color w:val="333333"/>
          <w:spacing w:val="11"/>
          <w:sz w:val="32"/>
          <w:szCs w:val="32"/>
          <w:lang w:eastAsia="zh-Hans"/>
        </w:rPr>
        <w:t>“后疫情时代”全球化结构中“文化战略”重构</w:t>
      </w:r>
    </w:p>
    <w:p>
      <w:pPr>
        <w:pStyle w:val="6"/>
        <w:widowControl/>
        <w:spacing w:beforeAutospacing="0" w:afterAutospacing="0"/>
        <w:ind w:firstLine="684" w:firstLineChars="200"/>
        <w:jc w:val="both"/>
        <w:rPr>
          <w:rFonts w:ascii="仿宋" w:hAnsi="仿宋" w:eastAsia="仿宋" w:cs="STFangsong Regular"/>
          <w:color w:val="333333"/>
          <w:spacing w:val="11"/>
          <w:sz w:val="32"/>
          <w:szCs w:val="32"/>
          <w:lang w:eastAsia="zh-Hans"/>
        </w:rPr>
      </w:pPr>
      <w:r>
        <w:rPr>
          <w:rFonts w:hint="eastAsia" w:ascii="仿宋" w:hAnsi="仿宋" w:eastAsia="仿宋" w:cs="STFangsong Regular"/>
          <w:color w:val="333333"/>
          <w:spacing w:val="11"/>
          <w:sz w:val="32"/>
          <w:szCs w:val="32"/>
          <w:lang w:eastAsia="zh-Hans"/>
        </w:rPr>
        <w:t>经过新冠疫情的冲击</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全球化的脚步虽然不至于停止</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但毋庸置疑发生了巨大的转变</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对于文化交流合作工作而言</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全球化中的文化与文明交往</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对话甚至是冲突结构都发生了重大变化</w:t>
      </w:r>
      <w:r>
        <w:rPr>
          <w:rFonts w:hint="eastAsia" w:ascii="仿宋" w:hAnsi="仿宋" w:eastAsia="仿宋" w:cs="STFangsong Regular"/>
          <w:color w:val="333333"/>
          <w:spacing w:val="11"/>
          <w:sz w:val="32"/>
          <w:szCs w:val="32"/>
          <w:lang w:eastAsia="zh-CN"/>
        </w:rPr>
        <w:t>。因此</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设计文化交流合作机制的过程中</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应当对应这种变化</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从立法开始</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推进交流合作机制的更新和创新</w:t>
      </w:r>
      <w:r>
        <w:rPr>
          <w:rFonts w:ascii="仿宋" w:hAnsi="仿宋" w:eastAsia="仿宋" w:cs="STFangsong Regular"/>
          <w:color w:val="333333"/>
          <w:spacing w:val="11"/>
          <w:sz w:val="32"/>
          <w:szCs w:val="32"/>
          <w:lang w:eastAsia="zh-Hans"/>
        </w:rPr>
        <w:t>。</w:t>
      </w:r>
    </w:p>
    <w:p>
      <w:pPr>
        <w:pStyle w:val="6"/>
        <w:widowControl/>
        <w:spacing w:beforeAutospacing="0" w:afterAutospacing="0"/>
        <w:ind w:firstLine="687" w:firstLineChars="200"/>
        <w:jc w:val="both"/>
        <w:rPr>
          <w:rFonts w:ascii="仿宋" w:hAnsi="仿宋" w:eastAsia="仿宋" w:cs="STFangsong Regular"/>
          <w:color w:val="333333"/>
          <w:spacing w:val="11"/>
          <w:sz w:val="32"/>
          <w:szCs w:val="32"/>
          <w:lang w:eastAsia="zh-Hans"/>
        </w:rPr>
      </w:pPr>
      <w:r>
        <w:rPr>
          <w:rFonts w:hint="eastAsia" w:ascii="仿宋" w:hAnsi="仿宋" w:eastAsia="仿宋" w:cs="STFangsong Regular"/>
          <w:b/>
          <w:color w:val="333333"/>
          <w:spacing w:val="11"/>
          <w:sz w:val="32"/>
          <w:szCs w:val="32"/>
          <w:lang w:eastAsia="zh-Hans"/>
        </w:rPr>
        <w:t>第一</w:t>
      </w:r>
      <w:r>
        <w:rPr>
          <w:rFonts w:ascii="仿宋" w:hAnsi="仿宋" w:eastAsia="仿宋" w:cs="STFangsong Regular"/>
          <w:b/>
          <w:color w:val="333333"/>
          <w:spacing w:val="11"/>
          <w:sz w:val="32"/>
          <w:szCs w:val="32"/>
          <w:lang w:eastAsia="zh-Hans"/>
        </w:rPr>
        <w:t>，</w:t>
      </w:r>
      <w:r>
        <w:rPr>
          <w:rFonts w:hint="eastAsia" w:ascii="仿宋" w:hAnsi="仿宋" w:eastAsia="仿宋" w:cs="STFangsong Regular"/>
          <w:color w:val="333333"/>
          <w:spacing w:val="11"/>
          <w:sz w:val="32"/>
          <w:szCs w:val="32"/>
          <w:lang w:eastAsia="zh-Hans"/>
        </w:rPr>
        <w:t>从技术手段上</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疫情的封锁模式加速了网络科技和数字信息在现实社会交往与对话中的重要性</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其重要性空前超过了传统媒介</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并且也反过来适应数字信息传播方式和网络文化模式</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推动着整个文化内容的更新</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因此</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立法中</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强调个体参与</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社会参与</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文化资源研发和成果转化载体以及交流合作载体适应数字化</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信息化等</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都是为了适应在新的技术条件下</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文化资源保存</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研发</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利用</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转化</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传播以及分享的持续以及高效推进</w:t>
      </w:r>
      <w:r>
        <w:rPr>
          <w:rFonts w:ascii="仿宋" w:hAnsi="仿宋" w:eastAsia="仿宋" w:cs="STFangsong Regular"/>
          <w:color w:val="333333"/>
          <w:spacing w:val="11"/>
          <w:sz w:val="32"/>
          <w:szCs w:val="32"/>
          <w:lang w:eastAsia="zh-Hans"/>
        </w:rPr>
        <w:t>。</w:t>
      </w:r>
    </w:p>
    <w:p>
      <w:pPr>
        <w:pStyle w:val="6"/>
        <w:widowControl/>
        <w:spacing w:beforeAutospacing="0" w:afterAutospacing="0"/>
        <w:ind w:firstLine="687" w:firstLineChars="200"/>
        <w:jc w:val="both"/>
        <w:rPr>
          <w:rFonts w:ascii="仿宋" w:hAnsi="仿宋" w:eastAsia="仿宋" w:cs="STFangsong Regular"/>
          <w:color w:val="333333"/>
          <w:spacing w:val="11"/>
          <w:sz w:val="32"/>
          <w:szCs w:val="32"/>
          <w:lang w:eastAsia="zh-Hans"/>
        </w:rPr>
      </w:pPr>
      <w:r>
        <w:rPr>
          <w:rFonts w:hint="eastAsia" w:ascii="仿宋" w:hAnsi="仿宋" w:eastAsia="仿宋" w:cs="STFangsong Regular"/>
          <w:b/>
          <w:color w:val="333333"/>
          <w:spacing w:val="11"/>
          <w:sz w:val="32"/>
          <w:szCs w:val="32"/>
          <w:lang w:eastAsia="zh-Hans"/>
        </w:rPr>
        <w:t>第二</w:t>
      </w:r>
      <w:r>
        <w:rPr>
          <w:rFonts w:ascii="仿宋" w:hAnsi="仿宋" w:eastAsia="仿宋" w:cs="STFangsong Regular"/>
          <w:b/>
          <w:color w:val="333333"/>
          <w:spacing w:val="11"/>
          <w:sz w:val="32"/>
          <w:szCs w:val="32"/>
          <w:lang w:eastAsia="zh-Hans"/>
        </w:rPr>
        <w:t>，</w:t>
      </w:r>
      <w:r>
        <w:rPr>
          <w:rFonts w:hint="eastAsia" w:ascii="仿宋" w:hAnsi="仿宋" w:eastAsia="仿宋" w:cs="STFangsong Regular"/>
          <w:color w:val="333333"/>
          <w:spacing w:val="11"/>
          <w:sz w:val="32"/>
          <w:szCs w:val="32"/>
          <w:lang w:eastAsia="zh-Hans"/>
        </w:rPr>
        <w:t>从交流合作的机制层面</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疫情封锁期间推进的网络文化交流结构</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强化了个体与社会自主性的参与意识</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因此</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立法条文中</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强化合作交流的社会自主参与</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拓宽参与的渠道</w:t>
      </w:r>
      <w:r>
        <w:rPr>
          <w:rFonts w:ascii="仿宋" w:hAnsi="仿宋" w:eastAsia="仿宋" w:cs="STFangsong Regular"/>
          <w:color w:val="333333"/>
          <w:spacing w:val="11"/>
          <w:sz w:val="32"/>
          <w:szCs w:val="32"/>
          <w:lang w:eastAsia="zh-Hans"/>
        </w:rPr>
        <w:t>。</w:t>
      </w:r>
    </w:p>
    <w:p>
      <w:pPr>
        <w:pStyle w:val="6"/>
        <w:widowControl/>
        <w:spacing w:beforeAutospacing="0" w:afterAutospacing="0"/>
        <w:ind w:firstLine="687" w:firstLineChars="200"/>
        <w:jc w:val="both"/>
        <w:rPr>
          <w:rFonts w:hint="eastAsia" w:ascii="仿宋" w:hAnsi="仿宋" w:eastAsia="仿宋" w:cs="STFangsong Regular"/>
          <w:color w:val="333333"/>
          <w:spacing w:val="11"/>
          <w:sz w:val="32"/>
          <w:szCs w:val="32"/>
        </w:rPr>
      </w:pPr>
      <w:r>
        <w:rPr>
          <w:rFonts w:hint="eastAsia" w:ascii="仿宋" w:hAnsi="仿宋" w:eastAsia="仿宋" w:cs="STFangsong Regular"/>
          <w:b/>
          <w:color w:val="333333"/>
          <w:spacing w:val="11"/>
          <w:sz w:val="32"/>
          <w:szCs w:val="32"/>
          <w:lang w:eastAsia="zh-Hans"/>
        </w:rPr>
        <w:t>第三</w:t>
      </w:r>
      <w:r>
        <w:rPr>
          <w:rFonts w:ascii="仿宋" w:hAnsi="仿宋" w:eastAsia="仿宋" w:cs="STFangsong Regular"/>
          <w:b/>
          <w:color w:val="333333"/>
          <w:spacing w:val="11"/>
          <w:sz w:val="32"/>
          <w:szCs w:val="32"/>
          <w:lang w:eastAsia="zh-Hans"/>
        </w:rPr>
        <w:t>，</w:t>
      </w:r>
      <w:r>
        <w:rPr>
          <w:rFonts w:hint="eastAsia" w:ascii="仿宋" w:hAnsi="仿宋" w:eastAsia="仿宋" w:cs="STFangsong Regular"/>
          <w:color w:val="333333"/>
          <w:spacing w:val="11"/>
          <w:sz w:val="32"/>
          <w:szCs w:val="32"/>
          <w:lang w:eastAsia="zh-Hans"/>
        </w:rPr>
        <w:t>一个消极的影响是疫情期间文化对话的两极化和非理性</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这就要求在文化交流合作的先期阶段</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包括文化的研发</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产出</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宣传与推广</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文化品牌的集中建设和特点维护等</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都要有预先的规划布局</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否则通过交流合作推进民族认同的宏观价值目标就</w:t>
      </w:r>
      <w:r>
        <w:rPr>
          <w:rFonts w:hint="eastAsia" w:ascii="仿宋" w:hAnsi="仿宋" w:eastAsia="仿宋" w:cs="STFangsong Regular"/>
          <w:color w:val="333333"/>
          <w:spacing w:val="11"/>
          <w:sz w:val="32"/>
          <w:szCs w:val="32"/>
          <w:lang w:eastAsia="zh-CN"/>
        </w:rPr>
        <w:t>达不到预期效果</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因此</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相对交流合作渠道向社会多元主体自主参与拓宽</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在宣传</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推广以及引导性的交流项目等阶段</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条例强化了政府的参与和引导作用</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是为了强化政府在其中的方向把控和价值把控</w:t>
      </w:r>
      <w:r>
        <w:rPr>
          <w:rFonts w:ascii="仿宋" w:hAnsi="仿宋" w:eastAsia="仿宋" w:cs="STFangsong Regular"/>
          <w:color w:val="333333"/>
          <w:spacing w:val="11"/>
          <w:sz w:val="32"/>
          <w:szCs w:val="32"/>
          <w:lang w:eastAsia="zh-Hans"/>
        </w:rPr>
        <w:t>。</w:t>
      </w:r>
    </w:p>
    <w:p>
      <w:pPr>
        <w:pStyle w:val="6"/>
        <w:widowControl/>
        <w:numPr>
          <w:ilvl w:val="0"/>
          <w:numId w:val="1"/>
        </w:numPr>
        <w:spacing w:beforeAutospacing="0" w:afterAutospacing="0"/>
        <w:ind w:firstLine="687" w:firstLineChars="200"/>
        <w:jc w:val="both"/>
        <w:outlineLvl w:val="1"/>
        <w:rPr>
          <w:rFonts w:ascii="仿宋" w:hAnsi="仿宋" w:eastAsia="仿宋" w:cs="华文仿宋"/>
          <w:b/>
          <w:bCs/>
          <w:color w:val="333333"/>
          <w:spacing w:val="11"/>
          <w:sz w:val="32"/>
          <w:szCs w:val="32"/>
        </w:rPr>
      </w:pPr>
      <w:r>
        <w:rPr>
          <w:rFonts w:hint="eastAsia" w:ascii="仿宋" w:hAnsi="仿宋" w:eastAsia="仿宋" w:cs="华文仿宋"/>
          <w:b/>
          <w:bCs/>
          <w:color w:val="333333"/>
          <w:spacing w:val="11"/>
          <w:sz w:val="32"/>
          <w:szCs w:val="32"/>
          <w:lang w:eastAsia="zh-Hans"/>
        </w:rPr>
        <w:t>江门发展定位</w:t>
      </w:r>
      <w:r>
        <w:rPr>
          <w:rFonts w:ascii="仿宋" w:hAnsi="仿宋" w:eastAsia="仿宋" w:cs="华文仿宋"/>
          <w:b/>
          <w:bCs/>
          <w:color w:val="333333"/>
          <w:spacing w:val="11"/>
          <w:sz w:val="32"/>
          <w:szCs w:val="32"/>
          <w:lang w:eastAsia="zh-Hans"/>
        </w:rPr>
        <w:t>：</w:t>
      </w:r>
      <w:r>
        <w:rPr>
          <w:rFonts w:hint="eastAsia" w:ascii="仿宋" w:hAnsi="仿宋" w:eastAsia="仿宋" w:cs="华文仿宋"/>
          <w:b/>
          <w:bCs/>
          <w:color w:val="333333"/>
          <w:spacing w:val="11"/>
          <w:sz w:val="32"/>
          <w:szCs w:val="32"/>
          <w:lang w:eastAsia="zh-Hans"/>
        </w:rPr>
        <w:t>粤港澳大湾区的“文化节点”</w:t>
      </w:r>
    </w:p>
    <w:p>
      <w:pPr>
        <w:pStyle w:val="6"/>
        <w:widowControl/>
        <w:spacing w:beforeAutospacing="0" w:afterAutospacing="0"/>
        <w:ind w:firstLine="684" w:firstLineChars="200"/>
        <w:jc w:val="both"/>
        <w:rPr>
          <w:rFonts w:ascii="仿宋" w:hAnsi="仿宋" w:eastAsia="仿宋" w:cs="STFangsong Regular"/>
          <w:color w:val="333333"/>
          <w:spacing w:val="11"/>
          <w:sz w:val="32"/>
          <w:szCs w:val="32"/>
          <w:lang w:eastAsia="zh-Hans"/>
        </w:rPr>
      </w:pP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粤港澳大湾区发展规划</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中对江门定位为“重要节点城市”</w:t>
      </w:r>
      <w:r>
        <w:rPr>
          <w:rFonts w:ascii="仿宋" w:hAnsi="仿宋" w:eastAsia="仿宋" w:cs="STFangsong Regular"/>
          <w:color w:val="333333"/>
          <w:spacing w:val="11"/>
          <w:sz w:val="32"/>
          <w:szCs w:val="32"/>
          <w:lang w:eastAsia="zh-Hans"/>
        </w:rPr>
        <w:t>：</w:t>
      </w:r>
    </w:p>
    <w:p>
      <w:pPr>
        <w:pStyle w:val="6"/>
        <w:widowControl/>
        <w:spacing w:beforeAutospacing="0" w:afterAutospacing="0"/>
        <w:ind w:firstLine="684" w:firstLineChars="200"/>
        <w:jc w:val="both"/>
        <w:rPr>
          <w:rFonts w:ascii="仿宋" w:hAnsi="仿宋" w:eastAsia="仿宋" w:cs="STFangsong Regular"/>
          <w:color w:val="333333"/>
          <w:spacing w:val="11"/>
          <w:sz w:val="32"/>
          <w:szCs w:val="32"/>
          <w:lang w:eastAsia="zh-Hans"/>
        </w:rPr>
      </w:pPr>
      <w:r>
        <w:rPr>
          <w:rFonts w:hint="eastAsia" w:ascii="仿宋" w:hAnsi="仿宋" w:eastAsia="仿宋" w:cs="STFangsong Regular"/>
          <w:color w:val="333333"/>
          <w:spacing w:val="11"/>
          <w:sz w:val="32"/>
          <w:szCs w:val="32"/>
          <w:lang w:eastAsia="zh-Hans"/>
        </w:rPr>
        <w:t>“建设重要节点城市。支持珠海、佛山、惠州、东莞、中山、江门、肇庆等城市充分发挥自身优势，深化改革创新，增强城市综合实力，形成特色鲜明、功能互补、具有竞争力的重要节点城市。增强发展的协调性，强化与中心城市的互动合作，带动周边特色城镇发展，共同提升城市群发展质量。”</w:t>
      </w:r>
    </w:p>
    <w:p>
      <w:pPr>
        <w:pStyle w:val="6"/>
        <w:widowControl/>
        <w:spacing w:beforeAutospacing="0" w:afterAutospacing="0"/>
        <w:ind w:firstLine="684" w:firstLineChars="200"/>
        <w:jc w:val="both"/>
        <w:rPr>
          <w:rFonts w:ascii="仿宋" w:hAnsi="仿宋" w:eastAsia="仿宋" w:cs="STFangsong Regular"/>
          <w:color w:val="333333"/>
          <w:spacing w:val="11"/>
          <w:sz w:val="32"/>
          <w:szCs w:val="32"/>
          <w:lang w:eastAsia="zh-Hans"/>
        </w:rPr>
      </w:pPr>
      <w:r>
        <w:rPr>
          <w:rFonts w:hint="eastAsia" w:ascii="仿宋" w:hAnsi="仿宋" w:eastAsia="仿宋" w:cs="STFangsong Regular"/>
          <w:color w:val="333333"/>
          <w:spacing w:val="11"/>
          <w:sz w:val="32"/>
          <w:szCs w:val="32"/>
          <w:lang w:eastAsia="zh-Hans"/>
        </w:rPr>
        <w:t>江门定位是怎么样的“节点城市”</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从文件对节点城市的功能设定来看</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节点城市要求“特色鲜明”</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彼此之间要“功能互补”</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强化发展协调</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它和中心城市的“互动合作”</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发挥“带动周边特色城镇”等功能</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具体落地到江门</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文件直接指出要“支持江门建设文化交流合作重要平台”</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明确指出江门的“文化节点”定位</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这就要求</w:t>
      </w:r>
      <w:r>
        <w:rPr>
          <w:rFonts w:ascii="仿宋" w:hAnsi="仿宋" w:eastAsia="仿宋" w:cs="STFangsong Regular"/>
          <w:color w:val="333333"/>
          <w:spacing w:val="11"/>
          <w:sz w:val="32"/>
          <w:szCs w:val="32"/>
          <w:lang w:eastAsia="zh-Hans"/>
        </w:rPr>
        <w:t>：</w:t>
      </w:r>
    </w:p>
    <w:p>
      <w:pPr>
        <w:pStyle w:val="6"/>
        <w:widowControl/>
        <w:spacing w:beforeAutospacing="0" w:afterAutospacing="0"/>
        <w:ind w:firstLine="687" w:firstLineChars="200"/>
        <w:jc w:val="both"/>
        <w:rPr>
          <w:rFonts w:ascii="仿宋" w:hAnsi="仿宋" w:eastAsia="仿宋" w:cs="STFangsong Regular"/>
          <w:color w:val="333333"/>
          <w:spacing w:val="11"/>
          <w:sz w:val="32"/>
          <w:szCs w:val="32"/>
          <w:lang w:eastAsia="zh-Hans"/>
        </w:rPr>
      </w:pPr>
      <w:r>
        <w:rPr>
          <w:rFonts w:hint="eastAsia" w:ascii="仿宋" w:hAnsi="仿宋" w:eastAsia="仿宋" w:cs="STFangsong Regular"/>
          <w:b/>
          <w:color w:val="333333"/>
          <w:spacing w:val="11"/>
          <w:sz w:val="32"/>
          <w:szCs w:val="32"/>
          <w:lang w:eastAsia="zh-Hans"/>
        </w:rPr>
        <w:t>第一</w:t>
      </w:r>
      <w:r>
        <w:rPr>
          <w:rFonts w:ascii="仿宋" w:hAnsi="仿宋" w:eastAsia="仿宋" w:cs="STFangsong Regular"/>
          <w:b/>
          <w:color w:val="333333"/>
          <w:spacing w:val="11"/>
          <w:sz w:val="32"/>
          <w:szCs w:val="32"/>
          <w:lang w:eastAsia="zh-Hans"/>
        </w:rPr>
        <w:t>，</w:t>
      </w:r>
      <w:r>
        <w:rPr>
          <w:rFonts w:hint="eastAsia" w:ascii="仿宋" w:hAnsi="仿宋" w:eastAsia="仿宋" w:cs="STFangsong Regular"/>
          <w:color w:val="333333"/>
          <w:spacing w:val="11"/>
          <w:sz w:val="32"/>
          <w:szCs w:val="32"/>
          <w:lang w:eastAsia="zh-Hans"/>
        </w:rPr>
        <w:t>从特色出发定位节点角色</w:t>
      </w:r>
      <w:r>
        <w:rPr>
          <w:rFonts w:ascii="仿宋" w:hAnsi="仿宋" w:eastAsia="仿宋" w:cs="STFangsong Regular"/>
          <w:color w:val="333333"/>
          <w:spacing w:val="11"/>
          <w:sz w:val="32"/>
          <w:szCs w:val="32"/>
          <w:lang w:eastAsia="zh-Hans"/>
        </w:rPr>
        <w:t>。</w:t>
      </w:r>
    </w:p>
    <w:p>
      <w:pPr>
        <w:pStyle w:val="6"/>
        <w:widowControl/>
        <w:spacing w:beforeAutospacing="0" w:afterAutospacing="0"/>
        <w:ind w:firstLine="687" w:firstLineChars="200"/>
        <w:jc w:val="both"/>
        <w:rPr>
          <w:rFonts w:ascii="仿宋" w:hAnsi="仿宋" w:eastAsia="仿宋" w:cs="STFangsong Regular"/>
          <w:color w:val="333333"/>
          <w:spacing w:val="11"/>
          <w:sz w:val="32"/>
          <w:szCs w:val="32"/>
          <w:lang w:eastAsia="zh-Hans"/>
        </w:rPr>
      </w:pPr>
      <w:r>
        <w:rPr>
          <w:rFonts w:hint="eastAsia" w:ascii="仿宋" w:hAnsi="仿宋" w:eastAsia="仿宋" w:cs="STFangsong Regular"/>
          <w:b/>
          <w:color w:val="333333"/>
          <w:spacing w:val="11"/>
          <w:sz w:val="32"/>
          <w:szCs w:val="32"/>
          <w:lang w:eastAsia="zh-Hans"/>
        </w:rPr>
        <w:t>第二</w:t>
      </w:r>
      <w:r>
        <w:rPr>
          <w:rFonts w:ascii="仿宋" w:hAnsi="仿宋" w:eastAsia="仿宋" w:cs="STFangsong Regular"/>
          <w:b/>
          <w:color w:val="333333"/>
          <w:spacing w:val="11"/>
          <w:sz w:val="32"/>
          <w:szCs w:val="32"/>
          <w:lang w:eastAsia="zh-Hans"/>
        </w:rPr>
        <w:t>，</w:t>
      </w:r>
      <w:r>
        <w:rPr>
          <w:rFonts w:hint="eastAsia" w:ascii="仿宋" w:hAnsi="仿宋" w:eastAsia="仿宋" w:cs="STFangsong Regular"/>
          <w:color w:val="333333"/>
          <w:spacing w:val="11"/>
          <w:sz w:val="32"/>
          <w:szCs w:val="32"/>
          <w:lang w:eastAsia="zh-Hans"/>
        </w:rPr>
        <w:t>节点是对外联结的</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基本定位是开放性</w:t>
      </w:r>
      <w:r>
        <w:rPr>
          <w:rFonts w:ascii="仿宋" w:hAnsi="仿宋" w:eastAsia="仿宋" w:cs="STFangsong Regular"/>
          <w:color w:val="333333"/>
          <w:spacing w:val="11"/>
          <w:sz w:val="32"/>
          <w:szCs w:val="32"/>
          <w:lang w:eastAsia="zh-Hans"/>
        </w:rPr>
        <w:t>。</w:t>
      </w:r>
    </w:p>
    <w:p>
      <w:pPr>
        <w:pStyle w:val="6"/>
        <w:widowControl/>
        <w:spacing w:beforeAutospacing="0" w:afterAutospacing="0"/>
        <w:ind w:firstLine="687" w:firstLineChars="200"/>
        <w:jc w:val="both"/>
        <w:rPr>
          <w:rFonts w:hint="eastAsia" w:ascii="仿宋" w:hAnsi="仿宋" w:eastAsia="仿宋" w:cs="STFangsong Regular"/>
          <w:color w:val="333333"/>
          <w:spacing w:val="11"/>
          <w:sz w:val="32"/>
          <w:szCs w:val="32"/>
          <w:lang w:eastAsia="zh-Hans"/>
        </w:rPr>
      </w:pPr>
      <w:r>
        <w:rPr>
          <w:rFonts w:hint="eastAsia" w:ascii="仿宋" w:hAnsi="仿宋" w:eastAsia="仿宋" w:cs="STFangsong Regular"/>
          <w:b/>
          <w:color w:val="333333"/>
          <w:spacing w:val="11"/>
          <w:sz w:val="32"/>
          <w:szCs w:val="32"/>
          <w:lang w:eastAsia="zh-Hans"/>
        </w:rPr>
        <w:t>第三</w:t>
      </w:r>
      <w:r>
        <w:rPr>
          <w:rFonts w:ascii="仿宋" w:hAnsi="仿宋" w:eastAsia="仿宋" w:cs="STFangsong Regular"/>
          <w:b/>
          <w:color w:val="333333"/>
          <w:spacing w:val="11"/>
          <w:sz w:val="32"/>
          <w:szCs w:val="32"/>
          <w:lang w:eastAsia="zh-Hans"/>
        </w:rPr>
        <w:t>，</w:t>
      </w:r>
      <w:r>
        <w:rPr>
          <w:rFonts w:hint="eastAsia" w:ascii="仿宋" w:hAnsi="仿宋" w:eastAsia="仿宋" w:cs="STFangsong Regular"/>
          <w:color w:val="333333"/>
          <w:spacing w:val="11"/>
          <w:sz w:val="32"/>
          <w:szCs w:val="32"/>
          <w:lang w:eastAsia="zh-Hans"/>
        </w:rPr>
        <w:t>节点必须要建立起一种跨行政区域的互动和协作发展结构</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而不是</w:t>
      </w:r>
      <w:r>
        <w:rPr>
          <w:rFonts w:hint="eastAsia" w:ascii="仿宋" w:hAnsi="仿宋" w:eastAsia="仿宋" w:cs="STFangsong Regular"/>
          <w:color w:val="333333"/>
          <w:spacing w:val="11"/>
          <w:sz w:val="32"/>
          <w:szCs w:val="32"/>
          <w:lang w:eastAsia="zh-CN"/>
        </w:rPr>
        <w:t>“</w:t>
      </w:r>
      <w:r>
        <w:rPr>
          <w:rFonts w:hint="eastAsia" w:ascii="仿宋" w:hAnsi="仿宋" w:eastAsia="仿宋" w:cs="STFangsong Regular"/>
          <w:color w:val="333333"/>
          <w:spacing w:val="11"/>
          <w:sz w:val="32"/>
          <w:szCs w:val="32"/>
          <w:lang w:eastAsia="zh-Hans"/>
        </w:rPr>
        <w:t>向内消化”</w:t>
      </w:r>
      <w:r>
        <w:rPr>
          <w:rFonts w:ascii="仿宋" w:hAnsi="仿宋" w:eastAsia="仿宋" w:cs="STFangsong Regular"/>
          <w:color w:val="333333"/>
          <w:spacing w:val="11"/>
          <w:sz w:val="32"/>
          <w:szCs w:val="32"/>
          <w:lang w:eastAsia="zh-Hans"/>
        </w:rPr>
        <w:t>。</w:t>
      </w:r>
    </w:p>
    <w:p>
      <w:pPr>
        <w:pStyle w:val="6"/>
        <w:widowControl/>
        <w:spacing w:beforeAutospacing="0" w:afterAutospacing="0"/>
        <w:ind w:firstLine="684" w:firstLineChars="200"/>
        <w:jc w:val="both"/>
        <w:rPr>
          <w:rFonts w:ascii="仿宋" w:hAnsi="仿宋" w:eastAsia="仿宋" w:cs="STFangsong Regular"/>
          <w:color w:val="333333"/>
          <w:spacing w:val="11"/>
          <w:sz w:val="32"/>
          <w:szCs w:val="32"/>
          <w:lang w:eastAsia="zh-Hans"/>
        </w:rPr>
      </w:pPr>
      <w:r>
        <w:rPr>
          <w:rFonts w:hint="eastAsia" w:ascii="仿宋" w:hAnsi="仿宋" w:eastAsia="仿宋" w:cs="STFangsong Regular"/>
          <w:color w:val="333333"/>
          <w:spacing w:val="11"/>
          <w:sz w:val="32"/>
          <w:szCs w:val="32"/>
          <w:lang w:eastAsia="zh-Hans"/>
        </w:rPr>
        <w:t>所以</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综合来看</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不能仅仅局限在地方的文化推广</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应当能够成为海内外华侨华人交流合作的节点平台</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集中到江门</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或者以江门为集中发力点</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因此区域的开放是第一步</w:t>
      </w:r>
      <w:r>
        <w:rPr>
          <w:rFonts w:ascii="仿宋" w:hAnsi="仿宋" w:eastAsia="仿宋" w:cs="STFangsong Regular"/>
          <w:color w:val="333333"/>
          <w:spacing w:val="11"/>
          <w:sz w:val="32"/>
          <w:szCs w:val="32"/>
          <w:lang w:eastAsia="zh-Hans"/>
        </w:rPr>
        <w:t>；</w:t>
      </w:r>
    </w:p>
    <w:p>
      <w:pPr>
        <w:pStyle w:val="6"/>
        <w:widowControl/>
        <w:spacing w:beforeAutospacing="0" w:afterAutospacing="0"/>
        <w:ind w:firstLine="684" w:firstLineChars="200"/>
        <w:jc w:val="both"/>
        <w:rPr>
          <w:rFonts w:hint="eastAsia" w:ascii="仿宋" w:hAnsi="仿宋" w:eastAsia="仿宋" w:cs="STFangsong Regular"/>
          <w:color w:val="333333"/>
          <w:spacing w:val="11"/>
          <w:sz w:val="32"/>
          <w:szCs w:val="32"/>
          <w:lang w:eastAsia="zh-Hans"/>
        </w:rPr>
      </w:pPr>
      <w:r>
        <w:rPr>
          <w:rFonts w:hint="eastAsia" w:ascii="仿宋" w:hAnsi="仿宋" w:eastAsia="仿宋" w:cs="STFangsong Regular"/>
          <w:color w:val="333333"/>
          <w:spacing w:val="11"/>
          <w:sz w:val="32"/>
          <w:szCs w:val="32"/>
          <w:lang w:eastAsia="zh-Hans"/>
        </w:rPr>
        <w:t>“侨文化”集中在江门</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但并不是江门“独家垄断”的</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海内外华侨华人来自国内各个区域</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要让江门在所有的侨乡中发挥节点作用</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不能仅仅聚焦江门籍华侨华人</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否则不能匹配侨文化本身交流合作所指向的更宏观的政治目标</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即促进整个中华民族的认同</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江门籍的华侨华人只是一个重点</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并且依据其发展特色和既有优势</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是推动海外华侨华人作为一个社会整体参与文化交流合作一支重要力量</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因此区域合作还意味着要和多个侨乡的联合合作</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发挥江门“牵头节点”的功能</w:t>
      </w:r>
      <w:r>
        <w:rPr>
          <w:rFonts w:ascii="仿宋" w:hAnsi="仿宋" w:eastAsia="仿宋" w:cs="STFangsong Regular"/>
          <w:color w:val="333333"/>
          <w:spacing w:val="11"/>
          <w:sz w:val="32"/>
          <w:szCs w:val="32"/>
          <w:lang w:eastAsia="zh-Hans"/>
        </w:rPr>
        <w:t>。</w:t>
      </w:r>
    </w:p>
    <w:p>
      <w:pPr>
        <w:pStyle w:val="7"/>
      </w:pPr>
      <w:bookmarkStart w:id="6" w:name="_Toc152122705_WPSOffice_Level1"/>
      <w:r>
        <w:rPr>
          <w:rFonts w:hint="eastAsia"/>
        </w:rPr>
        <w:t>二、《草案》的</w:t>
      </w:r>
      <w:r>
        <w:t>主要内容</w:t>
      </w:r>
      <w:bookmarkEnd w:id="6"/>
    </w:p>
    <w:p>
      <w:pPr>
        <w:pStyle w:val="6"/>
        <w:widowControl/>
        <w:spacing w:beforeAutospacing="0" w:afterAutospacing="0"/>
        <w:ind w:firstLine="684" w:firstLineChars="200"/>
        <w:jc w:val="both"/>
        <w:rPr>
          <w:rFonts w:ascii="仿宋" w:hAnsi="仿宋" w:eastAsia="仿宋" w:cs="STFangsong Regular"/>
          <w:color w:val="333333"/>
          <w:spacing w:val="11"/>
          <w:sz w:val="32"/>
          <w:szCs w:val="32"/>
        </w:rPr>
      </w:pPr>
      <w:r>
        <w:rPr>
          <w:rFonts w:ascii="仿宋" w:hAnsi="仿宋" w:eastAsia="仿宋" w:cs="STFangsong Regular"/>
          <w:color w:val="333333"/>
          <w:spacing w:val="11"/>
          <w:sz w:val="32"/>
          <w:szCs w:val="32"/>
        </w:rPr>
        <w:t>本《草案》共有</w:t>
      </w:r>
      <w:r>
        <w:rPr>
          <w:rFonts w:hint="eastAsia" w:ascii="仿宋" w:hAnsi="仿宋" w:eastAsia="仿宋" w:cs="STFangsong Regular"/>
          <w:color w:val="333333"/>
          <w:spacing w:val="11"/>
          <w:sz w:val="32"/>
          <w:szCs w:val="32"/>
          <w:lang w:eastAsia="zh-Hans"/>
        </w:rPr>
        <w:t>七</w:t>
      </w:r>
      <w:r>
        <w:rPr>
          <w:rFonts w:ascii="仿宋" w:hAnsi="仿宋" w:eastAsia="仿宋" w:cs="STFangsong Regular"/>
          <w:color w:val="333333"/>
          <w:spacing w:val="11"/>
          <w:sz w:val="32"/>
          <w:szCs w:val="32"/>
        </w:rPr>
        <w:t>章，主要内容分为总则、文化资源保护与</w:t>
      </w:r>
      <w:r>
        <w:rPr>
          <w:rFonts w:hint="eastAsia" w:ascii="仿宋" w:hAnsi="仿宋" w:eastAsia="仿宋" w:cs="STFangsong Regular"/>
          <w:color w:val="333333"/>
          <w:spacing w:val="11"/>
          <w:sz w:val="32"/>
          <w:szCs w:val="32"/>
          <w:lang w:eastAsia="zh-Hans"/>
        </w:rPr>
        <w:t>整合</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lang w:eastAsia="zh-Hans"/>
        </w:rPr>
        <w:t>文化成果的转化和创作</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lang w:eastAsia="zh-Hans"/>
        </w:rPr>
        <w:t>文化的推广与宣传</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文化平台建设</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公共服务配套与保障</w:t>
      </w:r>
      <w:r>
        <w:rPr>
          <w:rFonts w:ascii="仿宋" w:hAnsi="仿宋" w:eastAsia="仿宋" w:cs="STFangsong Regular"/>
          <w:color w:val="333333"/>
          <w:spacing w:val="11"/>
          <w:sz w:val="32"/>
          <w:szCs w:val="32"/>
          <w:lang w:eastAsia="zh-Hans"/>
        </w:rPr>
        <w:t>、</w:t>
      </w:r>
      <w:r>
        <w:rPr>
          <w:rFonts w:ascii="仿宋" w:hAnsi="仿宋" w:eastAsia="仿宋" w:cs="STFangsong Regular"/>
          <w:color w:val="333333"/>
          <w:spacing w:val="11"/>
          <w:sz w:val="32"/>
          <w:szCs w:val="32"/>
        </w:rPr>
        <w:t>法律责任。</w:t>
      </w:r>
    </w:p>
    <w:p>
      <w:pPr>
        <w:pStyle w:val="6"/>
        <w:widowControl/>
        <w:spacing w:beforeAutospacing="0" w:afterAutospacing="0"/>
        <w:ind w:firstLine="684" w:firstLineChars="200"/>
        <w:jc w:val="both"/>
        <w:rPr>
          <w:rFonts w:ascii="仿宋" w:hAnsi="仿宋" w:eastAsia="仿宋" w:cs="STFangsong Regular"/>
          <w:color w:val="333333"/>
          <w:spacing w:val="11"/>
          <w:sz w:val="32"/>
          <w:szCs w:val="32"/>
        </w:rPr>
      </w:pPr>
      <w:r>
        <w:rPr>
          <w:rFonts w:ascii="仿宋" w:hAnsi="仿宋" w:eastAsia="仿宋" w:cs="STFangsong Regular"/>
          <w:color w:val="333333"/>
          <w:spacing w:val="11"/>
          <w:sz w:val="32"/>
          <w:szCs w:val="32"/>
        </w:rPr>
        <w:t>总则部分主要就本草案主要包括立法</w:t>
      </w:r>
      <w:r>
        <w:rPr>
          <w:rFonts w:hint="eastAsia" w:ascii="仿宋" w:hAnsi="仿宋" w:eastAsia="仿宋" w:cs="STFangsong Regular"/>
          <w:color w:val="333333"/>
          <w:spacing w:val="11"/>
          <w:sz w:val="32"/>
          <w:szCs w:val="32"/>
        </w:rPr>
        <w:t>目的</w:t>
      </w:r>
      <w:r>
        <w:rPr>
          <w:rFonts w:ascii="仿宋" w:hAnsi="仿宋" w:eastAsia="仿宋" w:cs="STFangsong Regular"/>
          <w:color w:val="333333"/>
          <w:spacing w:val="11"/>
          <w:sz w:val="32"/>
          <w:szCs w:val="32"/>
        </w:rPr>
        <w:t>、适用范围、</w:t>
      </w:r>
      <w:r>
        <w:rPr>
          <w:rFonts w:hint="eastAsia" w:ascii="仿宋" w:hAnsi="仿宋" w:eastAsia="仿宋" w:cs="STFangsong Regular"/>
          <w:color w:val="333333"/>
          <w:spacing w:val="11"/>
          <w:sz w:val="32"/>
          <w:szCs w:val="32"/>
        </w:rPr>
        <w:t>发展方针</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基本发展模式设计</w:t>
      </w:r>
      <w:r>
        <w:rPr>
          <w:rFonts w:ascii="仿宋" w:hAnsi="仿宋" w:eastAsia="仿宋" w:cs="STFangsong Regular"/>
          <w:color w:val="333333"/>
          <w:spacing w:val="11"/>
          <w:sz w:val="32"/>
          <w:szCs w:val="32"/>
        </w:rPr>
        <w:t>、基本原则、</w:t>
      </w:r>
      <w:r>
        <w:rPr>
          <w:rFonts w:hint="eastAsia" w:ascii="仿宋" w:hAnsi="仿宋" w:eastAsia="仿宋" w:cs="STFangsong Regular"/>
          <w:color w:val="333333"/>
          <w:spacing w:val="11"/>
          <w:sz w:val="32"/>
          <w:szCs w:val="32"/>
        </w:rPr>
        <w:t>职责体系</w:t>
      </w:r>
      <w:r>
        <w:rPr>
          <w:rFonts w:ascii="仿宋" w:hAnsi="仿宋" w:eastAsia="仿宋" w:cs="STFangsong Regular"/>
          <w:color w:val="333333"/>
          <w:spacing w:val="11"/>
          <w:sz w:val="32"/>
          <w:szCs w:val="32"/>
        </w:rPr>
        <w:t>等内容，并针对</w:t>
      </w:r>
      <w:r>
        <w:rPr>
          <w:rFonts w:hint="eastAsia" w:ascii="仿宋" w:hAnsi="仿宋" w:eastAsia="仿宋" w:cs="STFangsong Regular"/>
          <w:color w:val="333333"/>
          <w:spacing w:val="11"/>
          <w:sz w:val="32"/>
          <w:szCs w:val="32"/>
        </w:rPr>
        <w:t>华侨华人文化交流合作促进</w:t>
      </w:r>
      <w:r>
        <w:rPr>
          <w:rFonts w:ascii="仿宋" w:hAnsi="仿宋" w:eastAsia="仿宋" w:cs="STFangsong Regular"/>
          <w:color w:val="333333"/>
          <w:spacing w:val="11"/>
          <w:sz w:val="32"/>
          <w:szCs w:val="32"/>
        </w:rPr>
        <w:t>工作</w:t>
      </w:r>
      <w:r>
        <w:rPr>
          <w:rFonts w:hint="eastAsia" w:ascii="仿宋" w:hAnsi="仿宋" w:eastAsia="仿宋" w:cs="STFangsong Regular"/>
          <w:color w:val="333333"/>
          <w:spacing w:val="11"/>
          <w:sz w:val="32"/>
          <w:szCs w:val="32"/>
        </w:rPr>
        <w:t>的整体布局和长远发展进行基本的职权</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职能</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机制规划和设计</w:t>
      </w:r>
      <w:r>
        <w:rPr>
          <w:rFonts w:ascii="仿宋" w:hAnsi="仿宋" w:eastAsia="仿宋" w:cs="STFangsong Regular"/>
          <w:color w:val="333333"/>
          <w:spacing w:val="11"/>
          <w:sz w:val="32"/>
          <w:szCs w:val="32"/>
        </w:rPr>
        <w:t>，除规定政府基本</w:t>
      </w:r>
      <w:r>
        <w:rPr>
          <w:rFonts w:hint="eastAsia" w:ascii="仿宋" w:hAnsi="仿宋" w:eastAsia="仿宋" w:cs="STFangsong Regular"/>
          <w:color w:val="333333"/>
          <w:spacing w:val="11"/>
          <w:sz w:val="32"/>
          <w:szCs w:val="32"/>
        </w:rPr>
        <w:t>责任和服务职能以外</w:t>
      </w:r>
      <w:r>
        <w:rPr>
          <w:rFonts w:ascii="仿宋" w:hAnsi="仿宋" w:eastAsia="仿宋" w:cs="STFangsong Regular"/>
          <w:color w:val="333333"/>
          <w:spacing w:val="11"/>
          <w:sz w:val="32"/>
          <w:szCs w:val="32"/>
        </w:rPr>
        <w:t>，倡导全社会建立共同</w:t>
      </w:r>
      <w:r>
        <w:rPr>
          <w:rFonts w:hint="eastAsia" w:ascii="仿宋" w:hAnsi="仿宋" w:eastAsia="仿宋" w:cs="STFangsong Regular"/>
          <w:color w:val="333333"/>
          <w:spacing w:val="11"/>
          <w:sz w:val="32"/>
          <w:szCs w:val="32"/>
        </w:rPr>
        <w:t>参与的机制</w:t>
      </w:r>
      <w:r>
        <w:rPr>
          <w:rFonts w:ascii="仿宋" w:hAnsi="仿宋" w:eastAsia="仿宋" w:cs="STFangsong Regular"/>
          <w:color w:val="333333"/>
          <w:spacing w:val="11"/>
          <w:sz w:val="32"/>
          <w:szCs w:val="32"/>
        </w:rPr>
        <w:t>。</w:t>
      </w:r>
    </w:p>
    <w:p>
      <w:pPr>
        <w:pStyle w:val="6"/>
        <w:widowControl/>
        <w:numPr>
          <w:ilvl w:val="0"/>
          <w:numId w:val="3"/>
        </w:numPr>
        <w:spacing w:beforeAutospacing="0" w:afterAutospacing="0"/>
        <w:ind w:firstLine="684" w:firstLineChars="200"/>
        <w:jc w:val="both"/>
        <w:rPr>
          <w:rFonts w:ascii="仿宋" w:hAnsi="仿宋" w:eastAsia="仿宋" w:cs="STFangsong Regular"/>
          <w:color w:val="333333"/>
          <w:spacing w:val="11"/>
          <w:sz w:val="32"/>
          <w:szCs w:val="32"/>
        </w:rPr>
      </w:pPr>
      <w:r>
        <w:rPr>
          <w:rFonts w:ascii="仿宋" w:hAnsi="仿宋" w:eastAsia="仿宋" w:cs="STFangsong Regular"/>
          <w:color w:val="333333"/>
          <w:spacing w:val="11"/>
          <w:sz w:val="32"/>
          <w:szCs w:val="32"/>
        </w:rPr>
        <w:t>到第</w:t>
      </w:r>
      <w:r>
        <w:rPr>
          <w:rFonts w:hint="eastAsia" w:ascii="仿宋" w:hAnsi="仿宋" w:eastAsia="仿宋" w:cs="STFangsong Regular"/>
          <w:color w:val="333333"/>
          <w:spacing w:val="11"/>
          <w:sz w:val="32"/>
          <w:szCs w:val="32"/>
          <w:lang w:eastAsia="zh-Hans"/>
        </w:rPr>
        <w:t>五</w:t>
      </w:r>
      <w:r>
        <w:rPr>
          <w:rFonts w:ascii="仿宋" w:hAnsi="仿宋" w:eastAsia="仿宋" w:cs="STFangsong Regular"/>
          <w:color w:val="333333"/>
          <w:spacing w:val="11"/>
          <w:sz w:val="32"/>
          <w:szCs w:val="32"/>
        </w:rPr>
        <w:t>章基本根据应对</w:t>
      </w:r>
      <w:r>
        <w:rPr>
          <w:rFonts w:hint="eastAsia" w:ascii="仿宋" w:hAnsi="仿宋" w:eastAsia="仿宋" w:cs="STFangsong Regular"/>
          <w:color w:val="333333"/>
          <w:spacing w:val="11"/>
          <w:sz w:val="32"/>
          <w:szCs w:val="32"/>
          <w:lang w:eastAsia="zh-Hans"/>
        </w:rPr>
        <w:t>“固根</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筑魂</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寻梦”三大块</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设计</w:t>
      </w:r>
      <w:r>
        <w:rPr>
          <w:rFonts w:ascii="仿宋" w:hAnsi="仿宋" w:eastAsia="仿宋" w:cs="STFangsong Regular"/>
          <w:color w:val="333333"/>
          <w:spacing w:val="11"/>
          <w:sz w:val="32"/>
          <w:szCs w:val="32"/>
        </w:rPr>
        <w:t>工作的整个流程，</w:t>
      </w:r>
      <w:r>
        <w:rPr>
          <w:rFonts w:hint="eastAsia" w:ascii="仿宋" w:hAnsi="仿宋" w:eastAsia="仿宋" w:cs="STFangsong Regular"/>
          <w:color w:val="333333"/>
          <w:spacing w:val="11"/>
          <w:sz w:val="32"/>
          <w:szCs w:val="32"/>
          <w:lang w:eastAsia="zh-Hans"/>
        </w:rPr>
        <w:t>专门</w:t>
      </w:r>
      <w:r>
        <w:rPr>
          <w:rFonts w:ascii="仿宋" w:hAnsi="仿宋" w:eastAsia="仿宋" w:cs="STFangsong Regular"/>
          <w:color w:val="333333"/>
          <w:spacing w:val="11"/>
          <w:sz w:val="32"/>
          <w:szCs w:val="32"/>
        </w:rPr>
        <w:t>分章规定，其中：</w:t>
      </w:r>
      <w:r>
        <w:rPr>
          <w:rFonts w:hint="eastAsia" w:ascii="仿宋" w:hAnsi="仿宋" w:eastAsia="仿宋" w:cs="STFangsong Regular"/>
          <w:color w:val="333333"/>
          <w:spacing w:val="11"/>
          <w:sz w:val="32"/>
          <w:szCs w:val="32"/>
          <w:lang w:eastAsia="zh-Hans"/>
        </w:rPr>
        <w:t>第二</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三章主要解决“固根”问题</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推进文化资源的研究</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整合</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强调“侨文化”体系化建设</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成果转化和多元输出等</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系统设计了一套产出流程</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主要是为了解决“拿什么去交流合作”的问题</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为交流合作做好事前准备</w:t>
      </w:r>
      <w:r>
        <w:rPr>
          <w:rFonts w:ascii="仿宋" w:hAnsi="仿宋" w:eastAsia="仿宋" w:cs="STFangsong Regular"/>
          <w:color w:val="333333"/>
          <w:spacing w:val="11"/>
          <w:sz w:val="32"/>
          <w:szCs w:val="32"/>
        </w:rPr>
        <w:t>。</w:t>
      </w:r>
    </w:p>
    <w:p>
      <w:pPr>
        <w:pStyle w:val="6"/>
        <w:widowControl/>
        <w:numPr>
          <w:ilvl w:val="0"/>
          <w:numId w:val="4"/>
        </w:numPr>
        <w:spacing w:beforeAutospacing="0" w:afterAutospacing="0"/>
        <w:ind w:firstLine="684" w:firstLineChars="200"/>
        <w:jc w:val="both"/>
        <w:rPr>
          <w:rFonts w:ascii="仿宋" w:hAnsi="仿宋" w:eastAsia="仿宋" w:cs="STFangsong Regular"/>
          <w:color w:val="333333"/>
          <w:spacing w:val="11"/>
          <w:sz w:val="32"/>
          <w:szCs w:val="32"/>
          <w:lang w:eastAsia="zh-Hans"/>
        </w:rPr>
      </w:pPr>
      <w:r>
        <w:rPr>
          <w:rFonts w:hint="eastAsia" w:ascii="仿宋" w:hAnsi="仿宋" w:eastAsia="仿宋" w:cs="STFangsong Regular"/>
          <w:color w:val="333333"/>
          <w:spacing w:val="11"/>
          <w:sz w:val="32"/>
          <w:szCs w:val="32"/>
          <w:lang w:eastAsia="zh-Hans"/>
        </w:rPr>
        <w:t>和第五章</w:t>
      </w:r>
      <w:r>
        <w:rPr>
          <w:rFonts w:ascii="仿宋" w:hAnsi="仿宋" w:eastAsia="仿宋" w:cs="STFangsong Regular"/>
          <w:color w:val="333333"/>
          <w:spacing w:val="11"/>
          <w:sz w:val="32"/>
          <w:szCs w:val="32"/>
        </w:rPr>
        <w:t>重点</w:t>
      </w:r>
      <w:r>
        <w:rPr>
          <w:rFonts w:hint="eastAsia" w:ascii="仿宋" w:hAnsi="仿宋" w:eastAsia="仿宋" w:cs="STFangsong Regular"/>
          <w:color w:val="333333"/>
          <w:spacing w:val="11"/>
          <w:sz w:val="32"/>
          <w:szCs w:val="32"/>
          <w:lang w:eastAsia="zh-Hans"/>
        </w:rPr>
        <w:t>与核心放在促进交流合作和平台搭建上</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但鉴于交流合作实质过程的社会性</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自发性等特点</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将政府的职能重点放在系统整合</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宏观引导</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积极推广和平台机制支持等这四个环节</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表现为通过畅通交流渠道</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开拓交流项目</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有序引导推广和建设合作平台等政府“作为”</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为华侨华人群体作为社会群体的参与提供支持</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并依托项目</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活动</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平台和推广渠道的设计</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鼓励植入侨文化内容</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达到推广中交流</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交流中了解</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了解而合作</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合作而落地</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落地而巩固联结</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并逐步实现情感联结和社会生活生产过程联通等方式的时代更新</w:t>
      </w:r>
      <w:r>
        <w:rPr>
          <w:rFonts w:ascii="仿宋" w:hAnsi="仿宋" w:eastAsia="仿宋" w:cs="STFangsong Regular"/>
          <w:color w:val="333333"/>
          <w:spacing w:val="11"/>
          <w:sz w:val="32"/>
          <w:szCs w:val="32"/>
          <w:lang w:eastAsia="zh-Hans"/>
        </w:rPr>
        <w:t>。</w:t>
      </w:r>
    </w:p>
    <w:p>
      <w:pPr>
        <w:pStyle w:val="6"/>
        <w:widowControl/>
        <w:spacing w:beforeAutospacing="0" w:afterAutospacing="0"/>
        <w:ind w:firstLine="684" w:firstLineChars="200"/>
        <w:jc w:val="both"/>
        <w:rPr>
          <w:rFonts w:ascii="仿宋" w:hAnsi="仿宋" w:eastAsia="仿宋" w:cs="STFangsong Regular"/>
          <w:color w:val="333333"/>
          <w:spacing w:val="11"/>
          <w:sz w:val="32"/>
          <w:szCs w:val="32"/>
        </w:rPr>
      </w:pPr>
      <w:r>
        <w:rPr>
          <w:rFonts w:hint="eastAsia" w:ascii="仿宋" w:hAnsi="仿宋" w:eastAsia="仿宋" w:cs="STFangsong Regular"/>
          <w:color w:val="333333"/>
          <w:spacing w:val="11"/>
          <w:sz w:val="32"/>
          <w:szCs w:val="32"/>
          <w:lang w:eastAsia="zh-Hans"/>
        </w:rPr>
        <w:t>第六</w:t>
      </w:r>
      <w:r>
        <w:rPr>
          <w:rFonts w:ascii="仿宋" w:hAnsi="仿宋" w:eastAsia="仿宋" w:cs="STFangsong Regular"/>
          <w:color w:val="333333"/>
          <w:spacing w:val="11"/>
          <w:sz w:val="32"/>
          <w:szCs w:val="32"/>
        </w:rPr>
        <w:t>章</w:t>
      </w:r>
      <w:r>
        <w:rPr>
          <w:rFonts w:hint="eastAsia" w:ascii="仿宋" w:hAnsi="仿宋" w:eastAsia="仿宋" w:cs="STFangsong Regular"/>
          <w:color w:val="333333"/>
          <w:spacing w:val="11"/>
          <w:sz w:val="32"/>
          <w:szCs w:val="32"/>
          <w:lang w:eastAsia="zh-Hans"/>
        </w:rPr>
        <w:t>专门配套社会服务和有关权益保障的内容</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之所以在文化交流促进法案中设计该部分内容</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主要出于两个考虑</w:t>
      </w:r>
      <w:r>
        <w:rPr>
          <w:rFonts w:ascii="仿宋" w:hAnsi="仿宋" w:eastAsia="仿宋" w:cs="STFangsong Regular"/>
          <w:color w:val="333333"/>
          <w:spacing w:val="11"/>
          <w:sz w:val="32"/>
          <w:szCs w:val="32"/>
          <w:lang w:eastAsia="zh-Hans"/>
        </w:rPr>
        <w:t>：</w:t>
      </w:r>
    </w:p>
    <w:p>
      <w:pPr>
        <w:pStyle w:val="6"/>
        <w:widowControl/>
        <w:spacing w:beforeAutospacing="0" w:afterAutospacing="0"/>
        <w:ind w:firstLine="687" w:firstLineChars="200"/>
        <w:jc w:val="both"/>
        <w:rPr>
          <w:rFonts w:ascii="仿宋" w:hAnsi="仿宋" w:eastAsia="仿宋" w:cs="STFangsong Regular"/>
          <w:color w:val="333333"/>
          <w:spacing w:val="11"/>
          <w:sz w:val="32"/>
          <w:szCs w:val="32"/>
          <w:lang w:eastAsia="zh-Hans"/>
        </w:rPr>
      </w:pPr>
      <w:r>
        <w:rPr>
          <w:rFonts w:hint="eastAsia" w:ascii="仿宋" w:hAnsi="仿宋" w:eastAsia="仿宋" w:cs="STFangsong Regular"/>
          <w:b/>
          <w:color w:val="333333"/>
          <w:spacing w:val="11"/>
          <w:sz w:val="32"/>
          <w:szCs w:val="32"/>
          <w:lang w:eastAsia="zh-Hans"/>
        </w:rPr>
        <w:t>第一</w:t>
      </w:r>
      <w:r>
        <w:rPr>
          <w:rFonts w:ascii="仿宋" w:hAnsi="仿宋" w:eastAsia="仿宋" w:cs="STFangsong Regular"/>
          <w:b/>
          <w:color w:val="333333"/>
          <w:spacing w:val="11"/>
          <w:sz w:val="32"/>
          <w:szCs w:val="32"/>
          <w:lang w:eastAsia="zh-Hans"/>
        </w:rPr>
        <w:t>，</w:t>
      </w:r>
      <w:r>
        <w:rPr>
          <w:rFonts w:hint="eastAsia" w:ascii="仿宋" w:hAnsi="仿宋" w:eastAsia="仿宋" w:cs="STFangsong Regular"/>
          <w:color w:val="333333"/>
          <w:spacing w:val="11"/>
          <w:sz w:val="32"/>
          <w:szCs w:val="32"/>
          <w:lang w:eastAsia="zh-Hans"/>
        </w:rPr>
        <w:t>从整个“节点”在大湾区中的地位来看</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节点城市的基本功能要能构成对中心城市的互动配合</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表现为在产业链</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生态链以及生活圈等维度和中心城市的核心职能集中与非核心职能分流这两大趋势对接</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换言之</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江门目前所推进的医养结合</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生态宜居等建设</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以及大湾区整体推进的交通设施联通</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“一小时生活圈”构建等</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都是为了推进中心城市和节点城市的配合转型</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这一系列转型直接结果</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可能就是推动中心城市吸引的大量文化人才和文化产业向周边节点城市转移</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世界经合组织等多个国际组织的权威调研结论共同指出</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社会基本权益保障</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尤其是子女教育</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流入人口的安置就业等直接决定了是否可以“引得进”</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“留得住”</w:t>
      </w:r>
      <w:r>
        <w:rPr>
          <w:rFonts w:ascii="仿宋" w:hAnsi="仿宋" w:eastAsia="仿宋" w:cs="STFangsong Regular"/>
          <w:color w:val="333333"/>
          <w:spacing w:val="11"/>
          <w:sz w:val="32"/>
          <w:szCs w:val="32"/>
          <w:lang w:eastAsia="zh-Hans"/>
        </w:rPr>
        <w:t>。</w:t>
      </w:r>
    </w:p>
    <w:p>
      <w:pPr>
        <w:pStyle w:val="6"/>
        <w:widowControl/>
        <w:spacing w:beforeAutospacing="0" w:afterAutospacing="0"/>
        <w:ind w:firstLine="687" w:firstLineChars="200"/>
        <w:jc w:val="both"/>
        <w:rPr>
          <w:rFonts w:hint="eastAsia" w:ascii="仿宋" w:hAnsi="仿宋" w:eastAsia="仿宋" w:cs="STFangsong Regular"/>
          <w:color w:val="333333"/>
          <w:spacing w:val="11"/>
          <w:sz w:val="32"/>
          <w:szCs w:val="32"/>
          <w:lang w:eastAsia="zh-Hans"/>
        </w:rPr>
      </w:pPr>
      <w:r>
        <w:rPr>
          <w:rFonts w:hint="eastAsia" w:ascii="仿宋" w:hAnsi="仿宋" w:eastAsia="仿宋" w:cs="STFangsong Regular"/>
          <w:b/>
          <w:color w:val="333333"/>
          <w:spacing w:val="11"/>
          <w:sz w:val="32"/>
          <w:szCs w:val="32"/>
          <w:lang w:eastAsia="zh-Hans"/>
        </w:rPr>
        <w:t>第二</w:t>
      </w:r>
      <w:r>
        <w:rPr>
          <w:rFonts w:ascii="仿宋" w:hAnsi="仿宋" w:eastAsia="仿宋" w:cs="STFangsong Regular"/>
          <w:b/>
          <w:color w:val="333333"/>
          <w:spacing w:val="11"/>
          <w:sz w:val="32"/>
          <w:szCs w:val="32"/>
          <w:lang w:eastAsia="zh-Hans"/>
        </w:rPr>
        <w:t>，</w:t>
      </w:r>
      <w:r>
        <w:rPr>
          <w:rFonts w:hint="eastAsia" w:ascii="仿宋" w:hAnsi="仿宋" w:eastAsia="仿宋" w:cs="STFangsong Regular"/>
          <w:color w:val="333333"/>
          <w:spacing w:val="11"/>
          <w:sz w:val="32"/>
          <w:szCs w:val="32"/>
          <w:lang w:eastAsia="zh-Hans"/>
        </w:rPr>
        <w:t>从江门目前的基础条件来看</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客观来讲</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优劣参半</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优势是文化资源非常丰厚</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劣势是文化资源非常分散</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这意味着很容易找项目交流</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但很难让项目落地为常行的合作行为</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很容易推出文化产品</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但很难聚焦出江门特色</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很容易通过各类文化产品和成果和海外华侨华人找到情感联结</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但这种联结会日益随着代际更替变成“轶闻”</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那么要解决的问题就还是回到上一点考虑上</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文化交流促进如果是要让文化产出吸引人愿意来</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愿意挖掘和主动建立联结</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并让进来的人愿意留下来</w:t>
      </w:r>
      <w:r>
        <w:rPr>
          <w:rFonts w:ascii="仿宋" w:hAnsi="仿宋" w:eastAsia="仿宋" w:cs="STFangsong Regular"/>
          <w:color w:val="333333"/>
          <w:spacing w:val="11"/>
          <w:sz w:val="32"/>
          <w:szCs w:val="32"/>
          <w:lang w:eastAsia="zh-Hans"/>
        </w:rPr>
        <w:t>，</w:t>
      </w:r>
      <w:r>
        <w:rPr>
          <w:rFonts w:hint="eastAsia" w:ascii="仿宋" w:hAnsi="仿宋" w:eastAsia="仿宋" w:cs="STFangsong Regular"/>
          <w:color w:val="333333"/>
          <w:spacing w:val="11"/>
          <w:sz w:val="32"/>
          <w:szCs w:val="32"/>
          <w:lang w:eastAsia="zh-Hans"/>
        </w:rPr>
        <w:t>这就还是要落脚到为文化交流合作引进来的人获得支持性的配套公共服务</w:t>
      </w:r>
      <w:r>
        <w:rPr>
          <w:rFonts w:ascii="仿宋" w:hAnsi="仿宋" w:eastAsia="仿宋" w:cs="STFangsong Regular"/>
          <w:color w:val="333333"/>
          <w:spacing w:val="11"/>
          <w:sz w:val="32"/>
          <w:szCs w:val="32"/>
          <w:lang w:eastAsia="zh-Hans"/>
        </w:rPr>
        <w:t>。</w:t>
      </w:r>
    </w:p>
    <w:p>
      <w:pPr>
        <w:pStyle w:val="7"/>
      </w:pPr>
      <w:bookmarkStart w:id="7" w:name="_Toc1220763005_WPSOffice_Level1"/>
      <w:r>
        <w:rPr>
          <w:rFonts w:hint="eastAsia"/>
        </w:rPr>
        <w:t>三、</w:t>
      </w:r>
      <w:r>
        <w:t>《草案》的重点内容</w:t>
      </w:r>
      <w:bookmarkEnd w:id="7"/>
    </w:p>
    <w:p>
      <w:pPr>
        <w:pStyle w:val="6"/>
        <w:widowControl/>
        <w:numPr>
          <w:ilvl w:val="0"/>
          <w:numId w:val="5"/>
        </w:numPr>
        <w:spacing w:beforeAutospacing="0" w:afterAutospacing="0"/>
        <w:ind w:firstLine="687" w:firstLineChars="200"/>
        <w:jc w:val="both"/>
        <w:outlineLvl w:val="1"/>
        <w:rPr>
          <w:rFonts w:ascii="楷体" w:hAnsi="楷体" w:eastAsia="楷体" w:cs="华文仿宋"/>
          <w:b/>
          <w:bCs/>
          <w:color w:val="333333"/>
          <w:spacing w:val="11"/>
          <w:sz w:val="32"/>
          <w:szCs w:val="32"/>
        </w:rPr>
      </w:pPr>
      <w:r>
        <w:rPr>
          <w:rFonts w:hint="eastAsia" w:ascii="楷体" w:hAnsi="楷体" w:eastAsia="楷体" w:cs="华文仿宋"/>
          <w:b/>
          <w:bCs/>
          <w:color w:val="333333"/>
          <w:spacing w:val="11"/>
          <w:sz w:val="32"/>
          <w:szCs w:val="32"/>
          <w:lang w:eastAsia="zh-Hans"/>
        </w:rPr>
        <w:t>强化政府宏观指导和服务保障职能</w:t>
      </w:r>
      <w:r>
        <w:rPr>
          <w:rFonts w:ascii="楷体" w:hAnsi="楷体" w:eastAsia="楷体" w:cs="华文仿宋"/>
          <w:b/>
          <w:bCs/>
          <w:color w:val="333333"/>
          <w:spacing w:val="11"/>
          <w:sz w:val="32"/>
          <w:szCs w:val="32"/>
          <w:lang w:eastAsia="zh-Hans"/>
        </w:rPr>
        <w:t>，</w:t>
      </w:r>
      <w:r>
        <w:rPr>
          <w:rFonts w:hint="eastAsia" w:ascii="楷体" w:hAnsi="楷体" w:eastAsia="楷体" w:cs="华文仿宋"/>
          <w:b/>
          <w:bCs/>
          <w:color w:val="333333"/>
          <w:spacing w:val="11"/>
          <w:sz w:val="32"/>
          <w:szCs w:val="32"/>
          <w:lang w:eastAsia="zh-Hans"/>
        </w:rPr>
        <w:t>以推动和开辟社会自主交流合作渠道为重点</w:t>
      </w:r>
      <w:r>
        <w:rPr>
          <w:rFonts w:ascii="楷体" w:hAnsi="楷体" w:eastAsia="楷体" w:cs="华文仿宋"/>
          <w:b/>
          <w:bCs/>
          <w:color w:val="333333"/>
          <w:spacing w:val="11"/>
          <w:sz w:val="32"/>
          <w:szCs w:val="32"/>
          <w:lang w:eastAsia="zh-Hans"/>
        </w:rPr>
        <w:t>。</w:t>
      </w:r>
    </w:p>
    <w:p>
      <w:pPr>
        <w:pStyle w:val="6"/>
        <w:widowControl/>
        <w:spacing w:beforeAutospacing="0" w:afterAutospacing="0"/>
        <w:ind w:firstLine="684" w:firstLineChars="200"/>
        <w:jc w:val="both"/>
        <w:rPr>
          <w:rFonts w:ascii="仿宋" w:hAnsi="仿宋" w:eastAsia="仿宋" w:cs="STFangsong Regular"/>
          <w:color w:val="333333"/>
          <w:spacing w:val="11"/>
          <w:sz w:val="32"/>
          <w:szCs w:val="32"/>
        </w:rPr>
      </w:pPr>
      <w:r>
        <w:rPr>
          <w:rFonts w:hint="eastAsia" w:ascii="仿宋" w:hAnsi="仿宋" w:eastAsia="仿宋" w:cs="STFangsong Regular"/>
          <w:color w:val="333333"/>
          <w:spacing w:val="11"/>
          <w:sz w:val="32"/>
          <w:szCs w:val="32"/>
        </w:rPr>
        <w:t>相比直接规定政府推动行动等职责</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本条例更关注交流</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合作的主体</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特别是文化真正的消费和分享主体</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文化本质上是一种社会生活方式</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只有融入社会个体以及群体的文化生活方式才能够真正达到交流合作的效果</w:t>
      </w:r>
      <w:r>
        <w:rPr>
          <w:rFonts w:ascii="仿宋" w:hAnsi="仿宋" w:eastAsia="仿宋" w:cs="STFangsong Regular"/>
          <w:color w:val="333333"/>
          <w:spacing w:val="11"/>
          <w:sz w:val="32"/>
          <w:szCs w:val="32"/>
        </w:rPr>
        <w:t>。</w:t>
      </w:r>
    </w:p>
    <w:p>
      <w:pPr>
        <w:pStyle w:val="6"/>
        <w:widowControl/>
        <w:spacing w:beforeAutospacing="0" w:afterAutospacing="0"/>
        <w:ind w:firstLine="684" w:firstLineChars="200"/>
        <w:jc w:val="both"/>
        <w:rPr>
          <w:rFonts w:ascii="仿宋" w:hAnsi="仿宋" w:eastAsia="仿宋" w:cs="STFangsong Regular"/>
          <w:color w:val="333333"/>
          <w:spacing w:val="11"/>
          <w:sz w:val="32"/>
          <w:szCs w:val="32"/>
        </w:rPr>
      </w:pPr>
      <w:r>
        <w:rPr>
          <w:rFonts w:hint="eastAsia" w:ascii="仿宋" w:hAnsi="仿宋" w:eastAsia="仿宋" w:cs="STFangsong Regular"/>
          <w:color w:val="333333"/>
          <w:spacing w:val="11"/>
          <w:sz w:val="32"/>
          <w:szCs w:val="32"/>
        </w:rPr>
        <w:t>因此</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基于可行性调研阶段的分析结论</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立法中必须要解决的</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并不是政府没有推进或稳定持续推进交流项目</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关键是这种交流项目有没有转化为海内外双方共同参与的合作</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落地为双方能够深度参与的稳定合作项目或长期推进的合作机制</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从推广交流到合作</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政府可以做的</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只是协助准备好可以供给交流合作的文化资源和产品</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公众告知</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提供协助</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但并不能保证一定会因为前续的宣传推广能产生必然的合作</w:t>
      </w:r>
      <w:r>
        <w:rPr>
          <w:rFonts w:ascii="仿宋" w:hAnsi="仿宋" w:eastAsia="仿宋" w:cs="STFangsong Regular"/>
          <w:color w:val="333333"/>
          <w:spacing w:val="11"/>
          <w:sz w:val="32"/>
          <w:szCs w:val="32"/>
        </w:rPr>
        <w:t>。</w:t>
      </w:r>
    </w:p>
    <w:p>
      <w:pPr>
        <w:pStyle w:val="6"/>
        <w:widowControl/>
        <w:spacing w:beforeAutospacing="0" w:afterAutospacing="0"/>
        <w:ind w:firstLine="684" w:firstLineChars="200"/>
        <w:jc w:val="both"/>
        <w:rPr>
          <w:rFonts w:ascii="仿宋" w:hAnsi="仿宋" w:eastAsia="仿宋" w:cs="STFangsong Regular"/>
          <w:color w:val="333333"/>
          <w:spacing w:val="11"/>
          <w:sz w:val="32"/>
          <w:szCs w:val="32"/>
        </w:rPr>
      </w:pPr>
      <w:r>
        <w:rPr>
          <w:rFonts w:hint="eastAsia" w:ascii="仿宋" w:hAnsi="仿宋" w:eastAsia="仿宋" w:cs="STFangsong Regular"/>
          <w:color w:val="333333"/>
          <w:spacing w:val="11"/>
          <w:sz w:val="32"/>
          <w:szCs w:val="32"/>
        </w:rPr>
        <w:t>进一步需要关注的</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是在合作进程中</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需要引入华侨华人社会群体主动参与到文化资源的消费和分享过程中</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这才能真正实现文化合作交流所追求的效果</w:t>
      </w:r>
      <w:r>
        <w:rPr>
          <w:rFonts w:ascii="仿宋" w:hAnsi="仿宋" w:eastAsia="仿宋" w:cs="STFangsong Regular"/>
          <w:color w:val="333333"/>
          <w:spacing w:val="11"/>
          <w:sz w:val="32"/>
          <w:szCs w:val="32"/>
        </w:rPr>
        <w:t>。</w:t>
      </w:r>
    </w:p>
    <w:p>
      <w:pPr>
        <w:pStyle w:val="6"/>
        <w:widowControl/>
        <w:spacing w:beforeAutospacing="0" w:afterAutospacing="0"/>
        <w:ind w:firstLine="684" w:firstLineChars="200"/>
        <w:jc w:val="both"/>
        <w:rPr>
          <w:rFonts w:hint="eastAsia" w:ascii="仿宋" w:hAnsi="仿宋" w:eastAsia="仿宋" w:cs="STFangsong Regular"/>
          <w:color w:val="333333"/>
          <w:spacing w:val="11"/>
          <w:sz w:val="32"/>
          <w:szCs w:val="32"/>
        </w:rPr>
      </w:pPr>
      <w:r>
        <w:rPr>
          <w:rFonts w:hint="eastAsia" w:ascii="仿宋" w:hAnsi="仿宋" w:eastAsia="仿宋" w:cs="STFangsong Regular"/>
          <w:color w:val="333333"/>
          <w:spacing w:val="11"/>
          <w:sz w:val="32"/>
          <w:szCs w:val="32"/>
        </w:rPr>
        <w:t>因此</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从第四章直接指向文化推广</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交流促进和合作辅助的规范中</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本条例所作的大部分设计</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如平台建设等</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更多强调的是政府通过引导宣传</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建设平台类基础设施来推进交流合作</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归根结底</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规范运作、稳定持续和利用便利的平台是多方积极参与文化消费、文化分享，并推动相关流程中每个个体同时构成文化交流促进行为接受者和推动主体的基础</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但平台到底建设效益如何</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本质上需要</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第一</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尊重文化研发中发现的文化成果转化和消费规律</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第二</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直接回应市场和社会需求</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需要改变过去依据政府设计为主导建设并运营平台</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而要将政府的平台建设转为政府辅助</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回应“被需要”的平台建设</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鼓励开拓各种便利社会和个人使用的平台渠道</w:t>
      </w:r>
      <w:r>
        <w:rPr>
          <w:rFonts w:ascii="仿宋" w:hAnsi="仿宋" w:eastAsia="仿宋" w:cs="STFangsong Regular"/>
          <w:color w:val="333333"/>
          <w:spacing w:val="11"/>
          <w:sz w:val="32"/>
          <w:szCs w:val="32"/>
        </w:rPr>
        <w:t>。</w:t>
      </w:r>
    </w:p>
    <w:p>
      <w:pPr>
        <w:pStyle w:val="6"/>
        <w:widowControl/>
        <w:numPr>
          <w:ilvl w:val="0"/>
          <w:numId w:val="5"/>
        </w:numPr>
        <w:spacing w:beforeAutospacing="0" w:afterAutospacing="0"/>
        <w:ind w:firstLine="687" w:firstLineChars="200"/>
        <w:jc w:val="both"/>
        <w:outlineLvl w:val="1"/>
        <w:rPr>
          <w:rFonts w:ascii="楷体" w:hAnsi="楷体" w:eastAsia="楷体" w:cs="华文仿宋"/>
          <w:b/>
          <w:bCs/>
          <w:color w:val="333333"/>
          <w:spacing w:val="11"/>
          <w:sz w:val="32"/>
          <w:szCs w:val="32"/>
        </w:rPr>
      </w:pPr>
      <w:r>
        <w:rPr>
          <w:rFonts w:hint="eastAsia" w:ascii="楷体" w:hAnsi="楷体" w:eastAsia="楷体" w:cs="华文仿宋"/>
          <w:b/>
          <w:bCs/>
          <w:color w:val="333333"/>
          <w:spacing w:val="11"/>
          <w:sz w:val="32"/>
          <w:szCs w:val="32"/>
          <w:lang w:eastAsia="zh-Hans"/>
        </w:rPr>
        <w:t>政府直接介入的推广和交流行动采用开放式授权模式</w:t>
      </w:r>
      <w:r>
        <w:rPr>
          <w:rFonts w:ascii="楷体" w:hAnsi="楷体" w:eastAsia="楷体" w:cs="华文仿宋"/>
          <w:b/>
          <w:bCs/>
          <w:color w:val="333333"/>
          <w:spacing w:val="11"/>
          <w:sz w:val="32"/>
          <w:szCs w:val="32"/>
          <w:lang w:eastAsia="zh-Hans"/>
        </w:rPr>
        <w:t>，</w:t>
      </w:r>
      <w:r>
        <w:rPr>
          <w:rFonts w:hint="eastAsia" w:ascii="楷体" w:hAnsi="楷体" w:eastAsia="楷体" w:cs="华文仿宋"/>
          <w:b/>
          <w:bCs/>
          <w:color w:val="333333"/>
          <w:spacing w:val="11"/>
          <w:sz w:val="32"/>
          <w:szCs w:val="32"/>
          <w:lang w:eastAsia="zh-Hans"/>
        </w:rPr>
        <w:t>以鼓励</w:t>
      </w:r>
      <w:r>
        <w:rPr>
          <w:rFonts w:ascii="楷体" w:hAnsi="楷体" w:eastAsia="楷体" w:cs="华文仿宋"/>
          <w:b/>
          <w:bCs/>
          <w:color w:val="333333"/>
          <w:spacing w:val="11"/>
          <w:sz w:val="32"/>
          <w:szCs w:val="32"/>
          <w:lang w:eastAsia="zh-Hans"/>
        </w:rPr>
        <w:t>、</w:t>
      </w:r>
      <w:r>
        <w:rPr>
          <w:rFonts w:hint="eastAsia" w:ascii="楷体" w:hAnsi="楷体" w:eastAsia="楷体" w:cs="华文仿宋"/>
          <w:b/>
          <w:bCs/>
          <w:color w:val="333333"/>
          <w:spacing w:val="11"/>
          <w:sz w:val="32"/>
          <w:szCs w:val="32"/>
          <w:lang w:eastAsia="zh-Hans"/>
        </w:rPr>
        <w:t>倡导以及支持规范为主</w:t>
      </w:r>
      <w:r>
        <w:rPr>
          <w:rFonts w:ascii="楷体" w:hAnsi="楷体" w:eastAsia="楷体" w:cs="华文仿宋"/>
          <w:b/>
          <w:bCs/>
          <w:color w:val="333333"/>
          <w:spacing w:val="11"/>
          <w:sz w:val="32"/>
          <w:szCs w:val="32"/>
          <w:lang w:eastAsia="zh-Hans"/>
        </w:rPr>
        <w:t>，</w:t>
      </w:r>
      <w:r>
        <w:rPr>
          <w:rFonts w:hint="eastAsia" w:ascii="楷体" w:hAnsi="楷体" w:eastAsia="楷体" w:cs="华文仿宋"/>
          <w:b/>
          <w:bCs/>
          <w:color w:val="333333"/>
          <w:spacing w:val="11"/>
          <w:sz w:val="32"/>
          <w:szCs w:val="32"/>
          <w:lang w:eastAsia="zh-Hans"/>
        </w:rPr>
        <w:t>政府重点把握交流合作内容的价值导向</w:t>
      </w:r>
      <w:r>
        <w:rPr>
          <w:rFonts w:ascii="楷体" w:hAnsi="楷体" w:eastAsia="楷体" w:cs="华文仿宋"/>
          <w:b/>
          <w:bCs/>
          <w:color w:val="333333"/>
          <w:spacing w:val="11"/>
          <w:sz w:val="32"/>
          <w:szCs w:val="32"/>
          <w:lang w:eastAsia="zh-Hans"/>
        </w:rPr>
        <w:t>，</w:t>
      </w:r>
      <w:r>
        <w:rPr>
          <w:rFonts w:hint="eastAsia" w:ascii="楷体" w:hAnsi="楷体" w:eastAsia="楷体" w:cs="华文仿宋"/>
          <w:b/>
          <w:bCs/>
          <w:color w:val="333333"/>
          <w:spacing w:val="11"/>
          <w:sz w:val="32"/>
          <w:szCs w:val="32"/>
          <w:lang w:eastAsia="zh-Hans"/>
        </w:rPr>
        <w:t>不进行具体形式的人为限制</w:t>
      </w:r>
      <w:r>
        <w:rPr>
          <w:rFonts w:ascii="楷体" w:hAnsi="楷体" w:eastAsia="楷体" w:cs="华文仿宋"/>
          <w:b/>
          <w:bCs/>
          <w:color w:val="333333"/>
          <w:spacing w:val="11"/>
          <w:sz w:val="32"/>
          <w:szCs w:val="32"/>
          <w:lang w:eastAsia="zh-Hans"/>
        </w:rPr>
        <w:t>。</w:t>
      </w:r>
    </w:p>
    <w:p>
      <w:pPr>
        <w:pStyle w:val="6"/>
        <w:widowControl/>
        <w:spacing w:beforeAutospacing="0" w:afterAutospacing="0"/>
        <w:ind w:firstLine="684" w:firstLineChars="200"/>
        <w:jc w:val="both"/>
        <w:rPr>
          <w:rFonts w:ascii="仿宋" w:hAnsi="仿宋" w:eastAsia="仿宋" w:cs="STFangsong Regular"/>
          <w:color w:val="333333"/>
          <w:spacing w:val="11"/>
          <w:sz w:val="32"/>
          <w:szCs w:val="32"/>
        </w:rPr>
      </w:pPr>
      <w:r>
        <w:rPr>
          <w:rFonts w:hint="eastAsia" w:ascii="仿宋" w:hAnsi="仿宋" w:eastAsia="仿宋" w:cs="STFangsong Regular"/>
          <w:color w:val="333333"/>
          <w:spacing w:val="11"/>
          <w:sz w:val="32"/>
          <w:szCs w:val="32"/>
        </w:rPr>
        <w:t>本条例在推广宣传</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项目交流和平台建设等领域的立法侧重点与思路进行了区别</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平台应当以引进文化交流需求</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鼓励社会唱戏为主</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但宣传推广方案和具体交流项目则可以更精准</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重点对标文化交流合作的主导内容</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品牌内容和精品内容</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在这个过程中</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政府可以为的</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也适宜为的</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可以说正是宣传</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推广</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交流和支持合作</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归根结底</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合作是一个社会自主行动过程</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从治理现代化的角度</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整个社会参与的合作环节</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不建议由政府过深介入微观环节</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但宣传</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推广和交流则不同</w:t>
      </w:r>
      <w:r>
        <w:rPr>
          <w:rFonts w:ascii="仿宋" w:hAnsi="仿宋" w:eastAsia="仿宋" w:cs="STFangsong Regular"/>
          <w:color w:val="333333"/>
          <w:spacing w:val="11"/>
          <w:sz w:val="32"/>
          <w:szCs w:val="32"/>
        </w:rPr>
        <w:t>。</w:t>
      </w:r>
    </w:p>
    <w:p>
      <w:pPr>
        <w:pStyle w:val="6"/>
        <w:widowControl/>
        <w:spacing w:beforeAutospacing="0" w:afterAutospacing="0"/>
        <w:ind w:firstLine="684" w:firstLineChars="200"/>
        <w:jc w:val="both"/>
        <w:rPr>
          <w:rFonts w:ascii="仿宋" w:hAnsi="仿宋" w:eastAsia="仿宋" w:cs="STFangsong Regular"/>
          <w:color w:val="333333"/>
          <w:spacing w:val="11"/>
          <w:sz w:val="32"/>
          <w:szCs w:val="32"/>
        </w:rPr>
      </w:pPr>
      <w:r>
        <w:rPr>
          <w:rFonts w:hint="eastAsia" w:ascii="仿宋" w:hAnsi="仿宋" w:eastAsia="仿宋" w:cs="STFangsong Regular"/>
          <w:color w:val="333333"/>
          <w:spacing w:val="11"/>
          <w:sz w:val="32"/>
          <w:szCs w:val="32"/>
        </w:rPr>
        <w:t>譬如以主题活动组织各类会展赛事</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除了能够直接推广侨文化研究成果和品牌成果</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更重要的是能够组织多元社会主体自主参与这一系列活动</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直接</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主动参与文化的了解学习</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深入挖掘以及更新发展</w:t>
      </w:r>
      <w:r>
        <w:rPr>
          <w:rFonts w:ascii="仿宋" w:hAnsi="仿宋" w:eastAsia="仿宋" w:cs="STFangsong Regular"/>
          <w:color w:val="333333"/>
          <w:spacing w:val="11"/>
          <w:sz w:val="32"/>
          <w:szCs w:val="32"/>
        </w:rPr>
        <w:t>。</w:t>
      </w:r>
    </w:p>
    <w:p>
      <w:pPr>
        <w:pStyle w:val="6"/>
        <w:widowControl/>
        <w:spacing w:beforeAutospacing="0" w:afterAutospacing="0"/>
        <w:ind w:firstLine="684" w:firstLineChars="200"/>
        <w:jc w:val="both"/>
        <w:rPr>
          <w:rFonts w:ascii="仿宋" w:hAnsi="仿宋" w:eastAsia="仿宋" w:cs="STFangsong Regular"/>
          <w:color w:val="333333"/>
          <w:spacing w:val="11"/>
          <w:sz w:val="32"/>
          <w:szCs w:val="32"/>
        </w:rPr>
      </w:pPr>
      <w:r>
        <w:rPr>
          <w:rFonts w:hint="eastAsia" w:ascii="仿宋" w:hAnsi="仿宋" w:eastAsia="仿宋" w:cs="STFangsong Regular"/>
          <w:color w:val="333333"/>
          <w:spacing w:val="11"/>
          <w:sz w:val="32"/>
          <w:szCs w:val="32"/>
        </w:rPr>
        <w:t>不过</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鉴于会展赛事等载体</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形式不断发展变化</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也考虑到立法规范与具体政策方案在原理和适用等各方面存在差异</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条例在具体的宣传</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推广</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交流以及所促进支持的合作形式方面</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仍留下较大的空间</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重点始终强调为社会参与提供支持</w:t>
      </w:r>
      <w:r>
        <w:rPr>
          <w:rFonts w:ascii="仿宋" w:hAnsi="仿宋" w:eastAsia="仿宋" w:cs="STFangsong Regular"/>
          <w:color w:val="333333"/>
          <w:spacing w:val="11"/>
          <w:sz w:val="32"/>
          <w:szCs w:val="32"/>
        </w:rPr>
        <w:t>。</w:t>
      </w:r>
    </w:p>
    <w:p>
      <w:pPr>
        <w:pStyle w:val="6"/>
        <w:widowControl/>
        <w:numPr>
          <w:ilvl w:val="0"/>
          <w:numId w:val="5"/>
        </w:numPr>
        <w:spacing w:beforeAutospacing="0" w:afterAutospacing="0"/>
        <w:ind w:firstLine="687" w:firstLineChars="200"/>
        <w:jc w:val="both"/>
        <w:outlineLvl w:val="1"/>
        <w:rPr>
          <w:rFonts w:ascii="楷体" w:hAnsi="楷体" w:eastAsia="楷体" w:cs="华文仿宋"/>
          <w:b/>
          <w:bCs/>
          <w:color w:val="333333"/>
          <w:spacing w:val="11"/>
          <w:sz w:val="32"/>
          <w:szCs w:val="32"/>
          <w:lang w:eastAsia="zh-Hans"/>
        </w:rPr>
      </w:pPr>
      <w:r>
        <w:rPr>
          <w:rFonts w:hint="eastAsia" w:ascii="楷体" w:hAnsi="楷体" w:eastAsia="楷体" w:cs="华文仿宋"/>
          <w:b/>
          <w:bCs/>
          <w:color w:val="333333"/>
          <w:spacing w:val="11"/>
          <w:sz w:val="32"/>
          <w:szCs w:val="32"/>
          <w:lang w:eastAsia="zh-Hans"/>
        </w:rPr>
        <w:t>从开放格局出发</w:t>
      </w:r>
      <w:r>
        <w:rPr>
          <w:rFonts w:ascii="楷体" w:hAnsi="楷体" w:eastAsia="楷体" w:cs="华文仿宋"/>
          <w:b/>
          <w:bCs/>
          <w:color w:val="333333"/>
          <w:spacing w:val="11"/>
          <w:sz w:val="32"/>
          <w:szCs w:val="32"/>
          <w:lang w:eastAsia="zh-Hans"/>
        </w:rPr>
        <w:t>，</w:t>
      </w:r>
      <w:r>
        <w:rPr>
          <w:rFonts w:hint="eastAsia" w:ascii="楷体" w:hAnsi="楷体" w:eastAsia="楷体" w:cs="华文仿宋"/>
          <w:b/>
          <w:bCs/>
          <w:color w:val="333333"/>
          <w:spacing w:val="11"/>
          <w:sz w:val="32"/>
          <w:szCs w:val="32"/>
          <w:lang w:eastAsia="zh-Hans"/>
        </w:rPr>
        <w:t>树立“大侨务观”</w:t>
      </w:r>
      <w:r>
        <w:rPr>
          <w:rFonts w:ascii="楷体" w:hAnsi="楷体" w:eastAsia="楷体" w:cs="华文仿宋"/>
          <w:b/>
          <w:bCs/>
          <w:color w:val="333333"/>
          <w:spacing w:val="11"/>
          <w:sz w:val="32"/>
          <w:szCs w:val="32"/>
          <w:lang w:eastAsia="zh-Hans"/>
        </w:rPr>
        <w:t>，</w:t>
      </w:r>
      <w:r>
        <w:rPr>
          <w:rFonts w:hint="eastAsia" w:ascii="楷体" w:hAnsi="楷体" w:eastAsia="楷体" w:cs="华文仿宋"/>
          <w:b/>
          <w:bCs/>
          <w:color w:val="333333"/>
          <w:spacing w:val="11"/>
          <w:sz w:val="32"/>
          <w:szCs w:val="32"/>
          <w:lang w:eastAsia="zh-Hans"/>
        </w:rPr>
        <w:t>全面发挥“节点”协同带动功能</w:t>
      </w:r>
      <w:r>
        <w:rPr>
          <w:rFonts w:ascii="楷体" w:hAnsi="楷体" w:eastAsia="楷体" w:cs="华文仿宋"/>
          <w:b/>
          <w:bCs/>
          <w:color w:val="333333"/>
          <w:spacing w:val="11"/>
          <w:sz w:val="32"/>
          <w:szCs w:val="32"/>
          <w:lang w:eastAsia="zh-Hans"/>
        </w:rPr>
        <w:t>。</w:t>
      </w:r>
    </w:p>
    <w:p>
      <w:pPr>
        <w:pStyle w:val="6"/>
        <w:widowControl/>
        <w:spacing w:beforeAutospacing="0" w:afterAutospacing="0"/>
        <w:ind w:firstLine="684" w:firstLineChars="200"/>
        <w:jc w:val="both"/>
        <w:rPr>
          <w:rFonts w:ascii="仿宋" w:hAnsi="仿宋" w:eastAsia="仿宋" w:cs="STFangsong Regular"/>
          <w:color w:val="333333"/>
          <w:spacing w:val="11"/>
          <w:sz w:val="32"/>
          <w:szCs w:val="32"/>
        </w:rPr>
      </w:pPr>
      <w:r>
        <w:rPr>
          <w:rFonts w:hint="eastAsia" w:ascii="仿宋" w:hAnsi="仿宋" w:eastAsia="仿宋" w:cs="STFangsong Regular"/>
          <w:color w:val="333333"/>
          <w:spacing w:val="11"/>
          <w:sz w:val="32"/>
          <w:szCs w:val="32"/>
        </w:rPr>
        <w:t>江门立法推动促进“华侨华人”文化交流合作</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固然立足江门所代表的“侨文化”</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但并不能仅仅将之狭义界定等同为江门本地的侨文化</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面向的华侨华人</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包括港澳台同胞中</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江门籍的大比重是国家战略布局中选择江门作为文化节点城市的一个基础依据</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但从国家的层面出发</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以及从华侨华人以及港澳台胞的社会群体本质出发</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他们的共同特征应当定位在来自中国</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同根同源应当最终回归到中华民族</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而不是简单一个地区</w:t>
      </w:r>
      <w:r>
        <w:rPr>
          <w:rFonts w:ascii="仿宋" w:hAnsi="仿宋" w:eastAsia="仿宋" w:cs="STFangsong Regular"/>
          <w:color w:val="333333"/>
          <w:spacing w:val="11"/>
          <w:sz w:val="32"/>
          <w:szCs w:val="32"/>
        </w:rPr>
        <w:t>。</w:t>
      </w:r>
    </w:p>
    <w:p>
      <w:pPr>
        <w:pStyle w:val="6"/>
        <w:widowControl/>
        <w:spacing w:beforeAutospacing="0" w:afterAutospacing="0"/>
        <w:ind w:firstLine="684" w:firstLineChars="200"/>
        <w:jc w:val="both"/>
        <w:rPr>
          <w:rFonts w:ascii="仿宋" w:hAnsi="仿宋" w:eastAsia="仿宋" w:cs="STFangsong Regular"/>
          <w:color w:val="333333"/>
          <w:spacing w:val="11"/>
          <w:sz w:val="32"/>
          <w:szCs w:val="32"/>
        </w:rPr>
      </w:pPr>
      <w:r>
        <w:rPr>
          <w:rFonts w:hint="eastAsia" w:ascii="仿宋" w:hAnsi="仿宋" w:eastAsia="仿宋" w:cs="STFangsong Regular"/>
          <w:color w:val="333333"/>
          <w:spacing w:val="11"/>
          <w:sz w:val="32"/>
          <w:szCs w:val="32"/>
        </w:rPr>
        <w:t>并且</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从江门本身目前的建制历史出发</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今天称之为江门籍的华侨华人以及港澳台胞</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在几十年前来自的地区</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包括了今天部分佛山</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中山</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惠州</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东莞等行政地方</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而五邑成为一个地级市的历史则远远短于华侨文化的形成历史</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所以</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如果要唤起更广泛的华侨华人的参与</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即便针对江门文化品牌打造和推广的角度来讲</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也需要打破针对“江门籍”这种狭隘的地域观念</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需要建立起“大侨务观”</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以整个海外华侨华人为群体推广传统文化资源和成果</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推进和强化华侨华人群体整体的中华民族的文化认同</w:t>
      </w:r>
      <w:r>
        <w:rPr>
          <w:rFonts w:ascii="仿宋" w:hAnsi="仿宋" w:eastAsia="仿宋" w:cs="STFangsong Regular"/>
          <w:color w:val="333333"/>
          <w:spacing w:val="11"/>
          <w:sz w:val="32"/>
          <w:szCs w:val="32"/>
        </w:rPr>
        <w:t>。</w:t>
      </w:r>
    </w:p>
    <w:p>
      <w:pPr>
        <w:pStyle w:val="6"/>
        <w:widowControl/>
        <w:spacing w:beforeAutospacing="0" w:afterAutospacing="0"/>
        <w:ind w:firstLine="684" w:firstLineChars="200"/>
        <w:jc w:val="both"/>
        <w:rPr>
          <w:rFonts w:hint="eastAsia" w:ascii="仿宋" w:hAnsi="仿宋" w:eastAsia="仿宋" w:cs="STFangsong Regular"/>
          <w:color w:val="333333"/>
          <w:spacing w:val="11"/>
          <w:sz w:val="32"/>
          <w:szCs w:val="32"/>
        </w:rPr>
      </w:pPr>
      <w:r>
        <w:rPr>
          <w:rFonts w:hint="eastAsia" w:ascii="仿宋" w:hAnsi="仿宋" w:eastAsia="仿宋" w:cs="STFangsong Regular"/>
          <w:color w:val="333333"/>
          <w:spacing w:val="11"/>
          <w:sz w:val="32"/>
          <w:szCs w:val="32"/>
        </w:rPr>
        <w:t>因此</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本条例强调区域协同和交流</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国际协同和交流</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不仅仅是从宣传推广的影响面等角度出发</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更强调的还是工作结构上</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要强化和其他区域</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尤其是其他侨乡的合作</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发挥“节点”带动功能</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这也才与江门“侨都”定位相匹配</w:t>
      </w:r>
      <w:r>
        <w:rPr>
          <w:rFonts w:ascii="仿宋" w:hAnsi="仿宋" w:eastAsia="仿宋" w:cs="STFangsong Regular"/>
          <w:color w:val="333333"/>
          <w:spacing w:val="11"/>
          <w:sz w:val="32"/>
          <w:szCs w:val="32"/>
        </w:rPr>
        <w:t>。</w:t>
      </w:r>
    </w:p>
    <w:p>
      <w:pPr>
        <w:pStyle w:val="7"/>
      </w:pPr>
      <w:bookmarkStart w:id="8" w:name="_Toc305061597_WPSOffice_Level1"/>
      <w:r>
        <w:rPr>
          <w:rFonts w:hint="eastAsia"/>
        </w:rPr>
        <w:t>四、立法创新亮点</w:t>
      </w:r>
      <w:bookmarkEnd w:id="8"/>
    </w:p>
    <w:p>
      <w:pPr>
        <w:pStyle w:val="6"/>
        <w:widowControl/>
        <w:numPr>
          <w:ilvl w:val="0"/>
          <w:numId w:val="5"/>
        </w:numPr>
        <w:spacing w:beforeAutospacing="0" w:afterAutospacing="0"/>
        <w:ind w:firstLine="687" w:firstLineChars="200"/>
        <w:jc w:val="both"/>
        <w:outlineLvl w:val="1"/>
        <w:rPr>
          <w:rFonts w:ascii="楷体" w:hAnsi="楷体" w:eastAsia="楷体" w:cs="华文仿宋"/>
          <w:b/>
          <w:bCs/>
          <w:color w:val="333333"/>
          <w:spacing w:val="11"/>
          <w:sz w:val="32"/>
          <w:szCs w:val="32"/>
          <w:lang w:eastAsia="zh-Hans"/>
        </w:rPr>
      </w:pPr>
      <w:r>
        <w:rPr>
          <w:rFonts w:hint="eastAsia" w:ascii="楷体" w:hAnsi="楷体" w:eastAsia="楷体" w:cs="华文仿宋"/>
          <w:b/>
          <w:bCs/>
          <w:color w:val="333333"/>
          <w:spacing w:val="11"/>
          <w:sz w:val="32"/>
          <w:szCs w:val="32"/>
          <w:lang w:eastAsia="zh-Hans"/>
        </w:rPr>
        <w:t>政府从“参与组织者”向引导者与“推手”角色转换</w:t>
      </w:r>
      <w:r>
        <w:rPr>
          <w:rFonts w:ascii="楷体" w:hAnsi="楷体" w:eastAsia="楷体" w:cs="华文仿宋"/>
          <w:b/>
          <w:bCs/>
          <w:color w:val="333333"/>
          <w:spacing w:val="11"/>
          <w:sz w:val="32"/>
          <w:szCs w:val="32"/>
          <w:lang w:eastAsia="zh-Hans"/>
        </w:rPr>
        <w:t>。</w:t>
      </w:r>
    </w:p>
    <w:p>
      <w:pPr>
        <w:pStyle w:val="6"/>
        <w:widowControl/>
        <w:spacing w:beforeAutospacing="0" w:afterAutospacing="0"/>
        <w:ind w:firstLine="684" w:firstLineChars="200"/>
        <w:jc w:val="both"/>
        <w:rPr>
          <w:rFonts w:ascii="仿宋" w:hAnsi="仿宋" w:eastAsia="仿宋" w:cs="STFangsong Regular"/>
          <w:color w:val="333333"/>
          <w:spacing w:val="11"/>
          <w:sz w:val="32"/>
          <w:szCs w:val="32"/>
        </w:rPr>
      </w:pPr>
      <w:r>
        <w:rPr>
          <w:rFonts w:hint="eastAsia" w:ascii="仿宋" w:hAnsi="仿宋" w:eastAsia="仿宋" w:cs="STFangsong Regular"/>
          <w:color w:val="333333"/>
          <w:spacing w:val="11"/>
          <w:sz w:val="32"/>
          <w:szCs w:val="32"/>
        </w:rPr>
        <w:t>适应治理现代化以及后疫情时代的文化交流结构变化等现实情况</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条例强调政府在促进交流合作工作指向认同价值目标这一功能上的引导角色</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政府针对重点</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特色</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精品文化产品和成果的宣传</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推广</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交流</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配合相关合作过程中有序引导社会多元参与的方向性</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突出政府的服务功能</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支持角色</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由过去积极地参与组织者角色转为更加倾向幕后的“推手”</w:t>
      </w:r>
      <w:r>
        <w:rPr>
          <w:rFonts w:ascii="仿宋" w:hAnsi="仿宋" w:eastAsia="仿宋" w:cs="STFangsong Regular"/>
          <w:color w:val="333333"/>
          <w:spacing w:val="11"/>
          <w:sz w:val="32"/>
          <w:szCs w:val="32"/>
        </w:rPr>
        <w:t>。</w:t>
      </w:r>
    </w:p>
    <w:p>
      <w:pPr>
        <w:pStyle w:val="6"/>
        <w:widowControl/>
        <w:spacing w:beforeAutospacing="0" w:afterAutospacing="0"/>
        <w:ind w:firstLine="687" w:firstLineChars="200"/>
        <w:jc w:val="both"/>
        <w:rPr>
          <w:rFonts w:hint="eastAsia" w:ascii="仿宋" w:hAnsi="仿宋" w:eastAsia="仿宋" w:cs="STFangsong Regular"/>
          <w:color w:val="333333"/>
          <w:spacing w:val="11"/>
          <w:sz w:val="32"/>
          <w:szCs w:val="32"/>
        </w:rPr>
      </w:pPr>
      <w:r>
        <w:rPr>
          <w:rFonts w:hint="eastAsia" w:ascii="仿宋" w:hAnsi="仿宋" w:eastAsia="仿宋" w:cs="STFangsong Regular"/>
          <w:b/>
          <w:color w:val="333333"/>
          <w:spacing w:val="11"/>
          <w:sz w:val="32"/>
          <w:szCs w:val="32"/>
        </w:rPr>
        <w:t>一方面</w:t>
      </w:r>
      <w:r>
        <w:rPr>
          <w:rFonts w:ascii="仿宋" w:hAnsi="仿宋" w:eastAsia="仿宋" w:cs="STFangsong Regular"/>
          <w:b/>
          <w:color w:val="333333"/>
          <w:spacing w:val="11"/>
          <w:sz w:val="32"/>
          <w:szCs w:val="32"/>
        </w:rPr>
        <w:t>，</w:t>
      </w:r>
      <w:r>
        <w:rPr>
          <w:rFonts w:hint="eastAsia" w:ascii="仿宋" w:hAnsi="仿宋" w:eastAsia="仿宋" w:cs="STFangsong Regular"/>
          <w:color w:val="333333"/>
          <w:spacing w:val="11"/>
          <w:sz w:val="32"/>
          <w:szCs w:val="32"/>
        </w:rPr>
        <w:t>希望能够通过政府有计划的“退居幕后”或淡化主导角色</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拓宽社会交流参与的主动性</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通过自主交流合作推动社会效益的最大化</w:t>
      </w:r>
      <w:r>
        <w:rPr>
          <w:rFonts w:ascii="仿宋" w:hAnsi="仿宋" w:eastAsia="仿宋" w:cs="STFangsong Regular"/>
          <w:color w:val="333333"/>
          <w:spacing w:val="11"/>
          <w:sz w:val="32"/>
          <w:szCs w:val="32"/>
        </w:rPr>
        <w:t>。</w:t>
      </w:r>
      <w:r>
        <w:rPr>
          <w:rFonts w:hint="eastAsia" w:ascii="仿宋" w:hAnsi="仿宋" w:eastAsia="仿宋" w:cs="STFangsong Regular"/>
          <w:b/>
          <w:color w:val="333333"/>
          <w:spacing w:val="11"/>
          <w:sz w:val="32"/>
          <w:szCs w:val="32"/>
        </w:rPr>
        <w:t>另一方面</w:t>
      </w:r>
      <w:r>
        <w:rPr>
          <w:rFonts w:ascii="仿宋" w:hAnsi="仿宋" w:eastAsia="仿宋" w:cs="STFangsong Regular"/>
          <w:b/>
          <w:color w:val="333333"/>
          <w:spacing w:val="11"/>
          <w:sz w:val="32"/>
          <w:szCs w:val="32"/>
        </w:rPr>
        <w:t>，</w:t>
      </w:r>
      <w:r>
        <w:rPr>
          <w:rFonts w:hint="eastAsia" w:ascii="仿宋" w:hAnsi="仿宋" w:eastAsia="仿宋" w:cs="STFangsong Regular"/>
          <w:color w:val="333333"/>
          <w:spacing w:val="11"/>
          <w:sz w:val="32"/>
          <w:szCs w:val="32"/>
        </w:rPr>
        <w:t>从现实来看</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有助于进一步推动海外华侨华人</w:t>
      </w:r>
      <w:r>
        <w:rPr>
          <w:rFonts w:hint="eastAsia" w:ascii="仿宋" w:hAnsi="仿宋" w:eastAsia="仿宋" w:cs="STFangsong Regular"/>
          <w:color w:val="333333"/>
          <w:spacing w:val="11"/>
          <w:sz w:val="32"/>
          <w:szCs w:val="32"/>
          <w:lang w:eastAsia="zh-CN"/>
        </w:rPr>
        <w:t>放眼未来</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让交流合作真正深化落地到民间</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社会内生层次</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依此推进的民族认同</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能够更高效的推进</w:t>
      </w:r>
      <w:r>
        <w:rPr>
          <w:rFonts w:ascii="仿宋" w:hAnsi="仿宋" w:eastAsia="仿宋" w:cs="STFangsong Regular"/>
          <w:color w:val="333333"/>
          <w:spacing w:val="11"/>
          <w:sz w:val="32"/>
          <w:szCs w:val="32"/>
        </w:rPr>
        <w:t>。</w:t>
      </w:r>
    </w:p>
    <w:p>
      <w:pPr>
        <w:pStyle w:val="6"/>
        <w:widowControl/>
        <w:numPr>
          <w:ilvl w:val="0"/>
          <w:numId w:val="6"/>
        </w:numPr>
        <w:spacing w:beforeAutospacing="0" w:afterAutospacing="0"/>
        <w:ind w:firstLine="687" w:firstLineChars="200"/>
        <w:jc w:val="both"/>
        <w:outlineLvl w:val="1"/>
        <w:rPr>
          <w:rFonts w:ascii="楷体" w:hAnsi="楷体" w:eastAsia="楷体" w:cs="STFangsong Regular"/>
          <w:color w:val="333333"/>
          <w:spacing w:val="11"/>
          <w:sz w:val="32"/>
          <w:szCs w:val="32"/>
          <w:lang w:eastAsia="zh-Hans"/>
        </w:rPr>
      </w:pPr>
      <w:r>
        <w:rPr>
          <w:rFonts w:hint="eastAsia" w:ascii="楷体" w:hAnsi="楷体" w:eastAsia="楷体" w:cs="华文仿宋"/>
          <w:b/>
          <w:bCs/>
          <w:color w:val="333333"/>
          <w:spacing w:val="11"/>
          <w:sz w:val="32"/>
          <w:szCs w:val="32"/>
          <w:lang w:eastAsia="zh-Hans"/>
        </w:rPr>
        <w:t>鼓励以研究先行的文化资源开发模式</w:t>
      </w:r>
      <w:r>
        <w:rPr>
          <w:rFonts w:ascii="楷体" w:hAnsi="楷体" w:eastAsia="楷体" w:cs="华文仿宋"/>
          <w:b/>
          <w:bCs/>
          <w:color w:val="333333"/>
          <w:spacing w:val="11"/>
          <w:sz w:val="32"/>
          <w:szCs w:val="32"/>
          <w:lang w:eastAsia="zh-Hans"/>
        </w:rPr>
        <w:t>，</w:t>
      </w:r>
      <w:r>
        <w:rPr>
          <w:rFonts w:hint="eastAsia" w:ascii="楷体" w:hAnsi="楷体" w:eastAsia="楷体" w:cs="华文仿宋"/>
          <w:b/>
          <w:bCs/>
          <w:color w:val="333333"/>
          <w:spacing w:val="11"/>
          <w:sz w:val="32"/>
          <w:szCs w:val="32"/>
          <w:lang w:eastAsia="zh-Hans"/>
        </w:rPr>
        <w:t>为交流合作的可持续发展做好“供应”准备</w:t>
      </w:r>
      <w:r>
        <w:rPr>
          <w:rFonts w:ascii="楷体" w:hAnsi="楷体" w:eastAsia="楷体" w:cs="华文仿宋"/>
          <w:b/>
          <w:bCs/>
          <w:color w:val="333333"/>
          <w:spacing w:val="11"/>
          <w:sz w:val="32"/>
          <w:szCs w:val="32"/>
          <w:lang w:eastAsia="zh-Hans"/>
        </w:rPr>
        <w:t>。</w:t>
      </w:r>
    </w:p>
    <w:p>
      <w:pPr>
        <w:pStyle w:val="6"/>
        <w:widowControl/>
        <w:spacing w:beforeAutospacing="0" w:afterAutospacing="0"/>
        <w:ind w:firstLine="684" w:firstLineChars="200"/>
        <w:jc w:val="both"/>
        <w:rPr>
          <w:rFonts w:ascii="仿宋" w:hAnsi="仿宋" w:eastAsia="仿宋" w:cs="STFangsong Regular"/>
          <w:color w:val="333333"/>
          <w:spacing w:val="11"/>
          <w:sz w:val="32"/>
          <w:szCs w:val="32"/>
        </w:rPr>
      </w:pPr>
      <w:r>
        <w:rPr>
          <w:rFonts w:hint="eastAsia" w:ascii="仿宋" w:hAnsi="仿宋" w:eastAsia="仿宋" w:cs="STFangsong Regular"/>
          <w:color w:val="333333"/>
          <w:spacing w:val="11"/>
          <w:sz w:val="32"/>
          <w:szCs w:val="32"/>
        </w:rPr>
        <w:t>针对江门侨文化积累的优劣势基础</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结合目前国内多地方文化事业建设的经验</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以及当前文化产业</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文化市场与文化事业发展的阶段特点</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lang w:eastAsia="zh-CN"/>
        </w:rPr>
        <w:t>江门应提前谋划，</w:t>
      </w:r>
      <w:r>
        <w:rPr>
          <w:rFonts w:hint="eastAsia" w:ascii="仿宋" w:hAnsi="仿宋" w:eastAsia="仿宋" w:cs="STFangsong Regular"/>
          <w:color w:val="333333"/>
          <w:spacing w:val="11"/>
          <w:sz w:val="32"/>
          <w:szCs w:val="32"/>
        </w:rPr>
        <w:t>做好优质文化供给的准备</w:t>
      </w:r>
      <w:r>
        <w:rPr>
          <w:rFonts w:ascii="仿宋" w:hAnsi="仿宋" w:eastAsia="仿宋" w:cs="STFangsong Regular"/>
          <w:color w:val="333333"/>
          <w:spacing w:val="11"/>
          <w:sz w:val="32"/>
          <w:szCs w:val="32"/>
        </w:rPr>
        <w:t>。</w:t>
      </w:r>
    </w:p>
    <w:p>
      <w:pPr>
        <w:pStyle w:val="6"/>
        <w:widowControl/>
        <w:spacing w:beforeAutospacing="0" w:afterAutospacing="0"/>
        <w:ind w:firstLine="684" w:firstLineChars="200"/>
        <w:jc w:val="both"/>
        <w:rPr>
          <w:rFonts w:hint="eastAsia" w:ascii="仿宋" w:hAnsi="仿宋" w:eastAsia="仿宋" w:cs="STFangsong Regular"/>
          <w:color w:val="333333"/>
          <w:spacing w:val="11"/>
          <w:sz w:val="32"/>
          <w:szCs w:val="32"/>
        </w:rPr>
      </w:pPr>
      <w:r>
        <w:rPr>
          <w:rFonts w:hint="eastAsia" w:ascii="仿宋" w:hAnsi="仿宋" w:eastAsia="仿宋" w:cs="STFangsong Regular"/>
          <w:color w:val="333333"/>
          <w:spacing w:val="11"/>
          <w:sz w:val="32"/>
          <w:szCs w:val="32"/>
        </w:rPr>
        <w:t>在传统文化资源的开发和利用环节</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首先引入的并不是市场或简单的文化遗产保护</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而是强调要用研究先行整合自发形成的侨文化资源</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提炼文化特色</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集中文化优势资源打造特色鲜明的文化品牌</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包括文化产业品牌以及城市文化品牌</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从一开始就有意识防止江门文化供给的产出陷入社会自发性和市场逐利性的乱相</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更重要的是</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通过研究对文化资源的提炼和整合</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有序引导文化产出融入生产生活</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第一时间转化为文化生活和文化消费过程</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这是防止文化保护简单流于“遗产保护”或博物馆化等形式的重要一环</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要能够吸引海外华人华侨积极参与交流合作</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必须要有活的文化</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有生命力的文化，故此，本条例以研究整合先行于产出供给，就是希望创造一条优质、高效的供给链。</w:t>
      </w:r>
    </w:p>
    <w:p>
      <w:pPr>
        <w:pStyle w:val="6"/>
        <w:widowControl/>
        <w:numPr>
          <w:ilvl w:val="0"/>
          <w:numId w:val="6"/>
        </w:numPr>
        <w:spacing w:beforeAutospacing="0" w:afterAutospacing="0"/>
        <w:ind w:firstLine="687" w:firstLineChars="200"/>
        <w:jc w:val="both"/>
        <w:outlineLvl w:val="1"/>
        <w:rPr>
          <w:rFonts w:ascii="楷体" w:hAnsi="楷体" w:eastAsia="楷体" w:cs="华文仿宋"/>
          <w:b/>
          <w:bCs/>
          <w:color w:val="333333"/>
          <w:spacing w:val="11"/>
          <w:sz w:val="32"/>
          <w:szCs w:val="32"/>
          <w:lang w:eastAsia="zh-Hans"/>
        </w:rPr>
      </w:pPr>
      <w:r>
        <w:rPr>
          <w:rFonts w:hint="eastAsia" w:ascii="楷体" w:hAnsi="楷体" w:eastAsia="楷体" w:cs="华文仿宋"/>
          <w:b/>
          <w:bCs/>
          <w:color w:val="333333"/>
          <w:spacing w:val="11"/>
          <w:sz w:val="32"/>
          <w:szCs w:val="32"/>
          <w:lang w:eastAsia="zh-Hans"/>
        </w:rPr>
        <w:t>鼓励文化资源和成果转化形态的创新，如动漫电竞产业等，紧扣大湾区中心城市产业重点以及新生代华侨华人文化生活方式。</w:t>
      </w:r>
    </w:p>
    <w:p>
      <w:pPr>
        <w:pStyle w:val="6"/>
        <w:widowControl/>
        <w:spacing w:beforeAutospacing="0" w:afterAutospacing="0"/>
        <w:ind w:firstLine="684" w:firstLineChars="200"/>
        <w:jc w:val="both"/>
        <w:rPr>
          <w:rFonts w:ascii="仿宋" w:hAnsi="仿宋" w:eastAsia="仿宋" w:cs="STFangsong Regular"/>
          <w:color w:val="333333"/>
          <w:spacing w:val="11"/>
          <w:sz w:val="32"/>
          <w:szCs w:val="32"/>
        </w:rPr>
      </w:pPr>
      <w:r>
        <w:rPr>
          <w:rFonts w:hint="eastAsia" w:ascii="仿宋" w:hAnsi="仿宋" w:eastAsia="仿宋" w:cs="STFangsong Regular"/>
          <w:color w:val="333333"/>
          <w:spacing w:val="11"/>
          <w:sz w:val="32"/>
          <w:szCs w:val="32"/>
        </w:rPr>
        <w:t>有了优质的文化内容</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以什么形式转入交流合作</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成为供给的第二个重要环节</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文化内容决定着交流合作的价值方向</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而这一环节则决定着文化交流合作的未来效益</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从近年来的工作实践可以看到</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过去的交流合作形式</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依赖文化资源的传统形态和基础转化形态</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但未来</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未曾在中国有成长经历的第三</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四代以及之后的新生代华人华侨</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他们一方面成长在全球化时代</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传统形态的文化资源本身对他们而言比较陌生</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另一方面他们的成长经历也缺乏足够的乡土记忆或情感联系支持或推动他们去主动了解这些传统的文化内容</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这就意味着文化呈现形态本身可能构成新生代华人华侨参与文化交流合作</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特别是深度合作的隔阂</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而不是基础</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但从长远来看</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文化交流合作的效益根本取决于是否能够争取到新生代华人华侨主动参与体验</w:t>
      </w:r>
      <w:r>
        <w:rPr>
          <w:rFonts w:ascii="仿宋" w:hAnsi="仿宋" w:eastAsia="仿宋" w:cs="STFangsong Regular"/>
          <w:color w:val="333333"/>
          <w:spacing w:val="11"/>
          <w:sz w:val="32"/>
          <w:szCs w:val="32"/>
        </w:rPr>
        <w:t>。</w:t>
      </w:r>
    </w:p>
    <w:p>
      <w:pPr>
        <w:pStyle w:val="6"/>
        <w:widowControl/>
        <w:spacing w:beforeAutospacing="0" w:afterAutospacing="0"/>
        <w:ind w:firstLine="684" w:firstLineChars="200"/>
        <w:jc w:val="both"/>
        <w:rPr>
          <w:rFonts w:ascii="仿宋" w:hAnsi="仿宋" w:eastAsia="仿宋" w:cs="STFangsong Regular"/>
          <w:color w:val="333333"/>
          <w:spacing w:val="11"/>
          <w:sz w:val="32"/>
          <w:szCs w:val="32"/>
        </w:rPr>
      </w:pPr>
      <w:r>
        <w:rPr>
          <w:rFonts w:hint="eastAsia" w:ascii="仿宋" w:hAnsi="仿宋" w:eastAsia="仿宋" w:cs="STFangsong Regular"/>
          <w:color w:val="333333"/>
          <w:spacing w:val="11"/>
          <w:sz w:val="32"/>
          <w:szCs w:val="32"/>
        </w:rPr>
        <w:t>为此</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条例设计中</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鼓励通过动漫</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电竞等新生代文化生活方式来推动传统文化资源的新形态转化</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正是紧扣新生代华侨华人的文化消费和体验方式</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从</w:t>
      </w:r>
      <w:bookmarkStart w:id="9" w:name="_GoBack"/>
      <w:bookmarkEnd w:id="9"/>
      <w:r>
        <w:rPr>
          <w:rFonts w:hint="eastAsia" w:ascii="仿宋" w:hAnsi="仿宋" w:eastAsia="仿宋" w:cs="STFangsong Regular"/>
          <w:color w:val="333333"/>
          <w:spacing w:val="11"/>
          <w:sz w:val="32"/>
          <w:szCs w:val="32"/>
        </w:rPr>
        <w:t>产业链角度出发</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江门着力开发传统文化资源</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为电竞动漫产业提供内容支持</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也具有可持续发展的市场基础</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能够推动文化交流合作的新形态和新业态尽快进入良性的经济循环</w:t>
      </w:r>
      <w:r>
        <w:rPr>
          <w:rFonts w:ascii="仿宋" w:hAnsi="仿宋" w:eastAsia="仿宋" w:cs="STFangsong Regular"/>
          <w:color w:val="333333"/>
          <w:spacing w:val="11"/>
          <w:sz w:val="32"/>
          <w:szCs w:val="32"/>
        </w:rPr>
        <w:t>，</w:t>
      </w:r>
      <w:r>
        <w:rPr>
          <w:rFonts w:hint="eastAsia" w:ascii="仿宋" w:hAnsi="仿宋" w:eastAsia="仿宋" w:cs="STFangsong Regular"/>
          <w:color w:val="333333"/>
          <w:spacing w:val="11"/>
          <w:sz w:val="32"/>
          <w:szCs w:val="32"/>
        </w:rPr>
        <w:t>产生良好的经济效益和社会效益</w:t>
      </w:r>
      <w:r>
        <w:rPr>
          <w:rFonts w:ascii="仿宋" w:hAnsi="仿宋" w:eastAsia="仿宋" w:cs="STFangsong Regular"/>
          <w:color w:val="333333"/>
          <w:spacing w:val="11"/>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魏碑-简">
    <w:altName w:val="Arial Unicode MS"/>
    <w:panose1 w:val="00000000000000000000"/>
    <w:charset w:val="86"/>
    <w:family w:val="auto"/>
    <w:pitch w:val="default"/>
    <w:sig w:usb0="00000000" w:usb1="00000000" w:usb2="00080016" w:usb3="00000000" w:csb0="20060187" w:csb1="00000000"/>
  </w:font>
  <w:font w:name="STFangsong Regular">
    <w:altName w:val="Arial Unicode MS"/>
    <w:panose1 w:val="00000000000000000000"/>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8731D"/>
    <w:multiLevelType w:val="singleLevel"/>
    <w:tmpl w:val="5F18731D"/>
    <w:lvl w:ilvl="0" w:tentative="0">
      <w:start w:val="1"/>
      <w:numFmt w:val="chineseCounting"/>
      <w:suff w:val="nothing"/>
      <w:lvlText w:val="（%1）"/>
      <w:lvlJc w:val="left"/>
    </w:lvl>
  </w:abstractNum>
  <w:abstractNum w:abstractNumId="1">
    <w:nsid w:val="5F187541"/>
    <w:multiLevelType w:val="singleLevel"/>
    <w:tmpl w:val="5F187541"/>
    <w:lvl w:ilvl="0" w:tentative="0">
      <w:start w:val="1"/>
      <w:numFmt w:val="chineseCounting"/>
      <w:suff w:val="nothing"/>
      <w:lvlText w:val="（%1）"/>
      <w:lvlJc w:val="left"/>
    </w:lvl>
  </w:abstractNum>
  <w:abstractNum w:abstractNumId="2">
    <w:nsid w:val="5F187769"/>
    <w:multiLevelType w:val="singleLevel"/>
    <w:tmpl w:val="5F187769"/>
    <w:lvl w:ilvl="0" w:tentative="0">
      <w:start w:val="1"/>
      <w:numFmt w:val="chineseCounting"/>
      <w:suff w:val="nothing"/>
      <w:lvlText w:val="（%1）"/>
      <w:lvlJc w:val="left"/>
    </w:lvl>
  </w:abstractNum>
  <w:abstractNum w:abstractNumId="3">
    <w:nsid w:val="606B0DCB"/>
    <w:multiLevelType w:val="singleLevel"/>
    <w:tmpl w:val="606B0DCB"/>
    <w:lvl w:ilvl="0" w:tentative="0">
      <w:start w:val="1"/>
      <w:numFmt w:val="decimal"/>
      <w:suff w:val="nothing"/>
      <w:lvlText w:val="%1．"/>
      <w:lvlJc w:val="left"/>
      <w:pPr>
        <w:ind w:left="0" w:firstLine="400"/>
      </w:pPr>
      <w:rPr>
        <w:rFonts w:hint="default"/>
      </w:rPr>
    </w:lvl>
  </w:abstractNum>
  <w:abstractNum w:abstractNumId="4">
    <w:nsid w:val="6094C042"/>
    <w:multiLevelType w:val="singleLevel"/>
    <w:tmpl w:val="6094C042"/>
    <w:lvl w:ilvl="0" w:tentative="0">
      <w:start w:val="2"/>
      <w:numFmt w:val="chineseCounting"/>
      <w:suff w:val="nothing"/>
      <w:lvlText w:val="第%1章"/>
      <w:lvlJc w:val="left"/>
    </w:lvl>
  </w:abstractNum>
  <w:abstractNum w:abstractNumId="5">
    <w:nsid w:val="6094C080"/>
    <w:multiLevelType w:val="singleLevel"/>
    <w:tmpl w:val="6094C080"/>
    <w:lvl w:ilvl="0" w:tentative="0">
      <w:start w:val="4"/>
      <w:numFmt w:val="chineseCounting"/>
      <w:suff w:val="nothing"/>
      <w:lvlText w:val="第%1章"/>
      <w:lvlJc w:val="left"/>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F3903"/>
    <w:rsid w:val="000A371E"/>
    <w:rsid w:val="003D086E"/>
    <w:rsid w:val="00533700"/>
    <w:rsid w:val="00775025"/>
    <w:rsid w:val="00A9616A"/>
    <w:rsid w:val="00E67D15"/>
    <w:rsid w:val="14FFC9BB"/>
    <w:rsid w:val="17920B61"/>
    <w:rsid w:val="1A53762B"/>
    <w:rsid w:val="1EB9C189"/>
    <w:rsid w:val="1F3FCDA5"/>
    <w:rsid w:val="1F6BA655"/>
    <w:rsid w:val="1F6DF289"/>
    <w:rsid w:val="1FF74082"/>
    <w:rsid w:val="1FFF52C5"/>
    <w:rsid w:val="25FEAA66"/>
    <w:rsid w:val="27EEFDB3"/>
    <w:rsid w:val="27FEBA55"/>
    <w:rsid w:val="281F3D66"/>
    <w:rsid w:val="2AE54CC1"/>
    <w:rsid w:val="2DBE81ED"/>
    <w:rsid w:val="2EFFA0AA"/>
    <w:rsid w:val="2F1D716B"/>
    <w:rsid w:val="2FEFDEE7"/>
    <w:rsid w:val="33FE95E2"/>
    <w:rsid w:val="369FDA45"/>
    <w:rsid w:val="37AED9F0"/>
    <w:rsid w:val="37EA8926"/>
    <w:rsid w:val="3B5C914C"/>
    <w:rsid w:val="3BAFD6F3"/>
    <w:rsid w:val="3BBEC3B7"/>
    <w:rsid w:val="3C9EBE28"/>
    <w:rsid w:val="3D7C2C67"/>
    <w:rsid w:val="3DAB897F"/>
    <w:rsid w:val="3DFD14D3"/>
    <w:rsid w:val="3E34B72D"/>
    <w:rsid w:val="3E56C101"/>
    <w:rsid w:val="3F19A1FA"/>
    <w:rsid w:val="3FE6DD90"/>
    <w:rsid w:val="3FFEA4B0"/>
    <w:rsid w:val="46A9E6AB"/>
    <w:rsid w:val="47370D8A"/>
    <w:rsid w:val="4CCF06BC"/>
    <w:rsid w:val="4DD0B473"/>
    <w:rsid w:val="53FD73EB"/>
    <w:rsid w:val="56FF1DC7"/>
    <w:rsid w:val="577E719E"/>
    <w:rsid w:val="5BF7C1C4"/>
    <w:rsid w:val="5DCF3016"/>
    <w:rsid w:val="5E9EC3EA"/>
    <w:rsid w:val="5F3B4A58"/>
    <w:rsid w:val="5F510F31"/>
    <w:rsid w:val="5F7E2A54"/>
    <w:rsid w:val="5FAF485F"/>
    <w:rsid w:val="5FDF6BE4"/>
    <w:rsid w:val="5FF7529A"/>
    <w:rsid w:val="5FF9530F"/>
    <w:rsid w:val="5FFD958D"/>
    <w:rsid w:val="5FFDE6CA"/>
    <w:rsid w:val="63B94F8B"/>
    <w:rsid w:val="658E0EAF"/>
    <w:rsid w:val="68340D47"/>
    <w:rsid w:val="686F3AFF"/>
    <w:rsid w:val="696F1466"/>
    <w:rsid w:val="69DB9FE7"/>
    <w:rsid w:val="69E729C4"/>
    <w:rsid w:val="6B3E22FA"/>
    <w:rsid w:val="6BFC8383"/>
    <w:rsid w:val="6BFF3903"/>
    <w:rsid w:val="6DEE9503"/>
    <w:rsid w:val="6DFF0D80"/>
    <w:rsid w:val="6EC64180"/>
    <w:rsid w:val="6F5F7C54"/>
    <w:rsid w:val="6FE97C1D"/>
    <w:rsid w:val="6FFEC471"/>
    <w:rsid w:val="6FFF56C8"/>
    <w:rsid w:val="6FFF95E6"/>
    <w:rsid w:val="7337772C"/>
    <w:rsid w:val="735BEA07"/>
    <w:rsid w:val="757B47DA"/>
    <w:rsid w:val="75D1E64B"/>
    <w:rsid w:val="76FFC09C"/>
    <w:rsid w:val="7759A31B"/>
    <w:rsid w:val="77BC9A16"/>
    <w:rsid w:val="77E77F79"/>
    <w:rsid w:val="77F7CA95"/>
    <w:rsid w:val="77FF6BB8"/>
    <w:rsid w:val="79FD47F6"/>
    <w:rsid w:val="7A7F378A"/>
    <w:rsid w:val="7AFB2C97"/>
    <w:rsid w:val="7B7E79DB"/>
    <w:rsid w:val="7B7E9C6B"/>
    <w:rsid w:val="7BDFE1A8"/>
    <w:rsid w:val="7BF35A09"/>
    <w:rsid w:val="7CFD0C47"/>
    <w:rsid w:val="7DAF6C0F"/>
    <w:rsid w:val="7DB7C3BF"/>
    <w:rsid w:val="7DBD8B4B"/>
    <w:rsid w:val="7DDCB67F"/>
    <w:rsid w:val="7DDFF84B"/>
    <w:rsid w:val="7DF346AD"/>
    <w:rsid w:val="7DF76B39"/>
    <w:rsid w:val="7DF935DD"/>
    <w:rsid w:val="7DFF4019"/>
    <w:rsid w:val="7E7BCDD1"/>
    <w:rsid w:val="7EF97BAF"/>
    <w:rsid w:val="7EFDEFB0"/>
    <w:rsid w:val="7F53219B"/>
    <w:rsid w:val="7F77C550"/>
    <w:rsid w:val="7F994096"/>
    <w:rsid w:val="7F9EE694"/>
    <w:rsid w:val="7F9EED41"/>
    <w:rsid w:val="7FBFD723"/>
    <w:rsid w:val="7FBFE356"/>
    <w:rsid w:val="7FDB06A5"/>
    <w:rsid w:val="7FDF63CC"/>
    <w:rsid w:val="7FDF934B"/>
    <w:rsid w:val="7FE1930A"/>
    <w:rsid w:val="7FEAA75A"/>
    <w:rsid w:val="7FEDC9A8"/>
    <w:rsid w:val="7FEF2621"/>
    <w:rsid w:val="7FF72C67"/>
    <w:rsid w:val="7FFDBF0F"/>
    <w:rsid w:val="7FFDE227"/>
    <w:rsid w:val="7FFDE7EF"/>
    <w:rsid w:val="7FFF0776"/>
    <w:rsid w:val="87FB96D9"/>
    <w:rsid w:val="899B2F3A"/>
    <w:rsid w:val="956F8FEF"/>
    <w:rsid w:val="97F38004"/>
    <w:rsid w:val="9B4FC1F0"/>
    <w:rsid w:val="9DDFCA49"/>
    <w:rsid w:val="9DE3E4CE"/>
    <w:rsid w:val="9DFF9A2F"/>
    <w:rsid w:val="A2AB316F"/>
    <w:rsid w:val="A5DDA793"/>
    <w:rsid w:val="A6DE0664"/>
    <w:rsid w:val="A9FD3A78"/>
    <w:rsid w:val="ABFFF274"/>
    <w:rsid w:val="ADFF0CED"/>
    <w:rsid w:val="AFD9AE8D"/>
    <w:rsid w:val="B3B23493"/>
    <w:rsid w:val="B5DDA5FD"/>
    <w:rsid w:val="B6E2CA69"/>
    <w:rsid w:val="B7FDAF21"/>
    <w:rsid w:val="B9DFE413"/>
    <w:rsid w:val="B9FE3232"/>
    <w:rsid w:val="BBF77F2D"/>
    <w:rsid w:val="BD70ABA0"/>
    <w:rsid w:val="BDEF3DB6"/>
    <w:rsid w:val="BFB21EAF"/>
    <w:rsid w:val="BFF98A1D"/>
    <w:rsid w:val="BFFC28F3"/>
    <w:rsid w:val="C59B1B75"/>
    <w:rsid w:val="C7FDB423"/>
    <w:rsid w:val="C7FF8F10"/>
    <w:rsid w:val="CE3A586D"/>
    <w:rsid w:val="CEB21640"/>
    <w:rsid w:val="CF52F62C"/>
    <w:rsid w:val="CF7F46C2"/>
    <w:rsid w:val="CFAEAF95"/>
    <w:rsid w:val="CFCF7BB8"/>
    <w:rsid w:val="D1F8C91E"/>
    <w:rsid w:val="D59E83E7"/>
    <w:rsid w:val="D5FFA01D"/>
    <w:rsid w:val="D6FFDE51"/>
    <w:rsid w:val="DBBF2354"/>
    <w:rsid w:val="DBBF3920"/>
    <w:rsid w:val="DDBFEFF1"/>
    <w:rsid w:val="DEDAC7EE"/>
    <w:rsid w:val="DEDFB4DB"/>
    <w:rsid w:val="DF667A81"/>
    <w:rsid w:val="DF7F68AF"/>
    <w:rsid w:val="DF7FD094"/>
    <w:rsid w:val="DFB3D185"/>
    <w:rsid w:val="DFB7124A"/>
    <w:rsid w:val="DFFD6531"/>
    <w:rsid w:val="DFFE030F"/>
    <w:rsid w:val="DFFE05AC"/>
    <w:rsid w:val="DFFE3CD5"/>
    <w:rsid w:val="E45F555D"/>
    <w:rsid w:val="E4FB13F7"/>
    <w:rsid w:val="E5AF9558"/>
    <w:rsid w:val="E5FBB854"/>
    <w:rsid w:val="E69FDE4E"/>
    <w:rsid w:val="E73FDE84"/>
    <w:rsid w:val="E7ED220D"/>
    <w:rsid w:val="E7F7D975"/>
    <w:rsid w:val="EA2E3CCD"/>
    <w:rsid w:val="EACF21C3"/>
    <w:rsid w:val="EADFA3B1"/>
    <w:rsid w:val="EBF9C497"/>
    <w:rsid w:val="EBFB5DF2"/>
    <w:rsid w:val="ED6D035D"/>
    <w:rsid w:val="ED7E7E96"/>
    <w:rsid w:val="EECE5E28"/>
    <w:rsid w:val="EEF5F590"/>
    <w:rsid w:val="EF7B3D2A"/>
    <w:rsid w:val="EFA815AB"/>
    <w:rsid w:val="EFDF0655"/>
    <w:rsid w:val="EFFB0658"/>
    <w:rsid w:val="EFFE4727"/>
    <w:rsid w:val="F33E1C54"/>
    <w:rsid w:val="F3D6913B"/>
    <w:rsid w:val="F3DBDE3E"/>
    <w:rsid w:val="F3F638D0"/>
    <w:rsid w:val="F4DB26D1"/>
    <w:rsid w:val="F5EA8265"/>
    <w:rsid w:val="F69F9482"/>
    <w:rsid w:val="F73C5272"/>
    <w:rsid w:val="F7AF231F"/>
    <w:rsid w:val="F7DB91C4"/>
    <w:rsid w:val="F7E16703"/>
    <w:rsid w:val="F7EEC7E2"/>
    <w:rsid w:val="F7FEA889"/>
    <w:rsid w:val="F9E4B988"/>
    <w:rsid w:val="F9FB5885"/>
    <w:rsid w:val="FA3F30D4"/>
    <w:rsid w:val="FA7F1A8F"/>
    <w:rsid w:val="FAEA1F7B"/>
    <w:rsid w:val="FAEF8531"/>
    <w:rsid w:val="FB5FA4A5"/>
    <w:rsid w:val="FB7F1B00"/>
    <w:rsid w:val="FBCD2560"/>
    <w:rsid w:val="FBD6008A"/>
    <w:rsid w:val="FBF5EC88"/>
    <w:rsid w:val="FBFE4738"/>
    <w:rsid w:val="FBFFE53C"/>
    <w:rsid w:val="FC4CCC8B"/>
    <w:rsid w:val="FC7BA08D"/>
    <w:rsid w:val="FCAF3EFB"/>
    <w:rsid w:val="FCCFF75C"/>
    <w:rsid w:val="FCFFB708"/>
    <w:rsid w:val="FCFFC1DC"/>
    <w:rsid w:val="FCFFD3E6"/>
    <w:rsid w:val="FD6D0510"/>
    <w:rsid w:val="FD7F7307"/>
    <w:rsid w:val="FDAA8466"/>
    <w:rsid w:val="FDBEF4E5"/>
    <w:rsid w:val="FDCEC4DC"/>
    <w:rsid w:val="FDEF680B"/>
    <w:rsid w:val="FDF5B9CB"/>
    <w:rsid w:val="FDFF19E0"/>
    <w:rsid w:val="FDFF8A70"/>
    <w:rsid w:val="FE76B3DB"/>
    <w:rsid w:val="FE7A9EE8"/>
    <w:rsid w:val="FE7F9D4C"/>
    <w:rsid w:val="FECF1F0E"/>
    <w:rsid w:val="FEEFDF04"/>
    <w:rsid w:val="FEFB13FA"/>
    <w:rsid w:val="FEFB893C"/>
    <w:rsid w:val="FEFBA0BC"/>
    <w:rsid w:val="FEFF41E8"/>
    <w:rsid w:val="FF358FE7"/>
    <w:rsid w:val="FF3FB4F2"/>
    <w:rsid w:val="FF49C8DE"/>
    <w:rsid w:val="FF5B5911"/>
    <w:rsid w:val="FF5F0CA0"/>
    <w:rsid w:val="FF5F2980"/>
    <w:rsid w:val="FF733B81"/>
    <w:rsid w:val="FF7905D5"/>
    <w:rsid w:val="FF7FEB81"/>
    <w:rsid w:val="FFBF7DD7"/>
    <w:rsid w:val="FFCE6200"/>
    <w:rsid w:val="FFDF4522"/>
    <w:rsid w:val="FFDFFA0E"/>
    <w:rsid w:val="FFEE0795"/>
    <w:rsid w:val="FFF73A88"/>
    <w:rsid w:val="FFF766C7"/>
    <w:rsid w:val="FFFAB91A"/>
    <w:rsid w:val="FFFC46D7"/>
    <w:rsid w:val="FFFDAD13"/>
    <w:rsid w:val="FFFEDA63"/>
    <w:rsid w:val="FFFEECE6"/>
    <w:rsid w:val="FFFF080A"/>
    <w:rsid w:val="FFFF1E2B"/>
    <w:rsid w:val="FFFFD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spacing w:line="572" w:lineRule="exact"/>
      <w:jc w:val="center"/>
      <w:outlineLvl w:val="2"/>
    </w:pPr>
    <w:rPr>
      <w:rFonts w:hint="eastAsia" w:ascii="宋体" w:hAnsi="宋体" w:eastAsia="宋体" w:cs="宋体"/>
      <w:kern w:val="0"/>
      <w:sz w:val="44"/>
      <w:szCs w:val="27"/>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 w:val="32"/>
      <w:szCs w:val="32"/>
    </w:rPr>
  </w:style>
  <w:style w:type="paragraph" w:styleId="4">
    <w:name w:val="Balloon Text"/>
    <w:basedOn w:val="1"/>
    <w:link w:val="15"/>
    <w:qFormat/>
    <w:uiPriority w:val="0"/>
    <w:rPr>
      <w:sz w:val="18"/>
      <w:szCs w:val="18"/>
    </w:rPr>
  </w:style>
  <w:style w:type="paragraph" w:styleId="5">
    <w:name w:val="footnote text"/>
    <w:basedOn w:val="1"/>
    <w:qFormat/>
    <w:uiPriority w:val="0"/>
    <w:pPr>
      <w:snapToGrid w:val="0"/>
      <w:jc w:val="left"/>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next w:val="1"/>
    <w:link w:val="16"/>
    <w:qFormat/>
    <w:uiPriority w:val="0"/>
    <w:pPr>
      <w:spacing w:before="240" w:after="60"/>
      <w:ind w:firstLine="640" w:firstLineChars="200"/>
      <w:jc w:val="left"/>
      <w:outlineLvl w:val="0"/>
    </w:pPr>
    <w:rPr>
      <w:rFonts w:ascii="黑体" w:hAnsi="黑体" w:eastAsia="黑体" w:cstheme="majorBidi"/>
      <w:bCs/>
      <w:sz w:val="32"/>
      <w:szCs w:val="32"/>
    </w:rPr>
  </w:style>
  <w:style w:type="character" w:styleId="10">
    <w:name w:val="Strong"/>
    <w:basedOn w:val="9"/>
    <w:qFormat/>
    <w:uiPriority w:val="0"/>
    <w:rPr>
      <w:b/>
    </w:rPr>
  </w:style>
  <w:style w:type="character" w:styleId="11">
    <w:name w:val="FollowedHyperlink"/>
    <w:basedOn w:val="9"/>
    <w:qFormat/>
    <w:uiPriority w:val="0"/>
    <w:rPr>
      <w:color w:val="800080"/>
      <w:u w:val="single"/>
    </w:rPr>
  </w:style>
  <w:style w:type="character" w:styleId="12">
    <w:name w:val="Emphasis"/>
    <w:basedOn w:val="9"/>
    <w:qFormat/>
    <w:uiPriority w:val="0"/>
    <w:rPr>
      <w:i/>
    </w:rPr>
  </w:style>
  <w:style w:type="character" w:styleId="13">
    <w:name w:val="footnote reference"/>
    <w:basedOn w:val="9"/>
    <w:qFormat/>
    <w:uiPriority w:val="0"/>
    <w:rPr>
      <w:vertAlign w:val="superscript"/>
    </w:rPr>
  </w:style>
  <w:style w:type="paragraph" w:customStyle="1" w:styleId="14">
    <w:name w:val="WPSOffice手动目录 1"/>
    <w:qFormat/>
    <w:uiPriority w:val="0"/>
    <w:pPr>
      <w:tabs>
        <w:tab w:val="right" w:leader="dot" w:pos="8306"/>
      </w:tabs>
      <w:spacing w:line="360" w:lineRule="auto"/>
    </w:pPr>
    <w:rPr>
      <w:rFonts w:ascii="仿宋" w:hAnsi="仿宋" w:eastAsia="仿宋" w:cs="魏碑-简"/>
      <w:sz w:val="32"/>
      <w:szCs w:val="32"/>
      <w:lang w:val="en-US" w:eastAsia="zh-CN" w:bidi="ar-SA"/>
    </w:rPr>
  </w:style>
  <w:style w:type="character" w:customStyle="1" w:styleId="15">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6">
    <w:name w:val="标题 Char"/>
    <w:basedOn w:val="9"/>
    <w:link w:val="7"/>
    <w:qFormat/>
    <w:uiPriority w:val="0"/>
    <w:rPr>
      <w:rFonts w:ascii="黑体" w:hAnsi="黑体" w:eastAsia="黑体" w:cstheme="majorBidi"/>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1027</Words>
  <Characters>5854</Characters>
  <Lines>48</Lines>
  <Paragraphs>13</Paragraphs>
  <TotalTime>13</TotalTime>
  <ScaleCrop>false</ScaleCrop>
  <LinksUpToDate>false</LinksUpToDate>
  <CharactersWithSpaces>6868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2021-04-06T05:26:00Z</dcterms:created>
  <dc:creator>yingzhang</dc:creator>
  <cp:lastModifiedBy>杨剑明</cp:lastModifiedBy>
  <dcterms:modified xsi:type="dcterms:W3CDTF">2021-05-08T02:27:24Z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