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关于江门市生态环境局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蓬江分局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2021年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档案整理服务项目公开采购的公告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进一步加强档案管理，及时做好档案归档工作，切实维护档案实体安全，我局拟开展2021年档案整理项目购买服务。为了确保项目顺利实施，现就我局档案整理项目服务有关事项公告如下，欢迎符合资格的单位积极参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一、项目服务需求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仿宋_GB2312" w:cs="微软雅黑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按照《关于转发〈广东省档案局关于DA T22-2015归档文件整理规则的贯彻意见〉的通知》（江档[2016]82号）、《纸质档案数字化规范》（DA/T31-2017）等的规范要求，对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2018年-2020年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文书档案约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12000件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进行整理归档及数字化加工。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二、项目服务期限、地点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（一）项目服务期限：2021年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月31日前。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（二）项目实施地点：由服务供应商提供。实施地点应具备档案保管及管理要求，供应商制定有相关的管理制度，场所配备合格的安全监控和消防设施，切实保障档案实体安全。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三、项目要求和验收标准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1、整理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文书档案按照按国家有关规范及本单位《文件材料归档范围和保管期限表》进行整理，包括清理、鉴定、分类、排列、组件、排序、填写档号章、编页码、除钉、装订、编目、填写备考表、填写档案盒、档案入盒、目录打印、编制归档说明、目录装订、目录夹贴标签等各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2、数字化加工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将纸质档案扫描转换成电子档案，包括检视、扫描、图像处理、档案还原装订、图像及文件夹规范命名、著录、数据格式转换、电子目录校对、数据挂接、数据备份等各项工作。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（二）验收标准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供应商安排的工作人员在档案整理归档过程中，不得擅自篡改或销毁原始材料内容，保证档案原始材料不受损坏、丢失，确保档案材料完整与安全及页面整洁。项目期满，我局负责检查验收，档案整理加工合格率需达到98％以上，文书档案、数字化档案需符合本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档案馆进馆要求，对检查不合格的部分档案，供应商需在规定时间内进行返工处理。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四、报价要求及结算方式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本项目采用项目总包价形式报价，不能分拆报价。本项目的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总价报价上限为人民币1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.00万元，供应商所报总价不得超过此上限金额。项目实际总费用若超过投标价，按投标价结算；若小于投标价，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按实际产生费用结算。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供应商资质条件及有关要求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必须是合法注册登记的法人机构，具有独立法人资格及相关资质，经营实体在江门市范围内。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）具有在江门市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蓬江区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档案行政部门登记备案的档案整理中介服务机构。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（三）有多年为机关、企事业单位提供档案整理、数字化加工服务经验。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（四）在江门市蓬江区内具有经本地工商部门注册的固定经营场所。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）供应商需对此项目配备不少于</w:t>
      </w:r>
      <w:r>
        <w:rPr>
          <w:rFonts w:hint="eastAsia" w:ascii="仿宋_GB2312" w:hAnsi="微软雅黑" w:eastAsia="仿宋_GB2312" w:cs="仿宋_GB2312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人的工作团队，整理人员需具有档案行政管理部门核发的专业上岗证。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（六）自成立以来无违法违规行为，社会信誉良好。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）供应商网上询价时要提供上述1-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点要求的文件说明及证明材料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及报价单，并加盖公章，上交材料要密封。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）本项目不允许转包，不接受联合体服务。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）以上1-8点不达要求的，报价不受理。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六、付款办法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（一）首付款：合同签订后，采购人在收到供应商提供的有效发票后30日内，向其支付合同总价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0%的款项。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（二）尾款：合同服务内容已完成，在验收合格后，采购人一次性向供应商支付其余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0%款项。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七、违约责任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（一）供应商未按期完工，每延迟一日，应向采购人支付总价款0.5‰的违约金，但金额不得超过合同总额的10％；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（二）供应商对整理期间出现的档案内容泄密、文件材料丢失等承担法律及经济责任。若违反保密协议的约定，我局有权取消业务合作或终止已开始的合作，并保留追究法律责任的权利。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八、其他事项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采购人与供应商双方需就此档案整理项目签订保密协议书。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九、报价单格式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（请供应商按照如下格式进行报价，否则视为无效报价）</w:t>
      </w:r>
    </w:p>
    <w:tbl>
      <w:tblPr>
        <w:tblStyle w:val="6"/>
        <w:tblW w:w="85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56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31"/>
                <w:szCs w:val="31"/>
              </w:rPr>
              <w:t>采购项目报价单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报价单位（盖公章）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采购公告名称及编号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报价日期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投报总价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￥元（大写：）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报价方式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凡有意参与报价的供应商，请于2021年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日至2021年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日（下午17:30前），把加盖公章的报价单扫描件及相关证明材料等发至邮箱：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"mailto:jmssthjjpjfj@jiangmen.gov.cn"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jmssthjjpjfj@jiangmen.gov.cn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十一、联系事项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仿宋_GB2312" w:cs="微软雅黑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单位名称：江门市生态环境局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蓬江分局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default" w:ascii="微软雅黑" w:hAnsi="微软雅黑" w:eastAsia="仿宋_GB2312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单位地址：江门市胜利路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154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珠西创谷自编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1号楼5楼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default" w:ascii="微软雅黑" w:hAnsi="微软雅黑" w:eastAsia="仿宋_GB2312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联系人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及联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系电话：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小姐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0750-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350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1672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附表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项目评审标准</w:t>
      </w:r>
    </w:p>
    <w:tbl>
      <w:tblPr>
        <w:tblStyle w:val="6"/>
        <w:tblW w:w="85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5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2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评审内容及分值</w:t>
            </w:r>
          </w:p>
        </w:tc>
        <w:tc>
          <w:tcPr>
            <w:tcW w:w="56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评审指标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2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供应商情况（30分）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具有江门市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蓬江区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政府购买社会服务供应商资格的，得5分，没有的得0分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在原江门市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蓬江区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档案局登记备案的，得5分，没有的得0分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在江门市蓬江区内具有经本地工商部门注册的固定经营场所的，得5分，没有的得0分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必须具备独立的数字化加工室，加工室必须安装监控设备，做到全方位监控，得10分，没有的得0分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内部建立健全相关管理制度的，得5分，没有的得0分。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参与本项目工作人员情况（20分）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考查、对比供应商参与项目人员的配备及专业情况。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sz w:val="31"/>
                <w:szCs w:val="31"/>
              </w:rPr>
              <w:t>1、人员配备情况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（1）人员配备数量达到采购需求标准的，得7分。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（2）人员配备数量优于采购需求标准1人的，得8分。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（3）人员配备数量优于采购需求标准2人的，得9分。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（4）人员配备数量优于采购需求标准3人的，得10分。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（5）人员配备数量不能达到采购需求标准的，或没有提供人员的配备情况的，得0分。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31"/>
                <w:szCs w:val="31"/>
              </w:rPr>
              <w:t>2、专业人员配备情况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初级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或以上档案专业职称人数达到采购需求标准的，得6分。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（2）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初级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或以上档案专业职称人数优于采购需求标准1人的，得8。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（3）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初级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或以上档案专业职称人数优于采购需求标准2人的，得10分。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（4）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  <w:t>初级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或以上档案专业职称人数不能达到采购需求标准，得0分。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同类项目业绩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（20分）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有多年为机关、事业单位提供档案整理、数字化加工服务经验，以供应商名义签订并已完成的2018-2020年类似项目业绩，每个机关单位项目业绩可得2分，每个事业单位项目业绩可得1分，该项最高得20分。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报价评审（30分）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计算公式=投标最低价/投标人报价*30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9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得分合计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0"/>
        <w:jc w:val="center"/>
      </w:pPr>
    </w:p>
    <w:sectPr>
      <w:footerReference r:id="rId3" w:type="default"/>
      <w:pgSz w:w="11906" w:h="16838"/>
      <w:pgMar w:top="2098" w:right="1588" w:bottom="1984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F3A02"/>
    <w:multiLevelType w:val="singleLevel"/>
    <w:tmpl w:val="C15F3A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399028"/>
    <w:multiLevelType w:val="singleLevel"/>
    <w:tmpl w:val="FE39902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3925"/>
    <w:rsid w:val="034272D0"/>
    <w:rsid w:val="12387719"/>
    <w:rsid w:val="12A9686C"/>
    <w:rsid w:val="16E84652"/>
    <w:rsid w:val="20C77AFE"/>
    <w:rsid w:val="233826DD"/>
    <w:rsid w:val="24323E9A"/>
    <w:rsid w:val="27110537"/>
    <w:rsid w:val="27DE09A7"/>
    <w:rsid w:val="31213E78"/>
    <w:rsid w:val="350A68A1"/>
    <w:rsid w:val="3946686F"/>
    <w:rsid w:val="559076A5"/>
    <w:rsid w:val="56A76597"/>
    <w:rsid w:val="5EB21049"/>
    <w:rsid w:val="5F676C54"/>
    <w:rsid w:val="63F11E96"/>
    <w:rsid w:val="6686138F"/>
    <w:rsid w:val="66B909CF"/>
    <w:rsid w:val="6D5B2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张素柔yoyo</cp:lastModifiedBy>
  <dcterms:modified xsi:type="dcterms:W3CDTF">2021-06-02T01:45:55Z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56B25AD0B12D4EC792D90FA258269059</vt:lpwstr>
  </property>
</Properties>
</file>