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_GB2312" w:eastAsia="仿宋_GB2312"/>
          <w:b/>
          <w:sz w:val="72"/>
          <w:szCs w:val="72"/>
          <w:lang w:eastAsia="zh-CN"/>
        </w:rPr>
      </w:pPr>
    </w:p>
    <w:p>
      <w:pPr>
        <w:jc w:val="center"/>
        <w:rPr>
          <w:rFonts w:hint="eastAsia" w:ascii="仿宋_GB2312" w:eastAsia="仿宋_GB2312"/>
          <w:b/>
          <w:sz w:val="72"/>
          <w:szCs w:val="72"/>
          <w:lang w:eastAsia="zh-CN"/>
        </w:rPr>
      </w:pPr>
      <w:r>
        <w:rPr>
          <w:rFonts w:hint="eastAsia" w:ascii="仿宋_GB2312" w:eastAsia="仿宋_GB2312"/>
          <w:b/>
          <w:sz w:val="72"/>
          <w:szCs w:val="72"/>
          <w:lang w:eastAsia="zh-CN"/>
        </w:rPr>
        <w:t>江门市蓬江区润泽园保障性住房小区儿童、老人户外活动设施</w:t>
      </w:r>
      <w:r>
        <w:rPr>
          <w:rFonts w:hint="eastAsia" w:ascii="仿宋_GB2312" w:eastAsia="仿宋_GB2312"/>
          <w:b/>
          <w:sz w:val="72"/>
          <w:szCs w:val="72"/>
          <w:lang w:eastAsia="zh-CN"/>
        </w:rPr>
        <w:t>建设项目</w:t>
      </w:r>
    </w:p>
    <w:p>
      <w:pPr>
        <w:jc w:val="center"/>
        <w:rPr>
          <w:rFonts w:hint="eastAsia" w:ascii="仿宋_GB2312" w:eastAsia="仿宋_GB2312"/>
          <w:b/>
          <w:sz w:val="72"/>
          <w:szCs w:val="72"/>
          <w:lang w:eastAsia="zh-CN"/>
        </w:rPr>
      </w:pPr>
      <w:r>
        <w:rPr>
          <w:rFonts w:hint="eastAsia" w:ascii="仿宋_GB2312" w:eastAsia="仿宋_GB2312"/>
          <w:b/>
          <w:sz w:val="72"/>
          <w:szCs w:val="72"/>
          <w:lang w:eastAsia="zh-CN"/>
        </w:rPr>
        <w:t>采购方案</w:t>
      </w:r>
    </w:p>
    <w:p>
      <w:pPr>
        <w:jc w:val="center"/>
        <w:rPr>
          <w:rFonts w:hint="eastAsia" w:ascii="仿宋_GB2312" w:eastAsia="仿宋_GB2312"/>
          <w:b/>
          <w:sz w:val="84"/>
          <w:szCs w:val="84"/>
        </w:rPr>
      </w:pPr>
    </w:p>
    <w:p>
      <w:pPr>
        <w:jc w:val="center"/>
        <w:rPr>
          <w:rFonts w:hint="eastAsia" w:ascii="仿宋_GB2312" w:eastAsia="仿宋_GB2312"/>
          <w:b/>
          <w:sz w:val="84"/>
          <w:szCs w:val="84"/>
        </w:rPr>
      </w:pPr>
    </w:p>
    <w:p>
      <w:pPr>
        <w:jc w:val="center"/>
        <w:rPr>
          <w:rFonts w:hint="eastAsia" w:ascii="仿宋_GB2312" w:eastAsia="仿宋_GB2312"/>
          <w:b/>
          <w:sz w:val="84"/>
          <w:szCs w:val="84"/>
        </w:rPr>
      </w:pPr>
    </w:p>
    <w:p>
      <w:pPr>
        <w:ind w:firstLine="866" w:firstLineChars="196"/>
        <w:rPr>
          <w:rFonts w:hint="eastAsia" w:ascii="仿宋_GB2312" w:eastAsia="仿宋_GB2312"/>
          <w:b w:val="0"/>
          <w:bCs/>
          <w:sz w:val="32"/>
          <w:szCs w:val="32"/>
          <w:u w:val="single"/>
        </w:rPr>
      </w:pPr>
      <w:r>
        <w:rPr>
          <w:rFonts w:hint="eastAsia" w:ascii="仿宋_GB2312" w:eastAsia="仿宋_GB2312"/>
          <w:b/>
          <w:bCs w:val="0"/>
          <w:sz w:val="44"/>
          <w:szCs w:val="44"/>
          <w:lang w:eastAsia="zh-CN"/>
        </w:rPr>
        <w:t>编制单位</w:t>
      </w:r>
      <w:r>
        <w:rPr>
          <w:rFonts w:hint="eastAsia" w:ascii="仿宋_GB2312" w:eastAsia="仿宋_GB2312"/>
          <w:b/>
          <w:bCs w:val="0"/>
          <w:sz w:val="44"/>
          <w:szCs w:val="44"/>
          <w:lang w:val="en-US" w:eastAsia="zh-CN"/>
        </w:rPr>
        <w:t>:</w:t>
      </w:r>
      <w:r>
        <w:rPr>
          <w:rFonts w:hint="eastAsia" w:ascii="仿宋_GB2312" w:eastAsia="仿宋_GB2312"/>
          <w:b/>
          <w:bCs w:val="0"/>
          <w:sz w:val="44"/>
          <w:szCs w:val="44"/>
          <w:u w:val="none"/>
          <w:lang w:eastAsia="zh-CN"/>
        </w:rPr>
        <w:t>江门市住房和城乡建设局</w:t>
      </w:r>
    </w:p>
    <w:p>
      <w:pPr>
        <w:ind w:firstLine="1614" w:firstLineChars="538"/>
        <w:rPr>
          <w:rFonts w:hint="eastAsia" w:ascii="仿宋_GB2312" w:eastAsia="仿宋_GB2312"/>
          <w:sz w:val="30"/>
          <w:szCs w:val="30"/>
          <w:u w:val="single"/>
        </w:rPr>
      </w:pPr>
    </w:p>
    <w:p>
      <w:pPr>
        <w:ind w:firstLine="1614" w:firstLineChars="538"/>
        <w:rPr>
          <w:rFonts w:hint="eastAsia" w:ascii="仿宋_GB2312" w:eastAsia="仿宋_GB2312"/>
          <w:sz w:val="30"/>
          <w:szCs w:val="30"/>
          <w:u w:val="single"/>
        </w:rPr>
      </w:pPr>
    </w:p>
    <w:p>
      <w:pPr>
        <w:ind w:firstLine="1614" w:firstLineChars="538"/>
        <w:rPr>
          <w:rFonts w:hint="eastAsia" w:ascii="仿宋_GB2312" w:eastAsia="仿宋_GB2312"/>
          <w:sz w:val="30"/>
          <w:szCs w:val="30"/>
          <w:u w:val="single"/>
        </w:rPr>
      </w:pPr>
    </w:p>
    <w:p>
      <w:pPr>
        <w:ind w:firstLine="1614" w:firstLineChars="538"/>
        <w:rPr>
          <w:rFonts w:hint="eastAsia" w:ascii="仿宋_GB2312" w:eastAsia="仿宋_GB2312"/>
          <w:sz w:val="30"/>
          <w:szCs w:val="30"/>
          <w:u w:val="single"/>
        </w:rPr>
      </w:pPr>
    </w:p>
    <w:p>
      <w:pPr>
        <w:ind w:firstLine="1614" w:firstLineChars="538"/>
        <w:rPr>
          <w:rFonts w:hint="eastAsia" w:ascii="仿宋_GB2312" w:eastAsia="仿宋_GB2312"/>
          <w:sz w:val="30"/>
          <w:szCs w:val="30"/>
          <w:u w:val="single"/>
        </w:rPr>
      </w:pPr>
    </w:p>
    <w:p>
      <w:pPr>
        <w:ind w:firstLine="1614" w:firstLineChars="538"/>
        <w:rPr>
          <w:rFonts w:hint="eastAsia" w:ascii="仿宋_GB2312" w:eastAsia="仿宋_GB2312"/>
          <w:sz w:val="30"/>
          <w:szCs w:val="30"/>
          <w:u w:val="single"/>
        </w:rPr>
      </w:pPr>
    </w:p>
    <w:p>
      <w:pPr>
        <w:ind w:firstLine="1614" w:firstLineChars="538"/>
        <w:rPr>
          <w:rFonts w:hint="eastAsia" w:ascii="仿宋_GB2312" w:eastAsia="仿宋_GB2312"/>
          <w:sz w:val="30"/>
          <w:szCs w:val="30"/>
          <w:u w:val="single"/>
        </w:rPr>
      </w:pPr>
    </w:p>
    <w:p>
      <w:pPr>
        <w:jc w:val="both"/>
        <w:rPr>
          <w:rFonts w:hint="eastAsia"/>
          <w:sz w:val="44"/>
          <w:szCs w:val="44"/>
          <w:lang w:eastAsia="zh-CN"/>
        </w:rPr>
      </w:pPr>
    </w:p>
    <w:p>
      <w:pPr>
        <w:jc w:val="both"/>
        <w:rPr>
          <w:rFonts w:hint="eastAsia"/>
          <w:sz w:val="44"/>
          <w:szCs w:val="44"/>
          <w:lang w:eastAsia="zh-CN"/>
        </w:rPr>
      </w:pP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一、建设必要性和紧迫性</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近年来，随着我国城镇化进程的不断发展，人民生活水平逐步提高，人民对居住小区内室外环境和功能也有了更高的要求，室外环境及其功能配套的效果对居民的生理和心理健康以及城市的可持续发展具有一定影响。为满足居民日益增长的物质和精神文化需求，在保障房小区增设儿童活动区和老年人康乐设备，有效促进小区管理和谐发展。现拟对蓬江区润泽园保障房小区增设儿童活动区和老年人康乐设施。</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rPr>
          <w:rFonts w:hint="eastAsia"/>
          <w:lang w:val="en-US" w:eastAsia="zh-CN"/>
        </w:rPr>
      </w:pPr>
      <w:r>
        <w:rPr>
          <w:rFonts w:hint="eastAsia" w:ascii="仿宋_GB2312" w:hAnsi="仿宋_GB2312" w:eastAsia="仿宋_GB2312" w:cs="仿宋_GB2312"/>
          <w:b/>
          <w:bCs/>
          <w:sz w:val="32"/>
          <w:szCs w:val="32"/>
          <w:lang w:eastAsia="zh-CN"/>
        </w:rPr>
        <w:t>二、项目建设内容</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eastAsia="仿宋_GB2312"/>
          <w:sz w:val="32"/>
          <w:szCs w:val="32"/>
          <w:lang w:val="en-US" w:eastAsia="zh-CN"/>
        </w:rPr>
        <w:t>（一）</w:t>
      </w:r>
      <w:r>
        <w:rPr>
          <w:rFonts w:hint="eastAsia" w:ascii="仿宋_GB2312" w:hAnsi="仿宋_GB2312" w:eastAsia="仿宋_GB2312" w:cs="仿宋_GB2312"/>
          <w:sz w:val="32"/>
          <w:szCs w:val="32"/>
          <w:lang w:val="en-US" w:eastAsia="zh-CN"/>
        </w:rPr>
        <w:t>本项目以自行采购方式进行，在润泽园4幢前花坛位置，面积约230㎡（详见图纸）。在场地增设适量符合场地搭配的儿童组合滑梯、摇摇乐；老人康乐设施等（详见清单明细），项目设施和配套场地处理采用一体化施工建设</w:t>
      </w:r>
      <w:r>
        <w:rPr>
          <w:rFonts w:hint="eastAsia" w:ascii="仿宋_GB2312" w:hAnsi="仿宋_GB2312" w:eastAsia="仿宋_GB2312" w:cs="仿宋_GB2312"/>
          <w:sz w:val="32"/>
          <w:szCs w:val="32"/>
          <w:lang w:val="en-US" w:eastAsia="zh-CN"/>
        </w:rPr>
        <w:t>（详见效果图）。</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eastAsia="仿宋_GB2312"/>
          <w:sz w:val="32"/>
          <w:szCs w:val="32"/>
          <w:lang w:val="en-US" w:eastAsia="zh-CN"/>
        </w:rPr>
        <w:t>（二）</w:t>
      </w:r>
      <w:r>
        <w:rPr>
          <w:rFonts w:hint="eastAsia" w:ascii="仿宋_GB2312" w:hAnsi="仿宋_GB2312" w:eastAsia="仿宋_GB2312" w:cs="仿宋_GB2312"/>
          <w:sz w:val="32"/>
          <w:szCs w:val="32"/>
          <w:lang w:eastAsia="zh-CN"/>
        </w:rPr>
        <w:t>项目预算：人民币叁拾</w:t>
      </w:r>
      <w:r>
        <w:rPr>
          <w:rFonts w:hint="eastAsia" w:ascii="仿宋_GB2312" w:hAnsi="仿宋_GB2312" w:eastAsia="仿宋_GB2312" w:cs="仿宋_GB2312"/>
          <w:sz w:val="32"/>
          <w:szCs w:val="32"/>
          <w:lang w:val="en-US" w:eastAsia="zh-CN"/>
        </w:rPr>
        <w:t>万元（小写：</w:t>
      </w:r>
      <w:r>
        <w:rPr>
          <w:rFonts w:hint="default" w:ascii="Arial" w:hAnsi="Arial" w:eastAsia="仿宋_GB2312" w:cs="Arial"/>
          <w:sz w:val="32"/>
          <w:szCs w:val="32"/>
          <w:lang w:val="en-US" w:eastAsia="zh-CN"/>
        </w:rPr>
        <w:t>¥</w:t>
      </w:r>
      <w:r>
        <w:rPr>
          <w:rFonts w:hint="eastAsia" w:ascii="仿宋_GB2312" w:hAnsi="仿宋_GB2312" w:eastAsia="仿宋_GB2312" w:cs="仿宋_GB2312"/>
          <w:sz w:val="32"/>
          <w:szCs w:val="32"/>
          <w:lang w:val="en-US" w:eastAsia="zh-CN"/>
        </w:rPr>
        <w:t>300,000.00元）</w:t>
      </w:r>
      <w:r>
        <w:rPr>
          <w:rFonts w:hint="eastAsia" w:ascii="仿宋_GB2312" w:hAnsi="仿宋_GB2312" w:eastAsia="仿宋_GB2312" w:cs="仿宋_GB2312"/>
          <w:sz w:val="32"/>
          <w:szCs w:val="32"/>
          <w:lang w:eastAsia="zh-CN"/>
        </w:rPr>
        <w:t>，报价不得超出项目预算，同时为保证工程质量，价格不低于预算总价的</w:t>
      </w:r>
      <w:r>
        <w:rPr>
          <w:rFonts w:hint="eastAsia" w:ascii="仿宋_GB2312" w:hAnsi="仿宋_GB2312" w:eastAsia="仿宋_GB2312" w:cs="仿宋_GB2312"/>
          <w:sz w:val="32"/>
          <w:szCs w:val="32"/>
          <w:lang w:val="en-US" w:eastAsia="zh-CN"/>
        </w:rPr>
        <w:t>15%</w:t>
      </w:r>
      <w:r>
        <w:rPr>
          <w:rFonts w:hint="eastAsia" w:ascii="仿宋_GB2312" w:hAnsi="仿宋_GB2312" w:eastAsia="仿宋_GB2312" w:cs="仿宋_GB2312"/>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eastAsia="仿宋_GB2312"/>
          <w:sz w:val="32"/>
          <w:szCs w:val="32"/>
          <w:lang w:val="en-US" w:eastAsia="zh-CN"/>
        </w:rPr>
        <w:t>（三）</w:t>
      </w:r>
      <w:r>
        <w:rPr>
          <w:rFonts w:hint="eastAsia" w:ascii="仿宋_GB2312" w:hAnsi="仿宋_GB2312" w:eastAsia="仿宋_GB2312" w:cs="仿宋_GB2312"/>
          <w:sz w:val="32"/>
          <w:szCs w:val="32"/>
          <w:lang w:val="en-US" w:eastAsia="zh-CN"/>
        </w:rPr>
        <w:t>施工地点：蓬江区润泽园4幢前（详见施工图纸）。</w:t>
      </w:r>
    </w:p>
    <w:p>
      <w:pPr>
        <w:tabs>
          <w:tab w:val="left" w:pos="1080"/>
        </w:tabs>
        <w:snapToGrid w:val="0"/>
        <w:spacing w:line="312" w:lineRule="auto"/>
        <w:ind w:left="-2" w:leftChars="-1" w:firstLine="640" w:firstLineChars="200"/>
        <w:rPr>
          <w:rFonts w:hint="eastAsia" w:ascii="仿宋_GB2312" w:eastAsia="仿宋_GB2312"/>
          <w:sz w:val="32"/>
          <w:szCs w:val="32"/>
        </w:rPr>
      </w:pPr>
      <w:r>
        <w:rPr>
          <w:rFonts w:hint="eastAsia" w:ascii="仿宋_GB2312" w:eastAsia="仿宋_GB2312"/>
          <w:sz w:val="32"/>
          <w:szCs w:val="32"/>
          <w:lang w:val="en-US" w:eastAsia="zh-CN"/>
        </w:rPr>
        <w:t>（四）</w:t>
      </w:r>
      <w:r>
        <w:rPr>
          <w:rFonts w:hint="eastAsia" w:ascii="仿宋_GB2312" w:hAnsi="仿宋_GB2312" w:eastAsia="仿宋_GB2312" w:cs="仿宋_GB2312"/>
          <w:sz w:val="32"/>
          <w:szCs w:val="32"/>
          <w:lang w:val="en-US" w:eastAsia="zh-CN"/>
        </w:rPr>
        <w:t>建</w:t>
      </w:r>
      <w:r>
        <w:rPr>
          <w:rFonts w:hint="eastAsia" w:ascii="仿宋_GB2312" w:eastAsia="仿宋_GB2312"/>
          <w:sz w:val="32"/>
          <w:szCs w:val="32"/>
          <w:lang w:val="en-US" w:eastAsia="zh-CN"/>
        </w:rPr>
        <w:t>设期限：合同生效之日起的40个自然日内完成建设。</w:t>
      </w:r>
    </w:p>
    <w:p>
      <w:pPr>
        <w:tabs>
          <w:tab w:val="left" w:pos="1080"/>
        </w:tabs>
        <w:snapToGrid w:val="0"/>
        <w:spacing w:line="312" w:lineRule="auto"/>
        <w:ind w:left="-2" w:leftChars="-1"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eastAsia="仿宋_GB2312"/>
          <w:sz w:val="32"/>
          <w:szCs w:val="32"/>
          <w:lang w:val="en-US" w:eastAsia="zh-CN"/>
        </w:rPr>
        <w:t>（五）工程量依据：根据设施设备清单并结合现场实际情况计算工程量。</w:t>
      </w:r>
    </w:p>
    <w:p>
      <w:pPr>
        <w:keepNext w:val="0"/>
        <w:keepLines w:val="0"/>
        <w:pageBreakBefore w:val="0"/>
        <w:widowControl w:val="0"/>
        <w:numPr>
          <w:ilvl w:val="0"/>
          <w:numId w:val="0"/>
        </w:numPr>
        <w:kinsoku/>
        <w:wordWrap/>
        <w:overflowPunct/>
        <w:topLinePunct w:val="0"/>
        <w:autoSpaceDE/>
        <w:autoSpaceDN/>
        <w:bidi w:val="0"/>
        <w:adjustRightInd/>
        <w:snapToGrid/>
        <w:ind w:leftChars="200"/>
        <w:jc w:val="both"/>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ind w:leftChars="200"/>
        <w:jc w:val="both"/>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效果图：</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pPr>
      <w:r>
        <w:drawing>
          <wp:inline distT="0" distB="0" distL="114300" distR="114300">
            <wp:extent cx="5267325" cy="4120515"/>
            <wp:effectExtent l="0" t="0" r="9525"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7325" cy="41205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pPr>
      <w:r>
        <w:drawing>
          <wp:inline distT="0" distB="0" distL="114300" distR="114300">
            <wp:extent cx="5271135" cy="3565525"/>
            <wp:effectExtent l="0" t="0" r="5715" b="1587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5"/>
                    <a:stretch>
                      <a:fillRect/>
                    </a:stretch>
                  </pic:blipFill>
                  <pic:spPr>
                    <a:xfrm>
                      <a:off x="0" y="0"/>
                      <a:ext cx="5271135" cy="35655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pPr>
      <w:r>
        <w:drawing>
          <wp:inline distT="0" distB="0" distL="114300" distR="114300">
            <wp:extent cx="5271770" cy="3141980"/>
            <wp:effectExtent l="0" t="0" r="5080" b="127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6"/>
                    <a:stretch>
                      <a:fillRect/>
                    </a:stretch>
                  </pic:blipFill>
                  <pic:spPr>
                    <a:xfrm>
                      <a:off x="0" y="0"/>
                      <a:ext cx="5271770" cy="31419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pP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firstLine="643" w:firstLineChars="200"/>
        <w:jc w:val="left"/>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三、施工要求</w:t>
      </w:r>
    </w:p>
    <w:p>
      <w:pPr>
        <w:tabs>
          <w:tab w:val="left" w:pos="900"/>
        </w:tabs>
        <w:snapToGrid w:val="0"/>
        <w:spacing w:line="312" w:lineRule="auto"/>
        <w:ind w:firstLine="643" w:firstLineChars="200"/>
        <w:rPr>
          <w:rFonts w:hint="eastAsia" w:ascii="仿宋_GB2312" w:eastAsia="仿宋_GB2312"/>
          <w:sz w:val="32"/>
          <w:szCs w:val="32"/>
        </w:rPr>
      </w:pPr>
      <w:r>
        <w:rPr>
          <w:rFonts w:hint="eastAsia" w:ascii="仿宋_GB2312" w:eastAsia="仿宋_GB2312"/>
          <w:b/>
          <w:sz w:val="32"/>
          <w:szCs w:val="32"/>
          <w:lang w:val="en-US" w:eastAsia="zh-CN"/>
        </w:rPr>
        <w:t>（一）</w:t>
      </w:r>
      <w:r>
        <w:rPr>
          <w:rFonts w:hint="eastAsia" w:ascii="仿宋_GB2312" w:eastAsia="仿宋_GB2312"/>
          <w:sz w:val="32"/>
          <w:szCs w:val="32"/>
        </w:rPr>
        <w:t>工程要求质量等级：合格。工程质量按设计施工图纸及国家相应规范进行施工，竣工验收达到国家相应标准。</w:t>
      </w:r>
    </w:p>
    <w:p>
      <w:pPr>
        <w:snapToGrid w:val="0"/>
        <w:spacing w:line="312" w:lineRule="auto"/>
        <w:ind w:firstLine="640" w:firstLineChars="200"/>
        <w:rPr>
          <w:rFonts w:hint="eastAsia" w:ascii="仿宋_GB2312" w:eastAsia="仿宋_GB2312"/>
          <w:sz w:val="32"/>
          <w:szCs w:val="32"/>
        </w:rPr>
      </w:pPr>
      <w:r>
        <w:rPr>
          <w:rFonts w:hint="eastAsia" w:ascii="仿宋_GB2312" w:eastAsia="仿宋_GB2312"/>
          <w:sz w:val="32"/>
          <w:szCs w:val="32"/>
          <w:lang w:val="en-US" w:eastAsia="zh-CN"/>
        </w:rPr>
        <w:t>（二）</w:t>
      </w:r>
      <w:r>
        <w:rPr>
          <w:rFonts w:hint="eastAsia" w:ascii="仿宋_GB2312" w:eastAsia="仿宋_GB2312"/>
          <w:sz w:val="32"/>
          <w:szCs w:val="32"/>
        </w:rPr>
        <w:t>施工企业中标后，必须</w:t>
      </w:r>
      <w:r>
        <w:rPr>
          <w:rFonts w:hint="eastAsia" w:ascii="仿宋_GB2312" w:eastAsia="仿宋_GB2312"/>
          <w:sz w:val="32"/>
          <w:szCs w:val="32"/>
          <w:lang w:eastAsia="zh-CN"/>
        </w:rPr>
        <w:t>按响应文件中施工方案安排专业人员</w:t>
      </w:r>
      <w:r>
        <w:rPr>
          <w:rFonts w:hint="eastAsia" w:ascii="仿宋_GB2312" w:eastAsia="仿宋_GB2312"/>
          <w:sz w:val="32"/>
          <w:szCs w:val="32"/>
        </w:rPr>
        <w:t>履行</w:t>
      </w:r>
      <w:r>
        <w:rPr>
          <w:rFonts w:hint="eastAsia" w:ascii="仿宋_GB2312" w:eastAsia="仿宋_GB2312"/>
          <w:sz w:val="32"/>
          <w:szCs w:val="32"/>
          <w:lang w:eastAsia="zh-CN"/>
        </w:rPr>
        <w:t>项目相关工作，做好项目安全生产，确保项目质量</w:t>
      </w:r>
      <w:r>
        <w:rPr>
          <w:rFonts w:hint="eastAsia" w:ascii="仿宋_GB2312" w:eastAsia="仿宋_GB2312"/>
          <w:sz w:val="32"/>
          <w:szCs w:val="32"/>
        </w:rPr>
        <w:t>。</w:t>
      </w:r>
    </w:p>
    <w:p>
      <w:pPr>
        <w:snapToGrid w:val="0"/>
        <w:spacing w:line="312" w:lineRule="auto"/>
        <w:ind w:firstLine="640" w:firstLineChars="200"/>
        <w:rPr>
          <w:rFonts w:hint="eastAsia" w:ascii="仿宋_GB2312" w:eastAsia="仿宋_GB2312"/>
          <w:sz w:val="32"/>
          <w:szCs w:val="32"/>
        </w:rPr>
      </w:pPr>
      <w:r>
        <w:rPr>
          <w:rFonts w:hint="eastAsia" w:ascii="仿宋_GB2312" w:eastAsia="仿宋_GB2312"/>
          <w:sz w:val="32"/>
          <w:szCs w:val="32"/>
        </w:rPr>
        <w:t>（</w:t>
      </w:r>
      <w:r>
        <w:rPr>
          <w:rFonts w:hint="eastAsia" w:ascii="仿宋_GB2312" w:eastAsia="仿宋_GB2312"/>
          <w:sz w:val="32"/>
          <w:szCs w:val="32"/>
          <w:lang w:eastAsia="zh-CN"/>
        </w:rPr>
        <w:t>三</w:t>
      </w:r>
      <w:r>
        <w:rPr>
          <w:rFonts w:hint="eastAsia" w:ascii="仿宋_GB2312" w:eastAsia="仿宋_GB2312"/>
          <w:sz w:val="32"/>
          <w:szCs w:val="32"/>
        </w:rPr>
        <w:t>）接中标通知后，按合同约定的开工时间，必须安排施工队伍进场施工，逾期1天，将作弃权处理。</w:t>
      </w:r>
    </w:p>
    <w:p>
      <w:pPr>
        <w:snapToGrid w:val="0"/>
        <w:spacing w:line="312" w:lineRule="auto"/>
        <w:ind w:firstLine="640" w:firstLineChars="200"/>
        <w:rPr>
          <w:rFonts w:hint="eastAsia" w:ascii="仿宋_GB2312" w:eastAsia="仿宋_GB2312"/>
          <w:sz w:val="32"/>
          <w:szCs w:val="32"/>
        </w:rPr>
      </w:pPr>
      <w:r>
        <w:rPr>
          <w:rFonts w:hint="eastAsia" w:ascii="仿宋_GB2312" w:eastAsia="仿宋_GB2312"/>
          <w:sz w:val="32"/>
          <w:szCs w:val="32"/>
        </w:rPr>
        <w:t>（</w:t>
      </w:r>
      <w:r>
        <w:rPr>
          <w:rFonts w:hint="eastAsia" w:ascii="仿宋_GB2312" w:eastAsia="仿宋_GB2312"/>
          <w:sz w:val="32"/>
          <w:szCs w:val="32"/>
          <w:lang w:eastAsia="zh-CN"/>
        </w:rPr>
        <w:t>四</w:t>
      </w:r>
      <w:r>
        <w:rPr>
          <w:rFonts w:hint="eastAsia" w:ascii="仿宋_GB2312" w:eastAsia="仿宋_GB2312"/>
          <w:sz w:val="32"/>
          <w:szCs w:val="32"/>
        </w:rPr>
        <w:t>）严格按图施工，严格执行《建筑施工安全技术规范》。</w:t>
      </w:r>
    </w:p>
    <w:p>
      <w:pPr>
        <w:snapToGrid w:val="0"/>
        <w:spacing w:line="312" w:lineRule="auto"/>
        <w:ind w:firstLine="640" w:firstLineChars="200"/>
        <w:rPr>
          <w:rFonts w:hint="eastAsia" w:ascii="仿宋_GB2312" w:eastAsia="仿宋_GB2312"/>
          <w:sz w:val="32"/>
          <w:szCs w:val="32"/>
        </w:rPr>
      </w:pPr>
      <w:r>
        <w:rPr>
          <w:rFonts w:hint="eastAsia" w:ascii="仿宋_GB2312" w:hAnsi="宋体" w:eastAsia="仿宋_GB2312"/>
          <w:sz w:val="32"/>
          <w:szCs w:val="32"/>
        </w:rPr>
        <w:t>（</w:t>
      </w:r>
      <w:r>
        <w:rPr>
          <w:rFonts w:hint="eastAsia" w:ascii="仿宋_GB2312" w:hAnsi="宋体" w:eastAsia="仿宋_GB2312"/>
          <w:sz w:val="32"/>
          <w:szCs w:val="32"/>
          <w:lang w:eastAsia="zh-CN"/>
        </w:rPr>
        <w:t>五</w:t>
      </w:r>
      <w:r>
        <w:rPr>
          <w:rFonts w:hint="eastAsia" w:ascii="仿宋_GB2312" w:hAnsi="宋体" w:eastAsia="仿宋_GB2312"/>
          <w:sz w:val="32"/>
          <w:szCs w:val="32"/>
        </w:rPr>
        <w:t>）工程使用的主要材料应附有出厂合格证明、试验报告，并且符合现行国家行业标准或规定</w:t>
      </w:r>
      <w:r>
        <w:rPr>
          <w:rFonts w:hint="eastAsia" w:ascii="仿宋_GB2312" w:hAnsi="宋体" w:eastAsia="仿宋_GB2312"/>
          <w:sz w:val="32"/>
          <w:szCs w:val="32"/>
          <w:lang w:eastAsia="zh-CN"/>
        </w:rPr>
        <w:t>，</w:t>
      </w:r>
      <w:r>
        <w:rPr>
          <w:rFonts w:hint="eastAsia" w:ascii="仿宋_GB2312" w:hAnsi="仿宋_GB2312" w:eastAsia="仿宋_GB2312" w:cs="仿宋_GB2312"/>
          <w:sz w:val="32"/>
          <w:szCs w:val="32"/>
          <w:lang w:val="en-US" w:eastAsia="zh-CN"/>
        </w:rPr>
        <w:t>场地处理用料对人体健康安全</w:t>
      </w:r>
      <w:r>
        <w:rPr>
          <w:rFonts w:hint="eastAsia" w:ascii="仿宋_GB2312" w:hAnsi="宋体" w:eastAsia="仿宋_GB2312"/>
          <w:sz w:val="32"/>
          <w:szCs w:val="32"/>
        </w:rPr>
        <w:t>。否则，</w:t>
      </w:r>
      <w:r>
        <w:rPr>
          <w:rFonts w:hint="eastAsia" w:ascii="仿宋_GB2312" w:hAnsi="宋体" w:eastAsia="仿宋_GB2312"/>
          <w:sz w:val="32"/>
          <w:szCs w:val="32"/>
          <w:lang w:eastAsia="zh-CN"/>
        </w:rPr>
        <w:t>采购</w:t>
      </w:r>
      <w:r>
        <w:rPr>
          <w:rFonts w:hint="eastAsia" w:ascii="仿宋_GB2312" w:hAnsi="宋体" w:eastAsia="仿宋_GB2312"/>
          <w:sz w:val="32"/>
          <w:szCs w:val="32"/>
        </w:rPr>
        <w:t>人（或建设单位）有权拒绝使用，并由承包人承担由此造成的损失。</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eastAsia="仿宋_GB2312"/>
          <w:sz w:val="32"/>
          <w:szCs w:val="32"/>
        </w:rPr>
        <w:t>（</w:t>
      </w:r>
      <w:r>
        <w:rPr>
          <w:rFonts w:hint="eastAsia" w:ascii="仿宋_GB2312" w:eastAsia="仿宋_GB2312"/>
          <w:sz w:val="32"/>
          <w:szCs w:val="32"/>
          <w:lang w:eastAsia="zh-CN"/>
        </w:rPr>
        <w:t>六</w:t>
      </w:r>
      <w:r>
        <w:rPr>
          <w:rFonts w:hint="eastAsia" w:ascii="仿宋_GB2312" w:eastAsia="仿宋_GB2312"/>
          <w:sz w:val="32"/>
          <w:szCs w:val="32"/>
        </w:rPr>
        <w:t>）在保修期内，对工程的质量负保修责任。</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3" w:firstLineChars="200"/>
        <w:jc w:val="both"/>
        <w:textAlignment w:val="auto"/>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四、供应商资格要求</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1.供应商应当是具有合法经营资格的法人或其他组织，提供有效的企业法人营业执照（或事业法人登记证）或者其他组织的营业执照复印件；</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2.供应商经营范围包含体育运动器材制造、销售，塑料弹性材料、塑胶跑道专用橡胶颗粒分装、销售，体育运动场地施工、维护、保养。</w:t>
      </w:r>
    </w:p>
    <w:p>
      <w:pPr>
        <w:keepNext w:val="0"/>
        <w:keepLines w:val="0"/>
        <w:pageBreakBefore w:val="0"/>
        <w:widowControl w:val="0"/>
        <w:kinsoku/>
        <w:wordWrap/>
        <w:overflowPunct/>
        <w:topLinePunct w:val="0"/>
        <w:autoSpaceDE/>
        <w:autoSpaceDN/>
        <w:bidi w:val="0"/>
        <w:adjustRightInd/>
        <w:snapToGrid/>
        <w:ind w:firstLine="643" w:firstLineChars="200"/>
        <w:jc w:val="both"/>
        <w:textAlignment w:val="auto"/>
        <w:rPr>
          <w:rFonts w:hint="eastAsia" w:ascii="仿宋_GB2312" w:hAnsi="仿宋_GB2312" w:eastAsia="仿宋_GB2312" w:cs="仿宋_GB2312"/>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3" w:firstLineChars="200"/>
        <w:jc w:val="both"/>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五、支付方式</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项目款分三期支付：第一期：自签订合同后15个自然日内，按合同总价60%支付首期；第二期：项目进度达60%，按合同总价3</w:t>
      </w: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%支付；第三期：按合同总价</w:t>
      </w: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预留项目质保金</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质保期到期后支付</w:t>
      </w:r>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color w:val="auto"/>
          <w:sz w:val="32"/>
          <w:szCs w:val="32"/>
        </w:rPr>
      </w:pPr>
    </w:p>
    <w:p>
      <w:pPr>
        <w:keepNext w:val="0"/>
        <w:keepLines w:val="0"/>
        <w:pageBreakBefore w:val="0"/>
        <w:widowControl w:val="0"/>
        <w:kinsoku/>
        <w:wordWrap/>
        <w:overflowPunct/>
        <w:topLinePunct w:val="0"/>
        <w:autoSpaceDE/>
        <w:autoSpaceDN/>
        <w:bidi w:val="0"/>
        <w:adjustRightInd/>
        <w:snapToGrid/>
        <w:ind w:firstLine="643" w:firstLineChars="200"/>
        <w:jc w:val="both"/>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六、争议的解决</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（一）如因产品的质量问题发生争议，由法定的质量技术鉴定机构进行质量鉴定，双方应当服从该鉴定的结论；</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（二）若执行合同的过程中发生纠纷，双方当事人应当及时协商解决；协商不成时，可向合同签订地人民法院提起诉讼。</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附件：工程清单</w:t>
      </w:r>
      <w:bookmarkStart w:id="0" w:name="_GoBack"/>
      <w:bookmarkEnd w:id="0"/>
    </w:p>
    <w:sectPr>
      <w:pgSz w:w="11906" w:h="16838"/>
      <w:pgMar w:top="1134" w:right="1800" w:bottom="850" w:left="180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9D02440"/>
    <w:rsid w:val="011B4096"/>
    <w:rsid w:val="06227A21"/>
    <w:rsid w:val="07BE07A0"/>
    <w:rsid w:val="10ED75DC"/>
    <w:rsid w:val="12223836"/>
    <w:rsid w:val="16415EDE"/>
    <w:rsid w:val="18AD755E"/>
    <w:rsid w:val="1A562B97"/>
    <w:rsid w:val="1E211253"/>
    <w:rsid w:val="1F07688A"/>
    <w:rsid w:val="1FD97416"/>
    <w:rsid w:val="24B2583F"/>
    <w:rsid w:val="250D6179"/>
    <w:rsid w:val="252021AF"/>
    <w:rsid w:val="27091C6F"/>
    <w:rsid w:val="27982820"/>
    <w:rsid w:val="2C78125E"/>
    <w:rsid w:val="2E110CA9"/>
    <w:rsid w:val="2ED05D49"/>
    <w:rsid w:val="2F0D666B"/>
    <w:rsid w:val="321D518C"/>
    <w:rsid w:val="3323238D"/>
    <w:rsid w:val="36E534D8"/>
    <w:rsid w:val="38CA1296"/>
    <w:rsid w:val="3B117A55"/>
    <w:rsid w:val="3EEA57B0"/>
    <w:rsid w:val="41304381"/>
    <w:rsid w:val="42D24326"/>
    <w:rsid w:val="42FA6FE2"/>
    <w:rsid w:val="453254D1"/>
    <w:rsid w:val="458F4195"/>
    <w:rsid w:val="499304A9"/>
    <w:rsid w:val="49B56D94"/>
    <w:rsid w:val="4A5A0E09"/>
    <w:rsid w:val="4C3F533E"/>
    <w:rsid w:val="4D15198B"/>
    <w:rsid w:val="4D440462"/>
    <w:rsid w:val="4DC4617D"/>
    <w:rsid w:val="4E0050B5"/>
    <w:rsid w:val="4ED66C2F"/>
    <w:rsid w:val="537E2340"/>
    <w:rsid w:val="56813D1C"/>
    <w:rsid w:val="58604152"/>
    <w:rsid w:val="589543E4"/>
    <w:rsid w:val="59D02440"/>
    <w:rsid w:val="613F4B99"/>
    <w:rsid w:val="632F4923"/>
    <w:rsid w:val="634E6D78"/>
    <w:rsid w:val="65323525"/>
    <w:rsid w:val="6D406B41"/>
    <w:rsid w:val="6D6835F4"/>
    <w:rsid w:val="6DA81DCC"/>
    <w:rsid w:val="6E075701"/>
    <w:rsid w:val="70986663"/>
    <w:rsid w:val="736940F2"/>
    <w:rsid w:val="76950E25"/>
    <w:rsid w:val="78AB3D8E"/>
    <w:rsid w:val="7D161395"/>
    <w:rsid w:val="7DA54D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江门市住房和城乡建设局</Company>
  <Pages>1</Pages>
  <Words>0</Words>
  <Characters>0</Characters>
  <Lines>0</Lines>
  <Paragraphs>0</Paragraphs>
  <TotalTime>45</TotalTime>
  <ScaleCrop>false</ScaleCrop>
  <LinksUpToDate>false</LinksUpToDate>
  <CharactersWithSpaces>0</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2021-04-25T00:53:00Z</dcterms:created>
  <dc:creator>叶思静</dc:creator>
  <cp:lastModifiedBy>叶思静</cp:lastModifiedBy>
  <cp:lastPrinted>2021-07-07T07:27:11Z</cp:lastPrinted>
  <dcterms:modified xsi:type="dcterms:W3CDTF">2021-07-07T08:01:01Z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