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77" w:rsidRDefault="00C7303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E003F0">
        <w:rPr>
          <w:rFonts w:ascii="黑体" w:eastAsia="黑体" w:hAnsi="黑体" w:hint="eastAsia"/>
          <w:sz w:val="32"/>
          <w:szCs w:val="32"/>
        </w:rPr>
        <w:t>4</w:t>
      </w:r>
      <w:bookmarkStart w:id="0" w:name="_GoBack"/>
      <w:bookmarkEnd w:id="0"/>
    </w:p>
    <w:p w:rsidR="00EB4B77" w:rsidRDefault="00C7303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44"/>
          <w:szCs w:val="44"/>
        </w:rPr>
        <w:t>项目采购需求</w:t>
      </w:r>
    </w:p>
    <w:p w:rsidR="00EB4B77" w:rsidRDefault="00EB4B77">
      <w:pPr>
        <w:rPr>
          <w:rFonts w:ascii="黑体" w:eastAsia="黑体" w:hAnsi="黑体"/>
          <w:sz w:val="32"/>
          <w:szCs w:val="32"/>
        </w:rPr>
      </w:pPr>
    </w:p>
    <w:p w:rsidR="00EB4B77" w:rsidRDefault="00C7303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一、平台功能要求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417"/>
        <w:gridCol w:w="967"/>
        <w:gridCol w:w="966"/>
        <w:gridCol w:w="4600"/>
      </w:tblGrid>
      <w:tr w:rsidR="00EB4B77">
        <w:tc>
          <w:tcPr>
            <w:tcW w:w="566" w:type="dxa"/>
            <w:vAlign w:val="center"/>
          </w:tcPr>
          <w:p w:rsidR="00EB4B77" w:rsidRDefault="00C730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EB4B77" w:rsidRDefault="00C730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67" w:type="dxa"/>
            <w:vAlign w:val="center"/>
          </w:tcPr>
          <w:p w:rsidR="00EB4B77" w:rsidRDefault="00C730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66" w:type="dxa"/>
            <w:vAlign w:val="center"/>
          </w:tcPr>
          <w:p w:rsidR="00EB4B77" w:rsidRDefault="00C730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600" w:type="dxa"/>
            <w:vAlign w:val="center"/>
          </w:tcPr>
          <w:p w:rsidR="00EB4B77" w:rsidRDefault="00C730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B4B77">
        <w:tc>
          <w:tcPr>
            <w:tcW w:w="566" w:type="dxa"/>
            <w:vAlign w:val="center"/>
          </w:tcPr>
          <w:p w:rsidR="00EB4B77" w:rsidRDefault="00C7303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B4B77" w:rsidRDefault="00C73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政府监管应用服务</w:t>
            </w:r>
          </w:p>
        </w:tc>
        <w:tc>
          <w:tcPr>
            <w:tcW w:w="967" w:type="dxa"/>
            <w:vAlign w:val="center"/>
          </w:tcPr>
          <w:p w:rsidR="00EB4B77" w:rsidRDefault="00C73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966" w:type="dxa"/>
            <w:vAlign w:val="center"/>
          </w:tcPr>
          <w:p w:rsidR="00EB4B77" w:rsidRDefault="00C7303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600" w:type="dxa"/>
            <w:vAlign w:val="center"/>
          </w:tcPr>
          <w:p w:rsidR="00EB4B77" w:rsidRDefault="00C7303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包含冷库单位基础信息、工作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电子台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账汇总、现场监督检查、远程非现场监管理和大数据统计分析等应用服务。</w:t>
            </w:r>
          </w:p>
          <w:p w:rsidR="00EB4B77" w:rsidRDefault="00EB4B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B4B77">
        <w:tc>
          <w:tcPr>
            <w:tcW w:w="566" w:type="dxa"/>
            <w:vAlign w:val="center"/>
          </w:tcPr>
          <w:p w:rsidR="00EB4B77" w:rsidRDefault="00C7303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B4B77" w:rsidRDefault="00C73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冷库单位应用服务</w:t>
            </w:r>
          </w:p>
        </w:tc>
        <w:tc>
          <w:tcPr>
            <w:tcW w:w="967" w:type="dxa"/>
            <w:vAlign w:val="center"/>
          </w:tcPr>
          <w:p w:rsidR="00EB4B77" w:rsidRDefault="00C73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家.年</w:t>
            </w:r>
          </w:p>
        </w:tc>
        <w:tc>
          <w:tcPr>
            <w:tcW w:w="966" w:type="dxa"/>
            <w:vAlign w:val="center"/>
          </w:tcPr>
          <w:p w:rsidR="00EB4B77" w:rsidRDefault="00C7303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600" w:type="dxa"/>
            <w:vAlign w:val="center"/>
          </w:tcPr>
          <w:p w:rsidR="00EB4B77" w:rsidRDefault="00C7303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包含政府监管单位要求冷库单位落实主体责任(风险点自查)和工作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电子台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帐的基本应用；</w:t>
            </w:r>
          </w:p>
          <w:p w:rsidR="00EB4B77" w:rsidRDefault="00C7303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包含应用前期培训、后期辅导服务；</w:t>
            </w:r>
          </w:p>
          <w:p w:rsidR="00EB4B77" w:rsidRDefault="00EB4B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B4B77">
        <w:tc>
          <w:tcPr>
            <w:tcW w:w="566" w:type="dxa"/>
            <w:vAlign w:val="center"/>
          </w:tcPr>
          <w:p w:rsidR="00EB4B77" w:rsidRDefault="00C7303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B4B77" w:rsidRDefault="00C73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视频采集直播和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AI违规行为识别服务</w:t>
            </w:r>
          </w:p>
        </w:tc>
        <w:tc>
          <w:tcPr>
            <w:tcW w:w="967" w:type="dxa"/>
            <w:vAlign w:val="center"/>
          </w:tcPr>
          <w:p w:rsidR="00EB4B77" w:rsidRDefault="00C73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路</w:t>
            </w:r>
          </w:p>
        </w:tc>
        <w:tc>
          <w:tcPr>
            <w:tcW w:w="966" w:type="dxa"/>
            <w:vAlign w:val="center"/>
          </w:tcPr>
          <w:p w:rsidR="00EB4B77" w:rsidRDefault="00C7303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不少于4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00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路</w:t>
            </w:r>
          </w:p>
        </w:tc>
        <w:tc>
          <w:tcPr>
            <w:tcW w:w="4600" w:type="dxa"/>
            <w:vAlign w:val="center"/>
          </w:tcPr>
          <w:p w:rsidR="00EB4B77" w:rsidRDefault="00C7303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采用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利旧或者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新装的方式接入进口冷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链食品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冷库作业视频智能监管平台和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邑食安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平台，实现关键监管点位视频实时直播。支持7-</w:t>
            </w:r>
            <w:r>
              <w:rPr>
                <w:rFonts w:ascii="宋体" w:eastAsia="宋体" w:hAnsi="宋体"/>
                <w:sz w:val="24"/>
              </w:rPr>
              <w:t>15</w:t>
            </w:r>
            <w:r>
              <w:rPr>
                <w:rFonts w:ascii="宋体" w:eastAsia="宋体" w:hAnsi="宋体" w:hint="eastAsia"/>
                <w:sz w:val="24"/>
              </w:rPr>
              <w:t>天的循环存储。</w:t>
            </w:r>
          </w:p>
          <w:p w:rsidR="00EB4B77" w:rsidRDefault="00C7303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视频可根据违规行为模型进行抓拍：未戴防护帽、未穿防护服、未戴口罩、视频不正、视频模糊、玩手机、抽烟、违规进入等。一年服务包含1,000,000次识别服务。</w:t>
            </w:r>
          </w:p>
          <w:p w:rsidR="00EB4B77" w:rsidRDefault="00C7303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冷库提前准备好互联网，在安装点位要有电源插座和网络接口；</w:t>
            </w:r>
          </w:p>
          <w:p w:rsidR="00EB4B77" w:rsidRDefault="00EB4B77">
            <w:pPr>
              <w:spacing w:line="360" w:lineRule="auto"/>
              <w:rPr>
                <w:rFonts w:ascii="宋体" w:eastAsia="宋体" w:hAnsi="宋体"/>
                <w:sz w:val="24"/>
                <w:szCs w:val="32"/>
              </w:rPr>
            </w:pPr>
          </w:p>
        </w:tc>
      </w:tr>
    </w:tbl>
    <w:p w:rsidR="00EB4B77" w:rsidRDefault="00EB4B77">
      <w:pPr>
        <w:rPr>
          <w:rFonts w:ascii="黑体" w:eastAsia="黑体" w:hAnsi="黑体"/>
          <w:sz w:val="32"/>
          <w:szCs w:val="32"/>
        </w:rPr>
      </w:pPr>
    </w:p>
    <w:p w:rsidR="00323957" w:rsidRDefault="00323957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EB4B77" w:rsidRDefault="00C73035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二、智能转码器设备参数</w:t>
      </w:r>
    </w:p>
    <w:p w:rsidR="00EB4B77" w:rsidRDefault="00C73035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对冷库已建视频监控系统，采用智能转码器接入“邑食安”视频云中。通过拉取网络摄像机</w:t>
      </w:r>
      <w:r>
        <w:rPr>
          <w:rFonts w:ascii="宋体" w:eastAsia="宋体" w:hAnsi="宋体"/>
          <w:sz w:val="24"/>
        </w:rPr>
        <w:t>RTSP的码流，转码后通过RTMP</w:t>
      </w:r>
      <w:r>
        <w:rPr>
          <w:rFonts w:ascii="宋体" w:eastAsia="宋体" w:hAnsi="宋体" w:hint="eastAsia"/>
          <w:sz w:val="24"/>
        </w:rPr>
        <w:t>协议</w:t>
      </w:r>
      <w:r>
        <w:rPr>
          <w:rFonts w:ascii="宋体" w:eastAsia="宋体" w:hAnsi="宋体"/>
          <w:sz w:val="24"/>
        </w:rPr>
        <w:t>推流至直播视频云平台，转码器参数不得低于以下参数。</w:t>
      </w:r>
    </w:p>
    <w:tbl>
      <w:tblPr>
        <w:tblW w:w="91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596"/>
        <w:gridCol w:w="6411"/>
      </w:tblGrid>
      <w:tr w:rsidR="00EB4B77">
        <w:trPr>
          <w:trHeight w:val="280"/>
          <w:jc w:val="center"/>
        </w:trPr>
        <w:tc>
          <w:tcPr>
            <w:tcW w:w="1126" w:type="dxa"/>
            <w:shd w:val="clear" w:color="auto" w:fill="auto"/>
            <w:noWrap/>
            <w:vAlign w:val="center"/>
          </w:tcPr>
          <w:p w:rsidR="00EB4B77" w:rsidRDefault="00C7303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类别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6411" w:type="dxa"/>
            <w:shd w:val="clear" w:color="auto" w:fill="auto"/>
            <w:noWrap/>
            <w:vAlign w:val="center"/>
          </w:tcPr>
          <w:p w:rsidR="00EB4B77" w:rsidRDefault="00C7303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参数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shd w:val="clear" w:color="auto" w:fill="auto"/>
            <w:noWrap/>
            <w:vAlign w:val="center"/>
          </w:tcPr>
          <w:p w:rsidR="00EB4B77" w:rsidRDefault="00C7303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系统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操作系统</w:t>
            </w:r>
          </w:p>
        </w:tc>
        <w:tc>
          <w:tcPr>
            <w:tcW w:w="6411" w:type="dxa"/>
            <w:shd w:val="clear" w:color="auto" w:fill="auto"/>
            <w:noWrap/>
            <w:vAlign w:val="center"/>
          </w:tcPr>
          <w:p w:rsidR="00EB4B77" w:rsidRDefault="00C7303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嵌入式LINUX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 w:val="restart"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转码参数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转码码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流类型</w:t>
            </w:r>
            <w:proofErr w:type="gramEnd"/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H.264码流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转码音频类型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G711A/G711U/AAC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转码封装类型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PS/RTP/RTSP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转码分辨率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1080P及以下的分辨率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shd w:val="clear" w:color="auto" w:fill="auto"/>
            <w:noWrap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转码通道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8（码率512Kb以下）</w:t>
            </w:r>
          </w:p>
        </w:tc>
      </w:tr>
      <w:tr w:rsidR="00EB4B77">
        <w:trPr>
          <w:trHeight w:val="281"/>
          <w:jc w:val="center"/>
        </w:trPr>
        <w:tc>
          <w:tcPr>
            <w:tcW w:w="1126" w:type="dxa"/>
            <w:vMerge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接入带宽</w:t>
            </w:r>
          </w:p>
        </w:tc>
        <w:tc>
          <w:tcPr>
            <w:tcW w:w="6411" w:type="dxa"/>
            <w:shd w:val="clear" w:color="auto" w:fill="auto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40Mbps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shd w:val="clear" w:color="auto" w:fill="auto"/>
            <w:noWrap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视频接入路数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8路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容量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支持8T容量大硬盘默认带2T存储硬盘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shd w:val="clear" w:color="auto" w:fill="auto"/>
            <w:noWrap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类型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1个SATA接口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shd w:val="clear" w:color="auto" w:fill="auto"/>
            <w:noWrap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同步回放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8路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shd w:val="clear" w:color="auto" w:fill="auto"/>
            <w:noWrap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录像分辨率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8MP/6MP/4MP/3MP/1080P/UXGA/720P/VGA/4CIF/DCIF/2CIF/CIF/QCIF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接入设备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支持摄像机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海康威视、大华、宇视、天地伟业、汉邦高科、英飞拓、安讯士、索尼、三洋、三星、松下、博</w:t>
            </w:r>
            <w:proofErr w:type="gramStart"/>
            <w:r>
              <w:rPr>
                <w:rFonts w:ascii="宋体" w:eastAsia="宋体" w:hAnsi="宋体"/>
                <w:szCs w:val="21"/>
              </w:rPr>
              <w:t>世</w:t>
            </w:r>
            <w:proofErr w:type="gramEnd"/>
            <w:r>
              <w:rPr>
                <w:rFonts w:ascii="宋体" w:eastAsia="宋体" w:hAnsi="宋体"/>
                <w:szCs w:val="21"/>
              </w:rPr>
              <w:t>、</w:t>
            </w:r>
            <w:proofErr w:type="spellStart"/>
            <w:r>
              <w:rPr>
                <w:rFonts w:ascii="宋体" w:eastAsia="宋体" w:hAnsi="宋体"/>
                <w:szCs w:val="21"/>
              </w:rPr>
              <w:t>Zavio</w:t>
            </w:r>
            <w:proofErr w:type="spellEnd"/>
            <w:r>
              <w:rPr>
                <w:rFonts w:ascii="宋体" w:eastAsia="宋体" w:hAnsi="宋体"/>
                <w:szCs w:val="21"/>
              </w:rPr>
              <w:t>、</w:t>
            </w:r>
            <w:proofErr w:type="spellStart"/>
            <w:r>
              <w:rPr>
                <w:rFonts w:ascii="宋体" w:eastAsia="宋体" w:hAnsi="宋体"/>
                <w:szCs w:val="21"/>
              </w:rPr>
              <w:t>Arecont</w:t>
            </w:r>
            <w:proofErr w:type="spellEnd"/>
            <w:r>
              <w:rPr>
                <w:rFonts w:ascii="宋体" w:eastAsia="宋体" w:hAnsi="宋体"/>
                <w:szCs w:val="21"/>
              </w:rPr>
              <w:t>、</w:t>
            </w:r>
            <w:proofErr w:type="spellStart"/>
            <w:r>
              <w:rPr>
                <w:rFonts w:ascii="宋体" w:eastAsia="宋体" w:hAnsi="宋体"/>
                <w:szCs w:val="21"/>
              </w:rPr>
              <w:t>Pelco</w:t>
            </w:r>
            <w:proofErr w:type="spellEnd"/>
            <w:r>
              <w:rPr>
                <w:rFonts w:ascii="宋体" w:eastAsia="宋体" w:hAnsi="宋体"/>
                <w:szCs w:val="21"/>
              </w:rPr>
              <w:t>等</w:t>
            </w:r>
            <w:r>
              <w:rPr>
                <w:rFonts w:ascii="宋体" w:eastAsia="宋体" w:hAnsi="宋体" w:hint="eastAsia"/>
                <w:szCs w:val="21"/>
              </w:rPr>
              <w:t>主流网络数字摄像机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 w:val="restart"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视频输入</w:t>
            </w:r>
          </w:p>
        </w:tc>
        <w:tc>
          <w:tcPr>
            <w:tcW w:w="1596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接入带宽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40Mbps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视频接入路数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8路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 w:val="restart"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录像管理</w:t>
            </w:r>
          </w:p>
        </w:tc>
        <w:tc>
          <w:tcPr>
            <w:tcW w:w="1596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回放模式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常规回访、即时回放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备份模式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常规备份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录像回放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支持通过Web H5页面进行远程录像回放；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录像模式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手动录像、定时录像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 w:val="restart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网络功能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网络协议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支持TCP/IP，IPv4,HTTP，UPnP，NTP，</w:t>
            </w:r>
            <w:proofErr w:type="spellStart"/>
            <w:r>
              <w:rPr>
                <w:rFonts w:ascii="宋体" w:eastAsia="宋体" w:hAnsi="宋体" w:hint="eastAsia"/>
                <w:szCs w:val="21"/>
              </w:rPr>
              <w:t>SADP,PPPoE,DHCP</w:t>
            </w:r>
            <w:proofErr w:type="spellEnd"/>
            <w:r>
              <w:rPr>
                <w:rFonts w:ascii="宋体" w:eastAsia="宋体" w:hAnsi="宋体" w:hint="eastAsia"/>
                <w:szCs w:val="21"/>
              </w:rPr>
              <w:t>，DNS，RTSP，RTMP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接入协议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支持ONVIF 2.0协议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集控平台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支持对接集控平台，可以实现远程控制、参数设置、升级等功能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 w:val="restart"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外部接口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USB接口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2个USB2.0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网络接口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1个RJ45 100M自适应以太网接口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 w:val="restart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一般规范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温度及湿度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0℃～+55℃ 10%～95%RH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shd w:val="clear" w:color="auto" w:fill="auto"/>
            <w:noWrap/>
            <w:vAlign w:val="center"/>
          </w:tcPr>
          <w:p w:rsidR="00EB4B77" w:rsidRDefault="00EB4B7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安装方式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台式安装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shd w:val="clear" w:color="auto" w:fill="auto"/>
            <w:noWrap/>
            <w:vAlign w:val="center"/>
          </w:tcPr>
          <w:p w:rsidR="00EB4B77" w:rsidRDefault="00EB4B7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功耗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≤10W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shd w:val="clear" w:color="auto" w:fill="auto"/>
            <w:noWrap/>
            <w:vAlign w:val="center"/>
          </w:tcPr>
          <w:p w:rsidR="00EB4B77" w:rsidRDefault="00EB4B7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重量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≤1Kg</w:t>
            </w:r>
          </w:p>
        </w:tc>
      </w:tr>
      <w:tr w:rsidR="00EB4B77">
        <w:trPr>
          <w:trHeight w:val="280"/>
          <w:jc w:val="center"/>
        </w:trPr>
        <w:tc>
          <w:tcPr>
            <w:tcW w:w="1126" w:type="dxa"/>
            <w:vMerge/>
            <w:vAlign w:val="center"/>
          </w:tcPr>
          <w:p w:rsidR="00EB4B77" w:rsidRDefault="00EB4B7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电源</w:t>
            </w:r>
          </w:p>
        </w:tc>
        <w:tc>
          <w:tcPr>
            <w:tcW w:w="6411" w:type="dxa"/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DC 12V 2A</w:t>
            </w:r>
          </w:p>
        </w:tc>
      </w:tr>
    </w:tbl>
    <w:p w:rsidR="00EB4B77" w:rsidRDefault="00EB4B77">
      <w:pPr>
        <w:rPr>
          <w:rFonts w:ascii="黑体" w:eastAsia="黑体" w:hAnsi="黑体"/>
          <w:sz w:val="32"/>
          <w:szCs w:val="32"/>
        </w:rPr>
      </w:pPr>
    </w:p>
    <w:p w:rsidR="00EB4B77" w:rsidRDefault="00EB4B77">
      <w:pPr>
        <w:rPr>
          <w:rFonts w:ascii="黑体" w:eastAsia="黑体" w:hAnsi="黑体"/>
          <w:sz w:val="32"/>
          <w:szCs w:val="32"/>
        </w:rPr>
      </w:pPr>
    </w:p>
    <w:p w:rsidR="00EB4B77" w:rsidRDefault="00C7303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三、网络高清摄像机参数</w:t>
      </w:r>
    </w:p>
    <w:p w:rsidR="00EB4B77" w:rsidRDefault="00C7303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对冷库未安装视频采集设备的单位，新装视频采集摄像头，具体参数不低于：</w:t>
      </w:r>
    </w:p>
    <w:tbl>
      <w:tblPr>
        <w:tblpPr w:leftFromText="180" w:rightFromText="180" w:vertAnchor="text" w:horzAnchor="margin" w:tblpY="219"/>
        <w:tblW w:w="8296" w:type="dxa"/>
        <w:tblLook w:val="04A0" w:firstRow="1" w:lastRow="0" w:firstColumn="1" w:lastColumn="0" w:noHBand="0" w:noVBand="1"/>
      </w:tblPr>
      <w:tblGrid>
        <w:gridCol w:w="1413"/>
        <w:gridCol w:w="1843"/>
        <w:gridCol w:w="5040"/>
      </w:tblGrid>
      <w:tr w:rsidR="00EB4B77">
        <w:trPr>
          <w:trHeight w:val="303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类别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参数</w:t>
            </w:r>
          </w:p>
        </w:tc>
      </w:tr>
      <w:tr w:rsidR="00EB4B77">
        <w:trPr>
          <w:trHeight w:val="303"/>
        </w:trPr>
        <w:tc>
          <w:tcPr>
            <w:tcW w:w="141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采集参数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镜头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4mm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传感器类型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1/2.7" 200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万像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素传感器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最低照度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0.05lux/F1.2(彩色) 0.001lux/F1.2(黑色)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快门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1/3秒至1/100,000秒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日夜转换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ICR红外滤光片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视频压缩标准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H.264</w:t>
            </w:r>
            <w:r>
              <w:rPr>
                <w:rFonts w:ascii="宋体" w:eastAsia="宋体" w:hAnsi="宋体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H.265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压缩输出码率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500Kbps-8000Kbps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码流数目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双码流</w:t>
            </w:r>
            <w:proofErr w:type="gramEnd"/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最大图像尺寸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1920*1080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最大帧率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30FPS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图像设置</w:t>
            </w:r>
            <w:r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亮度 对比度 饱和度 曝光度 上下翻转  左右镜像</w:t>
            </w:r>
          </w:p>
        </w:tc>
      </w:tr>
      <w:tr w:rsidR="00EB4B77">
        <w:trPr>
          <w:trHeight w:val="303"/>
        </w:trPr>
        <w:tc>
          <w:tcPr>
            <w:tcW w:w="1413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接入协议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ONVIF GB/T28181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智能报警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移动侦测 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网络协议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支持TCP/IP，IGMP，SMTP，DHCP，DNS，DDNS，NTP，RTSP，RTMP，RTP直播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有线网络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1个RJ45 10M/100M 以太网口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P2P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支持P2P远程连接</w:t>
            </w:r>
          </w:p>
        </w:tc>
      </w:tr>
      <w:tr w:rsidR="00EB4B77">
        <w:trPr>
          <w:trHeight w:val="303"/>
        </w:trPr>
        <w:tc>
          <w:tcPr>
            <w:tcW w:w="1413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功能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本地客户端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网络访问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本地升级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OSD叠加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</w:t>
            </w:r>
            <w:r>
              <w:rPr>
                <w:rFonts w:ascii="宋体" w:eastAsia="宋体" w:hAnsi="宋体"/>
              </w:rPr>
              <w:t>2个区域。</w:t>
            </w:r>
            <w:r>
              <w:rPr>
                <w:rFonts w:ascii="宋体" w:eastAsia="宋体" w:hAnsi="宋体" w:hint="eastAsia"/>
                <w:szCs w:val="21"/>
              </w:rPr>
              <w:t>支持时间显示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集控平台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支持集控平台参数设置，远程升级和远程控制等功能</w:t>
            </w:r>
          </w:p>
        </w:tc>
      </w:tr>
      <w:tr w:rsidR="00EB4B77">
        <w:trPr>
          <w:trHeight w:val="303"/>
        </w:trPr>
        <w:tc>
          <w:tcPr>
            <w:tcW w:w="141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存储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存储功能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支持64G存储</w:t>
            </w:r>
          </w:p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支持远程回放</w:t>
            </w:r>
          </w:p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存储卡应有防盗取措施，存储卡应使用易碎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贴进行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封口。</w:t>
            </w:r>
          </w:p>
        </w:tc>
      </w:tr>
      <w:tr w:rsidR="00EB4B77">
        <w:trPr>
          <w:trHeight w:val="303"/>
        </w:trPr>
        <w:tc>
          <w:tcPr>
            <w:tcW w:w="1413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工作温度和湿度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﹣25℃-50℃，湿度小于95%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电源供应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DC12V 2A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功耗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不超过5W 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重量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不超过500g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红外灯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颗点阵红外灯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红外照射距离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B4B77" w:rsidRDefault="00C7303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40-50M</w:t>
            </w:r>
          </w:p>
        </w:tc>
      </w:tr>
      <w:tr w:rsidR="00EB4B77">
        <w:trPr>
          <w:trHeight w:val="303"/>
        </w:trPr>
        <w:tc>
          <w:tcPr>
            <w:tcW w:w="141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4B77" w:rsidRDefault="00EB4B7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防护等级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B4B77" w:rsidRDefault="00C730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防水IP66 防雷</w:t>
            </w:r>
          </w:p>
        </w:tc>
      </w:tr>
    </w:tbl>
    <w:p w:rsidR="00EB4B77" w:rsidRDefault="00EB4B7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EB4B77" w:rsidRDefault="00EB4B7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EB4B77" w:rsidRDefault="00EB4B77"/>
    <w:sectPr w:rsidR="00EB4B7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FB" w:rsidRDefault="00846EFB" w:rsidP="00C73035">
      <w:r>
        <w:separator/>
      </w:r>
    </w:p>
  </w:endnote>
  <w:endnote w:type="continuationSeparator" w:id="0">
    <w:p w:rsidR="00846EFB" w:rsidRDefault="00846EFB" w:rsidP="00C7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FB" w:rsidRDefault="00846EFB" w:rsidP="00C73035">
      <w:r>
        <w:separator/>
      </w:r>
    </w:p>
  </w:footnote>
  <w:footnote w:type="continuationSeparator" w:id="0">
    <w:p w:rsidR="00846EFB" w:rsidRDefault="00846EFB" w:rsidP="00C7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21159"/>
    <w:multiLevelType w:val="multilevel"/>
    <w:tmpl w:val="5F02115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64"/>
    <w:rsid w:val="00046C09"/>
    <w:rsid w:val="00090A4D"/>
    <w:rsid w:val="000C6FF1"/>
    <w:rsid w:val="001062F0"/>
    <w:rsid w:val="00190369"/>
    <w:rsid w:val="001D0F64"/>
    <w:rsid w:val="00323957"/>
    <w:rsid w:val="0036642B"/>
    <w:rsid w:val="005225B3"/>
    <w:rsid w:val="005661EC"/>
    <w:rsid w:val="00590495"/>
    <w:rsid w:val="00592B08"/>
    <w:rsid w:val="006B7157"/>
    <w:rsid w:val="007D5BEE"/>
    <w:rsid w:val="007F056D"/>
    <w:rsid w:val="00846EFB"/>
    <w:rsid w:val="00850F5E"/>
    <w:rsid w:val="009C5191"/>
    <w:rsid w:val="00B25FE1"/>
    <w:rsid w:val="00C73035"/>
    <w:rsid w:val="00CA71B7"/>
    <w:rsid w:val="00D416CE"/>
    <w:rsid w:val="00DC56E1"/>
    <w:rsid w:val="00E003F0"/>
    <w:rsid w:val="00E02875"/>
    <w:rsid w:val="00E72A1D"/>
    <w:rsid w:val="00EB4B77"/>
    <w:rsid w:val="4E95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C73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7303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73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7303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C73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7303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73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730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1627</Characters>
  <Application>Microsoft Office Word</Application>
  <DocSecurity>0</DocSecurity>
  <Lines>13</Lines>
  <Paragraphs>3</Paragraphs>
  <ScaleCrop>false</ScaleCrop>
  <Company>Chinese ORG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曾文静</cp:lastModifiedBy>
  <cp:revision>19</cp:revision>
  <dcterms:created xsi:type="dcterms:W3CDTF">2021-08-10T10:09:00Z</dcterms:created>
  <dcterms:modified xsi:type="dcterms:W3CDTF">2021-08-19T01:18:00Z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