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方正小标宋简体"/>
          <w:szCs w:val="32"/>
        </w:rPr>
      </w:pPr>
      <w:r>
        <w:rPr>
          <w:rFonts w:hint="eastAsia" w:ascii="黑体" w:hAnsi="黑体" w:eastAsia="黑体" w:cs="方正小标宋简体"/>
          <w:szCs w:val="32"/>
        </w:rPr>
        <w:t>附件</w:t>
      </w:r>
    </w:p>
    <w:p>
      <w:pPr>
        <w:jc w:val="center"/>
      </w:pPr>
      <w:r>
        <w:rPr>
          <w:rFonts w:hint="eastAsia" w:ascii="方正小标宋简体" w:hAnsi="方正小标宋简体" w:eastAsia="方正小标宋简体" w:cs="方正小标宋简体"/>
          <w:sz w:val="36"/>
          <w:szCs w:val="36"/>
        </w:rPr>
        <w:t>江门市2021年环境影响评价文件（第三批）复核抽查发现问题及处理意见</w:t>
      </w:r>
    </w:p>
    <w:tbl>
      <w:tblPr>
        <w:tblStyle w:val="4"/>
        <w:tblW w:w="15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691"/>
        <w:gridCol w:w="1562"/>
        <w:gridCol w:w="4738"/>
        <w:gridCol w:w="1775"/>
        <w:gridCol w:w="1776"/>
        <w:gridCol w:w="818"/>
        <w:gridCol w:w="850"/>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9"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序号</w:t>
            </w:r>
          </w:p>
        </w:tc>
        <w:tc>
          <w:tcPr>
            <w:tcW w:w="1691"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环评文件名称</w:t>
            </w:r>
          </w:p>
        </w:tc>
        <w:tc>
          <w:tcPr>
            <w:tcW w:w="1562"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建设单位（含统一社会信用代码）</w:t>
            </w:r>
          </w:p>
        </w:tc>
        <w:tc>
          <w:tcPr>
            <w:tcW w:w="4738"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环评文件存在的主要问题</w:t>
            </w:r>
          </w:p>
        </w:tc>
        <w:tc>
          <w:tcPr>
            <w:tcW w:w="1775"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编制单位（统一社会信用代码）</w:t>
            </w:r>
          </w:p>
        </w:tc>
        <w:tc>
          <w:tcPr>
            <w:tcW w:w="1776"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编制人员（</w:t>
            </w:r>
            <w:r>
              <w:rPr>
                <w:rFonts w:hint="eastAsia" w:eastAsia="楷体_GB2312"/>
                <w:b/>
                <w:kern w:val="0"/>
                <w:sz w:val="24"/>
              </w:rPr>
              <w:t>信用编号及职业资格证书管理号</w:t>
            </w:r>
            <w:r>
              <w:rPr>
                <w:rFonts w:hint="eastAsia" w:ascii="仿宋_GB2312"/>
                <w:b/>
                <w:kern w:val="0"/>
                <w:sz w:val="24"/>
              </w:rPr>
              <w:t>）</w:t>
            </w:r>
          </w:p>
        </w:tc>
        <w:tc>
          <w:tcPr>
            <w:tcW w:w="818"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编制单位</w:t>
            </w:r>
            <w:r>
              <w:rPr>
                <w:rFonts w:hint="eastAsia" w:eastAsia="楷体_GB2312"/>
                <w:b/>
                <w:kern w:val="0"/>
                <w:sz w:val="24"/>
              </w:rPr>
              <w:t>失信记分</w:t>
            </w:r>
          </w:p>
        </w:tc>
        <w:tc>
          <w:tcPr>
            <w:tcW w:w="850"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编制人员</w:t>
            </w:r>
          </w:p>
          <w:p>
            <w:pPr>
              <w:widowControl/>
              <w:spacing w:line="300" w:lineRule="exact"/>
              <w:jc w:val="center"/>
              <w:textAlignment w:val="center"/>
              <w:rPr>
                <w:rFonts w:ascii="仿宋_GB2312"/>
                <w:b/>
                <w:kern w:val="0"/>
                <w:sz w:val="24"/>
              </w:rPr>
            </w:pPr>
            <w:r>
              <w:rPr>
                <w:rFonts w:hint="eastAsia" w:eastAsia="楷体_GB2312"/>
                <w:b/>
                <w:kern w:val="0"/>
                <w:sz w:val="24"/>
              </w:rPr>
              <w:t>失信记分</w:t>
            </w:r>
          </w:p>
        </w:tc>
        <w:tc>
          <w:tcPr>
            <w:tcW w:w="1691" w:type="dxa"/>
            <w:vAlign w:val="center"/>
          </w:tcPr>
          <w:p>
            <w:pPr>
              <w:widowControl/>
              <w:spacing w:line="300" w:lineRule="exact"/>
              <w:jc w:val="center"/>
              <w:textAlignment w:val="center"/>
              <w:rPr>
                <w:rFonts w:ascii="仿宋_GB2312"/>
                <w:b/>
                <w:kern w:val="0"/>
                <w:sz w:val="24"/>
              </w:rPr>
            </w:pPr>
            <w:r>
              <w:rPr>
                <w:rFonts w:hint="eastAsia" w:eastAsia="楷体_GB2312"/>
                <w:b/>
                <w:kern w:val="0"/>
                <w:sz w:val="24"/>
              </w:rPr>
              <w:t>失信记分</w:t>
            </w:r>
            <w:r>
              <w:rPr>
                <w:rFonts w:hint="eastAsia" w:ascii="仿宋_GB2312"/>
                <w:b/>
                <w:kern w:val="0"/>
                <w:sz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tblHeader/>
          <w:jc w:val="center"/>
        </w:trPr>
        <w:tc>
          <w:tcPr>
            <w:tcW w:w="609" w:type="dxa"/>
            <w:vAlign w:val="center"/>
          </w:tcPr>
          <w:p>
            <w:pPr>
              <w:widowControl/>
              <w:spacing w:line="300" w:lineRule="exact"/>
              <w:jc w:val="center"/>
              <w:textAlignment w:val="center"/>
              <w:rPr>
                <w:kern w:val="0"/>
                <w:sz w:val="21"/>
                <w:szCs w:val="21"/>
              </w:rPr>
            </w:pPr>
            <w:r>
              <w:rPr>
                <w:kern w:val="0"/>
                <w:sz w:val="21"/>
                <w:szCs w:val="21"/>
              </w:rPr>
              <w:t>1</w:t>
            </w:r>
          </w:p>
        </w:tc>
        <w:tc>
          <w:tcPr>
            <w:tcW w:w="1691" w:type="dxa"/>
            <w:vAlign w:val="center"/>
          </w:tcPr>
          <w:p>
            <w:pPr>
              <w:widowControl/>
              <w:spacing w:line="300" w:lineRule="exact"/>
              <w:jc w:val="center"/>
              <w:textAlignment w:val="center"/>
              <w:rPr>
                <w:kern w:val="0"/>
                <w:sz w:val="21"/>
                <w:szCs w:val="21"/>
              </w:rPr>
            </w:pPr>
            <w:r>
              <w:rPr>
                <w:kern w:val="0"/>
                <w:sz w:val="21"/>
                <w:szCs w:val="21"/>
              </w:rPr>
              <w:t>广东创盛钢结构制造有限公司生产钢结构件、五金冲压件建设项目环境影响报告表</w:t>
            </w:r>
          </w:p>
        </w:tc>
        <w:tc>
          <w:tcPr>
            <w:tcW w:w="1562" w:type="dxa"/>
            <w:vAlign w:val="center"/>
          </w:tcPr>
          <w:p>
            <w:pPr>
              <w:widowControl/>
              <w:spacing w:line="300" w:lineRule="exact"/>
              <w:jc w:val="center"/>
              <w:textAlignment w:val="center"/>
              <w:rPr>
                <w:kern w:val="0"/>
                <w:sz w:val="21"/>
                <w:szCs w:val="21"/>
              </w:rPr>
            </w:pPr>
            <w:r>
              <w:rPr>
                <w:kern w:val="0"/>
                <w:sz w:val="21"/>
                <w:szCs w:val="21"/>
              </w:rPr>
              <w:t>广东创盛钢结构制造有限公司</w:t>
            </w:r>
          </w:p>
          <w:p>
            <w:pPr>
              <w:widowControl/>
              <w:spacing w:line="300" w:lineRule="exact"/>
              <w:jc w:val="center"/>
              <w:textAlignment w:val="center"/>
              <w:rPr>
                <w:kern w:val="0"/>
                <w:sz w:val="21"/>
                <w:szCs w:val="21"/>
              </w:rPr>
            </w:pPr>
            <w:r>
              <w:rPr>
                <w:kern w:val="0"/>
                <w:sz w:val="21"/>
                <w:szCs w:val="21"/>
              </w:rPr>
              <w:t>（91440785MA55QCR58J）</w:t>
            </w:r>
          </w:p>
        </w:tc>
        <w:tc>
          <w:tcPr>
            <w:tcW w:w="4738" w:type="dxa"/>
            <w:vAlign w:val="center"/>
          </w:tcPr>
          <w:p>
            <w:pPr>
              <w:widowControl/>
              <w:spacing w:line="300" w:lineRule="exact"/>
              <w:textAlignment w:val="center"/>
              <w:rPr>
                <w:kern w:val="0"/>
                <w:sz w:val="21"/>
                <w:szCs w:val="21"/>
              </w:rPr>
            </w:pPr>
            <w:r>
              <w:rPr>
                <w:kern w:val="0"/>
                <w:sz w:val="21"/>
                <w:szCs w:val="21"/>
              </w:rPr>
              <w:t>1、环境影响评价与预测错误。未监测距厂界200米范围内的敏感点（厂界西北侧88米处的全浪村）的声环境质量现状，未对敏感点噪声影响预测，不符合</w:t>
            </w:r>
            <w:r>
              <w:rPr>
                <w:rFonts w:hint="eastAsia"/>
                <w:kern w:val="0"/>
                <w:sz w:val="21"/>
                <w:szCs w:val="21"/>
              </w:rPr>
              <w:t>《环境影响评价技术导则 声环境》（HJ 2.4-2009）</w:t>
            </w:r>
            <w:r>
              <w:rPr>
                <w:kern w:val="0"/>
                <w:sz w:val="21"/>
                <w:szCs w:val="21"/>
              </w:rPr>
              <w:t>6.4.2和9.2.1条规定。</w:t>
            </w:r>
          </w:p>
          <w:p>
            <w:pPr>
              <w:widowControl/>
              <w:spacing w:line="300" w:lineRule="exact"/>
              <w:textAlignment w:val="center"/>
              <w:rPr>
                <w:sz w:val="21"/>
                <w:szCs w:val="21"/>
              </w:rPr>
            </w:pPr>
            <w:r>
              <w:rPr>
                <w:kern w:val="0"/>
                <w:sz w:val="21"/>
                <w:szCs w:val="21"/>
              </w:rPr>
              <w:t>2、建设项目概况描述不全。报告表工艺流程未给出水性漆、油性漆使用方式，未明确水性漆和油性漆的使用面积、使用量的依据。</w:t>
            </w:r>
          </w:p>
        </w:tc>
        <w:tc>
          <w:tcPr>
            <w:tcW w:w="1775" w:type="dxa"/>
            <w:vAlign w:val="center"/>
          </w:tcPr>
          <w:p>
            <w:pPr>
              <w:widowControl/>
              <w:spacing w:line="300" w:lineRule="exact"/>
              <w:jc w:val="center"/>
              <w:textAlignment w:val="center"/>
              <w:rPr>
                <w:sz w:val="21"/>
                <w:szCs w:val="21"/>
              </w:rPr>
            </w:pPr>
            <w:r>
              <w:rPr>
                <w:sz w:val="21"/>
                <w:szCs w:val="21"/>
              </w:rPr>
              <w:t>深圳市环翊环保科技有限公司</w:t>
            </w:r>
          </w:p>
          <w:p>
            <w:pPr>
              <w:widowControl/>
              <w:spacing w:line="300" w:lineRule="exact"/>
              <w:jc w:val="center"/>
              <w:textAlignment w:val="center"/>
              <w:rPr>
                <w:kern w:val="0"/>
                <w:sz w:val="21"/>
                <w:szCs w:val="21"/>
              </w:rPr>
            </w:pPr>
            <w:r>
              <w:rPr>
                <w:sz w:val="21"/>
                <w:szCs w:val="21"/>
              </w:rPr>
              <w:t>（91440300MA5FEWEE7H）</w:t>
            </w:r>
          </w:p>
        </w:tc>
        <w:tc>
          <w:tcPr>
            <w:tcW w:w="1776" w:type="dxa"/>
            <w:vAlign w:val="center"/>
          </w:tcPr>
          <w:p>
            <w:pPr>
              <w:widowControl/>
              <w:spacing w:line="300" w:lineRule="exact"/>
              <w:jc w:val="center"/>
              <w:textAlignment w:val="center"/>
              <w:rPr>
                <w:sz w:val="21"/>
                <w:szCs w:val="21"/>
              </w:rPr>
            </w:pPr>
            <w:r>
              <w:rPr>
                <w:sz w:val="21"/>
                <w:szCs w:val="21"/>
              </w:rPr>
              <w:t>米娟（BH038549，12352243511220103）</w:t>
            </w:r>
          </w:p>
        </w:tc>
        <w:tc>
          <w:tcPr>
            <w:tcW w:w="818" w:type="dxa"/>
            <w:vAlign w:val="center"/>
          </w:tcPr>
          <w:p>
            <w:pPr>
              <w:widowControl/>
              <w:spacing w:line="300" w:lineRule="exact"/>
              <w:jc w:val="center"/>
              <w:textAlignment w:val="center"/>
              <w:rPr>
                <w:kern w:val="0"/>
                <w:sz w:val="21"/>
                <w:szCs w:val="21"/>
              </w:rPr>
            </w:pPr>
            <w:r>
              <w:rPr>
                <w:kern w:val="0"/>
                <w:sz w:val="21"/>
                <w:szCs w:val="21"/>
              </w:rPr>
              <w:t>5</w:t>
            </w:r>
          </w:p>
        </w:tc>
        <w:tc>
          <w:tcPr>
            <w:tcW w:w="850" w:type="dxa"/>
            <w:vAlign w:val="center"/>
          </w:tcPr>
          <w:p>
            <w:pPr>
              <w:jc w:val="center"/>
              <w:rPr>
                <w:sz w:val="21"/>
                <w:szCs w:val="21"/>
              </w:rPr>
            </w:pPr>
            <w:r>
              <w:rPr>
                <w:sz w:val="21"/>
                <w:szCs w:val="21"/>
              </w:rPr>
              <w:t>5</w:t>
            </w:r>
          </w:p>
        </w:tc>
        <w:tc>
          <w:tcPr>
            <w:tcW w:w="1691" w:type="dxa"/>
            <w:vAlign w:val="center"/>
          </w:tcPr>
          <w:p>
            <w:pPr>
              <w:widowControl/>
              <w:spacing w:line="300" w:lineRule="exact"/>
              <w:jc w:val="center"/>
              <w:textAlignment w:val="center"/>
              <w:rPr>
                <w:kern w:val="0"/>
                <w:sz w:val="21"/>
                <w:szCs w:val="21"/>
              </w:rPr>
            </w:pPr>
            <w:r>
              <w:rPr>
                <w:sz w:val="21"/>
                <w:szCs w:val="21"/>
              </w:rPr>
              <w:t>《监督管理办法》第二十六条</w:t>
            </w:r>
            <w:r>
              <w:rPr>
                <w:rFonts w:hint="eastAsia"/>
                <w:sz w:val="21"/>
                <w:szCs w:val="21"/>
                <w:lang w:eastAsia="zh-CN"/>
              </w:rPr>
              <w:t>第一款</w:t>
            </w:r>
            <w:r>
              <w:rPr>
                <w:sz w:val="21"/>
                <w:szCs w:val="21"/>
              </w:rPr>
              <w:t>第（三）（九）项以及《失信记分办法（试行）》第七条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4" w:hRule="atLeast"/>
          <w:tblHeader/>
          <w:jc w:val="center"/>
        </w:trPr>
        <w:tc>
          <w:tcPr>
            <w:tcW w:w="609" w:type="dxa"/>
            <w:vAlign w:val="center"/>
          </w:tcPr>
          <w:p>
            <w:pPr>
              <w:widowControl/>
              <w:spacing w:line="300" w:lineRule="exact"/>
              <w:jc w:val="center"/>
              <w:textAlignment w:val="center"/>
              <w:rPr>
                <w:kern w:val="0"/>
                <w:sz w:val="21"/>
                <w:szCs w:val="21"/>
              </w:rPr>
            </w:pPr>
            <w:r>
              <w:rPr>
                <w:kern w:val="0"/>
                <w:sz w:val="21"/>
                <w:szCs w:val="21"/>
              </w:rPr>
              <w:t>2</w:t>
            </w:r>
          </w:p>
        </w:tc>
        <w:tc>
          <w:tcPr>
            <w:tcW w:w="1691" w:type="dxa"/>
            <w:vAlign w:val="center"/>
          </w:tcPr>
          <w:p>
            <w:pPr>
              <w:widowControl/>
              <w:spacing w:line="300" w:lineRule="exact"/>
              <w:jc w:val="center"/>
              <w:textAlignment w:val="center"/>
              <w:rPr>
                <w:kern w:val="0"/>
                <w:sz w:val="21"/>
                <w:szCs w:val="21"/>
              </w:rPr>
            </w:pPr>
            <w:r>
              <w:rPr>
                <w:kern w:val="0"/>
                <w:sz w:val="21"/>
                <w:szCs w:val="21"/>
              </w:rPr>
              <w:t>恩平市富嘉达电子科技有限公司生产麦克风配件、麦克风网头建设项目环境影响报告表</w:t>
            </w:r>
          </w:p>
        </w:tc>
        <w:tc>
          <w:tcPr>
            <w:tcW w:w="1562" w:type="dxa"/>
            <w:vAlign w:val="center"/>
          </w:tcPr>
          <w:p>
            <w:pPr>
              <w:widowControl/>
              <w:spacing w:line="300" w:lineRule="exact"/>
              <w:jc w:val="center"/>
              <w:textAlignment w:val="center"/>
              <w:rPr>
                <w:kern w:val="0"/>
                <w:sz w:val="21"/>
                <w:szCs w:val="21"/>
              </w:rPr>
            </w:pPr>
            <w:r>
              <w:rPr>
                <w:kern w:val="0"/>
                <w:sz w:val="21"/>
                <w:szCs w:val="21"/>
              </w:rPr>
              <w:t>恩平市富嘉达电子科技有限公司</w:t>
            </w:r>
          </w:p>
          <w:p>
            <w:pPr>
              <w:widowControl/>
              <w:spacing w:line="300" w:lineRule="exact"/>
              <w:jc w:val="center"/>
              <w:textAlignment w:val="center"/>
              <w:rPr>
                <w:kern w:val="0"/>
                <w:sz w:val="21"/>
                <w:szCs w:val="21"/>
              </w:rPr>
            </w:pPr>
            <w:r>
              <w:rPr>
                <w:kern w:val="0"/>
                <w:sz w:val="21"/>
                <w:szCs w:val="21"/>
              </w:rPr>
              <w:t>（91440785MA54TKQAXJ）</w:t>
            </w:r>
          </w:p>
        </w:tc>
        <w:tc>
          <w:tcPr>
            <w:tcW w:w="4738" w:type="dxa"/>
            <w:vAlign w:val="center"/>
          </w:tcPr>
          <w:p>
            <w:pPr>
              <w:widowControl/>
              <w:spacing w:line="300" w:lineRule="exact"/>
              <w:textAlignment w:val="center"/>
              <w:rPr>
                <w:kern w:val="0"/>
                <w:sz w:val="21"/>
                <w:szCs w:val="21"/>
              </w:rPr>
            </w:pPr>
            <w:r>
              <w:rPr>
                <w:kern w:val="0"/>
                <w:sz w:val="21"/>
                <w:szCs w:val="21"/>
              </w:rPr>
              <w:t>1、降低环境影响评价工作等级。依据《关于印发&lt;江门市声环境功能区划&gt;的通知》</w:t>
            </w:r>
            <w:r>
              <w:rPr>
                <w:rFonts w:hint="eastAsia"/>
                <w:kern w:val="0"/>
                <w:sz w:val="21"/>
                <w:szCs w:val="21"/>
              </w:rPr>
              <w:t>（</w:t>
            </w:r>
            <w:r>
              <w:rPr>
                <w:kern w:val="0"/>
                <w:sz w:val="21"/>
                <w:szCs w:val="21"/>
              </w:rPr>
              <w:t>江环〔2019〕378号</w:t>
            </w:r>
            <w:r>
              <w:rPr>
                <w:rFonts w:hint="eastAsia"/>
                <w:kern w:val="0"/>
                <w:sz w:val="21"/>
                <w:szCs w:val="21"/>
              </w:rPr>
              <w:t>）</w:t>
            </w:r>
            <w:r>
              <w:rPr>
                <w:kern w:val="0"/>
                <w:sz w:val="21"/>
                <w:szCs w:val="21"/>
              </w:rPr>
              <w:t>，项目所在地声环境功能区划为2类声环境功能区，声环境影响评价等级应为2级。但报告表错误的将其定为3类区（P7和P11），降低了声环境评价等级。</w:t>
            </w:r>
          </w:p>
          <w:p>
            <w:pPr>
              <w:widowControl/>
              <w:spacing w:line="300" w:lineRule="exact"/>
              <w:textAlignment w:val="center"/>
              <w:rPr>
                <w:kern w:val="0"/>
                <w:sz w:val="21"/>
                <w:szCs w:val="21"/>
              </w:rPr>
            </w:pPr>
            <w:r>
              <w:rPr>
                <w:kern w:val="0"/>
                <w:sz w:val="21"/>
                <w:szCs w:val="21"/>
              </w:rPr>
              <w:t>2、环境影响评价与预测结果错误。没有预测运行期噪声对厂界影响，没有给出厂界的达标分析，不符合声导则9.2.1条规定。</w:t>
            </w:r>
          </w:p>
          <w:p>
            <w:pPr>
              <w:widowControl/>
              <w:spacing w:line="300" w:lineRule="exact"/>
              <w:textAlignment w:val="center"/>
              <w:rPr>
                <w:kern w:val="0"/>
                <w:sz w:val="21"/>
                <w:szCs w:val="21"/>
              </w:rPr>
            </w:pPr>
            <w:r>
              <w:rPr>
                <w:kern w:val="0"/>
                <w:sz w:val="21"/>
                <w:szCs w:val="21"/>
              </w:rPr>
              <w:t>3、所提环保措施不符合相关规定。烟气处理措施不符合《建设项目环境影响评价技术导则总纲》（HJ 2.1-2016）7.1 中关于环境保护措施及其可行性论证需“分析论证拟采取措施的技术可行性、经济合理性、长期稳定运行和达标排放的可靠性”的要求。P52表7-12中排气筒P3和P4烟气出口流速为36.21m/s，不符合《大气污染治理工程技术导则》（HJ 2000-2010）5.3.5条相关规定。</w:t>
            </w:r>
          </w:p>
          <w:p>
            <w:pPr>
              <w:widowControl/>
              <w:spacing w:line="300" w:lineRule="exact"/>
              <w:textAlignment w:val="center"/>
              <w:rPr>
                <w:kern w:val="0"/>
                <w:sz w:val="21"/>
                <w:szCs w:val="21"/>
              </w:rPr>
            </w:pPr>
            <w:r>
              <w:rPr>
                <w:kern w:val="0"/>
                <w:sz w:val="21"/>
                <w:szCs w:val="21"/>
              </w:rPr>
              <w:t>4、环境影响评价与预测内容不全。缺失地下水的评价内容。</w:t>
            </w:r>
          </w:p>
        </w:tc>
        <w:tc>
          <w:tcPr>
            <w:tcW w:w="1775" w:type="dxa"/>
            <w:vAlign w:val="center"/>
          </w:tcPr>
          <w:p>
            <w:pPr>
              <w:widowControl/>
              <w:spacing w:line="300" w:lineRule="exact"/>
              <w:jc w:val="center"/>
              <w:textAlignment w:val="center"/>
              <w:rPr>
                <w:sz w:val="21"/>
                <w:szCs w:val="21"/>
              </w:rPr>
            </w:pPr>
            <w:r>
              <w:rPr>
                <w:sz w:val="21"/>
                <w:szCs w:val="21"/>
              </w:rPr>
              <w:t>深圳市环翊环保科技有限公司</w:t>
            </w:r>
          </w:p>
          <w:p>
            <w:pPr>
              <w:widowControl/>
              <w:spacing w:line="300" w:lineRule="exact"/>
              <w:jc w:val="center"/>
              <w:textAlignment w:val="center"/>
              <w:rPr>
                <w:kern w:val="0"/>
                <w:sz w:val="21"/>
                <w:szCs w:val="21"/>
              </w:rPr>
            </w:pPr>
            <w:r>
              <w:rPr>
                <w:sz w:val="21"/>
                <w:szCs w:val="21"/>
              </w:rPr>
              <w:t>（91440300MA5FEWEE7H）</w:t>
            </w:r>
          </w:p>
        </w:tc>
        <w:tc>
          <w:tcPr>
            <w:tcW w:w="1776" w:type="dxa"/>
            <w:vAlign w:val="center"/>
          </w:tcPr>
          <w:p>
            <w:pPr>
              <w:widowControl/>
              <w:spacing w:line="300" w:lineRule="exact"/>
              <w:jc w:val="center"/>
              <w:textAlignment w:val="center"/>
              <w:rPr>
                <w:kern w:val="0"/>
                <w:sz w:val="21"/>
                <w:szCs w:val="21"/>
              </w:rPr>
            </w:pPr>
            <w:r>
              <w:rPr>
                <w:sz w:val="21"/>
                <w:szCs w:val="21"/>
              </w:rPr>
              <w:t>米娟（BH038549，12352243511220103）</w:t>
            </w:r>
          </w:p>
        </w:tc>
        <w:tc>
          <w:tcPr>
            <w:tcW w:w="818" w:type="dxa"/>
            <w:vAlign w:val="center"/>
          </w:tcPr>
          <w:p>
            <w:pPr>
              <w:widowControl/>
              <w:spacing w:line="300" w:lineRule="exact"/>
              <w:jc w:val="center"/>
              <w:textAlignment w:val="center"/>
              <w:rPr>
                <w:kern w:val="0"/>
                <w:sz w:val="21"/>
                <w:szCs w:val="21"/>
              </w:rPr>
            </w:pPr>
            <w:r>
              <w:rPr>
                <w:kern w:val="0"/>
                <w:sz w:val="21"/>
                <w:szCs w:val="21"/>
              </w:rPr>
              <w:t>5</w:t>
            </w:r>
          </w:p>
        </w:tc>
        <w:tc>
          <w:tcPr>
            <w:tcW w:w="850" w:type="dxa"/>
            <w:vAlign w:val="center"/>
          </w:tcPr>
          <w:p>
            <w:pPr>
              <w:jc w:val="center"/>
              <w:rPr>
                <w:sz w:val="21"/>
                <w:szCs w:val="21"/>
              </w:rPr>
            </w:pPr>
            <w:r>
              <w:rPr>
                <w:sz w:val="21"/>
                <w:szCs w:val="21"/>
              </w:rPr>
              <w:t>5</w:t>
            </w:r>
          </w:p>
        </w:tc>
        <w:tc>
          <w:tcPr>
            <w:tcW w:w="1691" w:type="dxa"/>
            <w:vAlign w:val="center"/>
          </w:tcPr>
          <w:p>
            <w:pPr>
              <w:widowControl/>
              <w:spacing w:line="300" w:lineRule="exact"/>
              <w:jc w:val="center"/>
              <w:textAlignment w:val="center"/>
              <w:rPr>
                <w:kern w:val="0"/>
                <w:sz w:val="21"/>
                <w:szCs w:val="21"/>
              </w:rPr>
            </w:pPr>
            <w:r>
              <w:rPr>
                <w:sz w:val="21"/>
                <w:szCs w:val="21"/>
              </w:rPr>
              <w:t>《监督管理办法》第二十六条</w:t>
            </w:r>
            <w:r>
              <w:rPr>
                <w:rFonts w:hint="eastAsia"/>
                <w:sz w:val="21"/>
                <w:szCs w:val="21"/>
                <w:lang w:eastAsia="zh-CN"/>
              </w:rPr>
              <w:t>第一款</w:t>
            </w:r>
            <w:r>
              <w:rPr>
                <w:sz w:val="21"/>
                <w:szCs w:val="21"/>
              </w:rPr>
              <w:t>第（二）（九）(十）项以及《失信记分办法（试行）》第七条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5" w:hRule="atLeast"/>
          <w:tblHeader/>
          <w:jc w:val="center"/>
        </w:trPr>
        <w:tc>
          <w:tcPr>
            <w:tcW w:w="609" w:type="dxa"/>
            <w:vAlign w:val="center"/>
          </w:tcPr>
          <w:p>
            <w:pPr>
              <w:widowControl/>
              <w:spacing w:line="300" w:lineRule="exact"/>
              <w:jc w:val="center"/>
              <w:textAlignment w:val="center"/>
              <w:rPr>
                <w:kern w:val="0"/>
                <w:sz w:val="21"/>
                <w:szCs w:val="21"/>
              </w:rPr>
            </w:pPr>
            <w:r>
              <w:rPr>
                <w:kern w:val="0"/>
                <w:sz w:val="21"/>
                <w:szCs w:val="21"/>
              </w:rPr>
              <w:t>3</w:t>
            </w:r>
          </w:p>
        </w:tc>
        <w:tc>
          <w:tcPr>
            <w:tcW w:w="1691" w:type="dxa"/>
            <w:vAlign w:val="center"/>
          </w:tcPr>
          <w:p>
            <w:pPr>
              <w:widowControl/>
              <w:spacing w:line="300" w:lineRule="exact"/>
              <w:jc w:val="center"/>
              <w:textAlignment w:val="center"/>
              <w:rPr>
                <w:kern w:val="0"/>
                <w:sz w:val="21"/>
                <w:szCs w:val="21"/>
              </w:rPr>
            </w:pPr>
            <w:r>
              <w:rPr>
                <w:kern w:val="0"/>
                <w:sz w:val="21"/>
                <w:szCs w:val="21"/>
              </w:rPr>
              <w:t>江门市蓬江区格利金属制品加工有限公司年加工金属件3850万个新建项目环境影响报告表</w:t>
            </w:r>
          </w:p>
        </w:tc>
        <w:tc>
          <w:tcPr>
            <w:tcW w:w="1562" w:type="dxa"/>
            <w:vAlign w:val="center"/>
          </w:tcPr>
          <w:p>
            <w:pPr>
              <w:widowControl/>
              <w:spacing w:line="300" w:lineRule="exact"/>
              <w:jc w:val="center"/>
              <w:textAlignment w:val="center"/>
              <w:rPr>
                <w:kern w:val="0"/>
                <w:sz w:val="21"/>
                <w:szCs w:val="21"/>
              </w:rPr>
            </w:pPr>
            <w:r>
              <w:rPr>
                <w:kern w:val="0"/>
                <w:sz w:val="21"/>
                <w:szCs w:val="21"/>
              </w:rPr>
              <w:t>江门市蓬江区格利金属制品加工有限公司（91440703MA551LA742）</w:t>
            </w:r>
          </w:p>
        </w:tc>
        <w:tc>
          <w:tcPr>
            <w:tcW w:w="4738" w:type="dxa"/>
            <w:vAlign w:val="center"/>
          </w:tcPr>
          <w:p>
            <w:pPr>
              <w:widowControl/>
              <w:spacing w:line="300" w:lineRule="exact"/>
              <w:textAlignment w:val="center"/>
              <w:rPr>
                <w:kern w:val="0"/>
                <w:sz w:val="21"/>
                <w:szCs w:val="21"/>
              </w:rPr>
            </w:pPr>
            <w:r>
              <w:rPr>
                <w:kern w:val="0"/>
                <w:sz w:val="21"/>
                <w:szCs w:val="21"/>
              </w:rPr>
              <w:t>1、环境质量现状监测因子不符合相关规定。大气评价工作等级为二级评价，未调查评价范围内颗粒物（TSP）环境质量监测数据，且未进行补充监测，不符合《环境影响评价技术导则大气环境》（HJ 2.2-2018）6.1.2.2 中“调查评价范围内有环境质量标准的评价因子的环境质量监测数据或进行补充监测，用于评价项目所在区域污染物环境质量现状”的要求。</w:t>
            </w:r>
          </w:p>
          <w:p>
            <w:pPr>
              <w:widowControl/>
              <w:spacing w:line="300" w:lineRule="exact"/>
              <w:textAlignment w:val="center"/>
              <w:rPr>
                <w:b/>
                <w:bCs/>
                <w:sz w:val="21"/>
                <w:szCs w:val="21"/>
              </w:rPr>
            </w:pPr>
            <w:r>
              <w:rPr>
                <w:kern w:val="0"/>
                <w:sz w:val="21"/>
                <w:szCs w:val="21"/>
              </w:rPr>
              <w:t>2、废水源强核算错误。根据报告表提供数据，项目日喷涂面积3850万件×0.1178m</w:t>
            </w:r>
            <w:r>
              <w:rPr>
                <w:kern w:val="0"/>
                <w:sz w:val="21"/>
                <w:szCs w:val="21"/>
                <w:vertAlign w:val="superscript"/>
              </w:rPr>
              <w:t>2</w:t>
            </w:r>
            <w:r>
              <w:rPr>
                <w:kern w:val="0"/>
                <w:sz w:val="21"/>
                <w:szCs w:val="21"/>
              </w:rPr>
              <w:t>（单件面积）×10000/300d=15118m</w:t>
            </w:r>
            <w:r>
              <w:rPr>
                <w:kern w:val="0"/>
                <w:sz w:val="21"/>
                <w:szCs w:val="21"/>
                <w:vertAlign w:val="superscript"/>
              </w:rPr>
              <w:t>2</w:t>
            </w:r>
            <w:r>
              <w:rPr>
                <w:kern w:val="0"/>
                <w:sz w:val="21"/>
                <w:szCs w:val="21"/>
              </w:rPr>
              <w:t>/d。项目采用的除油工艺与电镀行业采取的前处理工艺相同，前处理产水系数可参考《电镀行业清洁生产评价指标体系》，项目为3级清洗，按最先进清洁生产水平“单位产品每次清洗水量</w:t>
            </w:r>
            <w:r>
              <w:rPr>
                <w:rFonts w:hint="eastAsia" w:ascii="宋体" w:hAnsi="宋体" w:eastAsia="宋体" w:cs="宋体"/>
                <w:kern w:val="0"/>
                <w:sz w:val="21"/>
                <w:szCs w:val="21"/>
              </w:rPr>
              <w:t>Ⅰ</w:t>
            </w:r>
            <w:r>
              <w:rPr>
                <w:kern w:val="0"/>
                <w:sz w:val="21"/>
                <w:szCs w:val="21"/>
              </w:rPr>
              <w:t>级基准值8L/ m</w:t>
            </w:r>
            <w:r>
              <w:rPr>
                <w:kern w:val="0"/>
                <w:sz w:val="21"/>
                <w:szCs w:val="21"/>
                <w:vertAlign w:val="superscript"/>
              </w:rPr>
              <w:t>2</w:t>
            </w:r>
            <w:r>
              <w:rPr>
                <w:kern w:val="0"/>
                <w:sz w:val="21"/>
                <w:szCs w:val="21"/>
              </w:rPr>
              <w:t>”来核算项目废水产生量，则项目废水量应为363m</w:t>
            </w:r>
            <w:r>
              <w:rPr>
                <w:kern w:val="0"/>
                <w:sz w:val="21"/>
                <w:szCs w:val="21"/>
                <w:vertAlign w:val="superscript"/>
              </w:rPr>
              <w:t>3</w:t>
            </w:r>
            <w:r>
              <w:rPr>
                <w:kern w:val="0"/>
                <w:sz w:val="21"/>
                <w:szCs w:val="21"/>
              </w:rPr>
              <w:t>/d。而报告表核算的清洗废水产生量仅1400/300=4.6m</w:t>
            </w:r>
            <w:r>
              <w:rPr>
                <w:kern w:val="0"/>
                <w:sz w:val="21"/>
                <w:szCs w:val="21"/>
                <w:vertAlign w:val="superscript"/>
              </w:rPr>
              <w:t>3</w:t>
            </w:r>
            <w:r>
              <w:rPr>
                <w:kern w:val="0"/>
                <w:sz w:val="21"/>
                <w:szCs w:val="21"/>
              </w:rPr>
              <w:t>/d，与最先进清洁生产水平计算值相差巨大，不符合常识。</w:t>
            </w:r>
          </w:p>
        </w:tc>
        <w:tc>
          <w:tcPr>
            <w:tcW w:w="1775" w:type="dxa"/>
            <w:vAlign w:val="center"/>
          </w:tcPr>
          <w:p>
            <w:pPr>
              <w:widowControl/>
              <w:spacing w:line="300" w:lineRule="exact"/>
              <w:jc w:val="center"/>
              <w:textAlignment w:val="center"/>
              <w:rPr>
                <w:kern w:val="0"/>
                <w:sz w:val="21"/>
                <w:szCs w:val="21"/>
              </w:rPr>
            </w:pPr>
            <w:r>
              <w:rPr>
                <w:sz w:val="21"/>
                <w:szCs w:val="21"/>
              </w:rPr>
              <w:t>深圳天成环保技术服务有限公司（91440300MA5GG0470K）</w:t>
            </w:r>
          </w:p>
        </w:tc>
        <w:tc>
          <w:tcPr>
            <w:tcW w:w="1776" w:type="dxa"/>
            <w:vAlign w:val="center"/>
          </w:tcPr>
          <w:p>
            <w:pPr>
              <w:widowControl/>
              <w:spacing w:line="300" w:lineRule="exact"/>
              <w:jc w:val="center"/>
              <w:textAlignment w:val="center"/>
              <w:rPr>
                <w:kern w:val="0"/>
                <w:sz w:val="21"/>
                <w:szCs w:val="21"/>
              </w:rPr>
            </w:pPr>
            <w:r>
              <w:rPr>
                <w:kern w:val="0"/>
                <w:sz w:val="21"/>
                <w:szCs w:val="21"/>
              </w:rPr>
              <w:t>吴志洪（BH019037，07354543506450209）</w:t>
            </w:r>
          </w:p>
        </w:tc>
        <w:tc>
          <w:tcPr>
            <w:tcW w:w="818" w:type="dxa"/>
            <w:vAlign w:val="center"/>
          </w:tcPr>
          <w:p>
            <w:pPr>
              <w:jc w:val="center"/>
              <w:rPr>
                <w:sz w:val="21"/>
                <w:szCs w:val="21"/>
              </w:rPr>
            </w:pPr>
            <w:r>
              <w:rPr>
                <w:sz w:val="21"/>
                <w:szCs w:val="21"/>
              </w:rPr>
              <w:t>5</w:t>
            </w:r>
          </w:p>
        </w:tc>
        <w:tc>
          <w:tcPr>
            <w:tcW w:w="850" w:type="dxa"/>
            <w:vAlign w:val="center"/>
          </w:tcPr>
          <w:p>
            <w:pPr>
              <w:jc w:val="center"/>
              <w:rPr>
                <w:sz w:val="21"/>
                <w:szCs w:val="21"/>
              </w:rPr>
            </w:pPr>
            <w:r>
              <w:rPr>
                <w:sz w:val="21"/>
                <w:szCs w:val="21"/>
              </w:rPr>
              <w:t>5</w:t>
            </w:r>
          </w:p>
        </w:tc>
        <w:tc>
          <w:tcPr>
            <w:tcW w:w="1691" w:type="dxa"/>
            <w:vAlign w:val="center"/>
          </w:tcPr>
          <w:p>
            <w:pPr>
              <w:widowControl/>
              <w:spacing w:line="300" w:lineRule="exact"/>
              <w:jc w:val="center"/>
              <w:textAlignment w:val="center"/>
              <w:rPr>
                <w:kern w:val="0"/>
                <w:sz w:val="21"/>
                <w:szCs w:val="21"/>
              </w:rPr>
            </w:pPr>
            <w:r>
              <w:rPr>
                <w:sz w:val="21"/>
                <w:szCs w:val="21"/>
              </w:rPr>
              <w:t>《监督管理办法》第二十六条</w:t>
            </w:r>
            <w:r>
              <w:rPr>
                <w:rFonts w:hint="eastAsia"/>
                <w:sz w:val="21"/>
                <w:szCs w:val="21"/>
                <w:lang w:eastAsia="zh-CN"/>
              </w:rPr>
              <w:t>第一款</w:t>
            </w:r>
            <w:bookmarkStart w:id="0" w:name="_GoBack"/>
            <w:bookmarkEnd w:id="0"/>
            <w:r>
              <w:rPr>
                <w:sz w:val="21"/>
                <w:szCs w:val="21"/>
              </w:rPr>
              <w:t>第（五）（六）项以及《失信记分办法（试行）》第七条</w:t>
            </w:r>
          </w:p>
        </w:tc>
      </w:tr>
    </w:tbl>
    <w:p>
      <w:pPr>
        <w:rPr>
          <w:rFonts w:ascii="仿宋_GB2312"/>
          <w:sz w:val="21"/>
          <w:szCs w:val="21"/>
        </w:rPr>
      </w:pPr>
    </w:p>
    <w:sectPr>
      <w:pgSz w:w="16839" w:h="11907"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4B"/>
    <w:rsid w:val="00074BF5"/>
    <w:rsid w:val="000847A3"/>
    <w:rsid w:val="0009296A"/>
    <w:rsid w:val="000B101B"/>
    <w:rsid w:val="000B127E"/>
    <w:rsid w:val="000E24E3"/>
    <w:rsid w:val="00102908"/>
    <w:rsid w:val="00180863"/>
    <w:rsid w:val="001A076E"/>
    <w:rsid w:val="001A5E42"/>
    <w:rsid w:val="001A67CC"/>
    <w:rsid w:val="001D6BDE"/>
    <w:rsid w:val="00262C66"/>
    <w:rsid w:val="00264BA1"/>
    <w:rsid w:val="00281E6A"/>
    <w:rsid w:val="002D048B"/>
    <w:rsid w:val="002E6131"/>
    <w:rsid w:val="00331F28"/>
    <w:rsid w:val="0033238E"/>
    <w:rsid w:val="00333D83"/>
    <w:rsid w:val="00345F17"/>
    <w:rsid w:val="003E4C10"/>
    <w:rsid w:val="00402357"/>
    <w:rsid w:val="00420F9B"/>
    <w:rsid w:val="00453A1F"/>
    <w:rsid w:val="00484940"/>
    <w:rsid w:val="00497F7F"/>
    <w:rsid w:val="004B1111"/>
    <w:rsid w:val="0057154F"/>
    <w:rsid w:val="005A1CA0"/>
    <w:rsid w:val="005B3EFE"/>
    <w:rsid w:val="006066F1"/>
    <w:rsid w:val="00610008"/>
    <w:rsid w:val="00613395"/>
    <w:rsid w:val="006668E0"/>
    <w:rsid w:val="006A3FE4"/>
    <w:rsid w:val="006B167E"/>
    <w:rsid w:val="006D2E9C"/>
    <w:rsid w:val="0070218A"/>
    <w:rsid w:val="00722B59"/>
    <w:rsid w:val="00732AFB"/>
    <w:rsid w:val="00757FDA"/>
    <w:rsid w:val="007700B4"/>
    <w:rsid w:val="00796BC8"/>
    <w:rsid w:val="007972F3"/>
    <w:rsid w:val="007B71AC"/>
    <w:rsid w:val="007E74EA"/>
    <w:rsid w:val="00817BB6"/>
    <w:rsid w:val="00854F68"/>
    <w:rsid w:val="0087564D"/>
    <w:rsid w:val="00883FF8"/>
    <w:rsid w:val="00886DBC"/>
    <w:rsid w:val="008A660A"/>
    <w:rsid w:val="008A797F"/>
    <w:rsid w:val="008B3F74"/>
    <w:rsid w:val="008C0FB4"/>
    <w:rsid w:val="00943828"/>
    <w:rsid w:val="00970218"/>
    <w:rsid w:val="009D667E"/>
    <w:rsid w:val="009E4DC0"/>
    <w:rsid w:val="00A06FA2"/>
    <w:rsid w:val="00A14ACA"/>
    <w:rsid w:val="00A47F95"/>
    <w:rsid w:val="00A54415"/>
    <w:rsid w:val="00AA1903"/>
    <w:rsid w:val="00AC0197"/>
    <w:rsid w:val="00AD208D"/>
    <w:rsid w:val="00AD7868"/>
    <w:rsid w:val="00AE5EBB"/>
    <w:rsid w:val="00AF0956"/>
    <w:rsid w:val="00AF1554"/>
    <w:rsid w:val="00AF7263"/>
    <w:rsid w:val="00B0432E"/>
    <w:rsid w:val="00B07283"/>
    <w:rsid w:val="00B36CD1"/>
    <w:rsid w:val="00B41B7F"/>
    <w:rsid w:val="00B6188A"/>
    <w:rsid w:val="00B65268"/>
    <w:rsid w:val="00B90DB3"/>
    <w:rsid w:val="00BC2567"/>
    <w:rsid w:val="00C00B08"/>
    <w:rsid w:val="00C123B1"/>
    <w:rsid w:val="00C325BE"/>
    <w:rsid w:val="00C44083"/>
    <w:rsid w:val="00C73D9C"/>
    <w:rsid w:val="00CA0914"/>
    <w:rsid w:val="00CA533D"/>
    <w:rsid w:val="00CB1969"/>
    <w:rsid w:val="00D20792"/>
    <w:rsid w:val="00D361D8"/>
    <w:rsid w:val="00D643A6"/>
    <w:rsid w:val="00D6493A"/>
    <w:rsid w:val="00D722ED"/>
    <w:rsid w:val="00D84164"/>
    <w:rsid w:val="00D9265C"/>
    <w:rsid w:val="00E35DCC"/>
    <w:rsid w:val="00E64222"/>
    <w:rsid w:val="00E77AD7"/>
    <w:rsid w:val="00E975C0"/>
    <w:rsid w:val="00EE5051"/>
    <w:rsid w:val="00EE69F9"/>
    <w:rsid w:val="00F03FC1"/>
    <w:rsid w:val="00F164CC"/>
    <w:rsid w:val="00F22AC4"/>
    <w:rsid w:val="00F4480A"/>
    <w:rsid w:val="00F71886"/>
    <w:rsid w:val="00F802B1"/>
    <w:rsid w:val="00F905CA"/>
    <w:rsid w:val="00F95E4B"/>
    <w:rsid w:val="7FF98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254</Words>
  <Characters>1454</Characters>
  <Lines>12</Lines>
  <Paragraphs>3</Paragraphs>
  <TotalTime>400</TotalTime>
  <ScaleCrop>false</ScaleCrop>
  <LinksUpToDate>false</LinksUpToDate>
  <CharactersWithSpaces>1705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2021-05-18T10:14:00Z</dcterms:created>
  <dc:creator>谭颂贤</dc:creator>
  <cp:lastModifiedBy>uos</cp:lastModifiedBy>
  <dcterms:modified xsi:type="dcterms:W3CDTF">2021-09-10T15:26:33Z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