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广东骏高陶瓷有限公司3号生产线热力供应工程改造项目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环境影响</w:t>
            </w:r>
            <w:r>
              <w:rPr>
                <w:kern w:val="0"/>
                <w:sz w:val="21"/>
                <w:szCs w:val="21"/>
              </w:rPr>
              <w:t xml:space="preserve">报告表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广东骏高陶瓷有限公司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91440785MA55KRRPXD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1．污染源源强核算方法错误。</w:t>
            </w:r>
          </w:p>
          <w:p>
            <w:pPr>
              <w:widowControl/>
              <w:spacing w:line="300" w:lineRule="exac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报告表表述3号生产线燃烧废气中的颗粒物、氮氧化物的产生系数参考《排污许可证申请与核发技术规范 陶瓷砖瓦工业》（HJ954-2018）中“附录F 陶瓷工业排污单位废气污染物产污系数”，氮氧化物的产生量为3.18kg/t×6444.4042t/a=20.493t/a；其中6444.4042t/a为天然气的年使用量。但根据《排污许可证申请与核发技术规范 陶瓷砖瓦工业》（HJ954-2018）9.2.1.2 a）3）产污系数法，应该用核算时段内陶瓷砖瓦生产线产量进行核算，而不是用燃料使用量核算，项目3号生产线产量70000t/a。3号生产线产量与天然气的年使用量差距巨大，源强核算不可信。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深圳市江港环保科技有限公司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914403000942403113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张五交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BH040617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08354143507410497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</w:rPr>
              <w:t>（五）项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7DF71503"/>
    <w:rsid w:val="7FFBA615"/>
    <w:rsid w:val="BEB58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199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2021-05-18T10:14:00Z</dcterms:created>
  <dc:creator>谭颂贤</dc:creator>
  <cp:lastModifiedBy>uos</cp:lastModifiedBy>
  <dcterms:modified xsi:type="dcterms:W3CDTF">2021-09-10T16:18:58Z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