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方正小标宋简体"/>
          <w:szCs w:val="32"/>
        </w:rPr>
      </w:pPr>
      <w:r>
        <w:rPr>
          <w:rFonts w:hint="eastAsia" w:ascii="黑体" w:hAnsi="黑体" w:eastAsia="黑体" w:cs="方正小标宋简体"/>
          <w:szCs w:val="32"/>
        </w:rPr>
        <w:t>附件</w:t>
      </w:r>
    </w:p>
    <w:p>
      <w:pPr>
        <w:jc w:val="center"/>
      </w:pPr>
      <w:r>
        <w:rPr>
          <w:rFonts w:hint="eastAsia" w:ascii="方正小标宋简体" w:hAnsi="方正小标宋简体" w:eastAsia="方正小标宋简体" w:cs="方正小标宋简体"/>
          <w:sz w:val="36"/>
          <w:szCs w:val="36"/>
        </w:rPr>
        <w:t>江门市2021年环境影响评价文件（第</w:t>
      </w:r>
      <w:r>
        <w:rPr>
          <w:rFonts w:hint="eastAsia" w:ascii="方正小标宋简体" w:hAnsi="方正小标宋简体" w:eastAsia="方正小标宋简体" w:cs="方正小标宋简体"/>
          <w:sz w:val="36"/>
          <w:szCs w:val="36"/>
          <w:lang w:eastAsia="zh-CN"/>
        </w:rPr>
        <w:t>一</w:t>
      </w:r>
      <w:r>
        <w:rPr>
          <w:rFonts w:hint="eastAsia" w:ascii="方正小标宋简体" w:hAnsi="方正小标宋简体" w:eastAsia="方正小标宋简体" w:cs="方正小标宋简体"/>
          <w:sz w:val="36"/>
          <w:szCs w:val="36"/>
        </w:rPr>
        <w:t>批）复核抽查发现问题及处理意见</w:t>
      </w:r>
    </w:p>
    <w:tbl>
      <w:tblPr>
        <w:tblStyle w:val="5"/>
        <w:tblW w:w="155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691"/>
        <w:gridCol w:w="1562"/>
        <w:gridCol w:w="4738"/>
        <w:gridCol w:w="1775"/>
        <w:gridCol w:w="1776"/>
        <w:gridCol w:w="818"/>
        <w:gridCol w:w="850"/>
        <w:gridCol w:w="16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blHeader/>
          <w:jc w:val="center"/>
        </w:trPr>
        <w:tc>
          <w:tcPr>
            <w:tcW w:w="609"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序号</w:t>
            </w:r>
          </w:p>
        </w:tc>
        <w:tc>
          <w:tcPr>
            <w:tcW w:w="1691"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环评文件名称</w:t>
            </w:r>
          </w:p>
        </w:tc>
        <w:tc>
          <w:tcPr>
            <w:tcW w:w="1562"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建设单位（含统一社会信用代码）</w:t>
            </w:r>
          </w:p>
        </w:tc>
        <w:tc>
          <w:tcPr>
            <w:tcW w:w="4738"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环评文件存在的主要问题</w:t>
            </w:r>
          </w:p>
        </w:tc>
        <w:tc>
          <w:tcPr>
            <w:tcW w:w="1775"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编制单位（统一社会信用代码）</w:t>
            </w:r>
          </w:p>
        </w:tc>
        <w:tc>
          <w:tcPr>
            <w:tcW w:w="1776"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编制人员（</w:t>
            </w:r>
            <w:r>
              <w:rPr>
                <w:rFonts w:hint="eastAsia" w:eastAsia="楷体_GB2312"/>
                <w:b/>
                <w:kern w:val="0"/>
                <w:sz w:val="24"/>
              </w:rPr>
              <w:t>信用编号及职业资格证书管理号</w:t>
            </w:r>
            <w:r>
              <w:rPr>
                <w:rFonts w:hint="eastAsia" w:ascii="仿宋_GB2312"/>
                <w:b/>
                <w:kern w:val="0"/>
                <w:sz w:val="24"/>
              </w:rPr>
              <w:t>）</w:t>
            </w:r>
          </w:p>
        </w:tc>
        <w:tc>
          <w:tcPr>
            <w:tcW w:w="818"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编制单位</w:t>
            </w:r>
            <w:r>
              <w:rPr>
                <w:rFonts w:hint="eastAsia" w:eastAsia="楷体_GB2312"/>
                <w:b/>
                <w:kern w:val="0"/>
                <w:sz w:val="24"/>
              </w:rPr>
              <w:t>失信记分</w:t>
            </w:r>
          </w:p>
        </w:tc>
        <w:tc>
          <w:tcPr>
            <w:tcW w:w="850" w:type="dxa"/>
            <w:vAlign w:val="center"/>
          </w:tcPr>
          <w:p>
            <w:pPr>
              <w:widowControl/>
              <w:spacing w:line="300" w:lineRule="exact"/>
              <w:jc w:val="center"/>
              <w:textAlignment w:val="center"/>
              <w:rPr>
                <w:rFonts w:ascii="仿宋_GB2312"/>
                <w:b/>
                <w:kern w:val="0"/>
                <w:sz w:val="24"/>
              </w:rPr>
            </w:pPr>
            <w:r>
              <w:rPr>
                <w:rFonts w:hint="eastAsia" w:ascii="仿宋_GB2312"/>
                <w:b/>
                <w:kern w:val="0"/>
                <w:sz w:val="24"/>
              </w:rPr>
              <w:t>编制人员</w:t>
            </w:r>
          </w:p>
          <w:p>
            <w:pPr>
              <w:widowControl/>
              <w:spacing w:line="300" w:lineRule="exact"/>
              <w:jc w:val="center"/>
              <w:textAlignment w:val="center"/>
              <w:rPr>
                <w:rFonts w:ascii="仿宋_GB2312"/>
                <w:b/>
                <w:kern w:val="0"/>
                <w:sz w:val="24"/>
              </w:rPr>
            </w:pPr>
            <w:r>
              <w:rPr>
                <w:rFonts w:hint="eastAsia" w:eastAsia="楷体_GB2312"/>
                <w:b/>
                <w:kern w:val="0"/>
                <w:sz w:val="24"/>
              </w:rPr>
              <w:t>失信记分</w:t>
            </w:r>
          </w:p>
        </w:tc>
        <w:tc>
          <w:tcPr>
            <w:tcW w:w="1691" w:type="dxa"/>
            <w:vAlign w:val="center"/>
          </w:tcPr>
          <w:p>
            <w:pPr>
              <w:widowControl/>
              <w:spacing w:line="300" w:lineRule="exact"/>
              <w:jc w:val="center"/>
              <w:textAlignment w:val="center"/>
              <w:rPr>
                <w:rFonts w:ascii="仿宋_GB2312"/>
                <w:b/>
                <w:kern w:val="0"/>
                <w:sz w:val="24"/>
              </w:rPr>
            </w:pPr>
            <w:r>
              <w:rPr>
                <w:rFonts w:hint="eastAsia" w:eastAsia="楷体_GB2312"/>
                <w:b/>
                <w:kern w:val="0"/>
                <w:sz w:val="24"/>
              </w:rPr>
              <w:t>失信记分</w:t>
            </w:r>
            <w:r>
              <w:rPr>
                <w:rFonts w:hint="eastAsia" w:ascii="仿宋_GB2312"/>
                <w:b/>
                <w:kern w:val="0"/>
                <w:sz w:val="24"/>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17" w:hRule="atLeast"/>
          <w:tblHeader/>
          <w:jc w:val="center"/>
        </w:trPr>
        <w:tc>
          <w:tcPr>
            <w:tcW w:w="609" w:type="dxa"/>
            <w:vAlign w:val="center"/>
          </w:tcPr>
          <w:p>
            <w:pPr>
              <w:widowControl/>
              <w:spacing w:line="300" w:lineRule="exact"/>
              <w:jc w:val="center"/>
              <w:textAlignment w:val="center"/>
              <w:rPr>
                <w:rFonts w:hint="default"/>
                <w:kern w:val="0"/>
                <w:sz w:val="21"/>
                <w:szCs w:val="21"/>
                <w:lang w:val="en-US" w:eastAsia="zh-CN"/>
              </w:rPr>
            </w:pPr>
            <w:r>
              <w:rPr>
                <w:rFonts w:hint="eastAsia"/>
                <w:kern w:val="0"/>
                <w:sz w:val="21"/>
                <w:szCs w:val="21"/>
                <w:lang w:val="en-US" w:eastAsia="zh-CN"/>
              </w:rPr>
              <w:t>1</w:t>
            </w:r>
          </w:p>
        </w:tc>
        <w:tc>
          <w:tcPr>
            <w:tcW w:w="1691" w:type="dxa"/>
            <w:vAlign w:val="center"/>
          </w:tcPr>
          <w:p>
            <w:pPr>
              <w:widowControl/>
              <w:spacing w:line="300" w:lineRule="exact"/>
              <w:jc w:val="center"/>
              <w:textAlignment w:val="center"/>
              <w:rPr>
                <w:kern w:val="0"/>
                <w:sz w:val="21"/>
                <w:szCs w:val="21"/>
              </w:rPr>
            </w:pPr>
            <w:r>
              <w:rPr>
                <w:rFonts w:hint="eastAsia"/>
                <w:kern w:val="0"/>
                <w:sz w:val="21"/>
                <w:szCs w:val="21"/>
              </w:rPr>
              <w:t>台山市长顺甘油制品有限公司燃煤导热油炉改燃生物质导热油炉项目环境影响报告表</w:t>
            </w:r>
          </w:p>
        </w:tc>
        <w:tc>
          <w:tcPr>
            <w:tcW w:w="1562" w:type="dxa"/>
            <w:vAlign w:val="center"/>
          </w:tcPr>
          <w:p>
            <w:pPr>
              <w:widowControl/>
              <w:spacing w:line="300" w:lineRule="exact"/>
              <w:jc w:val="center"/>
              <w:textAlignment w:val="center"/>
              <w:rPr>
                <w:rFonts w:hint="eastAsia"/>
                <w:kern w:val="0"/>
                <w:sz w:val="21"/>
                <w:szCs w:val="21"/>
                <w:lang w:eastAsia="zh-CN"/>
              </w:rPr>
            </w:pPr>
            <w:r>
              <w:rPr>
                <w:rFonts w:hint="eastAsia"/>
                <w:kern w:val="0"/>
                <w:sz w:val="21"/>
                <w:szCs w:val="21"/>
                <w:lang w:val="en-US" w:eastAsia="zh-CN"/>
              </w:rPr>
              <w:t>台山市长顺甘油制品有限公司</w:t>
            </w:r>
          </w:p>
          <w:p>
            <w:pPr>
              <w:widowControl/>
              <w:spacing w:line="300" w:lineRule="exact"/>
              <w:jc w:val="center"/>
              <w:textAlignment w:val="center"/>
              <w:rPr>
                <w:rFonts w:hint="eastAsia"/>
                <w:kern w:val="0"/>
                <w:sz w:val="21"/>
                <w:szCs w:val="21"/>
                <w:lang w:eastAsia="zh-CN"/>
              </w:rPr>
            </w:pPr>
            <w:r>
              <w:rPr>
                <w:rFonts w:hint="eastAsia"/>
                <w:kern w:val="0"/>
                <w:sz w:val="21"/>
                <w:szCs w:val="21"/>
                <w:lang w:eastAsia="zh-CN"/>
              </w:rPr>
              <w:t>（</w:t>
            </w:r>
            <w:r>
              <w:rPr>
                <w:rFonts w:hint="eastAsia"/>
                <w:kern w:val="0"/>
                <w:sz w:val="21"/>
                <w:szCs w:val="21"/>
                <w:lang w:val="en-US" w:eastAsia="zh-CN"/>
              </w:rPr>
              <w:t>91440781678887223D</w:t>
            </w:r>
            <w:r>
              <w:rPr>
                <w:rFonts w:hint="eastAsia"/>
                <w:kern w:val="0"/>
                <w:sz w:val="21"/>
                <w:szCs w:val="21"/>
                <w:lang w:eastAsia="zh-CN"/>
              </w:rPr>
              <w:t>）</w:t>
            </w:r>
          </w:p>
        </w:tc>
        <w:tc>
          <w:tcPr>
            <w:tcW w:w="4738" w:type="dxa"/>
            <w:vAlign w:val="center"/>
          </w:tcPr>
          <w:p>
            <w:pPr>
              <w:widowControl/>
              <w:spacing w:line="300" w:lineRule="exact"/>
              <w:textAlignment w:val="center"/>
              <w:rPr>
                <w:rFonts w:hint="eastAsia"/>
                <w:color w:val="auto"/>
                <w:kern w:val="0"/>
                <w:sz w:val="21"/>
                <w:szCs w:val="21"/>
              </w:rPr>
            </w:pPr>
            <w:r>
              <w:rPr>
                <w:rFonts w:hint="eastAsia"/>
                <w:color w:val="auto"/>
                <w:kern w:val="0"/>
                <w:sz w:val="21"/>
                <w:szCs w:val="21"/>
              </w:rPr>
              <w:t>污染源源强核算方法错误。项目废气源强核算采用《排污许可证申请与核发技术规范</w:t>
            </w:r>
            <w:r>
              <w:rPr>
                <w:rFonts w:hint="default"/>
                <w:color w:val="auto"/>
                <w:kern w:val="0"/>
                <w:sz w:val="21"/>
                <w:szCs w:val="21"/>
                <w:lang w:val="en"/>
              </w:rPr>
              <w:t xml:space="preserve"> </w:t>
            </w:r>
            <w:r>
              <w:rPr>
                <w:rFonts w:hint="eastAsia"/>
                <w:color w:val="auto"/>
                <w:kern w:val="0"/>
                <w:sz w:val="21"/>
                <w:szCs w:val="21"/>
              </w:rPr>
              <w:t>锅炉》（HJ</w:t>
            </w:r>
            <w:r>
              <w:rPr>
                <w:rFonts w:hint="default"/>
                <w:color w:val="auto"/>
                <w:kern w:val="0"/>
                <w:sz w:val="21"/>
                <w:szCs w:val="21"/>
                <w:lang w:val="en"/>
              </w:rPr>
              <w:t xml:space="preserve"> </w:t>
            </w:r>
            <w:r>
              <w:rPr>
                <w:rFonts w:hint="eastAsia"/>
                <w:color w:val="auto"/>
                <w:kern w:val="0"/>
                <w:sz w:val="21"/>
                <w:szCs w:val="21"/>
              </w:rPr>
              <w:t>953-2018），不符合《建设项目环境影响评价技术导则 总纲》（HJ</w:t>
            </w:r>
            <w:r>
              <w:rPr>
                <w:rFonts w:hint="default"/>
                <w:color w:val="auto"/>
                <w:kern w:val="0"/>
                <w:sz w:val="21"/>
                <w:szCs w:val="21"/>
                <w:lang w:val="en"/>
              </w:rPr>
              <w:t xml:space="preserve"> </w:t>
            </w:r>
            <w:r>
              <w:rPr>
                <w:rFonts w:hint="eastAsia"/>
                <w:color w:val="auto"/>
                <w:kern w:val="0"/>
                <w:sz w:val="21"/>
                <w:szCs w:val="21"/>
              </w:rPr>
              <w:t>2.1-2016）中“4.3.3污染源强核算方法由污染源强核算技术指南具体规定”的要求。</w:t>
            </w:r>
          </w:p>
        </w:tc>
        <w:tc>
          <w:tcPr>
            <w:tcW w:w="1775" w:type="dxa"/>
            <w:vAlign w:val="center"/>
          </w:tcPr>
          <w:p>
            <w:pPr>
              <w:widowControl/>
              <w:spacing w:line="300" w:lineRule="exact"/>
              <w:jc w:val="center"/>
              <w:textAlignment w:val="center"/>
              <w:rPr>
                <w:rFonts w:hint="eastAsia"/>
                <w:sz w:val="21"/>
                <w:szCs w:val="21"/>
                <w:lang w:eastAsia="zh-CN"/>
              </w:rPr>
            </w:pPr>
            <w:r>
              <w:rPr>
                <w:rFonts w:hint="eastAsia"/>
                <w:sz w:val="21"/>
                <w:szCs w:val="21"/>
                <w:lang w:val="en-US" w:eastAsia="zh-CN"/>
              </w:rPr>
              <w:t>中山生生环保技术有限公司</w:t>
            </w:r>
          </w:p>
          <w:p>
            <w:pPr>
              <w:widowControl/>
              <w:spacing w:line="300" w:lineRule="exact"/>
              <w:jc w:val="center"/>
              <w:textAlignment w:val="center"/>
              <w:rPr>
                <w:rFonts w:hint="eastAsia"/>
                <w:sz w:val="21"/>
                <w:szCs w:val="21"/>
                <w:lang w:eastAsia="zh-CN"/>
              </w:rPr>
            </w:pPr>
            <w:r>
              <w:rPr>
                <w:rFonts w:hint="eastAsia"/>
                <w:sz w:val="21"/>
                <w:szCs w:val="21"/>
                <w:lang w:eastAsia="zh-CN"/>
              </w:rPr>
              <w:t>（</w:t>
            </w:r>
            <w:r>
              <w:rPr>
                <w:rFonts w:hint="eastAsia"/>
                <w:sz w:val="21"/>
                <w:szCs w:val="21"/>
                <w:lang w:val="en-US" w:eastAsia="zh-CN"/>
              </w:rPr>
              <w:t>91442000MA4W49P843</w:t>
            </w:r>
            <w:r>
              <w:rPr>
                <w:rFonts w:hint="eastAsia"/>
                <w:sz w:val="21"/>
                <w:szCs w:val="21"/>
                <w:lang w:eastAsia="zh-CN"/>
              </w:rPr>
              <w:t>）</w:t>
            </w:r>
          </w:p>
        </w:tc>
        <w:tc>
          <w:tcPr>
            <w:tcW w:w="1776" w:type="dxa"/>
            <w:vAlign w:val="center"/>
          </w:tcPr>
          <w:p>
            <w:pPr>
              <w:widowControl/>
              <w:spacing w:line="300" w:lineRule="exact"/>
              <w:jc w:val="center"/>
              <w:textAlignment w:val="center"/>
              <w:rPr>
                <w:rFonts w:hint="eastAsia"/>
                <w:sz w:val="21"/>
                <w:szCs w:val="21"/>
                <w:lang w:eastAsia="zh-CN"/>
              </w:rPr>
            </w:pPr>
            <w:r>
              <w:rPr>
                <w:rFonts w:hint="eastAsia"/>
                <w:sz w:val="21"/>
                <w:szCs w:val="21"/>
                <w:lang w:val="en-US" w:eastAsia="zh-CN"/>
              </w:rPr>
              <w:t>王昌昊</w:t>
            </w:r>
          </w:p>
          <w:p>
            <w:pPr>
              <w:widowControl/>
              <w:spacing w:line="300" w:lineRule="exact"/>
              <w:jc w:val="center"/>
              <w:textAlignment w:val="center"/>
              <w:rPr>
                <w:rFonts w:hint="eastAsia"/>
                <w:sz w:val="21"/>
                <w:szCs w:val="21"/>
                <w:lang w:eastAsia="zh-CN"/>
              </w:rPr>
            </w:pPr>
            <w:r>
              <w:rPr>
                <w:rFonts w:hint="eastAsia"/>
                <w:sz w:val="21"/>
                <w:szCs w:val="21"/>
                <w:lang w:eastAsia="zh-CN"/>
              </w:rPr>
              <w:t>（</w:t>
            </w:r>
            <w:r>
              <w:rPr>
                <w:rFonts w:hint="eastAsia"/>
                <w:sz w:val="21"/>
                <w:szCs w:val="21"/>
                <w:lang w:val="en-US" w:eastAsia="zh-CN"/>
              </w:rPr>
              <w:t>BH019829，11354143508410568</w:t>
            </w:r>
            <w:r>
              <w:rPr>
                <w:rFonts w:hint="eastAsia"/>
                <w:sz w:val="21"/>
                <w:szCs w:val="21"/>
                <w:lang w:eastAsia="zh-CN"/>
              </w:rPr>
              <w:t>）</w:t>
            </w:r>
          </w:p>
        </w:tc>
        <w:tc>
          <w:tcPr>
            <w:tcW w:w="818" w:type="dxa"/>
            <w:vAlign w:val="center"/>
          </w:tcPr>
          <w:p>
            <w:pPr>
              <w:widowControl/>
              <w:spacing w:line="300" w:lineRule="exact"/>
              <w:jc w:val="center"/>
              <w:textAlignment w:val="center"/>
              <w:rPr>
                <w:rFonts w:hint="default"/>
                <w:kern w:val="0"/>
                <w:sz w:val="21"/>
                <w:szCs w:val="21"/>
                <w:lang w:val="en-US" w:eastAsia="zh-CN"/>
              </w:rPr>
            </w:pPr>
            <w:r>
              <w:rPr>
                <w:rFonts w:hint="eastAsia"/>
                <w:kern w:val="0"/>
                <w:sz w:val="21"/>
                <w:szCs w:val="21"/>
                <w:lang w:val="en-US" w:eastAsia="zh-CN"/>
              </w:rPr>
              <w:t>5</w:t>
            </w:r>
          </w:p>
        </w:tc>
        <w:tc>
          <w:tcPr>
            <w:tcW w:w="850" w:type="dxa"/>
            <w:vAlign w:val="center"/>
          </w:tcPr>
          <w:p>
            <w:pPr>
              <w:jc w:val="center"/>
              <w:rPr>
                <w:rFonts w:hint="default"/>
                <w:sz w:val="21"/>
                <w:szCs w:val="21"/>
                <w:lang w:val="en-US" w:eastAsia="zh-CN"/>
              </w:rPr>
            </w:pPr>
            <w:r>
              <w:rPr>
                <w:rFonts w:hint="eastAsia"/>
                <w:sz w:val="21"/>
                <w:szCs w:val="21"/>
                <w:lang w:val="en-US" w:eastAsia="zh-CN"/>
              </w:rPr>
              <w:t>5</w:t>
            </w:r>
          </w:p>
        </w:tc>
        <w:tc>
          <w:tcPr>
            <w:tcW w:w="1691" w:type="dxa"/>
            <w:vAlign w:val="center"/>
          </w:tcPr>
          <w:p>
            <w:pPr>
              <w:widowControl/>
              <w:spacing w:line="300" w:lineRule="exact"/>
              <w:jc w:val="center"/>
              <w:textAlignment w:val="center"/>
              <w:rPr>
                <w:rFonts w:hint="eastAsia"/>
                <w:sz w:val="21"/>
                <w:szCs w:val="21"/>
              </w:rPr>
            </w:pPr>
            <w:r>
              <w:rPr>
                <w:rFonts w:hint="eastAsia"/>
                <w:sz w:val="21"/>
                <w:szCs w:val="21"/>
              </w:rPr>
              <w:t>《监督管理办法》第二十六条第</w:t>
            </w:r>
            <w:r>
              <w:rPr>
                <w:rFonts w:hint="eastAsia"/>
                <w:sz w:val="21"/>
                <w:szCs w:val="21"/>
                <w:lang w:eastAsia="zh-CN"/>
              </w:rPr>
              <w:t>一款第（五）</w:t>
            </w:r>
            <w:r>
              <w:rPr>
                <w:rFonts w:hint="eastAsia"/>
                <w:sz w:val="21"/>
                <w:szCs w:val="21"/>
              </w:rPr>
              <w:t>项</w:t>
            </w:r>
            <w:r>
              <w:rPr>
                <w:rFonts w:hint="eastAsia"/>
                <w:sz w:val="21"/>
                <w:szCs w:val="21"/>
                <w:lang w:eastAsia="zh-CN"/>
              </w:rPr>
              <w:t>以及《失信记分办法（试行）》第七条</w:t>
            </w:r>
          </w:p>
        </w:tc>
      </w:tr>
    </w:tbl>
    <w:p>
      <w:pPr>
        <w:rPr>
          <w:rFonts w:ascii="仿宋_GB2312"/>
          <w:sz w:val="21"/>
          <w:szCs w:val="21"/>
        </w:rPr>
      </w:pPr>
    </w:p>
    <w:sectPr>
      <w:pgSz w:w="16839" w:h="11907"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方正楷体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true"/>
  <w:embedSystemFonts/>
  <w:bordersDoNotSurroundHeader w:val="false"/>
  <w:bordersDoNotSurroundFooter w:val="fal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60"/>
  <w:drawingGridVerticalSpacing w:val="435"/>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4B"/>
    <w:rsid w:val="00074BF5"/>
    <w:rsid w:val="000847A3"/>
    <w:rsid w:val="0009296A"/>
    <w:rsid w:val="000B101B"/>
    <w:rsid w:val="000B127E"/>
    <w:rsid w:val="000E24E3"/>
    <w:rsid w:val="00102908"/>
    <w:rsid w:val="00180863"/>
    <w:rsid w:val="001A076E"/>
    <w:rsid w:val="001A5E42"/>
    <w:rsid w:val="001A67CC"/>
    <w:rsid w:val="001D6BDE"/>
    <w:rsid w:val="00262C66"/>
    <w:rsid w:val="00264BA1"/>
    <w:rsid w:val="00281E6A"/>
    <w:rsid w:val="002D048B"/>
    <w:rsid w:val="002E6131"/>
    <w:rsid w:val="00331F28"/>
    <w:rsid w:val="0033238E"/>
    <w:rsid w:val="00333D83"/>
    <w:rsid w:val="00345F17"/>
    <w:rsid w:val="003E4C10"/>
    <w:rsid w:val="00402357"/>
    <w:rsid w:val="00420F9B"/>
    <w:rsid w:val="00453A1F"/>
    <w:rsid w:val="00484940"/>
    <w:rsid w:val="00497F7F"/>
    <w:rsid w:val="004B1111"/>
    <w:rsid w:val="0057154F"/>
    <w:rsid w:val="005A1CA0"/>
    <w:rsid w:val="005B3EFE"/>
    <w:rsid w:val="006066F1"/>
    <w:rsid w:val="00610008"/>
    <w:rsid w:val="00613395"/>
    <w:rsid w:val="006668E0"/>
    <w:rsid w:val="006A3FE4"/>
    <w:rsid w:val="006B167E"/>
    <w:rsid w:val="006D2E9C"/>
    <w:rsid w:val="0070218A"/>
    <w:rsid w:val="00722B59"/>
    <w:rsid w:val="00732AFB"/>
    <w:rsid w:val="00757FDA"/>
    <w:rsid w:val="007700B4"/>
    <w:rsid w:val="00796BC8"/>
    <w:rsid w:val="007972F3"/>
    <w:rsid w:val="007B71AC"/>
    <w:rsid w:val="007E74EA"/>
    <w:rsid w:val="00817BB6"/>
    <w:rsid w:val="00854F68"/>
    <w:rsid w:val="0087564D"/>
    <w:rsid w:val="00883FF8"/>
    <w:rsid w:val="00886DBC"/>
    <w:rsid w:val="008A660A"/>
    <w:rsid w:val="008A797F"/>
    <w:rsid w:val="008B3F74"/>
    <w:rsid w:val="008C0FB4"/>
    <w:rsid w:val="00943828"/>
    <w:rsid w:val="00970218"/>
    <w:rsid w:val="009D667E"/>
    <w:rsid w:val="009E4DC0"/>
    <w:rsid w:val="00A06FA2"/>
    <w:rsid w:val="00A14ACA"/>
    <w:rsid w:val="00A47F95"/>
    <w:rsid w:val="00A54415"/>
    <w:rsid w:val="00AA1903"/>
    <w:rsid w:val="00AC0197"/>
    <w:rsid w:val="00AD208D"/>
    <w:rsid w:val="00AD7868"/>
    <w:rsid w:val="00AE5EBB"/>
    <w:rsid w:val="00AF0956"/>
    <w:rsid w:val="00AF1554"/>
    <w:rsid w:val="00AF7263"/>
    <w:rsid w:val="00B0432E"/>
    <w:rsid w:val="00B07283"/>
    <w:rsid w:val="00B36CD1"/>
    <w:rsid w:val="00B41B7F"/>
    <w:rsid w:val="00B6188A"/>
    <w:rsid w:val="00B65268"/>
    <w:rsid w:val="00B90DB3"/>
    <w:rsid w:val="00BC2567"/>
    <w:rsid w:val="00C00B08"/>
    <w:rsid w:val="00C123B1"/>
    <w:rsid w:val="00C325BE"/>
    <w:rsid w:val="00C44083"/>
    <w:rsid w:val="00C73D9C"/>
    <w:rsid w:val="00CA0914"/>
    <w:rsid w:val="00CA533D"/>
    <w:rsid w:val="00CB1969"/>
    <w:rsid w:val="00D20792"/>
    <w:rsid w:val="00D361D8"/>
    <w:rsid w:val="00D643A6"/>
    <w:rsid w:val="00D6493A"/>
    <w:rsid w:val="00D722ED"/>
    <w:rsid w:val="00D84164"/>
    <w:rsid w:val="00D9265C"/>
    <w:rsid w:val="00E35DCC"/>
    <w:rsid w:val="00E64222"/>
    <w:rsid w:val="00E77AD7"/>
    <w:rsid w:val="00E975C0"/>
    <w:rsid w:val="00EE5051"/>
    <w:rsid w:val="00EE69F9"/>
    <w:rsid w:val="00F03FC1"/>
    <w:rsid w:val="00F164CC"/>
    <w:rsid w:val="00F22AC4"/>
    <w:rsid w:val="00F4480A"/>
    <w:rsid w:val="00F71886"/>
    <w:rsid w:val="00F802B1"/>
    <w:rsid w:val="00F905CA"/>
    <w:rsid w:val="00F95E4B"/>
    <w:rsid w:val="177D3C3E"/>
    <w:rsid w:val="5B111DB0"/>
    <w:rsid w:val="5DE72A2D"/>
    <w:rsid w:val="6FFAA0E7"/>
    <w:rsid w:val="7AFBFFF1"/>
    <w:rsid w:val="7BFFFAC1"/>
    <w:rsid w:val="7DF71503"/>
    <w:rsid w:val="7FFBA615"/>
    <w:rsid w:val="BEB587A7"/>
    <w:rsid w:val="F0FD3C50"/>
    <w:rsid w:val="F7CFC85B"/>
    <w:rsid w:val="FF537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7">
    <w:name w:val="页眉 Char"/>
    <w:basedOn w:val="6"/>
    <w:link w:val="3"/>
    <w:qFormat/>
    <w:uiPriority w:val="0"/>
    <w:rPr>
      <w:rFonts w:eastAsia="仿宋_GB2312"/>
      <w:kern w:val="2"/>
      <w:sz w:val="18"/>
      <w:szCs w:val="18"/>
    </w:rPr>
  </w:style>
  <w:style w:type="character" w:customStyle="1" w:styleId="8">
    <w:name w:val="页脚 Char"/>
    <w:basedOn w:val="6"/>
    <w:link w:val="2"/>
    <w:qFormat/>
    <w:uiPriority w:val="0"/>
    <w:rPr>
      <w:rFonts w:eastAsia="仿宋_GB2312"/>
      <w:kern w:val="2"/>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3</Pages>
  <Words>254</Words>
  <Characters>1454</Characters>
  <Lines>12</Lines>
  <Paragraphs>3</Paragraphs>
  <TotalTime>13</TotalTime>
  <ScaleCrop>false</ScaleCrop>
  <LinksUpToDate>false</LinksUpToDate>
  <CharactersWithSpaces>1705</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2021-05-20T10:14:00Z</dcterms:created>
  <dc:creator>谭颂贤</dc:creator>
  <cp:lastModifiedBy>uos</cp:lastModifiedBy>
  <dcterms:modified xsi:type="dcterms:W3CDTF">2021-10-20T15:18:23Z</dcterms:modified>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