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仿宋_GBK" w:cs="Times New Roman"/>
          <w:sz w:val="32"/>
          <w:szCs w:val="32"/>
        </w:rPr>
      </w:pPr>
      <w:bookmarkStart w:id="0" w:name="_GoBack"/>
      <w:bookmarkEnd w:id="0"/>
      <w:r>
        <w:rPr>
          <w:rFonts w:hint="eastAsia" w:ascii="Times New Roman" w:hAnsi="Times New Roman" w:eastAsia="方正仿宋_GBK" w:cs="Times New Roman"/>
          <w:sz w:val="32"/>
          <w:szCs w:val="32"/>
        </w:rPr>
        <w:t>附件</w:t>
      </w:r>
    </w:p>
    <w:p>
      <w:pPr>
        <w:spacing w:line="580" w:lineRule="exact"/>
        <w:jc w:val="center"/>
        <w:rPr>
          <w:rFonts w:ascii="Times New Roman" w:hAnsi="Times New Roman" w:eastAsia="方正大标宋_GBK" w:cs="方正大标宋_GBK"/>
          <w:sz w:val="44"/>
          <w:szCs w:val="44"/>
        </w:rPr>
      </w:pPr>
      <w:r>
        <w:rPr>
          <w:rFonts w:hint="eastAsia" w:ascii="Times New Roman" w:hAnsi="Times New Roman" w:eastAsia="方正大标宋_GBK" w:cs="方正大标宋_GBK"/>
          <w:sz w:val="44"/>
          <w:szCs w:val="44"/>
        </w:rPr>
        <w:t>2021年度江门市重大科技计划项目</w:t>
      </w:r>
    </w:p>
    <w:p>
      <w:pPr>
        <w:spacing w:line="580" w:lineRule="exact"/>
        <w:jc w:val="center"/>
        <w:rPr>
          <w:rFonts w:ascii="Times New Roman" w:hAnsi="Times New Roman" w:eastAsia="方正大标宋_GBK" w:cs="方正大标宋_GBK"/>
          <w:sz w:val="36"/>
          <w:szCs w:val="36"/>
        </w:rPr>
      </w:pPr>
      <w:r>
        <w:rPr>
          <w:rFonts w:hint="eastAsia" w:ascii="Times New Roman" w:hAnsi="Times New Roman" w:eastAsia="方正大标宋_GBK" w:cs="方正大标宋_GBK"/>
          <w:sz w:val="44"/>
          <w:szCs w:val="44"/>
        </w:rPr>
        <w:t>拟立项项目明细表</w:t>
      </w:r>
    </w:p>
    <w:p>
      <w:pPr>
        <w:spacing w:line="580" w:lineRule="exact"/>
        <w:jc w:val="center"/>
        <w:rPr>
          <w:rFonts w:ascii="Times New Roman" w:hAnsi="Times New Roman" w:eastAsia="方正大标宋_GBK" w:cs="方正大标宋_GBK"/>
          <w:sz w:val="36"/>
          <w:szCs w:val="36"/>
        </w:rPr>
      </w:pPr>
    </w:p>
    <w:tbl>
      <w:tblPr>
        <w:tblStyle w:val="6"/>
        <w:tblW w:w="9237" w:type="dxa"/>
        <w:jc w:val="center"/>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043"/>
        <w:gridCol w:w="3800"/>
        <w:gridCol w:w="1301"/>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黑体_GBK" w:cs="Times New Roman"/>
                <w:color w:val="000000"/>
                <w:kern w:val="0"/>
                <w:sz w:val="24"/>
                <w:szCs w:val="24"/>
              </w:rPr>
            </w:pPr>
            <w:r>
              <w:rPr>
                <w:rFonts w:hint="eastAsia" w:ascii="Times New Roman" w:hAnsi="Times New Roman" w:eastAsia="方正黑体_GBK" w:cs="Times New Roman"/>
                <w:color w:val="000000"/>
                <w:kern w:val="0"/>
                <w:sz w:val="24"/>
                <w:szCs w:val="24"/>
              </w:rPr>
              <w:t>序号</w:t>
            </w:r>
          </w:p>
        </w:tc>
        <w:tc>
          <w:tcPr>
            <w:tcW w:w="2043" w:type="dxa"/>
            <w:shd w:val="clear" w:color="auto" w:fill="auto"/>
            <w:vAlign w:val="center"/>
          </w:tcPr>
          <w:p>
            <w:pPr>
              <w:widowControl/>
              <w:spacing w:line="400" w:lineRule="exact"/>
              <w:jc w:val="center"/>
              <w:rPr>
                <w:rFonts w:ascii="Times New Roman" w:hAnsi="Times New Roman" w:eastAsia="方正黑体_GBK" w:cs="Times New Roman"/>
                <w:color w:val="000000"/>
                <w:kern w:val="0"/>
                <w:sz w:val="24"/>
                <w:szCs w:val="24"/>
              </w:rPr>
            </w:pPr>
            <w:r>
              <w:rPr>
                <w:rFonts w:hint="eastAsia" w:ascii="Times New Roman" w:hAnsi="Times New Roman" w:eastAsia="方正黑体_GBK" w:cs="Times New Roman"/>
                <w:color w:val="000000"/>
                <w:kern w:val="0"/>
                <w:sz w:val="24"/>
                <w:szCs w:val="24"/>
              </w:rPr>
              <w:t>承担单位</w:t>
            </w:r>
          </w:p>
        </w:tc>
        <w:tc>
          <w:tcPr>
            <w:tcW w:w="3800" w:type="dxa"/>
            <w:shd w:val="clear" w:color="auto" w:fill="auto"/>
            <w:vAlign w:val="center"/>
          </w:tcPr>
          <w:p>
            <w:pPr>
              <w:widowControl/>
              <w:spacing w:line="400" w:lineRule="exact"/>
              <w:jc w:val="center"/>
              <w:rPr>
                <w:rFonts w:ascii="Times New Roman" w:hAnsi="Times New Roman" w:eastAsia="方正黑体_GBK" w:cs="Times New Roman"/>
                <w:color w:val="000000"/>
                <w:kern w:val="0"/>
                <w:sz w:val="24"/>
                <w:szCs w:val="24"/>
              </w:rPr>
            </w:pPr>
            <w:r>
              <w:rPr>
                <w:rFonts w:hint="eastAsia" w:ascii="Times New Roman" w:hAnsi="Times New Roman" w:eastAsia="方正黑体_GBK" w:cs="Times New Roman"/>
                <w:color w:val="000000"/>
                <w:kern w:val="0"/>
                <w:sz w:val="24"/>
                <w:szCs w:val="24"/>
              </w:rPr>
              <w:t>项目名称</w:t>
            </w:r>
          </w:p>
        </w:tc>
        <w:tc>
          <w:tcPr>
            <w:tcW w:w="1301" w:type="dxa"/>
            <w:vAlign w:val="center"/>
          </w:tcPr>
          <w:p>
            <w:pPr>
              <w:widowControl/>
              <w:spacing w:line="400" w:lineRule="exact"/>
              <w:jc w:val="center"/>
              <w:rPr>
                <w:rFonts w:ascii="Times New Roman" w:hAnsi="Times New Roman" w:eastAsia="方正黑体_GBK" w:cs="Times New Roman"/>
                <w:color w:val="000000"/>
                <w:kern w:val="0"/>
                <w:sz w:val="24"/>
                <w:szCs w:val="24"/>
              </w:rPr>
            </w:pPr>
            <w:r>
              <w:rPr>
                <w:rFonts w:hint="eastAsia" w:ascii="Times New Roman" w:hAnsi="Times New Roman" w:eastAsia="方正黑体_GBK" w:cs="Times New Roman"/>
                <w:color w:val="000000"/>
                <w:kern w:val="0"/>
                <w:sz w:val="24"/>
                <w:szCs w:val="24"/>
              </w:rPr>
              <w:t>拟立项资助资金</w:t>
            </w:r>
          </w:p>
        </w:tc>
        <w:tc>
          <w:tcPr>
            <w:tcW w:w="1439" w:type="dxa"/>
            <w:vAlign w:val="center"/>
          </w:tcPr>
          <w:p>
            <w:pPr>
              <w:widowControl/>
              <w:spacing w:line="400" w:lineRule="exact"/>
              <w:jc w:val="center"/>
              <w:rPr>
                <w:rFonts w:ascii="Times New Roman" w:hAnsi="Times New Roman" w:eastAsia="方正黑体_GBK" w:cs="Times New Roman"/>
                <w:color w:val="000000"/>
                <w:kern w:val="0"/>
                <w:sz w:val="24"/>
                <w:szCs w:val="24"/>
              </w:rPr>
            </w:pPr>
            <w:r>
              <w:rPr>
                <w:rFonts w:hint="eastAsia" w:ascii="Times New Roman" w:hAnsi="Times New Roman" w:eastAsia="方正黑体_GBK" w:cs="Times New Roman"/>
                <w:color w:val="000000"/>
                <w:kern w:val="0"/>
                <w:sz w:val="24"/>
                <w:szCs w:val="24"/>
              </w:rPr>
              <w:t>其中：市本级资助资金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w:t>
            </w:r>
          </w:p>
        </w:tc>
        <w:tc>
          <w:tcPr>
            <w:tcW w:w="2043"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广东道氏技术股份有限公司</w:t>
            </w:r>
          </w:p>
        </w:tc>
        <w:tc>
          <w:tcPr>
            <w:tcW w:w="3800"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高比表面积、少壁碳纳米管及石墨烯复合高导电纳米碳材料的产业化制备及其在新能源领域的应用</w:t>
            </w:r>
          </w:p>
        </w:tc>
        <w:tc>
          <w:tcPr>
            <w:tcW w:w="1301"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100万元</w:t>
            </w:r>
          </w:p>
        </w:tc>
        <w:tc>
          <w:tcPr>
            <w:tcW w:w="1439"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w:t>
            </w:r>
          </w:p>
        </w:tc>
        <w:tc>
          <w:tcPr>
            <w:tcW w:w="2043"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特一药业集团股份有限公司</w:t>
            </w:r>
          </w:p>
        </w:tc>
        <w:tc>
          <w:tcPr>
            <w:tcW w:w="3800"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双氯芬酸钠肠溶片质量及疗效一致性评价</w:t>
            </w:r>
          </w:p>
        </w:tc>
        <w:tc>
          <w:tcPr>
            <w:tcW w:w="1301" w:type="dxa"/>
            <w:vAlign w:val="center"/>
          </w:tcPr>
          <w:p>
            <w:pPr>
              <w:widowControl/>
              <w:spacing w:line="400" w:lineRule="exact"/>
              <w:jc w:val="center"/>
              <w:rPr>
                <w:rFonts w:ascii="Times New Roman" w:hAnsi="Times New Roman" w:eastAsia="方正仿宋_GBK"/>
                <w:sz w:val="24"/>
                <w:szCs w:val="24"/>
              </w:rPr>
            </w:pPr>
            <w:r>
              <w:rPr>
                <w:rFonts w:hint="eastAsia" w:ascii="Times New Roman" w:hAnsi="Times New Roman" w:eastAsia="方正仿宋_GBK" w:cs="Times New Roman"/>
                <w:color w:val="000000"/>
                <w:kern w:val="0"/>
                <w:sz w:val="24"/>
                <w:szCs w:val="24"/>
              </w:rPr>
              <w:t>100万元</w:t>
            </w:r>
          </w:p>
        </w:tc>
        <w:tc>
          <w:tcPr>
            <w:tcW w:w="1439"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2043"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广东科杰机械自动化有限公司</w:t>
            </w:r>
          </w:p>
        </w:tc>
        <w:tc>
          <w:tcPr>
            <w:tcW w:w="3800"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高精高速紧凑型多轴/直驱数控机床及其系统的研究与开发</w:t>
            </w:r>
          </w:p>
        </w:tc>
        <w:tc>
          <w:tcPr>
            <w:tcW w:w="1301" w:type="dxa"/>
            <w:vAlign w:val="center"/>
          </w:tcPr>
          <w:p>
            <w:pPr>
              <w:widowControl/>
              <w:spacing w:line="400" w:lineRule="exact"/>
              <w:jc w:val="center"/>
              <w:rPr>
                <w:rFonts w:ascii="Times New Roman" w:hAnsi="Times New Roman" w:eastAsia="方正仿宋_GBK"/>
                <w:sz w:val="24"/>
                <w:szCs w:val="24"/>
              </w:rPr>
            </w:pPr>
            <w:r>
              <w:rPr>
                <w:rFonts w:hint="eastAsia" w:ascii="Times New Roman" w:hAnsi="Times New Roman" w:eastAsia="方正仿宋_GBK" w:cs="Times New Roman"/>
                <w:color w:val="000000"/>
                <w:kern w:val="0"/>
                <w:sz w:val="24"/>
                <w:szCs w:val="24"/>
              </w:rPr>
              <w:t>100万元</w:t>
            </w:r>
          </w:p>
        </w:tc>
        <w:tc>
          <w:tcPr>
            <w:tcW w:w="1439"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4</w:t>
            </w:r>
          </w:p>
        </w:tc>
        <w:tc>
          <w:tcPr>
            <w:tcW w:w="2043"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雅图高新材料股份有限公司</w:t>
            </w:r>
          </w:p>
        </w:tc>
        <w:tc>
          <w:tcPr>
            <w:tcW w:w="3800"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轨道交通水性涂装体系的研发及产业化</w:t>
            </w:r>
          </w:p>
        </w:tc>
        <w:tc>
          <w:tcPr>
            <w:tcW w:w="1301" w:type="dxa"/>
            <w:vAlign w:val="center"/>
          </w:tcPr>
          <w:p>
            <w:pPr>
              <w:widowControl/>
              <w:spacing w:line="400" w:lineRule="exact"/>
              <w:jc w:val="center"/>
              <w:rPr>
                <w:rFonts w:ascii="Times New Roman" w:hAnsi="Times New Roman" w:eastAsia="方正仿宋_GBK"/>
                <w:sz w:val="24"/>
                <w:szCs w:val="24"/>
              </w:rPr>
            </w:pPr>
            <w:r>
              <w:rPr>
                <w:rFonts w:hint="eastAsia" w:ascii="Times New Roman" w:hAnsi="Times New Roman" w:eastAsia="方正仿宋_GBK" w:cs="Times New Roman"/>
                <w:color w:val="000000"/>
                <w:kern w:val="0"/>
                <w:sz w:val="24"/>
                <w:szCs w:val="24"/>
              </w:rPr>
              <w:t>100万元</w:t>
            </w:r>
          </w:p>
        </w:tc>
        <w:tc>
          <w:tcPr>
            <w:tcW w:w="1439"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4" w:type="dxa"/>
            <w:shd w:val="clear" w:color="auto" w:fill="auto"/>
            <w:noWrap/>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5</w:t>
            </w:r>
          </w:p>
        </w:tc>
        <w:tc>
          <w:tcPr>
            <w:tcW w:w="2043"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广东道生科技股份有限公司</w:t>
            </w:r>
          </w:p>
        </w:tc>
        <w:tc>
          <w:tcPr>
            <w:tcW w:w="3800" w:type="dxa"/>
            <w:shd w:val="clear" w:color="auto" w:fill="auto"/>
            <w:vAlign w:val="center"/>
          </w:tcPr>
          <w:p>
            <w:pPr>
              <w:widowControl/>
              <w:spacing w:line="400" w:lineRule="exact"/>
              <w:jc w:val="center"/>
              <w:textAlignment w:val="center"/>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lang w:bidi="ar"/>
              </w:rPr>
              <w:t>纺丝级阻燃锦纶材料的开发与产业化</w:t>
            </w:r>
          </w:p>
        </w:tc>
        <w:tc>
          <w:tcPr>
            <w:tcW w:w="1301" w:type="dxa"/>
            <w:vAlign w:val="center"/>
          </w:tcPr>
          <w:p>
            <w:pPr>
              <w:widowControl/>
              <w:spacing w:line="400" w:lineRule="exact"/>
              <w:jc w:val="center"/>
              <w:rPr>
                <w:rFonts w:ascii="Times New Roman" w:hAnsi="Times New Roman" w:eastAsia="方正仿宋_GBK"/>
                <w:sz w:val="24"/>
                <w:szCs w:val="24"/>
              </w:rPr>
            </w:pPr>
            <w:r>
              <w:rPr>
                <w:rFonts w:hint="eastAsia" w:ascii="Times New Roman" w:hAnsi="Times New Roman" w:eastAsia="方正仿宋_GBK" w:cs="Times New Roman"/>
                <w:color w:val="000000"/>
                <w:kern w:val="0"/>
                <w:sz w:val="24"/>
                <w:szCs w:val="24"/>
              </w:rPr>
              <w:t>100万元</w:t>
            </w:r>
          </w:p>
        </w:tc>
        <w:tc>
          <w:tcPr>
            <w:tcW w:w="1439" w:type="dxa"/>
            <w:vAlign w:val="center"/>
          </w:tcPr>
          <w:p>
            <w:pPr>
              <w:widowControl/>
              <w:spacing w:line="400" w:lineRule="exact"/>
              <w:jc w:val="center"/>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30万元</w:t>
            </w:r>
          </w:p>
        </w:tc>
      </w:tr>
    </w:tbl>
    <w:p>
      <w:pPr>
        <w:widowControl/>
        <w:spacing w:line="320" w:lineRule="exact"/>
        <w:jc w:val="left"/>
        <w:rPr>
          <w:rFonts w:ascii="Times New Roman" w:hAnsi="Times New Roman" w:cs="Times New Roman"/>
        </w:rPr>
      </w:pPr>
    </w:p>
    <w:p>
      <w:pPr>
        <w:widowControl/>
        <w:spacing w:line="320" w:lineRule="exact"/>
        <w:jc w:val="left"/>
        <w:rPr>
          <w:rFonts w:ascii="Times New Roman" w:hAnsi="Times New Roman" w:cs="Times New Roman"/>
        </w:rPr>
      </w:pPr>
    </w:p>
    <w:p>
      <w:pPr>
        <w:rPr>
          <w:rFonts w:ascii="Times New Roman" w:hAnsi="Times New Roman" w:cs="Times New Roman"/>
        </w:rPr>
      </w:pPr>
    </w:p>
    <w:sectPr>
      <w:footerReference r:id="rId3" w:type="default"/>
      <w:pgSz w:w="11906" w:h="16838"/>
      <w:pgMar w:top="1417" w:right="1417" w:bottom="1417" w:left="141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4960615"/>
    </w:sdtPr>
    <w:sdtContent>
      <w:p>
        <w:pPr>
          <w:pStyle w:val="3"/>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221973"/>
    <w:rsid w:val="00011F1A"/>
    <w:rsid w:val="00027AEB"/>
    <w:rsid w:val="000515AD"/>
    <w:rsid w:val="000671AD"/>
    <w:rsid w:val="00071962"/>
    <w:rsid w:val="00072577"/>
    <w:rsid w:val="000B2B03"/>
    <w:rsid w:val="000B2CE6"/>
    <w:rsid w:val="000D055E"/>
    <w:rsid w:val="000D0AC4"/>
    <w:rsid w:val="000F1670"/>
    <w:rsid w:val="000F17B9"/>
    <w:rsid w:val="000F5170"/>
    <w:rsid w:val="00112B3E"/>
    <w:rsid w:val="00125A68"/>
    <w:rsid w:val="00140D53"/>
    <w:rsid w:val="0014254D"/>
    <w:rsid w:val="00143646"/>
    <w:rsid w:val="001924F2"/>
    <w:rsid w:val="001956B7"/>
    <w:rsid w:val="001B2165"/>
    <w:rsid w:val="001C592E"/>
    <w:rsid w:val="001D0D12"/>
    <w:rsid w:val="001D30E1"/>
    <w:rsid w:val="001E2C32"/>
    <w:rsid w:val="001E3379"/>
    <w:rsid w:val="002200C8"/>
    <w:rsid w:val="00221973"/>
    <w:rsid w:val="00234AA6"/>
    <w:rsid w:val="00241D56"/>
    <w:rsid w:val="002425D6"/>
    <w:rsid w:val="00265658"/>
    <w:rsid w:val="00265F35"/>
    <w:rsid w:val="002A4AA8"/>
    <w:rsid w:val="002B0088"/>
    <w:rsid w:val="002F343E"/>
    <w:rsid w:val="002F35D2"/>
    <w:rsid w:val="002F6C65"/>
    <w:rsid w:val="00303F21"/>
    <w:rsid w:val="00305DFA"/>
    <w:rsid w:val="003106B2"/>
    <w:rsid w:val="003303CE"/>
    <w:rsid w:val="0034350C"/>
    <w:rsid w:val="00345BE8"/>
    <w:rsid w:val="00345D72"/>
    <w:rsid w:val="0036328A"/>
    <w:rsid w:val="003663AA"/>
    <w:rsid w:val="003759CB"/>
    <w:rsid w:val="003C0D17"/>
    <w:rsid w:val="003D1698"/>
    <w:rsid w:val="003E0635"/>
    <w:rsid w:val="003F3906"/>
    <w:rsid w:val="004003E3"/>
    <w:rsid w:val="00425E16"/>
    <w:rsid w:val="004303F1"/>
    <w:rsid w:val="00457759"/>
    <w:rsid w:val="00460515"/>
    <w:rsid w:val="0046667F"/>
    <w:rsid w:val="004E2EBB"/>
    <w:rsid w:val="004F7483"/>
    <w:rsid w:val="00504EFE"/>
    <w:rsid w:val="00505297"/>
    <w:rsid w:val="005617E0"/>
    <w:rsid w:val="005C5597"/>
    <w:rsid w:val="005D2CD4"/>
    <w:rsid w:val="005D343A"/>
    <w:rsid w:val="005D5CA7"/>
    <w:rsid w:val="006059C1"/>
    <w:rsid w:val="006079A8"/>
    <w:rsid w:val="00622E6B"/>
    <w:rsid w:val="006373E6"/>
    <w:rsid w:val="00645E98"/>
    <w:rsid w:val="00671D4F"/>
    <w:rsid w:val="006F3EEC"/>
    <w:rsid w:val="006F7F51"/>
    <w:rsid w:val="007001B5"/>
    <w:rsid w:val="0072017E"/>
    <w:rsid w:val="00742EC0"/>
    <w:rsid w:val="007527AF"/>
    <w:rsid w:val="0077713F"/>
    <w:rsid w:val="0078517B"/>
    <w:rsid w:val="007B6772"/>
    <w:rsid w:val="007D34BA"/>
    <w:rsid w:val="007F3391"/>
    <w:rsid w:val="008155DF"/>
    <w:rsid w:val="00820C65"/>
    <w:rsid w:val="00821A69"/>
    <w:rsid w:val="00843588"/>
    <w:rsid w:val="00853B08"/>
    <w:rsid w:val="00877AD4"/>
    <w:rsid w:val="008833F6"/>
    <w:rsid w:val="008B2699"/>
    <w:rsid w:val="008B6903"/>
    <w:rsid w:val="008C271A"/>
    <w:rsid w:val="008F7B2F"/>
    <w:rsid w:val="009002FC"/>
    <w:rsid w:val="00920316"/>
    <w:rsid w:val="00950B26"/>
    <w:rsid w:val="00963641"/>
    <w:rsid w:val="00973500"/>
    <w:rsid w:val="0098040A"/>
    <w:rsid w:val="00987E03"/>
    <w:rsid w:val="009E3262"/>
    <w:rsid w:val="00A053C3"/>
    <w:rsid w:val="00A3089A"/>
    <w:rsid w:val="00A31765"/>
    <w:rsid w:val="00A33210"/>
    <w:rsid w:val="00A35D3A"/>
    <w:rsid w:val="00A760E3"/>
    <w:rsid w:val="00A9339A"/>
    <w:rsid w:val="00AD68EE"/>
    <w:rsid w:val="00B2037C"/>
    <w:rsid w:val="00B36EC8"/>
    <w:rsid w:val="00B409B1"/>
    <w:rsid w:val="00B52583"/>
    <w:rsid w:val="00B72C7B"/>
    <w:rsid w:val="00BA113E"/>
    <w:rsid w:val="00BB5A7D"/>
    <w:rsid w:val="00BF6AD6"/>
    <w:rsid w:val="00C005CD"/>
    <w:rsid w:val="00C535DF"/>
    <w:rsid w:val="00C55F65"/>
    <w:rsid w:val="00C64831"/>
    <w:rsid w:val="00C75F68"/>
    <w:rsid w:val="00C81496"/>
    <w:rsid w:val="00C85524"/>
    <w:rsid w:val="00C941FB"/>
    <w:rsid w:val="00C97957"/>
    <w:rsid w:val="00CA0108"/>
    <w:rsid w:val="00CB4EAA"/>
    <w:rsid w:val="00CC67E1"/>
    <w:rsid w:val="00CD55C1"/>
    <w:rsid w:val="00CE755E"/>
    <w:rsid w:val="00D12A20"/>
    <w:rsid w:val="00D51E0E"/>
    <w:rsid w:val="00D66F49"/>
    <w:rsid w:val="00D77333"/>
    <w:rsid w:val="00DB5D93"/>
    <w:rsid w:val="00DC21D0"/>
    <w:rsid w:val="00DC6554"/>
    <w:rsid w:val="00DF1C15"/>
    <w:rsid w:val="00E064C7"/>
    <w:rsid w:val="00E31E7A"/>
    <w:rsid w:val="00E3256B"/>
    <w:rsid w:val="00E34EFB"/>
    <w:rsid w:val="00E900B3"/>
    <w:rsid w:val="00EC649F"/>
    <w:rsid w:val="00ED7386"/>
    <w:rsid w:val="00F044C5"/>
    <w:rsid w:val="00F34663"/>
    <w:rsid w:val="00F429E0"/>
    <w:rsid w:val="00F60328"/>
    <w:rsid w:val="00FA5B29"/>
    <w:rsid w:val="00FB285F"/>
    <w:rsid w:val="00FB353C"/>
    <w:rsid w:val="018D5F3C"/>
    <w:rsid w:val="02C7046C"/>
    <w:rsid w:val="04025ABE"/>
    <w:rsid w:val="042A3267"/>
    <w:rsid w:val="05453519"/>
    <w:rsid w:val="061D48B3"/>
    <w:rsid w:val="081F5F83"/>
    <w:rsid w:val="09877D10"/>
    <w:rsid w:val="0B8C275C"/>
    <w:rsid w:val="0E6E0DA1"/>
    <w:rsid w:val="0F8F5919"/>
    <w:rsid w:val="111334C8"/>
    <w:rsid w:val="128F4325"/>
    <w:rsid w:val="13157B4F"/>
    <w:rsid w:val="15A4463D"/>
    <w:rsid w:val="15B31EE0"/>
    <w:rsid w:val="16B86695"/>
    <w:rsid w:val="17DE7C95"/>
    <w:rsid w:val="19426380"/>
    <w:rsid w:val="195528D8"/>
    <w:rsid w:val="19802E30"/>
    <w:rsid w:val="1BCF53EA"/>
    <w:rsid w:val="1D23437B"/>
    <w:rsid w:val="1DB16C28"/>
    <w:rsid w:val="200529A9"/>
    <w:rsid w:val="203D2955"/>
    <w:rsid w:val="20464996"/>
    <w:rsid w:val="214771EE"/>
    <w:rsid w:val="21DA345D"/>
    <w:rsid w:val="23BB5B6B"/>
    <w:rsid w:val="24A61ADB"/>
    <w:rsid w:val="2586553C"/>
    <w:rsid w:val="265A3FB4"/>
    <w:rsid w:val="27BD60A0"/>
    <w:rsid w:val="28214655"/>
    <w:rsid w:val="28D45BC6"/>
    <w:rsid w:val="2A1367B5"/>
    <w:rsid w:val="2B7C7467"/>
    <w:rsid w:val="2BE339FF"/>
    <w:rsid w:val="2C805BAD"/>
    <w:rsid w:val="2CE3478A"/>
    <w:rsid w:val="2DB30852"/>
    <w:rsid w:val="2EE50AAD"/>
    <w:rsid w:val="2EF609AB"/>
    <w:rsid w:val="305126AD"/>
    <w:rsid w:val="311256A6"/>
    <w:rsid w:val="323D01F1"/>
    <w:rsid w:val="34D02929"/>
    <w:rsid w:val="35527ED3"/>
    <w:rsid w:val="36CB0404"/>
    <w:rsid w:val="37841093"/>
    <w:rsid w:val="38EA527E"/>
    <w:rsid w:val="3A557CE9"/>
    <w:rsid w:val="3AF90D10"/>
    <w:rsid w:val="3B6810D8"/>
    <w:rsid w:val="3D646D13"/>
    <w:rsid w:val="3DC42E6E"/>
    <w:rsid w:val="3DDC6B81"/>
    <w:rsid w:val="3E506D42"/>
    <w:rsid w:val="40676170"/>
    <w:rsid w:val="40A843CE"/>
    <w:rsid w:val="42A32C35"/>
    <w:rsid w:val="45393174"/>
    <w:rsid w:val="49797D5B"/>
    <w:rsid w:val="49F44238"/>
    <w:rsid w:val="4AD57ABC"/>
    <w:rsid w:val="4DC84A3F"/>
    <w:rsid w:val="4ED1061A"/>
    <w:rsid w:val="521536A5"/>
    <w:rsid w:val="5337410C"/>
    <w:rsid w:val="540E5CEE"/>
    <w:rsid w:val="558E4144"/>
    <w:rsid w:val="564F21F6"/>
    <w:rsid w:val="57E03119"/>
    <w:rsid w:val="57E87138"/>
    <w:rsid w:val="57EE4F5D"/>
    <w:rsid w:val="58B57441"/>
    <w:rsid w:val="58F80EE5"/>
    <w:rsid w:val="599D0CE5"/>
    <w:rsid w:val="5A745C9D"/>
    <w:rsid w:val="5D152479"/>
    <w:rsid w:val="5E0D43B1"/>
    <w:rsid w:val="5F562047"/>
    <w:rsid w:val="60055994"/>
    <w:rsid w:val="621E1BE2"/>
    <w:rsid w:val="62502FB4"/>
    <w:rsid w:val="625F2CDA"/>
    <w:rsid w:val="62CC44E1"/>
    <w:rsid w:val="63A52F5A"/>
    <w:rsid w:val="63B05114"/>
    <w:rsid w:val="64036308"/>
    <w:rsid w:val="65DB5623"/>
    <w:rsid w:val="6629557B"/>
    <w:rsid w:val="67661997"/>
    <w:rsid w:val="69333D5E"/>
    <w:rsid w:val="6C8F33AB"/>
    <w:rsid w:val="6CDA07E8"/>
    <w:rsid w:val="6EEC2ACA"/>
    <w:rsid w:val="6EF962C7"/>
    <w:rsid w:val="6F79413B"/>
    <w:rsid w:val="70E56EF9"/>
    <w:rsid w:val="71AD4B63"/>
    <w:rsid w:val="75512A94"/>
    <w:rsid w:val="75C22FD9"/>
    <w:rsid w:val="76104105"/>
    <w:rsid w:val="764D30C6"/>
    <w:rsid w:val="767A2774"/>
    <w:rsid w:val="78F60617"/>
    <w:rsid w:val="791C55AD"/>
    <w:rsid w:val="79576BE1"/>
    <w:rsid w:val="7B447F3B"/>
    <w:rsid w:val="7B6E597D"/>
    <w:rsid w:val="7C387814"/>
    <w:rsid w:val="7D9A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2"/>
    <w:semiHidden/>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49</Words>
  <Characters>281</Characters>
  <Lines>2</Lines>
  <Paragraphs>1</Paragraphs>
  <TotalTime>0</TotalTime>
  <ScaleCrop>false</ScaleCrop>
  <LinksUpToDate>false</LinksUpToDate>
  <CharactersWithSpaces>329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2021-11-17T08:11:00Z</dcterms:created>
  <dc:creator>王辉</dc:creator>
  <cp:lastModifiedBy>莫奔华</cp:lastModifiedBy>
  <cp:lastPrinted>2019-10-29T08:02:00Z</cp:lastPrinted>
  <dcterms:modified xsi:type="dcterms:W3CDTF">2021-11-17T09:15:28Z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