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b/>
          <w:bCs/>
          <w:sz w:val="40"/>
          <w:szCs w:val="40"/>
        </w:rPr>
      </w:pPr>
      <w:bookmarkStart w:id="0" w:name="_GoBack"/>
      <w:bookmarkEnd w:id="0"/>
      <w:r>
        <w:rPr>
          <w:rFonts w:hint="eastAsia" w:ascii="Times New Roman" w:hAnsi="Times New Roman"/>
          <w:b/>
          <w:bCs/>
          <w:sz w:val="40"/>
          <w:szCs w:val="40"/>
        </w:rPr>
        <w:t>江门市</w:t>
      </w:r>
      <w:r>
        <w:rPr>
          <w:rFonts w:ascii="Times New Roman" w:hAnsi="Times New Roman"/>
          <w:b/>
          <w:bCs/>
          <w:sz w:val="40"/>
          <w:szCs w:val="40"/>
        </w:rPr>
        <w:t>金牌劳动人事争议调解组织</w:t>
      </w:r>
      <w:r>
        <w:rPr>
          <w:rFonts w:hint="eastAsia" w:ascii="Times New Roman" w:hAnsi="Times New Roman"/>
          <w:b/>
          <w:bCs/>
          <w:sz w:val="40"/>
          <w:szCs w:val="40"/>
        </w:rPr>
        <w:t>奖补办法</w:t>
      </w:r>
    </w:p>
    <w:p>
      <w:pPr>
        <w:spacing w:line="500" w:lineRule="exact"/>
        <w:jc w:val="center"/>
        <w:rPr>
          <w:rFonts w:ascii="楷体" w:hAnsi="楷体" w:eastAsia="楷体" w:cs="楷体"/>
          <w:b/>
          <w:bCs/>
          <w:sz w:val="32"/>
          <w:szCs w:val="32"/>
        </w:rPr>
      </w:pPr>
      <w:r>
        <w:rPr>
          <w:rFonts w:hint="eastAsia" w:ascii="楷体" w:hAnsi="楷体" w:eastAsia="楷体" w:cs="楷体"/>
          <w:b/>
          <w:bCs/>
          <w:sz w:val="32"/>
          <w:szCs w:val="32"/>
        </w:rPr>
        <w:t>（征求意见稿）</w:t>
      </w:r>
    </w:p>
    <w:p>
      <w:pPr>
        <w:spacing w:line="560" w:lineRule="exact"/>
        <w:ind w:firstLine="640" w:firstLineChars="200"/>
        <w:rPr>
          <w:rFonts w:ascii="仿宋" w:hAnsi="仿宋" w:eastAsia="仿宋"/>
          <w:sz w:val="32"/>
          <w:szCs w:val="32"/>
        </w:rPr>
      </w:pP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为贯彻落实《广东省人力资源和社会保障厅 广东省总工会 广东省企业联合会 广东省工商业联合会关于印发&lt;广东省劳动关系“和谐同行”能力提升三年行动计划实施方案&gt;的通知》（粤人社函〔2021〕37号）和《江门市打造金牌劳动人事争议调解组织实施方案》（江人社发〔2021〕74号）精神，强化创建金牌劳动人事争议调解组织开展工作的激励保障措施，</w:t>
      </w:r>
      <w:r>
        <w:rPr>
          <w:rFonts w:hint="eastAsia" w:ascii="Times New Roman" w:hAnsi="Times New Roman" w:eastAsia="仿宋"/>
          <w:sz w:val="32"/>
          <w:szCs w:val="32"/>
        </w:rPr>
        <w:t>为</w:t>
      </w:r>
      <w:r>
        <w:rPr>
          <w:rFonts w:ascii="Times New Roman" w:hAnsi="Times New Roman" w:eastAsia="仿宋"/>
          <w:sz w:val="32"/>
          <w:szCs w:val="32"/>
        </w:rPr>
        <w:t>进一步完善我市劳动人事争议调解工作保障机制，充分发挥基层劳动人事争议调解组织在争议处理中的基础性作用，将劳动人事争议化解在基层，促进劳动关系和谐与社会稳定，结合我市实际，制定本办法。</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一、目标任务</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从2021年起，未来3年内，全市共计划打造15家制度机制全、专业程度高、服务能力强、基础保障好的金牌劳动人事争议调解组织。为高质量推进我市金牌劳动人事争议调解组织选树和培育，助力创建和申报省级乃至国家金牌劳动人事争议调解组织，通过“以奖代补”的方式，提升劳动关系公共服务能力和基层调解仲裁工作效能，扎实推进劳动关系治理体系和治理能力建设。</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二、范围及标准</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按照《关于印发﹤江门市金牌劳动人事争议调解组织认定方案﹥的通知》（江人社函〔2021〕108号）（以下简称</w:t>
      </w:r>
      <w:r>
        <w:rPr>
          <w:rFonts w:hint="eastAsia" w:ascii="Times New Roman" w:hAnsi="Times New Roman" w:eastAsia="仿宋"/>
          <w:sz w:val="32"/>
          <w:szCs w:val="32"/>
        </w:rPr>
        <w:t>《认定方案》</w:t>
      </w:r>
      <w:r>
        <w:rPr>
          <w:rFonts w:ascii="Times New Roman" w:hAnsi="Times New Roman" w:eastAsia="仿宋"/>
          <w:sz w:val="32"/>
          <w:szCs w:val="32"/>
        </w:rPr>
        <w:t>）规</w:t>
      </w:r>
      <w:r>
        <w:rPr>
          <w:rFonts w:hint="eastAsia" w:ascii="Times New Roman" w:hAnsi="Times New Roman" w:eastAsia="仿宋"/>
          <w:sz w:val="32"/>
          <w:szCs w:val="32"/>
        </w:rPr>
        <w:t>定</w:t>
      </w:r>
      <w:r>
        <w:rPr>
          <w:rFonts w:ascii="Times New Roman" w:hAnsi="Times New Roman" w:eastAsia="仿宋"/>
          <w:sz w:val="32"/>
          <w:szCs w:val="32"/>
        </w:rPr>
        <w:t>，经江门市金牌劳动人事争议调解组织认定工作领导小组（以下简称“领导小组”）认定的“江门市金牌劳动人事争议调解组织”，由领导小组办公室（市劳动人事争议仲裁院）一次性给予3万元奖补。奖补资金主要用于所认定的金牌劳动人事争议调解组织</w:t>
      </w:r>
      <w:r>
        <w:rPr>
          <w:rFonts w:hint="eastAsia" w:ascii="Times New Roman" w:hAnsi="Times New Roman" w:eastAsia="仿宋"/>
          <w:sz w:val="32"/>
          <w:szCs w:val="32"/>
        </w:rPr>
        <w:t>购置必要的办案办公</w:t>
      </w:r>
      <w:r>
        <w:rPr>
          <w:rFonts w:ascii="Times New Roman" w:hAnsi="Times New Roman" w:eastAsia="仿宋"/>
          <w:sz w:val="32"/>
          <w:szCs w:val="32"/>
        </w:rPr>
        <w:t>设施设备</w:t>
      </w:r>
      <w:r>
        <w:rPr>
          <w:rFonts w:hint="eastAsia" w:ascii="Times New Roman" w:hAnsi="Times New Roman" w:eastAsia="仿宋"/>
          <w:sz w:val="32"/>
          <w:szCs w:val="32"/>
        </w:rPr>
        <w:t>、网络信息化建设、开展调解活动以及相关购买服务，</w:t>
      </w:r>
      <w:r>
        <w:rPr>
          <w:rFonts w:ascii="Times New Roman" w:hAnsi="Times New Roman" w:eastAsia="仿宋"/>
          <w:sz w:val="32"/>
          <w:szCs w:val="32"/>
        </w:rPr>
        <w:t>补充调解工作经费</w:t>
      </w:r>
      <w:r>
        <w:rPr>
          <w:rFonts w:hint="eastAsia" w:ascii="Times New Roman" w:hAnsi="Times New Roman" w:eastAsia="仿宋"/>
          <w:sz w:val="32"/>
          <w:szCs w:val="32"/>
        </w:rPr>
        <w:t>等</w:t>
      </w:r>
      <w:r>
        <w:rPr>
          <w:rFonts w:ascii="Times New Roman" w:hAnsi="Times New Roman" w:eastAsia="仿宋"/>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三、发放程序</w:t>
      </w:r>
    </w:p>
    <w:p>
      <w:pPr>
        <w:spacing w:line="560" w:lineRule="exact"/>
        <w:ind w:firstLine="640" w:firstLineChars="200"/>
        <w:rPr>
          <w:rFonts w:ascii="仿宋" w:hAnsi="仿宋" w:eastAsia="仿宋" w:cs="仿宋"/>
          <w:sz w:val="32"/>
          <w:szCs w:val="32"/>
        </w:rPr>
      </w:pPr>
      <w:r>
        <w:rPr>
          <w:rFonts w:hint="eastAsia" w:ascii="Times New Roman" w:hAnsi="Times New Roman" w:eastAsia="仿宋"/>
          <w:sz w:val="32"/>
          <w:szCs w:val="32"/>
        </w:rPr>
        <w:t>根据《认定方案》要求，由</w:t>
      </w:r>
      <w:r>
        <w:rPr>
          <w:rFonts w:ascii="Times New Roman" w:hAnsi="Times New Roman" w:eastAsia="仿宋"/>
          <w:sz w:val="32"/>
          <w:szCs w:val="32"/>
        </w:rPr>
        <w:t>领导小组办公室（市劳动人事争议仲裁院）</w:t>
      </w:r>
      <w:r>
        <w:rPr>
          <w:rFonts w:hint="eastAsia" w:ascii="Times New Roman" w:hAnsi="Times New Roman" w:eastAsia="仿宋"/>
          <w:sz w:val="32"/>
          <w:szCs w:val="32"/>
        </w:rPr>
        <w:t>统一汇总认定结果，按有关规定报批后，将奖补资金一次性划拨至被认定金牌劳动人事争议调解组织所在的县（市、区）人力资源和社会保障局。</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四、经费保障</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领导小组办公室（市劳动人事争议仲裁院）根据</w:t>
      </w:r>
      <w:r>
        <w:rPr>
          <w:rFonts w:hint="eastAsia" w:ascii="Times New Roman" w:hAnsi="Times New Roman" w:eastAsia="仿宋"/>
          <w:sz w:val="32"/>
          <w:szCs w:val="32"/>
        </w:rPr>
        <w:t>当</w:t>
      </w:r>
      <w:r>
        <w:rPr>
          <w:rFonts w:ascii="Times New Roman" w:hAnsi="Times New Roman" w:eastAsia="仿宋"/>
          <w:sz w:val="32"/>
          <w:szCs w:val="32"/>
        </w:rPr>
        <w:t>年度认定江门市金牌劳动人事争议调解组织的</w:t>
      </w:r>
      <w:r>
        <w:rPr>
          <w:rFonts w:hint="eastAsia" w:ascii="Times New Roman" w:hAnsi="Times New Roman" w:eastAsia="仿宋"/>
          <w:sz w:val="32"/>
          <w:szCs w:val="32"/>
        </w:rPr>
        <w:t>数量</w:t>
      </w:r>
      <w:r>
        <w:rPr>
          <w:rFonts w:ascii="Times New Roman" w:hAnsi="Times New Roman" w:eastAsia="仿宋"/>
          <w:sz w:val="32"/>
          <w:szCs w:val="32"/>
        </w:rPr>
        <w:t>情况，提出奖补经费预算</w:t>
      </w:r>
      <w:r>
        <w:rPr>
          <w:rFonts w:hint="eastAsia" w:ascii="Times New Roman" w:hAnsi="Times New Roman" w:eastAsia="仿宋"/>
          <w:sz w:val="32"/>
          <w:szCs w:val="32"/>
        </w:rPr>
        <w:t>申请</w:t>
      </w:r>
      <w:r>
        <w:rPr>
          <w:rFonts w:ascii="Times New Roman" w:hAnsi="Times New Roman" w:eastAsia="仿宋"/>
          <w:sz w:val="32"/>
          <w:szCs w:val="32"/>
        </w:rPr>
        <w:t>，所需资金纳入下一年</w:t>
      </w:r>
      <w:r>
        <w:rPr>
          <w:rFonts w:hint="eastAsia" w:ascii="Times New Roman" w:hAnsi="Times New Roman" w:eastAsia="仿宋"/>
          <w:sz w:val="32"/>
          <w:szCs w:val="32"/>
        </w:rPr>
        <w:t>度</w:t>
      </w:r>
      <w:r>
        <w:rPr>
          <w:rFonts w:ascii="Times New Roman" w:hAnsi="Times New Roman" w:eastAsia="仿宋"/>
          <w:sz w:val="32"/>
          <w:szCs w:val="32"/>
        </w:rPr>
        <w:t>市</w:t>
      </w:r>
      <w:r>
        <w:rPr>
          <w:rFonts w:hint="eastAsia" w:ascii="Times New Roman" w:hAnsi="Times New Roman" w:eastAsia="仿宋"/>
          <w:sz w:val="32"/>
          <w:szCs w:val="32"/>
        </w:rPr>
        <w:t>劳动人事争议仲裁院</w:t>
      </w:r>
      <w:r>
        <w:rPr>
          <w:rFonts w:ascii="Times New Roman" w:hAnsi="Times New Roman" w:eastAsia="仿宋"/>
          <w:sz w:val="32"/>
          <w:szCs w:val="32"/>
        </w:rPr>
        <w:t>预算。</w:t>
      </w:r>
      <w:r>
        <w:rPr>
          <w:rFonts w:hint="eastAsia" w:ascii="Times New Roman" w:hAnsi="Times New Roman" w:eastAsia="仿宋"/>
          <w:sz w:val="32"/>
          <w:szCs w:val="32"/>
        </w:rPr>
        <w:t>各县（市、区）也可结合实际，协调加大资金投入，加快推动本地金牌调解组织建设，确保全面完成目标任务。</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w:t>
      </w:r>
      <w:r>
        <w:rPr>
          <w:rFonts w:hint="eastAsia" w:ascii="Times New Roman" w:hAnsi="Times New Roman" w:eastAsia="黑体"/>
          <w:sz w:val="32"/>
          <w:szCs w:val="32"/>
        </w:rPr>
        <w:t>工作</w:t>
      </w:r>
      <w:r>
        <w:rPr>
          <w:rFonts w:ascii="Times New Roman" w:hAnsi="Times New Roman" w:eastAsia="黑体"/>
          <w:sz w:val="32"/>
          <w:szCs w:val="32"/>
        </w:rPr>
        <w:t>要求</w:t>
      </w:r>
    </w:p>
    <w:p>
      <w:pPr>
        <w:spacing w:line="560" w:lineRule="exact"/>
        <w:ind w:firstLine="643" w:firstLineChars="200"/>
        <w:rPr>
          <w:rFonts w:ascii="Times New Roman" w:hAnsi="Times New Roman" w:eastAsia="仿宋"/>
          <w:sz w:val="32"/>
          <w:szCs w:val="32"/>
        </w:rPr>
      </w:pPr>
      <w:r>
        <w:rPr>
          <w:rFonts w:hint="eastAsia" w:ascii="楷体" w:hAnsi="楷体" w:eastAsia="楷体" w:cs="楷体"/>
          <w:b/>
          <w:bCs/>
          <w:sz w:val="32"/>
          <w:szCs w:val="32"/>
        </w:rPr>
        <w:t>（一）做到专款专用。</w:t>
      </w:r>
      <w:r>
        <w:rPr>
          <w:rFonts w:hint="eastAsia" w:ascii="Times New Roman" w:hAnsi="Times New Roman" w:eastAsia="仿宋"/>
          <w:sz w:val="32"/>
          <w:szCs w:val="32"/>
        </w:rPr>
        <w:t>实行“金牌劳动人事争议调解组织资金奖补”是完善激励保障机制，推动基层调解组织化解劳动争议纠纷，提升基层治理和服务能力、构建和谐劳动关系的重要举措。</w:t>
      </w:r>
      <w:r>
        <w:rPr>
          <w:rFonts w:ascii="Times New Roman" w:hAnsi="Times New Roman" w:eastAsia="仿宋"/>
          <w:sz w:val="32"/>
          <w:szCs w:val="32"/>
        </w:rPr>
        <w:t>奖补资金</w:t>
      </w:r>
      <w:r>
        <w:rPr>
          <w:rFonts w:hint="eastAsia" w:ascii="Times New Roman" w:hAnsi="Times New Roman" w:eastAsia="仿宋"/>
          <w:sz w:val="32"/>
          <w:szCs w:val="32"/>
        </w:rPr>
        <w:t>必须做到专款专用，注重实效，主要</w:t>
      </w:r>
      <w:r>
        <w:rPr>
          <w:rFonts w:ascii="Times New Roman" w:hAnsi="Times New Roman" w:eastAsia="仿宋"/>
          <w:sz w:val="32"/>
          <w:szCs w:val="32"/>
        </w:rPr>
        <w:t>围绕创建金牌调解组织的目标和条件，不断提高规范化、标准化、专业化、信息化水平，切实</w:t>
      </w:r>
      <w:r>
        <w:rPr>
          <w:rFonts w:hint="eastAsia" w:ascii="Times New Roman" w:hAnsi="Times New Roman" w:eastAsia="仿宋"/>
          <w:sz w:val="32"/>
          <w:szCs w:val="32"/>
        </w:rPr>
        <w:t>发挥</w:t>
      </w:r>
      <w:r>
        <w:rPr>
          <w:rFonts w:ascii="Times New Roman" w:hAnsi="Times New Roman" w:eastAsia="仿宋"/>
          <w:sz w:val="32"/>
          <w:szCs w:val="32"/>
        </w:rPr>
        <w:t>维护劳动人事关系和谐与社会稳定</w:t>
      </w:r>
      <w:r>
        <w:rPr>
          <w:rFonts w:hint="eastAsia" w:ascii="Times New Roman" w:hAnsi="Times New Roman" w:eastAsia="仿宋"/>
          <w:sz w:val="32"/>
          <w:szCs w:val="32"/>
        </w:rPr>
        <w:t>作用</w:t>
      </w:r>
      <w:r>
        <w:rPr>
          <w:rFonts w:ascii="Times New Roman" w:hAnsi="Times New Roman" w:eastAsia="仿宋"/>
          <w:sz w:val="32"/>
          <w:szCs w:val="32"/>
        </w:rPr>
        <w:t>。</w:t>
      </w:r>
    </w:p>
    <w:p>
      <w:pPr>
        <w:spacing w:line="560" w:lineRule="exact"/>
        <w:ind w:firstLine="643" w:firstLineChars="200"/>
        <w:rPr>
          <w:rFonts w:ascii="Times New Roman" w:hAnsi="Times New Roman" w:eastAsia="仿宋"/>
          <w:sz w:val="32"/>
          <w:szCs w:val="32"/>
        </w:rPr>
      </w:pPr>
      <w:r>
        <w:rPr>
          <w:rFonts w:hint="eastAsia" w:ascii="楷体" w:hAnsi="楷体" w:eastAsia="楷体" w:cs="楷体"/>
          <w:b/>
          <w:bCs/>
          <w:sz w:val="32"/>
          <w:szCs w:val="32"/>
        </w:rPr>
        <w:t>（二）落实监管责任。</w:t>
      </w:r>
      <w:r>
        <w:rPr>
          <w:rFonts w:hint="eastAsia" w:ascii="Times New Roman" w:hAnsi="Times New Roman" w:eastAsia="仿宋"/>
          <w:sz w:val="32"/>
          <w:szCs w:val="32"/>
        </w:rPr>
        <w:t>各县（市、区）人力资源和社会保障局对奖补资金使用负有监管责任，指导、督促被认定</w:t>
      </w:r>
      <w:r>
        <w:rPr>
          <w:rFonts w:hint="eastAsia" w:ascii="Times New Roman" w:hAnsi="Times New Roman" w:eastAsia="仿宋"/>
          <w:sz w:val="32"/>
          <w:szCs w:val="32"/>
          <w:lang w:val="en-US" w:eastAsia="zh-CN"/>
        </w:rPr>
        <w:t>的</w:t>
      </w:r>
      <w:r>
        <w:rPr>
          <w:rFonts w:hint="eastAsia" w:ascii="Times New Roman" w:hAnsi="Times New Roman" w:eastAsia="仿宋"/>
          <w:sz w:val="32"/>
          <w:szCs w:val="32"/>
        </w:rPr>
        <w:t>金牌劳动人事争议调解组织建立奖补资金使用台账，加强监督和日常巡查。领导小组办公室（市劳动人事争议仲裁院）也将对奖补资金使用情况适时进行抽查。</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本办法由领导小组办公室（市劳动人事争议仲裁院）负责解释，</w:t>
      </w:r>
      <w:r>
        <w:rPr>
          <w:rFonts w:hint="eastAsia" w:ascii="Times New Roman" w:hAnsi="Times New Roman" w:eastAsia="仿宋"/>
          <w:sz w:val="32"/>
          <w:szCs w:val="32"/>
          <w:highlight w:val="none"/>
        </w:rPr>
        <w:t>自</w:t>
      </w:r>
      <w:r>
        <w:rPr>
          <w:rFonts w:hint="eastAsia" w:ascii="Times New Roman" w:hAnsi="Times New Roman" w:eastAsia="仿宋"/>
          <w:sz w:val="32"/>
          <w:szCs w:val="32"/>
          <w:highlight w:val="none"/>
          <w:lang w:eastAsia="zh-CN"/>
        </w:rPr>
        <w:t>2</w:t>
      </w:r>
      <w:r>
        <w:rPr>
          <w:rFonts w:hint="eastAsia" w:ascii="Times New Roman" w:hAnsi="Times New Roman" w:eastAsia="仿宋"/>
          <w:sz w:val="32"/>
          <w:szCs w:val="32"/>
          <w:highlight w:val="none"/>
          <w:lang w:val="en-US" w:eastAsia="zh-CN"/>
        </w:rPr>
        <w:t>022年X月X日</w:t>
      </w:r>
      <w:r>
        <w:rPr>
          <w:rFonts w:hint="eastAsia" w:ascii="Times New Roman" w:hAnsi="Times New Roman" w:eastAsia="仿宋"/>
          <w:sz w:val="32"/>
          <w:szCs w:val="32"/>
          <w:highlight w:val="none"/>
        </w:rPr>
        <w:t>起</w:t>
      </w:r>
      <w:r>
        <w:rPr>
          <w:rFonts w:hint="eastAsia" w:ascii="Times New Roman" w:hAnsi="Times New Roman" w:eastAsia="仿宋"/>
          <w:sz w:val="32"/>
          <w:szCs w:val="32"/>
        </w:rPr>
        <w:t>执行，有效期到2024年12月31日。</w:t>
      </w:r>
    </w:p>
    <w:p>
      <w:pPr>
        <w:spacing w:line="560" w:lineRule="exact"/>
        <w:ind w:firstLine="640" w:firstLineChars="200"/>
        <w:rPr>
          <w:rFonts w:ascii="Times New Roman" w:hAnsi="Times New Roman" w:eastAsia="仿宋"/>
          <w:sz w:val="32"/>
          <w:szCs w:val="32"/>
        </w:rPr>
      </w:pPr>
    </w:p>
    <w:p>
      <w:pPr>
        <w:ind w:firstLine="643" w:firstLineChars="200"/>
        <w:rPr>
          <w:rFonts w:ascii="Times New Roman" w:hAnsi="Times New Roman" w:eastAsia="仿宋"/>
          <w:b/>
          <w:bCs/>
          <w:sz w:val="32"/>
          <w:szCs w:val="32"/>
        </w:rPr>
      </w:pPr>
    </w:p>
    <w:sectPr>
      <w:pgSz w:w="11906" w:h="16838"/>
      <w:pgMar w:top="1701"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76F0"/>
    <w:rsid w:val="00003F58"/>
    <w:rsid w:val="00012A66"/>
    <w:rsid w:val="00095210"/>
    <w:rsid w:val="000E23E2"/>
    <w:rsid w:val="001276F0"/>
    <w:rsid w:val="001C4F81"/>
    <w:rsid w:val="0021289C"/>
    <w:rsid w:val="00244D23"/>
    <w:rsid w:val="002B092B"/>
    <w:rsid w:val="003258CF"/>
    <w:rsid w:val="0032602C"/>
    <w:rsid w:val="003C7015"/>
    <w:rsid w:val="00432218"/>
    <w:rsid w:val="004A4590"/>
    <w:rsid w:val="0053684D"/>
    <w:rsid w:val="005E758B"/>
    <w:rsid w:val="006607F3"/>
    <w:rsid w:val="007429B5"/>
    <w:rsid w:val="007815F6"/>
    <w:rsid w:val="00811120"/>
    <w:rsid w:val="00835074"/>
    <w:rsid w:val="00850189"/>
    <w:rsid w:val="009A2946"/>
    <w:rsid w:val="009E6A0E"/>
    <w:rsid w:val="00AE4348"/>
    <w:rsid w:val="00C41DD7"/>
    <w:rsid w:val="00C513C9"/>
    <w:rsid w:val="00C63085"/>
    <w:rsid w:val="00CB205A"/>
    <w:rsid w:val="00CC7645"/>
    <w:rsid w:val="00D72962"/>
    <w:rsid w:val="00E01CC1"/>
    <w:rsid w:val="00EB0C4B"/>
    <w:rsid w:val="00F3467C"/>
    <w:rsid w:val="00F37543"/>
    <w:rsid w:val="00FD2D26"/>
    <w:rsid w:val="012E6321"/>
    <w:rsid w:val="02C310D9"/>
    <w:rsid w:val="049C0EB0"/>
    <w:rsid w:val="084D3FE1"/>
    <w:rsid w:val="16BF391B"/>
    <w:rsid w:val="1801433A"/>
    <w:rsid w:val="1F363381"/>
    <w:rsid w:val="1F732A6F"/>
    <w:rsid w:val="20001F43"/>
    <w:rsid w:val="22717A16"/>
    <w:rsid w:val="24C259D4"/>
    <w:rsid w:val="25BA6005"/>
    <w:rsid w:val="291C1F3B"/>
    <w:rsid w:val="2D042209"/>
    <w:rsid w:val="33DB6B91"/>
    <w:rsid w:val="39DF5E5C"/>
    <w:rsid w:val="3FA86894"/>
    <w:rsid w:val="42C94E8F"/>
    <w:rsid w:val="448A34C1"/>
    <w:rsid w:val="53BF7F2C"/>
    <w:rsid w:val="585E0A0A"/>
    <w:rsid w:val="591240A0"/>
    <w:rsid w:val="591E661C"/>
    <w:rsid w:val="5BCB1594"/>
    <w:rsid w:val="5C513799"/>
    <w:rsid w:val="5DE14808"/>
    <w:rsid w:val="63316906"/>
    <w:rsid w:val="638257E9"/>
    <w:rsid w:val="64D7708B"/>
    <w:rsid w:val="6549312E"/>
    <w:rsid w:val="66067FC5"/>
    <w:rsid w:val="66C60EC7"/>
    <w:rsid w:val="6E604D85"/>
    <w:rsid w:val="72440A40"/>
    <w:rsid w:val="75F57419"/>
    <w:rsid w:val="77C91C83"/>
    <w:rsid w:val="78BA5F41"/>
    <w:rsid w:val="793D1639"/>
    <w:rsid w:val="7A6E0528"/>
    <w:rsid w:val="7A9F2CCF"/>
    <w:rsid w:val="7B036C2A"/>
    <w:rsid w:val="7B2C6815"/>
    <w:rsid w:val="7B810FA9"/>
    <w:rsid w:val="7C492F8C"/>
    <w:rsid w:val="7D894EC8"/>
    <w:rsid w:val="7FCC12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ind w:left="200" w:leftChars="200"/>
    </w:pPr>
  </w:style>
  <w:style w:type="character" w:styleId="8">
    <w:name w:val="FollowedHyperlink"/>
    <w:basedOn w:val="7"/>
    <w:semiHidden/>
    <w:unhideWhenUsed/>
    <w:qFormat/>
    <w:uiPriority w:val="99"/>
    <w:rPr>
      <w:rFonts w:hint="eastAsia" w:ascii="宋体" w:hAnsi="宋体" w:eastAsia="宋体" w:cs="宋体"/>
      <w:color w:val="800080"/>
      <w:u w:val="none"/>
    </w:rPr>
  </w:style>
  <w:style w:type="character" w:styleId="9">
    <w:name w:val="Hyperlink"/>
    <w:basedOn w:val="7"/>
    <w:semiHidden/>
    <w:unhideWhenUsed/>
    <w:qFormat/>
    <w:uiPriority w:val="99"/>
    <w:rPr>
      <w:rFonts w:hint="eastAsia" w:ascii="宋体" w:hAnsi="宋体" w:eastAsia="宋体" w:cs="宋体"/>
      <w:color w:val="0000FF"/>
      <w:u w:val="none"/>
    </w:rPr>
  </w:style>
  <w:style w:type="character" w:customStyle="1" w:styleId="10">
    <w:name w:val="页眉 Char"/>
    <w:basedOn w:val="7"/>
    <w:link w:val="4"/>
    <w:qFormat/>
    <w:uiPriority w:val="99"/>
    <w:rPr>
      <w:rFonts w:ascii="Calibri" w:hAnsi="Calibri" w:eastAsia="宋体" w:cs="Times New Roman"/>
      <w:sz w:val="18"/>
      <w:szCs w:val="18"/>
    </w:rPr>
  </w:style>
  <w:style w:type="character" w:customStyle="1" w:styleId="11">
    <w:name w:val="页脚 Char"/>
    <w:basedOn w:val="7"/>
    <w:link w:val="3"/>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style>
  <w:style w:type="character" w:styleId="13">
    <w:name w:val="Placeholder Text"/>
    <w:basedOn w:val="7"/>
    <w:semiHidden/>
    <w:qFormat/>
    <w:uiPriority w:val="99"/>
    <w:rPr>
      <w:color w:val="808080"/>
    </w:rPr>
  </w:style>
  <w:style w:type="character" w:customStyle="1" w:styleId="14">
    <w:name w:val="批注框文本 Char"/>
    <w:basedOn w:val="7"/>
    <w:link w:val="2"/>
    <w:semiHidden/>
    <w:qFormat/>
    <w:uiPriority w:val="99"/>
    <w:rPr>
      <w:rFonts w:ascii="Calibri" w:hAnsi="Calibri" w:eastAsia="宋体" w:cs="Times New Roman"/>
      <w:sz w:val="18"/>
      <w:szCs w:val="18"/>
    </w:rPr>
  </w:style>
  <w:style w:type="character" w:customStyle="1" w:styleId="15">
    <w:name w:val="validate-error"/>
    <w:basedOn w:val="7"/>
    <w:uiPriority w:val="0"/>
    <w:rPr>
      <w:b/>
      <w:color w:val="EA52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1244</Words>
  <Characters>46</Characters>
  <Lines>1</Lines>
  <Paragraphs>2</Paragraphs>
  <TotalTime>10</TotalTime>
  <ScaleCrop>false</ScaleCrop>
  <LinksUpToDate>false</LinksUpToDate>
  <CharactersWithSpaces>1288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2021-10-11T08:51:00Z</dcterms:created>
  <dc:creator>林小琴</dc:creator>
  <cp:lastModifiedBy>陈剑华</cp:lastModifiedBy>
  <cp:lastPrinted>2021-11-01T01:57:00Z</cp:lastPrinted>
  <dcterms:modified xsi:type="dcterms:W3CDTF">2021-12-08T10:26:54Z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98713662782C48F493936C160D0BA62C</vt:lpwstr>
  </property>
</Properties>
</file>