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360" w:lineRule="auto"/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</w:rPr>
        <w:t>中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电（江门）综合能源有限公司能源站项目</w:t>
      </w:r>
    </w:p>
    <w:p>
      <w:pPr>
        <w:pStyle w:val="2"/>
        <w:spacing w:before="120" w:after="120" w:line="360" w:lineRule="auto"/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水土保持设施验收核查报告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日，江门市水利局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对中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水土保持设施验收情况进行验收核查。验收核查人员对中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站址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区域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进行了实地巡查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，并查阅有关文件资料，形成验收核查报告如下：</w:t>
      </w:r>
    </w:p>
    <w:p>
      <w:pPr>
        <w:pStyle w:val="3"/>
        <w:spacing w:before="0" w:after="0" w:line="360" w:lineRule="auto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（1）项目规模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厂区工程和供水工程两部分。其中厂区工程建设规模按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MW级天然气分布式能源站建设，整个厂区主要分为主厂房区（含汽机房、燃气轮机房、余热锅炉、烟囱等）、冷却塔区（含冷却塔、循环水泵房、循环水加药间、化水车间）、净水站区、配电装置区、调压区、厂前区六大区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供水工程包括取水头部和取水泵房、供水管道等建设内容。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工程总占地面积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5.64</w:t>
      </w:r>
      <w:r>
        <w:rPr>
          <w:rFonts w:hint="eastAsia" w:ascii="仿宋_GB2312" w:hAnsi="仿宋_GB2312" w:eastAsia="仿宋_GB2312" w:cs="仿宋_GB2312"/>
          <w:sz w:val="32"/>
          <w:szCs w:val="32"/>
        </w:rPr>
        <w:t>公顷，其中永久占地为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3.74</w:t>
      </w:r>
      <w:r>
        <w:rPr>
          <w:rFonts w:hint="eastAsia" w:ascii="仿宋_GB2312" w:hAnsi="仿宋_GB2312" w:eastAsia="仿宋_GB2312" w:cs="仿宋_GB2312"/>
          <w:sz w:val="32"/>
          <w:szCs w:val="32"/>
        </w:rPr>
        <w:t>公顷，临时占地为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1.90</w:t>
      </w:r>
      <w:r>
        <w:rPr>
          <w:rFonts w:hint="eastAsia" w:ascii="仿宋_GB2312" w:hAnsi="仿宋_GB2312" w:eastAsia="仿宋_GB2312" w:cs="仿宋_GB2312"/>
          <w:sz w:val="32"/>
          <w:szCs w:val="32"/>
        </w:rPr>
        <w:t>公顷。工程总投资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8.94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元。工程于201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月开工，20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月完工。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（2）水土保持工作开展情况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月，江门市水务局出具《江门市水务局关于中电江门高新区2x60MW级天然气分布式能源站项目水土保持方案的批复》（江水许准[201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，后项目建设地点改变发生变更，建设单位重新编制水土保持方案，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月，江门市水务局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重新</w:t>
      </w:r>
      <w:r>
        <w:rPr>
          <w:rFonts w:hint="eastAsia" w:ascii="仿宋_GB2312" w:hAnsi="仿宋_GB2312" w:eastAsia="仿宋_GB2312" w:cs="仿宋_GB2312"/>
          <w:sz w:val="32"/>
          <w:szCs w:val="32"/>
        </w:rPr>
        <w:t>出具《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江门市水务局关于中电江门高新区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Arial" w:hAnsi="Arial" w:eastAsia="仿宋_GB2312" w:cs="Arial"/>
          <w:sz w:val="32"/>
          <w:szCs w:val="32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60MW级天然气分布式能源站项目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水土保持方案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的批复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》（江水许准[201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月，建设单位委托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江门市科禹水利规划设计咨询有限公司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开展水土保持监测工作；20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月编制完成《中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水土保持监测总结报告》。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江门市科禹水利规划设计咨询有限公司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完成《中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水土保持设施验收报告》。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水土保持设施验收。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（3）水土保持设施建设情况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根据项目水土保持设施验收鉴定书验收结论，项目实际完成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临时</w:t>
      </w:r>
      <w:r>
        <w:rPr>
          <w:rFonts w:hint="eastAsia" w:ascii="仿宋_GB2312" w:hAnsi="仿宋_GB2312" w:eastAsia="仿宋_GB2312" w:cs="仿宋_GB2312"/>
          <w:sz w:val="32"/>
          <w:szCs w:val="32"/>
        </w:rPr>
        <w:t>排水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114</w:t>
      </w:r>
      <w:r>
        <w:rPr>
          <w:rFonts w:hint="eastAsia" w:ascii="仿宋_GB2312" w:hAnsi="仿宋_GB2312" w:eastAsia="仿宋_GB2312" w:cs="仿宋_GB2312"/>
          <w:sz w:val="32"/>
          <w:szCs w:val="32"/>
        </w:rPr>
        <w:t>0米，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沉沙池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3座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，全面整地0.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73</w:t>
      </w:r>
      <w:r>
        <w:rPr>
          <w:rFonts w:hint="eastAsia" w:ascii="仿宋_GB2312" w:hAnsi="仿宋_GB2312" w:eastAsia="仿宋_GB2312" w:cs="仿宋_GB2312"/>
          <w:sz w:val="32"/>
          <w:szCs w:val="32"/>
        </w:rPr>
        <w:t>公顷，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景观</w:t>
      </w:r>
      <w:r>
        <w:rPr>
          <w:rFonts w:hint="eastAsia" w:ascii="仿宋_GB2312" w:hAnsi="仿宋_GB2312" w:eastAsia="仿宋_GB2312" w:cs="仿宋_GB2312"/>
          <w:sz w:val="32"/>
          <w:szCs w:val="32"/>
        </w:rPr>
        <w:t>绿化0.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公顷，编织土袋拦挡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与拆除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0立方米，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塑料薄膜遮盖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8700平方</w:t>
      </w:r>
      <w:r>
        <w:rPr>
          <w:rFonts w:hint="eastAsia" w:ascii="仿宋_GB2312" w:hAnsi="仿宋_GB2312" w:eastAsia="仿宋_GB2312" w:cs="仿宋_GB2312"/>
          <w:sz w:val="32"/>
          <w:szCs w:val="32"/>
        </w:rPr>
        <w:t>米。实际完成水土保持投资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pStyle w:val="3"/>
        <w:spacing w:before="0" w:after="0" w:line="360" w:lineRule="auto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核查情况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（1）核查工作开展情况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①内业核查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水利部办公厅关于印发生产建设项目水土保持设施自主验收规程（试行）的通知》（办水保[2018]133号），技术人员查阅了项目验收材料（水土保持设施验收报告、水土保持监测总结报告、水土保持设施验收鉴定书）以及项目主体工程立项审批文件、水土保持方案及审批文件、水土保持工程初步设计与施工图设计的审批文件等前期工作资料，查阅水土保持分部工程与单元工程验收、水土保持工程质量评定等施工建设过程资料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经内业核查，项目动工前依法编报了水土保持方案并取得水行政主管部门批复；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该项目免交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水土保持补偿费；项目实施过程中原批复水土保持方案发生重大变更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，及时办理变更审批手续</w:t>
      </w:r>
      <w:r>
        <w:rPr>
          <w:rFonts w:hint="eastAsia" w:ascii="仿宋_GB2312" w:hAnsi="仿宋_GB2312" w:eastAsia="仿宋_GB2312" w:cs="仿宋_GB2312"/>
          <w:sz w:val="32"/>
          <w:szCs w:val="32"/>
        </w:rPr>
        <w:t>；建设单位依法开展了水土保持监测工作；建设单位按照批准的水土保持方案落实了各项防治措施，水土保持分部工程和单位工程验收结论为合格；建设单位提交的水土保持监测总结报告、水土保持设施验收报告材料真实，不存在弄虚作假或重大技术问题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②外业核查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日，江门市水利局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对中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水土保持设施验收情况进行验收核查。验收核查人员对项目中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站址区进行了实地巡查，项目建设场地现状见照片。</w:t>
      </w:r>
    </w:p>
    <w:p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（2）核查发现主要问题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过外业现场查勘及内业资料核查，建设场地内各项水土保持措施均已建成并运行良好，对项目建设产生的新增水土流失进行了有效防治，水土保持设施满足验收合格标准，水土保持设施验收程序履行、验收标准和条件执行方面未发现严重问题。</w:t>
      </w:r>
    </w:p>
    <w:p>
      <w:pPr>
        <w:pStyle w:val="3"/>
        <w:spacing w:before="0" w:after="0" w:line="360" w:lineRule="auto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核查结论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经过外业现场查勘及内业资料核查，中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验收程序及验收资料满足《水利部办公厅关于印发生产建设项目水土保持设施自主验收规程（试行）的通知》（办水保[2018]133号）及相关规范的规定和要求，建设场地内各项水土保持措施均已建成并运行良好，对项目建设产生的新增水土流失进行了有效防治，水土保持设施满足验收合格标准，具备验收条件，水土保持设施验收程序履行、验收标准和条件执行方面未发现严重问题，同意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水土保持设施验收鉴定书验收结论。</w:t>
      </w:r>
    </w:p>
    <w:p>
      <w:pPr>
        <w:pStyle w:val="3"/>
        <w:spacing w:before="0" w:after="0" w:line="360" w:lineRule="auto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整改要求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水土保持设施验收程序履行、验收标准和条件执行方面未发现严重问题，无整改意见。</w:t>
      </w:r>
    </w:p>
    <w:p>
      <w:pPr>
        <w:spacing w:line="360" w:lineRule="auto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1、生产建设项目水土保持设施验收核查公示信息表</w:t>
      </w:r>
    </w:p>
    <w:p>
      <w:pPr>
        <w:spacing w:line="360" w:lineRule="auto"/>
        <w:ind w:left="2236" w:leftChars="760" w:hanging="640" w:hanging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电（江门）综合能源有限公司能源站项目水土保持设施验收核查照片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bidi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bidi w:val="0"/>
        <w:spacing w:line="360" w:lineRule="auto"/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2021年12月7日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6614E"/>
    <w:rsid w:val="066A2671"/>
    <w:rsid w:val="0C2A6D06"/>
    <w:rsid w:val="169A7C47"/>
    <w:rsid w:val="1B6D42DA"/>
    <w:rsid w:val="1DD5310A"/>
    <w:rsid w:val="22490416"/>
    <w:rsid w:val="27951685"/>
    <w:rsid w:val="2A315A24"/>
    <w:rsid w:val="31491809"/>
    <w:rsid w:val="38AD2EF9"/>
    <w:rsid w:val="3EDE268A"/>
    <w:rsid w:val="446E32A8"/>
    <w:rsid w:val="4DAB2FAC"/>
    <w:rsid w:val="616A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刘番回</cp:lastModifiedBy>
  <dcterms:modified xsi:type="dcterms:W3CDTF">2021-12-07T12:52:02Z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