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</w:pPr>
      <w:r>
        <w:rPr>
          <w:rFonts w:hint="eastAsia" w:ascii="方正小标宋简体" w:eastAsia="方正小标宋简体"/>
          <w:sz w:val="32"/>
          <w:szCs w:val="32"/>
        </w:rPr>
        <w:t>江门市公安局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交警支队高速四大队大队部项目建设</w:t>
      </w:r>
      <w:r>
        <w:rPr>
          <w:rFonts w:hint="eastAsia" w:ascii="方正小标宋简体" w:eastAsia="方正小标宋简体"/>
          <w:sz w:val="32"/>
          <w:szCs w:val="32"/>
        </w:rPr>
        <w:t>公开征求意见汇总表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6379"/>
        <w:gridCol w:w="976"/>
        <w:gridCol w:w="3887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征求意见</w:t>
            </w:r>
          </w:p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对象</w:t>
            </w:r>
          </w:p>
        </w:tc>
        <w:tc>
          <w:tcPr>
            <w:tcW w:w="6379" w:type="dxa"/>
            <w:vAlign w:val="center"/>
          </w:tcPr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意见和建议</w:t>
            </w:r>
          </w:p>
        </w:tc>
        <w:tc>
          <w:tcPr>
            <w:tcW w:w="976" w:type="dxa"/>
            <w:vAlign w:val="center"/>
          </w:tcPr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</w:p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采纳</w:t>
            </w:r>
          </w:p>
        </w:tc>
        <w:tc>
          <w:tcPr>
            <w:tcW w:w="3887" w:type="dxa"/>
            <w:vAlign w:val="center"/>
          </w:tcPr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不采纳理由</w:t>
            </w:r>
          </w:p>
        </w:tc>
        <w:tc>
          <w:tcPr>
            <w:tcW w:w="839" w:type="dxa"/>
            <w:vAlign w:val="center"/>
          </w:tcPr>
          <w:p>
            <w:pPr>
              <w:pStyle w:val="9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社会公众</w:t>
            </w:r>
          </w:p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6379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便民建设，办事功能区更简便快捷。</w:t>
            </w:r>
          </w:p>
        </w:tc>
        <w:tc>
          <w:tcPr>
            <w:tcW w:w="976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采纳</w:t>
            </w:r>
          </w:p>
        </w:tc>
        <w:tc>
          <w:tcPr>
            <w:tcW w:w="3887" w:type="dxa"/>
          </w:tcPr>
          <w:p>
            <w:pPr>
              <w:pStyle w:val="9"/>
              <w:rPr>
                <w:rFonts w:ascii="仿宋_GB2312" w:eastAsia="仿宋_GB2312"/>
              </w:rPr>
            </w:pPr>
          </w:p>
        </w:tc>
        <w:tc>
          <w:tcPr>
            <w:tcW w:w="839" w:type="dxa"/>
          </w:tcPr>
          <w:p>
            <w:pPr>
              <w:pStyle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社会公众</w:t>
            </w:r>
          </w:p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6379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建议完善好便民服务的相关设施。例如：环保充电停车位，公共卫生间男女厕平等的设置规范。</w:t>
            </w:r>
          </w:p>
        </w:tc>
        <w:tc>
          <w:tcPr>
            <w:tcW w:w="976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采纳</w:t>
            </w:r>
          </w:p>
        </w:tc>
        <w:tc>
          <w:tcPr>
            <w:tcW w:w="3887" w:type="dxa"/>
          </w:tcPr>
          <w:p>
            <w:pPr>
              <w:pStyle w:val="9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839" w:type="dxa"/>
          </w:tcPr>
          <w:p>
            <w:pPr>
              <w:pStyle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5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社会公众</w:t>
            </w:r>
          </w:p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6379" w:type="dxa"/>
          </w:tcPr>
          <w:p>
            <w:pPr>
              <w:pStyle w:val="9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江门高速公路发展飞快，也能促进高速沿线的经济发展，当然前提是准备好齐全的配套设施，高速交警大队的建立刻不容缓。</w:t>
            </w:r>
          </w:p>
        </w:tc>
        <w:tc>
          <w:tcPr>
            <w:tcW w:w="976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采纳</w:t>
            </w:r>
          </w:p>
        </w:tc>
        <w:tc>
          <w:tcPr>
            <w:tcW w:w="3887" w:type="dxa"/>
          </w:tcPr>
          <w:p>
            <w:pPr>
              <w:pStyle w:val="9"/>
              <w:rPr>
                <w:rFonts w:ascii="仿宋_GB2312" w:eastAsia="仿宋_GB2312"/>
              </w:rPr>
            </w:pPr>
          </w:p>
        </w:tc>
        <w:tc>
          <w:tcPr>
            <w:tcW w:w="839" w:type="dxa"/>
          </w:tcPr>
          <w:p>
            <w:pPr>
              <w:pStyle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75" w:type="dxa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社会公众</w:t>
            </w:r>
          </w:p>
          <w:p>
            <w:pPr>
              <w:pStyle w:val="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6379" w:type="dxa"/>
          </w:tcPr>
          <w:p>
            <w:pPr>
              <w:pStyle w:val="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重视高速交警大队位置选择，遇到紧急情况能快速出警，同时方便群众办理业务，真正做到为民服务！</w:t>
            </w:r>
          </w:p>
        </w:tc>
        <w:tc>
          <w:tcPr>
            <w:tcW w:w="976" w:type="dxa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采纳</w:t>
            </w:r>
          </w:p>
        </w:tc>
        <w:tc>
          <w:tcPr>
            <w:tcW w:w="3887" w:type="dxa"/>
          </w:tcPr>
          <w:p>
            <w:pPr>
              <w:pStyle w:val="9"/>
              <w:rPr>
                <w:rFonts w:hint="eastAsia" w:ascii="仿宋_GB2312" w:eastAsia="仿宋_GB2312"/>
              </w:rPr>
            </w:pPr>
          </w:p>
        </w:tc>
        <w:tc>
          <w:tcPr>
            <w:tcW w:w="839" w:type="dxa"/>
          </w:tcPr>
          <w:p>
            <w:pPr>
              <w:pStyle w:val="9"/>
              <w:rPr>
                <w:rFonts w:ascii="仿宋_GB2312" w:eastAsia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988"/>
    <w:rsid w:val="001E5954"/>
    <w:rsid w:val="001E78AE"/>
    <w:rsid w:val="0027743B"/>
    <w:rsid w:val="002E6A35"/>
    <w:rsid w:val="00311DE2"/>
    <w:rsid w:val="0040142A"/>
    <w:rsid w:val="00441AB0"/>
    <w:rsid w:val="00594481"/>
    <w:rsid w:val="005A62F8"/>
    <w:rsid w:val="007B339F"/>
    <w:rsid w:val="008253C8"/>
    <w:rsid w:val="00A52AF1"/>
    <w:rsid w:val="00A67861"/>
    <w:rsid w:val="00AD1F34"/>
    <w:rsid w:val="00B32B4F"/>
    <w:rsid w:val="00B61C6D"/>
    <w:rsid w:val="00B669BF"/>
    <w:rsid w:val="00BF3A47"/>
    <w:rsid w:val="00C0663F"/>
    <w:rsid w:val="00C777AE"/>
    <w:rsid w:val="00CC67BA"/>
    <w:rsid w:val="00D06AE5"/>
    <w:rsid w:val="00D1720D"/>
    <w:rsid w:val="00D32EC8"/>
    <w:rsid w:val="00D46244"/>
    <w:rsid w:val="00D64CC3"/>
    <w:rsid w:val="00DD3EBB"/>
    <w:rsid w:val="00DD5988"/>
    <w:rsid w:val="00E67F8F"/>
    <w:rsid w:val="00E820B5"/>
    <w:rsid w:val="00F77DBA"/>
    <w:rsid w:val="32690151"/>
    <w:rsid w:val="39EF36E0"/>
    <w:rsid w:val="518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38</Words>
  <Characters>221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2020-03-03T01:24:00Z</dcterms:created>
  <dc:creator>PC</dc:creator>
  <cp:lastModifiedBy>Administrator</cp:lastModifiedBy>
  <cp:lastPrinted>2020-03-03T01:38:00Z</cp:lastPrinted>
  <dcterms:modified xsi:type="dcterms:W3CDTF">2022-01-06T06:51:30Z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5BF95D7B7A6648DC89C9DA4960043B16</vt:lpwstr>
  </property>
</Properties>
</file>