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26" w:rightChars="-94"/>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val="en-US" w:eastAsia="zh-CN"/>
        </w:rPr>
        <w:t>新会区</w:t>
      </w:r>
      <w:r>
        <w:rPr>
          <w:rFonts w:hint="eastAsia" w:asciiTheme="majorEastAsia" w:hAnsiTheme="majorEastAsia" w:eastAsiaTheme="majorEastAsia"/>
          <w:b/>
          <w:sz w:val="44"/>
          <w:szCs w:val="44"/>
          <w:lang w:eastAsia="zh-CN"/>
        </w:rPr>
        <w:t>基本医疗保险“双通道”试点</w:t>
      </w:r>
    </w:p>
    <w:p>
      <w:pPr>
        <w:ind w:right="-226" w:rightChars="-94"/>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药店承诺书</w:t>
      </w:r>
    </w:p>
    <w:p>
      <w:pPr>
        <w:ind w:right="-226" w:rightChars="-94"/>
        <w:jc w:val="center"/>
        <w:rPr>
          <w:rFonts w:hint="eastAsia" w:asciiTheme="majorEastAsia" w:hAnsiTheme="majorEastAsia" w:eastAsiaTheme="majorEastAsia"/>
          <w:b/>
          <w:sz w:val="44"/>
          <w:szCs w:val="44"/>
          <w:lang w:eastAsia="zh-CN"/>
        </w:rPr>
      </w:pPr>
    </w:p>
    <w:p>
      <w:pPr>
        <w:pStyle w:val="5"/>
        <w:widowControl/>
        <w:spacing w:beforeAutospacing="0" w:afterAutospacing="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为切实做好我市国家医保谈判药品“双通道”试点工作，进一步</w:t>
      </w:r>
      <w:r>
        <w:rPr>
          <w:rFonts w:ascii="Times New Roman" w:hAnsi="Times New Roman" w:eastAsia="仿宋_GB2312"/>
          <w:kern w:val="0"/>
          <w:sz w:val="32"/>
          <w:szCs w:val="32"/>
        </w:rPr>
        <w:t>拓展参保患者用药购药渠道，</w:t>
      </w:r>
      <w:r>
        <w:rPr>
          <w:rFonts w:hint="eastAsia" w:ascii="Times New Roman" w:hAnsi="Times New Roman" w:eastAsia="仿宋_GB2312"/>
          <w:kern w:val="0"/>
          <w:sz w:val="32"/>
          <w:szCs w:val="32"/>
        </w:rPr>
        <w:t>更好地满足人民群众用药需求，本店郑重承诺∶</w:t>
      </w:r>
    </w:p>
    <w:p>
      <w:pPr>
        <w:adjustRightInd w:val="0"/>
        <w:snapToGrid w:val="0"/>
        <w:spacing w:line="600" w:lineRule="exact"/>
        <w:ind w:firstLine="640" w:firstLineChars="200"/>
        <w:rPr>
          <w:rFonts w:ascii="Times New Roman" w:hAnsi="Times New Roman" w:eastAsia="仿宋_GB2312"/>
          <w:kern w:val="0"/>
          <w:sz w:val="32"/>
        </w:rPr>
      </w:pPr>
      <w:r>
        <w:rPr>
          <w:rFonts w:hint="eastAsia" w:eastAsia="仿宋_GB2312" w:cstheme="minorBidi"/>
          <w:kern w:val="0"/>
          <w:sz w:val="32"/>
          <w:szCs w:val="24"/>
          <w:lang w:eastAsia="zh-CN"/>
        </w:rPr>
        <w:t>（</w:t>
      </w:r>
      <w:r>
        <w:rPr>
          <w:rFonts w:hint="eastAsia" w:eastAsia="仿宋_GB2312" w:cstheme="minorBidi"/>
          <w:kern w:val="0"/>
          <w:sz w:val="32"/>
          <w:szCs w:val="24"/>
          <w:lang w:val="en-US" w:eastAsia="zh-CN"/>
        </w:rPr>
        <w:t>一</w:t>
      </w:r>
      <w:r>
        <w:rPr>
          <w:rFonts w:hint="eastAsia" w:eastAsia="仿宋_GB2312" w:cstheme="minorBidi"/>
          <w:kern w:val="0"/>
          <w:sz w:val="32"/>
          <w:szCs w:val="24"/>
          <w:lang w:eastAsia="zh-CN"/>
        </w:rPr>
        <w:t>）</w:t>
      </w:r>
      <w:r>
        <w:rPr>
          <w:rFonts w:hint="eastAsia" w:ascii="Times New Roman" w:hAnsi="Times New Roman" w:eastAsia="仿宋_GB2312" w:cstheme="minorBidi"/>
          <w:kern w:val="0"/>
          <w:sz w:val="32"/>
          <w:szCs w:val="24"/>
        </w:rPr>
        <w:t>严格遵守有关法律法规，有健全和完善的药品管理、信息系统管理等内部管理制度，确保药品质量合格、安全有效。</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（二）</w:t>
      </w:r>
      <w:r>
        <w:rPr>
          <w:rFonts w:hint="eastAsia" w:ascii="Times New Roman" w:hAnsi="Times New Roman" w:eastAsia="仿宋_GB2312"/>
          <w:kern w:val="0"/>
          <w:sz w:val="32"/>
          <w:szCs w:val="32"/>
        </w:rPr>
        <w:t>承诺</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取得《药品经营许可证》，遵守药品经营质量管理规范，注册资金达500万元以上。</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（三）</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近1年无违反医疗保险管理规定被暂停或终止服务协议的情形，无医疗保障、市场监督管理等相关部门行政处罚的情形，且近3年未被新闻媒体负面曝光。</w:t>
      </w:r>
    </w:p>
    <w:p>
      <w:pPr>
        <w:pStyle w:val="9"/>
        <w:adjustRightInd w:val="0"/>
        <w:snapToGrid w:val="0"/>
        <w:spacing w:line="600" w:lineRule="exact"/>
        <w:ind w:firstLine="640"/>
        <w:rPr>
          <w:rFonts w:ascii="Times New Roman" w:hAnsi="Times New Roman" w:eastAsia="仿宋_GB2312"/>
          <w:kern w:val="0"/>
          <w:sz w:val="32"/>
        </w:rPr>
      </w:pPr>
      <w:r>
        <w:rPr>
          <w:rFonts w:hint="eastAsia" w:ascii="Times New Roman" w:hAnsi="Times New Roman" w:eastAsia="仿宋_GB2312"/>
          <w:kern w:val="0"/>
          <w:sz w:val="32"/>
        </w:rPr>
        <w:t>（四）</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连锁总部（或集团总部）具备符合规定的仓储环境（包括配备与经营规模和品种相适应的冷链设备）</w:t>
      </w:r>
      <w:r>
        <w:rPr>
          <w:rFonts w:hint="eastAsia" w:ascii="Times New Roman" w:hAnsi="Times New Roman" w:eastAsia="仿宋_GB2312"/>
          <w:kern w:val="0"/>
          <w:sz w:val="32"/>
          <w:lang w:eastAsia="zh-CN"/>
        </w:rPr>
        <w:t>，</w:t>
      </w:r>
      <w:r>
        <w:rPr>
          <w:rFonts w:hint="eastAsia" w:ascii="仿宋_GB2312" w:hAnsi="仿宋_GB2312" w:eastAsia="仿宋_GB2312" w:cs="仿宋_GB2312"/>
          <w:sz w:val="32"/>
          <w:szCs w:val="32"/>
        </w:rPr>
        <w:t>有完善的冷链质量管理体系；自有药品物流配送中心，能够在2小时内调配规定范围的药品。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kern w:val="0"/>
          <w:sz w:val="32"/>
        </w:rPr>
        <w:t>（五）</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具备独立经销我市试点外配处方药品的场所和</w:t>
      </w:r>
      <w:r>
        <w:rPr>
          <w:rFonts w:hint="eastAsia" w:ascii="仿宋_GB2312" w:hAnsi="仿宋_GB2312" w:eastAsia="仿宋_GB2312" w:cs="仿宋_GB2312"/>
          <w:sz w:val="32"/>
          <w:szCs w:val="32"/>
        </w:rPr>
        <w:t>符合冷链要求的储存、使用区域及设备，能够提供市内送药上门服务。</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（六）</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定点零</w:t>
      </w:r>
      <w:bookmarkStart w:id="0" w:name="_GoBack"/>
      <w:bookmarkEnd w:id="0"/>
      <w:r>
        <w:rPr>
          <w:rFonts w:hint="eastAsia" w:ascii="Times New Roman" w:hAnsi="Times New Roman" w:eastAsia="仿宋_GB2312"/>
          <w:kern w:val="0"/>
          <w:sz w:val="32"/>
        </w:rPr>
        <w:t>售药店的企业负责人及处方审核人员具备执业药师资格，不兼职或挂名，营业时间内至少有1名执业药师在岗。</w:t>
      </w:r>
    </w:p>
    <w:p>
      <w:pPr>
        <w:adjustRightInd w:val="0"/>
        <w:snapToGrid w:val="0"/>
        <w:spacing w:line="600" w:lineRule="exact"/>
        <w:ind w:firstLine="640" w:firstLineChars="200"/>
        <w:rPr>
          <w:rFonts w:ascii="Times New Roman" w:hAnsi="Times New Roman" w:eastAsia="仿宋_GB2312"/>
          <w:kern w:val="0"/>
          <w:sz w:val="32"/>
          <w:highlight w:val="yellow"/>
        </w:rPr>
      </w:pPr>
      <w:r>
        <w:rPr>
          <w:rFonts w:hint="eastAsia" w:ascii="Times New Roman" w:hAnsi="Times New Roman" w:eastAsia="仿宋_GB2312"/>
          <w:kern w:val="0"/>
          <w:sz w:val="32"/>
        </w:rPr>
        <w:t>（七）</w:t>
      </w:r>
      <w:r>
        <w:rPr>
          <w:rFonts w:hint="eastAsia" w:ascii="Times New Roman" w:hAnsi="Times New Roman" w:eastAsia="仿宋_GB2312"/>
          <w:kern w:val="0"/>
          <w:sz w:val="32"/>
          <w:szCs w:val="32"/>
        </w:rPr>
        <w:t>承诺</w:t>
      </w:r>
      <w:r>
        <w:rPr>
          <w:rFonts w:hint="eastAsia" w:ascii="Times New Roman" w:hAnsi="Times New Roman" w:eastAsia="仿宋_GB2312"/>
          <w:kern w:val="0"/>
          <w:sz w:val="32"/>
        </w:rPr>
        <w:t>按照我市医保信息系统建设的要求，做好定点零售药店端信息系统有关外配处方的配套建设和运行维护，具备实现外配处方业务相关联网功能的条件，并承诺根据医保部门、医保经办机构的要求，及时、准确提供涉及外配处方的有关数据、信息和资料。</w:t>
      </w:r>
    </w:p>
    <w:p>
      <w:pPr>
        <w:adjustRightInd w:val="0"/>
        <w:snapToGrid w:val="0"/>
        <w:spacing w:line="58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（八）承诺能供应纳入我市试点外配处方药品范围的全部药品。</w:t>
      </w:r>
      <w:r>
        <w:rPr>
          <w:rFonts w:hint="eastAsia" w:ascii="仿宋" w:hAnsi="仿宋" w:eastAsia="仿宋" w:cs="仿宋"/>
          <w:sz w:val="32"/>
          <w:szCs w:val="32"/>
        </w:rPr>
        <w:t>参保患者外购对存储、配送有特殊规定的“双通道”药品，</w:t>
      </w:r>
      <w:r>
        <w:rPr>
          <w:rFonts w:hint="eastAsia" w:ascii="Times New Roman" w:hAnsi="Times New Roman" w:eastAsia="仿宋_GB2312"/>
          <w:kern w:val="0"/>
          <w:sz w:val="32"/>
        </w:rPr>
        <w:t>定点零售药店承诺</w:t>
      </w:r>
      <w:r>
        <w:rPr>
          <w:rFonts w:hint="eastAsia" w:ascii="仿宋" w:hAnsi="仿宋" w:eastAsia="仿宋" w:cs="仿宋"/>
          <w:sz w:val="32"/>
          <w:szCs w:val="32"/>
        </w:rPr>
        <w:t>自行或委托具备相应资质和能力的药品经营企业免费配送至试点医院为参保患者使用。</w:t>
      </w:r>
    </w:p>
    <w:p>
      <w:pPr>
        <w:adjustRightInd w:val="0"/>
        <w:snapToGrid w:val="0"/>
        <w:spacing w:line="600" w:lineRule="exact"/>
        <w:ind w:firstLine="640" w:firstLineChars="200"/>
        <w:rPr>
          <w:rFonts w:ascii="Times New Roman" w:hAnsi="Times New Roman" w:eastAsia="仿宋_GB2312"/>
          <w:kern w:val="0"/>
          <w:sz w:val="32"/>
        </w:rPr>
      </w:pPr>
      <w:r>
        <w:rPr>
          <w:rFonts w:hint="eastAsia" w:ascii="Times New Roman" w:hAnsi="Times New Roman" w:eastAsia="仿宋_GB2312"/>
          <w:kern w:val="0"/>
          <w:sz w:val="32"/>
        </w:rPr>
        <w:t>（九）承诺对于国家谈判药品的零售价不高于国家的谈判价。</w:t>
      </w:r>
    </w:p>
    <w:p>
      <w:pPr>
        <w:spacing w:line="600" w:lineRule="exact"/>
        <w:ind w:firstLine="560" w:firstLineChars="200"/>
        <w:rPr>
          <w:rFonts w:ascii="宋体" w:hAnsi="宋体" w:eastAsia="宋体" w:cs="宋体"/>
          <w:sz w:val="28"/>
          <w:szCs w:val="28"/>
          <w:lang w:eastAsia="zh-CN"/>
        </w:rPr>
      </w:pPr>
    </w:p>
    <w:p>
      <w:pPr>
        <w:adjustRightInd w:val="0"/>
        <w:snapToGrid w:val="0"/>
        <w:spacing w:line="600" w:lineRule="exact"/>
        <w:ind w:firstLine="640" w:firstLineChars="200"/>
        <w:rPr>
          <w:rFonts w:hint="eastAsia" w:ascii="Times New Roman" w:hAnsi="Times New Roman" w:eastAsia="仿宋_GB2312"/>
          <w:kern w:val="0"/>
          <w:sz w:val="32"/>
          <w:lang w:eastAsia="zh-CN"/>
        </w:rPr>
      </w:pPr>
    </w:p>
    <w:p>
      <w:pPr>
        <w:adjustRightInd w:val="0"/>
        <w:snapToGrid w:val="0"/>
        <w:spacing w:line="600" w:lineRule="exact"/>
        <w:ind w:firstLine="640" w:firstLineChars="200"/>
        <w:rPr>
          <w:rFonts w:hint="eastAsia" w:ascii="Times New Roman" w:hAnsi="Times New Roman" w:eastAsia="仿宋_GB2312"/>
          <w:kern w:val="0"/>
          <w:sz w:val="32"/>
          <w:lang w:eastAsia="zh-CN"/>
        </w:rPr>
      </w:pPr>
      <w:r>
        <w:rPr>
          <w:rFonts w:hint="eastAsia" w:ascii="Times New Roman" w:hAnsi="Times New Roman" w:eastAsia="仿宋_GB2312"/>
          <w:kern w:val="0"/>
          <w:sz w:val="32"/>
          <w:lang w:eastAsia="zh-CN"/>
        </w:rPr>
        <w:t xml:space="preserve">            </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eastAsia="仿宋_GB2312"/>
          <w:kern w:val="0"/>
          <w:sz w:val="32"/>
          <w:lang w:val="en-US" w:eastAsia="zh-CN"/>
        </w:rPr>
        <w:t>负责人</w:t>
      </w:r>
      <w:r>
        <w:rPr>
          <w:rFonts w:hint="eastAsia" w:ascii="Times New Roman" w:hAnsi="Times New Roman" w:eastAsia="仿宋_GB2312"/>
          <w:kern w:val="0"/>
          <w:sz w:val="32"/>
          <w:lang w:eastAsia="zh-CN"/>
        </w:rPr>
        <w:t>：</w:t>
      </w:r>
    </w:p>
    <w:p>
      <w:pPr>
        <w:adjustRightInd w:val="0"/>
        <w:snapToGrid w:val="0"/>
        <w:spacing w:line="600" w:lineRule="exact"/>
        <w:ind w:firstLine="640" w:firstLineChars="200"/>
        <w:rPr>
          <w:rFonts w:hint="default" w:ascii="Times New Roman" w:hAnsi="Times New Roman" w:eastAsia="仿宋_GB2312"/>
          <w:kern w:val="0"/>
          <w:sz w:val="32"/>
          <w:lang w:val="en-US" w:eastAsia="zh-CN"/>
        </w:rPr>
      </w:pPr>
      <w:r>
        <w:rPr>
          <w:rFonts w:hint="eastAsia" w:ascii="Times New Roman" w:hAnsi="Times New Roman" w:eastAsia="仿宋_GB2312"/>
          <w:kern w:val="0"/>
          <w:sz w:val="32"/>
          <w:lang w:eastAsia="zh-CN"/>
        </w:rPr>
        <w:t xml:space="preserve">             </w:t>
      </w:r>
      <w:r>
        <w:rPr>
          <w:rFonts w:hint="eastAsia" w:ascii="仿宋_GB2312" w:hAnsi="仿宋_GB2312" w:eastAsia="仿宋_GB2312" w:cs="仿宋_GB2312"/>
          <w:sz w:val="32"/>
          <w:szCs w:val="32"/>
        </w:rPr>
        <w:t>连锁总部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或集团总部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公章</w:t>
      </w:r>
    </w:p>
    <w:p>
      <w:pPr>
        <w:adjustRightInd w:val="0"/>
        <w:snapToGrid w:val="0"/>
        <w:spacing w:line="600" w:lineRule="exact"/>
        <w:ind w:firstLine="3520" w:firstLineChars="1100"/>
        <w:rPr>
          <w:rFonts w:hint="eastAsia" w:ascii="Times New Roman" w:hAnsi="Times New Roman" w:eastAsia="仿宋_GB2312"/>
          <w:kern w:val="0"/>
          <w:sz w:val="32"/>
          <w:lang w:eastAsia="zh-CN"/>
        </w:rPr>
      </w:pPr>
      <w:r>
        <w:rPr>
          <w:rFonts w:hint="eastAsia" w:ascii="Times New Roman" w:hAnsi="Times New Roman" w:eastAsia="仿宋_GB2312"/>
          <w:kern w:val="0"/>
          <w:sz w:val="32"/>
          <w:lang w:eastAsia="zh-CN"/>
        </w:rPr>
        <w:t>日期：</w:t>
      </w:r>
      <w:r>
        <w:rPr>
          <w:rFonts w:hint="eastAsia" w:eastAsia="仿宋_GB2312"/>
          <w:kern w:val="0"/>
          <w:sz w:val="32"/>
          <w:lang w:val="en-US" w:eastAsia="zh-CN"/>
        </w:rPr>
        <w:t xml:space="preserve">  </w:t>
      </w:r>
      <w:r>
        <w:rPr>
          <w:rFonts w:hint="eastAsia" w:ascii="Times New Roman" w:hAnsi="Times New Roman" w:eastAsia="仿宋_GB2312"/>
          <w:kern w:val="0"/>
          <w:sz w:val="32"/>
          <w:lang w:eastAsia="zh-CN"/>
        </w:rPr>
        <w:t>年</w:t>
      </w:r>
      <w:r>
        <w:rPr>
          <w:rFonts w:hint="eastAsia" w:eastAsia="仿宋_GB2312"/>
          <w:kern w:val="0"/>
          <w:sz w:val="32"/>
          <w:lang w:val="en-US" w:eastAsia="zh-CN"/>
        </w:rPr>
        <w:t xml:space="preserve">  </w:t>
      </w:r>
      <w:r>
        <w:rPr>
          <w:rFonts w:hint="eastAsia" w:ascii="Times New Roman" w:hAnsi="Times New Roman" w:eastAsia="仿宋_GB2312"/>
          <w:kern w:val="0"/>
          <w:sz w:val="32"/>
          <w:lang w:eastAsia="zh-CN"/>
        </w:rPr>
        <w:t>月</w:t>
      </w:r>
      <w:r>
        <w:rPr>
          <w:rFonts w:hint="eastAsia" w:eastAsia="仿宋_GB2312"/>
          <w:kern w:val="0"/>
          <w:sz w:val="32"/>
          <w:lang w:val="en-US" w:eastAsia="zh-CN"/>
        </w:rPr>
        <w:t xml:space="preserve">  </w:t>
      </w:r>
      <w:r>
        <w:rPr>
          <w:rFonts w:hint="eastAsia" w:ascii="Times New Roman" w:hAnsi="Times New Roman" w:eastAsia="仿宋_GB2312"/>
          <w:kern w:val="0"/>
          <w:sz w:val="32"/>
          <w:lang w:eastAsia="zh-CN"/>
        </w:rPr>
        <w:t>日</w:t>
      </w:r>
    </w:p>
    <w:p>
      <w:pPr>
        <w:spacing w:line="600" w:lineRule="exact"/>
        <w:ind w:firstLine="560" w:firstLineChars="20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MjU5NTQzZDYwNThhZjViZjE3NGU1ZmY3ZjhhMjcifQ=="/>
  </w:docVars>
  <w:rsids>
    <w:rsidRoot w:val="30667C31"/>
    <w:rsid w:val="001A76F6"/>
    <w:rsid w:val="001C0A9E"/>
    <w:rsid w:val="002B1DD6"/>
    <w:rsid w:val="00704251"/>
    <w:rsid w:val="00761799"/>
    <w:rsid w:val="08611A22"/>
    <w:rsid w:val="1789533A"/>
    <w:rsid w:val="18127260"/>
    <w:rsid w:val="22AD5EF7"/>
    <w:rsid w:val="256D06CB"/>
    <w:rsid w:val="27287747"/>
    <w:rsid w:val="30667C31"/>
    <w:rsid w:val="350F2B2F"/>
    <w:rsid w:val="3FAB2B24"/>
    <w:rsid w:val="454868CF"/>
    <w:rsid w:val="49051D48"/>
    <w:rsid w:val="49EC31FF"/>
    <w:rsid w:val="5B734137"/>
    <w:rsid w:val="5BF25DB8"/>
    <w:rsid w:val="5E2A3A46"/>
    <w:rsid w:val="71052F65"/>
    <w:rsid w:val="758832D1"/>
    <w:rsid w:val="7790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lang w:eastAsia="zh-CN" w:bidi="ar-SA"/>
    </w:rPr>
  </w:style>
  <w:style w:type="character" w:styleId="8">
    <w:name w:val="Emphasis"/>
    <w:basedOn w:val="7"/>
    <w:qFormat/>
    <w:uiPriority w:val="0"/>
    <w:rPr>
      <w:i/>
    </w:rPr>
  </w:style>
  <w:style w:type="paragraph" w:styleId="9">
    <w:name w:val="List Paragraph"/>
    <w:basedOn w:val="1"/>
    <w:unhideWhenUsed/>
    <w:qFormat/>
    <w:uiPriority w:val="99"/>
    <w:pPr>
      <w:ind w:firstLine="420" w:firstLineChars="200"/>
    </w:pPr>
  </w:style>
  <w:style w:type="character" w:customStyle="1" w:styleId="10">
    <w:name w:val="页眉 字符"/>
    <w:basedOn w:val="7"/>
    <w:link w:val="4"/>
    <w:qFormat/>
    <w:uiPriority w:val="0"/>
    <w:rPr>
      <w:rFonts w:eastAsia="Times New Roman"/>
      <w:color w:val="000000"/>
      <w:sz w:val="18"/>
      <w:szCs w:val="18"/>
      <w:lang w:eastAsia="en-US" w:bidi="en-US"/>
    </w:rPr>
  </w:style>
  <w:style w:type="character" w:customStyle="1" w:styleId="11">
    <w:name w:val="页脚 字符"/>
    <w:basedOn w:val="7"/>
    <w:link w:val="3"/>
    <w:qFormat/>
    <w:uiPriority w:val="0"/>
    <w:rPr>
      <w:rFonts w:eastAsia="Times New Roman"/>
      <w:color w:val="000000"/>
      <w:sz w:val="18"/>
      <w:szCs w:val="18"/>
      <w:lang w:eastAsia="en-US" w:bidi="en-US"/>
    </w:rPr>
  </w:style>
  <w:style w:type="character" w:customStyle="1" w:styleId="12">
    <w:name w:val="批注框文本 字符"/>
    <w:basedOn w:val="7"/>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743</Words>
  <Characters>745</Characters>
  <Lines>7</Lines>
  <Paragraphs>2</Paragraphs>
  <TotalTime>3</TotalTime>
  <ScaleCrop>false</ScaleCrop>
  <LinksUpToDate>false</LinksUpToDate>
  <CharactersWithSpaces>776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2021-06-10T07:51:00Z</dcterms:created>
  <dc:creator>国大药房刘小华</dc:creator>
  <cp:lastModifiedBy>任达鹏</cp:lastModifiedBy>
  <cp:lastPrinted>2021-06-11T07:28:00Z</cp:lastPrinted>
  <dcterms:modified xsi:type="dcterms:W3CDTF">2022-05-09T09:16:19Z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F627FDBBCFD247A5B78C57023FF1363B</vt:lpwstr>
  </property>
</Properties>
</file>