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/>
          <w:b/>
          <w:color w:val="000000"/>
          <w:sz w:val="36"/>
          <w:szCs w:val="36"/>
        </w:rPr>
      </w:pPr>
      <w:r>
        <w:rPr>
          <w:rFonts w:hint="eastAsia" w:ascii="Times New Roman" w:hAnsi="Times New Roman" w:eastAsia="宋体"/>
          <w:b/>
          <w:color w:val="000000"/>
          <w:sz w:val="36"/>
          <w:szCs w:val="36"/>
        </w:rPr>
        <w:t>开平市立鑫建材有限公司自行监测方案</w:t>
      </w:r>
    </w:p>
    <w:p>
      <w:pPr>
        <w:jc w:val="center"/>
        <w:rPr>
          <w:rFonts w:ascii="Times New Roman" w:hAnsi="Times New Roman" w:eastAsia="宋体"/>
          <w:b/>
          <w:color w:val="000000"/>
          <w:sz w:val="36"/>
          <w:szCs w:val="36"/>
        </w:rPr>
      </w:pPr>
    </w:p>
    <w:p>
      <w:pPr>
        <w:spacing w:line="360" w:lineRule="auto"/>
        <w:ind w:firstLine="560" w:firstLineChars="200"/>
        <w:rPr>
          <w:rFonts w:ascii="Times New Roman" w:hAnsi="Times New Roman" w:eastAsia="宋体"/>
          <w:color w:val="000000"/>
          <w:sz w:val="28"/>
          <w:szCs w:val="28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根据《排污许可证申请有核发技术规范 纺织印染工业》（</w:t>
      </w:r>
      <w:r>
        <w:rPr>
          <w:rFonts w:ascii="Times New Roman" w:hAnsi="Times New Roman" w:eastAsia="宋体"/>
          <w:color w:val="000000"/>
          <w:sz w:val="28"/>
          <w:szCs w:val="28"/>
        </w:rPr>
        <w:t>HJ861—2017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）、《排污单位自行监测技术指南 总则》（HJ 819-2017），并结合我单位运营期间污染物排放特点，制定污染源监测计划。监测分析方法按照现行国家、部颁标准规定执行。</w:t>
      </w:r>
    </w:p>
    <w:p>
      <w:pPr>
        <w:spacing w:line="360" w:lineRule="auto"/>
        <w:ind w:firstLine="562" w:firstLineChars="200"/>
        <w:rPr>
          <w:rFonts w:ascii="Times New Roman" w:hAnsi="Times New Roman" w:eastAsia="宋体"/>
          <w:b/>
          <w:color w:val="000000"/>
          <w:sz w:val="28"/>
          <w:szCs w:val="28"/>
        </w:rPr>
      </w:pPr>
      <w:r>
        <w:rPr>
          <w:rFonts w:hint="eastAsia" w:ascii="Times New Roman" w:hAnsi="Times New Roman" w:eastAsia="宋体"/>
          <w:b/>
          <w:color w:val="000000"/>
          <w:sz w:val="28"/>
          <w:szCs w:val="28"/>
        </w:rPr>
        <w:t>一、企业基本信息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宋体"/>
          <w:color w:val="000000"/>
          <w:sz w:val="28"/>
          <w:szCs w:val="28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t>广东省广东省开平市赤坎镇广湛公路交流渡桥头</w: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t>，主要从</w: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t>事建筑陶瓷制品制造</w: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t>。本项目排污许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可管理类别为</w: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t>重点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管理，本监测方案涉及的建设内容见表1。</w:t>
      </w:r>
    </w:p>
    <w:p>
      <w:pPr>
        <w:spacing w:line="360" w:lineRule="auto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ascii="Times New Roman" w:hAnsi="Times New Roman" w:eastAsia="宋体"/>
          <w:b/>
          <w:sz w:val="24"/>
          <w:szCs w:val="24"/>
        </w:rPr>
        <w:t>表</w:t>
      </w:r>
      <w:r>
        <w:rPr>
          <w:rFonts w:hint="eastAsia" w:ascii="Times New Roman" w:hAnsi="Times New Roman" w:eastAsia="宋体"/>
          <w:b/>
          <w:sz w:val="24"/>
          <w:szCs w:val="24"/>
        </w:rPr>
        <w:t>1 基本信息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615"/>
        <w:gridCol w:w="2144"/>
        <w:gridCol w:w="3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企业名称</w:t>
            </w:r>
          </w:p>
        </w:tc>
        <w:tc>
          <w:tcPr>
            <w:tcW w:w="730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color w:val="000000"/>
                <w:sz w:val="21"/>
                <w:szCs w:val="21"/>
                <w:bdr w:val="none" w:color="auto" w:sz="0" w:space="0"/>
              </w:rPr>
              <w:t>开平市立鑫建材有限公司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污染源类型</w:t>
            </w:r>
          </w:p>
        </w:tc>
        <w:tc>
          <w:tcPr>
            <w:tcW w:w="730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宋体"/>
                <w:sz w:val="24"/>
                <w:szCs w:val="24"/>
              </w:rPr>
              <w:instrText xml:space="preserve"> </w:instrTex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instrText xml:space="preserve">eq \o\ac(□,</w:instrText>
            </w:r>
            <w:r>
              <w:rPr>
                <w:rFonts w:hint="eastAsia" w:ascii="Times New Roman" w:hAnsi="Times New Roman" w:eastAsia="宋体"/>
                <w:position w:val="2"/>
                <w:sz w:val="24"/>
                <w:szCs w:val="24"/>
              </w:rPr>
              <w:instrText xml:space="preserve">√</w:instrTex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instrText xml:space="preserve">)</w:instrText>
            </w:r>
            <w:r>
              <w:rPr>
                <w:rFonts w:ascii="Times New Roman" w:hAnsi="Times New Roman" w:eastAsia="宋体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宋体"/>
                <w:sz w:val="24"/>
                <w:szCs w:val="24"/>
              </w:rPr>
              <w:t>废气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宋体"/>
                <w:sz w:val="24"/>
                <w:szCs w:val="24"/>
              </w:rPr>
              <w:instrText xml:space="preserve"> </w:instrTex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instrText xml:space="preserve">eq \o\ac(□,</w:instrText>
            </w:r>
            <w:r>
              <w:rPr>
                <w:rFonts w:hint="eastAsia" w:ascii="Times New Roman" w:hAnsi="Times New Roman" w:eastAsia="宋体"/>
                <w:position w:val="2"/>
                <w:sz w:val="24"/>
                <w:szCs w:val="24"/>
              </w:rPr>
              <w:instrText xml:space="preserve">√</w:instrTex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instrText xml:space="preserve">)</w:instrText>
            </w:r>
            <w:r>
              <w:rPr>
                <w:rFonts w:ascii="Times New Roman" w:hAnsi="Times New Roman" w:eastAsia="宋体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宋体"/>
                <w:sz w:val="24"/>
                <w:szCs w:val="24"/>
              </w:rPr>
              <w:t>废水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宋体"/>
                <w:sz w:val="24"/>
                <w:szCs w:val="24"/>
              </w:rPr>
              <w:instrText xml:space="preserve"> </w:instrTex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instrText xml:space="preserve">eq \o\ac(□,</w:instrText>
            </w:r>
            <w:r>
              <w:rPr>
                <w:rFonts w:hint="eastAsia" w:ascii="Times New Roman" w:hAnsi="Times New Roman" w:eastAsia="宋体"/>
                <w:position w:val="2"/>
                <w:sz w:val="24"/>
                <w:szCs w:val="24"/>
              </w:rPr>
              <w:instrText xml:space="preserve">√</w:instrTex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instrText xml:space="preserve">)</w:instrText>
            </w:r>
            <w:r>
              <w:rPr>
                <w:rFonts w:ascii="Times New Roman" w:hAnsi="Times New Roman" w:eastAsia="宋体"/>
                <w:sz w:val="24"/>
                <w:szCs w:val="24"/>
              </w:rPr>
              <w:fldChar w:fldCharType="end"/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噪声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地址</w:t>
            </w:r>
          </w:p>
        </w:tc>
        <w:tc>
          <w:tcPr>
            <w:tcW w:w="730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color w:val="000000"/>
                <w:sz w:val="21"/>
                <w:szCs w:val="21"/>
                <w:bdr w:val="none" w:color="auto" w:sz="0" w:space="0"/>
              </w:rPr>
              <w:t>广东省开平市赤坎镇广湛公路交流渡桥头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所在地经纬度</w:t>
            </w:r>
          </w:p>
        </w:tc>
        <w:tc>
          <w:tcPr>
            <w:tcW w:w="730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  <w:t>东经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  <w:t>2°</w:t>
            </w: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  <w:lang w:val="en-US" w:eastAsia="zh-CN"/>
              </w:rPr>
              <w:t>37</w:t>
            </w: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  <w:t>′</w:t>
            </w: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  <w:lang w:val="en-US" w:eastAsia="zh-CN"/>
              </w:rPr>
              <w:t>13.22</w:t>
            </w: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  <w:t>″，北纬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°</w:t>
            </w: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  <w:t>′</w:t>
            </w: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  <w:lang w:val="en-US" w:eastAsia="zh-CN"/>
              </w:rPr>
              <w:t>38.74</w:t>
            </w: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法人代表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000000"/>
                <w:sz w:val="21"/>
                <w:szCs w:val="21"/>
                <w:bdr w:val="none" w:color="auto" w:sz="0" w:space="0"/>
              </w:rPr>
              <w:t>李建立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联系电话</w:t>
            </w:r>
          </w:p>
        </w:tc>
        <w:tc>
          <w:tcPr>
            <w:tcW w:w="3549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color w:val="000000"/>
                <w:sz w:val="21"/>
                <w:szCs w:val="21"/>
                <w:bdr w:val="none" w:color="auto" w:sz="0" w:space="0"/>
              </w:rPr>
              <w:t>0750-2620611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联系人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张明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联系电话</w:t>
            </w:r>
          </w:p>
        </w:tc>
        <w:tc>
          <w:tcPr>
            <w:tcW w:w="3549" w:type="dxa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  <w:lang w:val="en-US" w:eastAsia="zh-CN"/>
              </w:rPr>
              <w:t>13536782500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自行监测方式</w:t>
            </w:r>
          </w:p>
        </w:tc>
        <w:tc>
          <w:tcPr>
            <w:tcW w:w="730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□仅自动监测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宋体"/>
                <w:sz w:val="24"/>
                <w:szCs w:val="24"/>
              </w:rPr>
              <w:instrText xml:space="preserve"> </w:instrTex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instrText xml:space="preserve">eq \o\ac(□,</w:instrText>
            </w:r>
            <w:r>
              <w:rPr>
                <w:rFonts w:hint="eastAsia" w:ascii="Times New Roman" w:hAnsi="Times New Roman" w:eastAsia="宋体"/>
                <w:position w:val="2"/>
                <w:sz w:val="24"/>
                <w:szCs w:val="24"/>
              </w:rPr>
              <w:instrText xml:space="preserve">√</w:instrTex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instrText xml:space="preserve">)</w:instrText>
            </w:r>
            <w:r>
              <w:rPr>
                <w:rFonts w:ascii="Times New Roman" w:hAnsi="Times New Roman" w:eastAsia="宋体"/>
                <w:sz w:val="24"/>
                <w:szCs w:val="24"/>
              </w:rPr>
              <w:fldChar w:fldCharType="end"/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 xml:space="preserve">仅手工监测  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自动监测与手工监测相结合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手工监测方式</w:t>
            </w:r>
          </w:p>
        </w:tc>
        <w:tc>
          <w:tcPr>
            <w:tcW w:w="730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□企业自承担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宋体"/>
                <w:sz w:val="24"/>
                <w:szCs w:val="24"/>
              </w:rPr>
              <w:instrText xml:space="preserve"> </w:instrTex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instrText xml:space="preserve">eq \o\ac(□,</w:instrText>
            </w:r>
            <w:r>
              <w:rPr>
                <w:rFonts w:hint="eastAsia" w:ascii="Times New Roman" w:hAnsi="Times New Roman" w:eastAsia="宋体"/>
                <w:position w:val="2"/>
                <w:sz w:val="24"/>
                <w:szCs w:val="24"/>
              </w:rPr>
              <w:instrText xml:space="preserve">√</w:instrTex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instrText xml:space="preserve">)</w:instrText>
            </w:r>
            <w:r>
              <w:rPr>
                <w:rFonts w:ascii="Times New Roman" w:hAnsi="Times New Roman" w:eastAsia="宋体"/>
                <w:sz w:val="24"/>
                <w:szCs w:val="24"/>
              </w:rPr>
              <w:fldChar w:fldCharType="end"/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委托第三方监测，监测机构名称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主要产品</w:t>
            </w:r>
          </w:p>
        </w:tc>
        <w:tc>
          <w:tcPr>
            <w:tcW w:w="730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color w:val="000000"/>
                <w:sz w:val="21"/>
                <w:szCs w:val="21"/>
                <w:bdr w:val="none" w:color="auto" w:sz="0" w:space="0"/>
              </w:rPr>
              <w:t>150万平方米瓷质釉面砖和130万平方米瓷质抛釉砖</w:t>
            </w:r>
          </w:p>
        </w:tc>
      </w:tr>
    </w:tbl>
    <w:p>
      <w:r>
        <w:br w:type="page"/>
      </w:r>
    </w:p>
    <w:p>
      <w:pPr>
        <w:spacing w:line="360" w:lineRule="auto"/>
        <w:ind w:firstLine="562" w:firstLineChars="200"/>
        <w:rPr>
          <w:rFonts w:ascii="Times New Roman" w:hAnsi="Times New Roman" w:eastAsia="宋体"/>
          <w:b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二</w:t>
      </w:r>
      <w:r>
        <w:rPr>
          <w:rFonts w:hint="eastAsia" w:ascii="Times New Roman" w:hAnsi="Times New Roman" w:eastAsia="宋体"/>
          <w:b/>
          <w:sz w:val="28"/>
          <w:szCs w:val="28"/>
        </w:rPr>
        <w:t>、</w:t>
      </w:r>
      <w:r>
        <w:rPr>
          <w:rFonts w:ascii="Times New Roman" w:hAnsi="Times New Roman" w:eastAsia="宋体"/>
          <w:b/>
          <w:sz w:val="28"/>
          <w:szCs w:val="28"/>
        </w:rPr>
        <w:t>监测内容及评价标准</w:t>
      </w:r>
    </w:p>
    <w:p>
      <w:pPr>
        <w:spacing w:line="360" w:lineRule="auto"/>
        <w:ind w:firstLine="562" w:firstLineChars="200"/>
        <w:rPr>
          <w:rFonts w:ascii="Times New Roman" w:hAnsi="Times New Roman" w:eastAsia="宋体"/>
          <w:b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1、监测点位布设</w:t>
      </w:r>
    </w:p>
    <w:p>
      <w:pPr>
        <w:spacing w:line="360" w:lineRule="auto"/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企业自行监测点位示意图详见附图1。</w:t>
      </w:r>
    </w:p>
    <w:p>
      <w:pPr>
        <w:spacing w:line="360" w:lineRule="auto"/>
        <w:ind w:firstLine="562" w:firstLineChars="200"/>
        <w:rPr>
          <w:rFonts w:ascii="Times New Roman" w:hAnsi="Times New Roman" w:eastAsia="宋体"/>
          <w:b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2、监测内容</w:t>
      </w:r>
    </w:p>
    <w:p>
      <w:pPr>
        <w:spacing w:line="360" w:lineRule="auto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表2 污染源监测情况一览表</w:t>
      </w:r>
    </w:p>
    <w:tbl>
      <w:tblPr>
        <w:tblStyle w:val="6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11"/>
        <w:gridCol w:w="1795"/>
        <w:gridCol w:w="1465"/>
        <w:gridCol w:w="851"/>
        <w:gridCol w:w="1266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类型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监测点位</w:t>
            </w: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监测因子</w:t>
            </w:r>
          </w:p>
        </w:tc>
        <w:tc>
          <w:tcPr>
            <w:tcW w:w="1465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污染物名称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监测方式</w:t>
            </w: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监测频次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公开时限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废气</w:t>
            </w:r>
          </w:p>
        </w:tc>
        <w:tc>
          <w:tcPr>
            <w:tcW w:w="111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D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A00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（</w:t>
            </w:r>
            <w:r>
              <w:rPr>
                <w:rFonts w:ascii="Arial" w:hAnsi="Arial" w:eastAsia="微软雅黑" w:cs="Arial"/>
                <w:color w:val="333333"/>
                <w:sz w:val="21"/>
                <w:szCs w:val="21"/>
              </w:rPr>
              <w:t xml:space="preserve">废气排放口 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）</w:t>
            </w:r>
          </w:p>
        </w:tc>
        <w:tc>
          <w:tcPr>
            <w:tcW w:w="179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Arial"/>
                <w:color w:val="333333"/>
                <w:sz w:val="24"/>
                <w:szCs w:val="24"/>
                <w:shd w:val="clear" w:color="auto" w:fill="FFFFFF"/>
              </w:rPr>
              <w:t>烟气流速、烟气温度、烟气含湿量、烟气量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933B"/>
                <w:sz w:val="21"/>
                <w:szCs w:val="21"/>
                <w:bdr w:val="none" w:color="auto" w:sz="0" w:space="0"/>
              </w:rPr>
              <w:t>烟气黑度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手工监测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，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委托第三方监测机构</w:t>
            </w: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1次/半年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按照地方环保部门要求进行公开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933B"/>
                <w:sz w:val="21"/>
                <w:szCs w:val="21"/>
                <w:bdr w:val="none" w:color="auto" w:sz="0" w:space="0"/>
              </w:rPr>
              <w:t>镉及其化合物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1次/半年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933B"/>
                <w:sz w:val="21"/>
                <w:szCs w:val="21"/>
                <w:bdr w:val="none" w:color="auto" w:sz="0" w:space="0"/>
              </w:rPr>
              <w:t>铅及其化合物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1次/半年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933B"/>
                <w:sz w:val="21"/>
                <w:szCs w:val="21"/>
                <w:bdr w:val="none" w:color="auto" w:sz="0" w:space="0"/>
              </w:rPr>
              <w:t>镍及其化合物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1次/半年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933B"/>
                <w:sz w:val="21"/>
                <w:szCs w:val="21"/>
                <w:bdr w:val="none" w:color="auto" w:sz="0" w:space="0"/>
              </w:rPr>
              <w:t>氮氧化物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季度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933B"/>
                <w:sz w:val="21"/>
                <w:szCs w:val="21"/>
                <w:bdr w:val="none" w:color="auto" w:sz="0" w:space="0"/>
              </w:rPr>
              <w:t>氟化物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1次/半年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933B"/>
                <w:sz w:val="21"/>
                <w:szCs w:val="21"/>
                <w:bdr w:val="none" w:color="auto" w:sz="0" w:space="0"/>
              </w:rPr>
              <w:t>二氧化硫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季度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933B"/>
                <w:sz w:val="21"/>
                <w:szCs w:val="21"/>
                <w:bdr w:val="none" w:color="auto" w:sz="0" w:space="0"/>
              </w:rPr>
              <w:t>氯化物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1次/半年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颗粒物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季度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厂界</w:t>
            </w: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风速、风向、</w:t>
            </w:r>
          </w:p>
        </w:tc>
        <w:tc>
          <w:tcPr>
            <w:tcW w:w="1465" w:type="dxa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臭气浓度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1次/年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雨水</w:t>
            </w:r>
          </w:p>
        </w:tc>
        <w:tc>
          <w:tcPr>
            <w:tcW w:w="111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YS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001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（雨水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排放口）</w:t>
            </w:r>
          </w:p>
        </w:tc>
        <w:tc>
          <w:tcPr>
            <w:tcW w:w="179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流量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p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H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值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1次/月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化学需氧量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1次/月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氨氮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1次/月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厂界噪声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厂界东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、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南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、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西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、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北</w:t>
            </w: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连续等效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A声级</w:t>
            </w:r>
          </w:p>
        </w:tc>
        <w:tc>
          <w:tcPr>
            <w:tcW w:w="1465" w:type="dxa"/>
            <w:vAlign w:val="center"/>
          </w:tcPr>
          <w:p>
            <w:pPr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昼间噪声、夜间噪声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1次/季度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生活污水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DW001排放口</w:t>
            </w: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流量</w:t>
            </w:r>
          </w:p>
        </w:tc>
        <w:tc>
          <w:tcPr>
            <w:tcW w:w="1465" w:type="dxa"/>
            <w:vAlign w:val="center"/>
          </w:tcPr>
          <w:p>
            <w:pPr>
              <w:rPr>
                <w:rFonts w:hint="eastAsia" w:ascii="Times New Roman" w:hAnsi="Times New Roman" w:eastAsia="微软雅黑"/>
                <w:sz w:val="24"/>
                <w:szCs w:val="24"/>
                <w:lang w:eastAsia="zh-CN"/>
              </w:rPr>
            </w:pPr>
            <w:r>
              <w:rPr>
                <w:rFonts w:ascii="Arial" w:hAnsi="Arial" w:eastAsia="微软雅黑" w:cs="Arial"/>
                <w:color w:val="333333"/>
                <w:sz w:val="21"/>
                <w:szCs w:val="21"/>
                <w:bdr w:val="none" w:color="auto" w:sz="0" w:space="0"/>
              </w:rPr>
              <w:t>pH值</w:t>
            </w:r>
            <w:r>
              <w:rPr>
                <w:rFonts w:hint="eastAsia" w:ascii="Arial" w:hAnsi="Arial" w:eastAsia="微软雅黑" w:cs="Arial"/>
                <w:color w:val="333333"/>
                <w:sz w:val="21"/>
                <w:szCs w:val="21"/>
                <w:bdr w:val="none" w:color="auto" w:sz="0" w:space="0"/>
                <w:lang w:eastAsia="zh-CN"/>
              </w:rPr>
              <w:t>、</w:t>
            </w:r>
            <w:r>
              <w:rPr>
                <w:rFonts w:ascii="Arial" w:hAnsi="Arial" w:eastAsia="微软雅黑" w:cs="Arial"/>
                <w:color w:val="333333"/>
                <w:sz w:val="21"/>
                <w:szCs w:val="21"/>
                <w:bdr w:val="none" w:color="auto" w:sz="0" w:space="0"/>
              </w:rPr>
              <w:t>悬浮物</w:t>
            </w:r>
            <w:r>
              <w:rPr>
                <w:rFonts w:hint="eastAsia" w:ascii="Arial" w:hAnsi="Arial" w:eastAsia="微软雅黑" w:cs="Arial"/>
                <w:color w:val="333333"/>
                <w:sz w:val="21"/>
                <w:szCs w:val="21"/>
                <w:bdr w:val="none" w:color="auto" w:sz="0" w:space="0"/>
                <w:lang w:eastAsia="zh-CN"/>
              </w:rPr>
              <w:t>、</w:t>
            </w:r>
            <w:r>
              <w:rPr>
                <w:rFonts w:ascii="Arial" w:hAnsi="Arial" w:eastAsia="微软雅黑" w:cs="Arial"/>
                <w:color w:val="333333"/>
                <w:sz w:val="21"/>
                <w:szCs w:val="21"/>
                <w:bdr w:val="none" w:color="auto" w:sz="0" w:space="0"/>
              </w:rPr>
              <w:t>五日生化需氧量</w:t>
            </w:r>
            <w:r>
              <w:rPr>
                <w:rFonts w:hint="eastAsia" w:ascii="Arial" w:hAnsi="Arial" w:eastAsia="微软雅黑" w:cs="Arial"/>
                <w:color w:val="333333"/>
                <w:sz w:val="21"/>
                <w:szCs w:val="21"/>
                <w:bdr w:val="none" w:color="auto" w:sz="0" w:space="0"/>
                <w:lang w:eastAsia="zh-CN"/>
              </w:rPr>
              <w:t>、</w:t>
            </w:r>
            <w:r>
              <w:rPr>
                <w:rFonts w:ascii="Arial" w:hAnsi="Arial" w:eastAsia="微软雅黑" w:cs="Arial"/>
                <w:color w:val="333333"/>
                <w:sz w:val="21"/>
                <w:szCs w:val="21"/>
                <w:bdr w:val="none" w:color="auto" w:sz="0" w:space="0"/>
              </w:rPr>
              <w:t>化学需氧量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1次/季度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562" w:firstLineChars="200"/>
        <w:rPr>
          <w:rFonts w:hint="eastAsia" w:ascii="Times New Roman" w:hAnsi="Times New Roman" w:eastAsia="宋体"/>
          <w:b/>
          <w:sz w:val="28"/>
          <w:szCs w:val="28"/>
        </w:rPr>
      </w:pPr>
    </w:p>
    <w:p>
      <w:pPr>
        <w:spacing w:line="360" w:lineRule="auto"/>
        <w:ind w:firstLine="562" w:firstLineChars="200"/>
        <w:rPr>
          <w:rFonts w:ascii="Times New Roman" w:hAnsi="Times New Roman" w:eastAsia="宋体"/>
          <w:b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3、评价标准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/>
          <w:color w:val="000000"/>
          <w:sz w:val="24"/>
          <w:szCs w:val="24"/>
        </w:rPr>
      </w:pPr>
      <w:r>
        <w:rPr>
          <w:rFonts w:ascii="Arial" w:hAnsi="Arial" w:eastAsia="微软雅黑" w:cs="Arial"/>
          <w:color w:val="00933B"/>
          <w:sz w:val="21"/>
          <w:szCs w:val="21"/>
          <w:bdr w:val="none" w:color="auto" w:sz="0" w:space="0"/>
        </w:rPr>
        <w:t>广东省陶瓷工业大气污染物排放标准DB 44/2160-2019</w:t>
      </w:r>
      <w:r>
        <w:rPr>
          <w:rFonts w:hint="eastAsia" w:ascii="Times New Roman" w:hAnsi="Times New Roman" w:eastAsia="宋体"/>
          <w:color w:val="000000"/>
          <w:sz w:val="24"/>
          <w:szCs w:val="24"/>
        </w:rPr>
        <w:t>。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微软雅黑"/>
          <w:color w:val="000000"/>
          <w:sz w:val="24"/>
          <w:szCs w:val="24"/>
          <w:lang w:eastAsia="zh-CN"/>
        </w:rPr>
      </w:pPr>
      <w:r>
        <w:rPr>
          <w:rFonts w:ascii="Arial" w:hAnsi="Arial" w:eastAsia="微软雅黑" w:cs="Arial"/>
          <w:color w:val="00933B"/>
          <w:sz w:val="21"/>
          <w:szCs w:val="21"/>
          <w:bdr w:val="none" w:color="auto" w:sz="0" w:space="0"/>
        </w:rPr>
        <w:t>陶瓷工业污染物排放标准GB 25464-2010</w:t>
      </w:r>
      <w:r>
        <w:rPr>
          <w:rFonts w:hint="eastAsia" w:ascii="Arial" w:hAnsi="Arial" w:eastAsia="微软雅黑" w:cs="Arial"/>
          <w:color w:val="00933B"/>
          <w:sz w:val="21"/>
          <w:szCs w:val="21"/>
          <w:bdr w:val="none" w:color="auto" w:sz="0" w:space="0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/>
          <w:color w:val="000000"/>
          <w:sz w:val="24"/>
          <w:szCs w:val="24"/>
        </w:rPr>
      </w:pPr>
      <w:r>
        <w:rPr>
          <w:rFonts w:hint="eastAsia" w:ascii="Times New Roman" w:hAnsi="Times New Roman" w:eastAsia="宋体"/>
          <w:color w:val="000000"/>
          <w:sz w:val="24"/>
          <w:szCs w:val="24"/>
        </w:rPr>
        <w:t>企业各边界噪声排放执行《工业企业厂界环境噪声排放标准》（</w:t>
      </w:r>
      <w:r>
        <w:rPr>
          <w:rFonts w:ascii="Times New Roman" w:hAnsi="Times New Roman" w:eastAsia="宋体"/>
          <w:color w:val="000000"/>
          <w:sz w:val="24"/>
          <w:szCs w:val="24"/>
        </w:rPr>
        <w:t>GB12348-2008</w:t>
      </w:r>
      <w:r>
        <w:rPr>
          <w:rFonts w:hint="eastAsia" w:ascii="Times New Roman" w:hAnsi="Times New Roman" w:eastAsia="宋体"/>
          <w:color w:val="000000"/>
          <w:sz w:val="24"/>
          <w:szCs w:val="24"/>
        </w:rPr>
        <w:t>）</w:t>
      </w:r>
      <w:r>
        <w:rPr>
          <w:rFonts w:hint="eastAsia" w:ascii="Times New Roman" w:hAnsi="Times New Roman" w:eastAsia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/>
          <w:color w:val="000000"/>
          <w:sz w:val="24"/>
          <w:szCs w:val="24"/>
        </w:rPr>
        <w:t>类标准。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微软雅黑"/>
          <w:color w:val="000000"/>
          <w:sz w:val="24"/>
          <w:szCs w:val="24"/>
          <w:lang w:eastAsia="zh-CN"/>
        </w:rPr>
      </w:pPr>
      <w:r>
        <w:rPr>
          <w:rFonts w:ascii="Arial" w:hAnsi="Arial" w:eastAsia="微软雅黑" w:cs="Arial"/>
          <w:color w:val="333333"/>
          <w:sz w:val="21"/>
          <w:szCs w:val="21"/>
          <w:bdr w:val="none" w:color="auto" w:sz="0" w:space="0"/>
        </w:rPr>
        <w:t>陶瓷工业污染物排放标准GB 25464-2010</w:t>
      </w:r>
      <w:r>
        <w:rPr>
          <w:rFonts w:hint="eastAsia" w:ascii="Arial" w:hAnsi="Arial" w:eastAsia="微软雅黑" w:cs="Arial"/>
          <w:color w:val="333333"/>
          <w:sz w:val="21"/>
          <w:szCs w:val="21"/>
          <w:bdr w:val="none" w:color="auto" w:sz="0" w:space="0"/>
          <w:lang w:eastAsia="zh-CN"/>
        </w:rPr>
        <w:t>。</w:t>
      </w:r>
    </w:p>
    <w:p>
      <w:pPr>
        <w:spacing w:line="360" w:lineRule="auto"/>
        <w:rPr>
          <w:rFonts w:hint="eastAsia" w:ascii="Times New Roman" w:hAnsi="Times New Roman" w:eastAsia="宋体"/>
          <w:b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Times New Roman" w:hAnsi="Times New Roman" w:eastAsia="宋体"/>
          <w:b/>
          <w:color w:val="000000"/>
          <w:sz w:val="24"/>
          <w:szCs w:val="24"/>
        </w:rPr>
      </w:pPr>
      <w:r>
        <w:rPr>
          <w:rFonts w:hint="eastAsia" w:ascii="Times New Roman" w:hAnsi="Times New Roman" w:eastAsia="宋体"/>
          <w:b/>
          <w:color w:val="000000"/>
          <w:sz w:val="24"/>
          <w:szCs w:val="24"/>
        </w:rPr>
        <w:t>表3 评价标准一览表</w:t>
      </w:r>
    </w:p>
    <w:p>
      <w:pPr>
        <w:spacing w:line="360" w:lineRule="auto"/>
        <w:ind w:firstLine="482" w:firstLineChars="200"/>
        <w:rPr>
          <w:rFonts w:hint="eastAsia" w:ascii="Times New Roman" w:hAnsi="Times New Roman" w:eastAsia="宋体"/>
          <w:b/>
          <w:sz w:val="24"/>
          <w:szCs w:val="24"/>
          <w:lang w:eastAsia="zh-CN"/>
        </w:rPr>
      </w:pPr>
      <w:r>
        <w:rPr>
          <w:rFonts w:hint="eastAsia" w:ascii="Times New Roman" w:hAnsi="Times New Roman" w:eastAsia="宋体"/>
          <w:b/>
          <w:sz w:val="24"/>
          <w:szCs w:val="24"/>
          <w:lang w:eastAsia="zh-CN"/>
        </w:rPr>
        <w:drawing>
          <wp:inline distT="0" distB="0" distL="114300" distR="114300">
            <wp:extent cx="5270500" cy="2360295"/>
            <wp:effectExtent l="0" t="0" r="6350" b="1905"/>
            <wp:docPr id="1" name="图片 1" descr="165587970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55879700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6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/>
          <w:b/>
          <w:sz w:val="24"/>
          <w:szCs w:val="24"/>
          <w:lang w:eastAsia="zh-CN"/>
        </w:rPr>
      </w:pPr>
      <w:r>
        <w:drawing>
          <wp:inline distT="0" distB="0" distL="114300" distR="114300">
            <wp:extent cx="5269865" cy="3597275"/>
            <wp:effectExtent l="0" t="0" r="6985" b="31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59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2" w:firstLineChars="200"/>
        <w:rPr>
          <w:rFonts w:ascii="Times New Roman" w:hAnsi="Times New Roman" w:eastAsia="宋体"/>
          <w:b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四</w:t>
      </w:r>
      <w:r>
        <w:rPr>
          <w:rFonts w:hint="eastAsia" w:ascii="Times New Roman" w:hAnsi="Times New Roman" w:eastAsia="宋体"/>
          <w:b/>
          <w:sz w:val="28"/>
          <w:szCs w:val="28"/>
        </w:rPr>
        <w:t>、</w:t>
      </w:r>
      <w:r>
        <w:rPr>
          <w:rFonts w:ascii="Times New Roman" w:hAnsi="Times New Roman" w:eastAsia="宋体"/>
          <w:b/>
          <w:sz w:val="28"/>
          <w:szCs w:val="28"/>
        </w:rPr>
        <w:t>信息监测结果</w:t>
      </w:r>
    </w:p>
    <w:p>
      <w:pPr>
        <w:spacing w:line="360" w:lineRule="auto"/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本企业按要求建立完整的监测档案信息管理制度</w:t>
      </w:r>
      <w:r>
        <w:rPr>
          <w:rFonts w:hint="eastAsia" w:ascii="Times New Roman" w:hAnsi="Times New Roman" w:eastAsia="宋体"/>
          <w:sz w:val="28"/>
          <w:szCs w:val="28"/>
        </w:rPr>
        <w:t>，</w:t>
      </w:r>
      <w:r>
        <w:rPr>
          <w:rFonts w:ascii="Times New Roman" w:hAnsi="Times New Roman" w:eastAsia="宋体"/>
          <w:sz w:val="28"/>
          <w:szCs w:val="28"/>
        </w:rPr>
        <w:t>保存原始监测记录和监测数据报告</w:t>
      </w:r>
      <w:r>
        <w:rPr>
          <w:rFonts w:hint="eastAsia" w:ascii="Times New Roman" w:hAnsi="Times New Roman" w:eastAsia="宋体"/>
          <w:sz w:val="28"/>
          <w:szCs w:val="28"/>
        </w:rPr>
        <w:t>，</w:t>
      </w:r>
      <w:r>
        <w:rPr>
          <w:rFonts w:ascii="Times New Roman" w:hAnsi="Times New Roman" w:eastAsia="宋体"/>
          <w:sz w:val="28"/>
          <w:szCs w:val="28"/>
        </w:rPr>
        <w:t>监测期间生产记录以及企业委托手工监测的委托合同</w:t>
      </w:r>
      <w:r>
        <w:rPr>
          <w:rFonts w:hint="eastAsia" w:ascii="Times New Roman" w:hAnsi="Times New Roman" w:eastAsia="宋体"/>
          <w:sz w:val="28"/>
          <w:szCs w:val="28"/>
        </w:rPr>
        <w:t>、</w:t>
      </w:r>
      <w:r>
        <w:rPr>
          <w:rFonts w:ascii="Times New Roman" w:hAnsi="Times New Roman" w:eastAsia="宋体"/>
          <w:sz w:val="28"/>
          <w:szCs w:val="28"/>
        </w:rPr>
        <w:t>承担委托任务单位的资质和单位基本情况等资料</w:t>
      </w:r>
      <w:r>
        <w:rPr>
          <w:rFonts w:hint="eastAsia" w:ascii="Times New Roman" w:hAnsi="Times New Roman" w:eastAsia="宋体"/>
          <w:sz w:val="28"/>
          <w:szCs w:val="28"/>
        </w:rPr>
        <w:t>（原始监测记录和监测数据报告由相关人员签字并保存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宋体"/>
          <w:sz w:val="28"/>
          <w:szCs w:val="28"/>
        </w:rPr>
        <w:t>年，其中废气监测数据保存时间不低于5年）。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如地方生态环境主管部门有信息公开要求，企业完成监测后应公布监测信息，自行监测信息公开内容包括企业基本信息、自行监测方案、自行监测结果、未开展自行监测的原因、污染源监测年度报告，所有信息在网站至少保存一年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Times New Roman" w:hAnsi="Times New Roman" w:eastAsia="宋体"/>
          <w:sz w:val="28"/>
          <w:szCs w:val="28"/>
        </w:rPr>
      </w:pPr>
    </w:p>
    <w:p>
      <w:pPr>
        <w:ind w:right="560"/>
        <w:jc w:val="center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ind w:right="560"/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监测平面图</w:t>
      </w:r>
    </w:p>
    <w:p>
      <w:pPr>
        <w:numPr>
          <w:numId w:val="0"/>
        </w:numPr>
        <w:ind w:right="560" w:right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645150" cy="3948430"/>
            <wp:effectExtent l="0" t="0" r="12700" b="13970"/>
            <wp:docPr id="3" name="图片 3" descr="监测点位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监测点位示意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45150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502570"/>
    <w:multiLevelType w:val="singleLevel"/>
    <w:tmpl w:val="1050257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D4D"/>
    <w:rsid w:val="000374B4"/>
    <w:rsid w:val="00070546"/>
    <w:rsid w:val="00080B44"/>
    <w:rsid w:val="000C42A1"/>
    <w:rsid w:val="000D67B2"/>
    <w:rsid w:val="000E2DE4"/>
    <w:rsid w:val="000F1D4D"/>
    <w:rsid w:val="001009D1"/>
    <w:rsid w:val="001C6F8E"/>
    <w:rsid w:val="00220A96"/>
    <w:rsid w:val="00253565"/>
    <w:rsid w:val="00264A0B"/>
    <w:rsid w:val="0027514E"/>
    <w:rsid w:val="002802A1"/>
    <w:rsid w:val="00294D56"/>
    <w:rsid w:val="002B2739"/>
    <w:rsid w:val="00303BD8"/>
    <w:rsid w:val="003129C2"/>
    <w:rsid w:val="00317682"/>
    <w:rsid w:val="00352ED9"/>
    <w:rsid w:val="003B11B0"/>
    <w:rsid w:val="00475615"/>
    <w:rsid w:val="00506606"/>
    <w:rsid w:val="0059749F"/>
    <w:rsid w:val="005E5DE8"/>
    <w:rsid w:val="00611D0D"/>
    <w:rsid w:val="00613E50"/>
    <w:rsid w:val="00657531"/>
    <w:rsid w:val="0067261F"/>
    <w:rsid w:val="006A2034"/>
    <w:rsid w:val="006D69CE"/>
    <w:rsid w:val="006E5D34"/>
    <w:rsid w:val="006E6D69"/>
    <w:rsid w:val="007064AB"/>
    <w:rsid w:val="00717B9E"/>
    <w:rsid w:val="00744776"/>
    <w:rsid w:val="007622E8"/>
    <w:rsid w:val="0077718E"/>
    <w:rsid w:val="008119BA"/>
    <w:rsid w:val="00822AB9"/>
    <w:rsid w:val="00830AE0"/>
    <w:rsid w:val="00833D65"/>
    <w:rsid w:val="00861334"/>
    <w:rsid w:val="008910AD"/>
    <w:rsid w:val="008A5CB6"/>
    <w:rsid w:val="008A73E2"/>
    <w:rsid w:val="009C115C"/>
    <w:rsid w:val="00A0616D"/>
    <w:rsid w:val="00A37376"/>
    <w:rsid w:val="00A97D06"/>
    <w:rsid w:val="00B12C49"/>
    <w:rsid w:val="00B143DB"/>
    <w:rsid w:val="00B22439"/>
    <w:rsid w:val="00B56290"/>
    <w:rsid w:val="00B63456"/>
    <w:rsid w:val="00B6722A"/>
    <w:rsid w:val="00B83055"/>
    <w:rsid w:val="00BC7D4A"/>
    <w:rsid w:val="00C24195"/>
    <w:rsid w:val="00C43198"/>
    <w:rsid w:val="00C57128"/>
    <w:rsid w:val="00CF453A"/>
    <w:rsid w:val="00D36E45"/>
    <w:rsid w:val="00D80D68"/>
    <w:rsid w:val="00DC0C37"/>
    <w:rsid w:val="00DE4247"/>
    <w:rsid w:val="00E54C6A"/>
    <w:rsid w:val="00E83F7D"/>
    <w:rsid w:val="00E85FF1"/>
    <w:rsid w:val="00F50BC0"/>
    <w:rsid w:val="00FC1B24"/>
    <w:rsid w:val="00FF6C53"/>
    <w:rsid w:val="23C70664"/>
    <w:rsid w:val="2FA73245"/>
    <w:rsid w:val="329D3967"/>
    <w:rsid w:val="4B8A14CD"/>
    <w:rsid w:val="59D85BD3"/>
    <w:rsid w:val="7556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185ECF"/>
      <w:u w:val="none"/>
    </w:rPr>
  </w:style>
  <w:style w:type="character" w:styleId="9">
    <w:name w:val="Hyperlink"/>
    <w:basedOn w:val="7"/>
    <w:semiHidden/>
    <w:unhideWhenUsed/>
    <w:qFormat/>
    <w:uiPriority w:val="99"/>
    <w:rPr>
      <w:color w:val="185ECF"/>
      <w:u w:val="none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12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checkbox2"/>
    <w:basedOn w:val="7"/>
    <w:qFormat/>
    <w:uiPriority w:val="0"/>
  </w:style>
  <w:style w:type="character" w:customStyle="1" w:styleId="15">
    <w:name w:val="shenbao"/>
    <w:basedOn w:val="7"/>
    <w:qFormat/>
    <w:uiPriority w:val="0"/>
    <w:rPr>
      <w:color w:val="EF6334"/>
    </w:rPr>
  </w:style>
  <w:style w:type="character" w:customStyle="1" w:styleId="16">
    <w:name w:val="chakan"/>
    <w:basedOn w:val="7"/>
    <w:qFormat/>
    <w:uiPriority w:val="0"/>
    <w:rPr>
      <w:color w:val="0064EA"/>
    </w:rPr>
  </w:style>
  <w:style w:type="character" w:customStyle="1" w:styleId="17">
    <w:name w:val="showhidemsg1"/>
    <w:basedOn w:val="7"/>
    <w:qFormat/>
    <w:uiPriority w:val="0"/>
  </w:style>
  <w:style w:type="character" w:customStyle="1" w:styleId="18">
    <w:name w:val="checkbox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1029</Words>
  <Characters>1157</Characters>
  <Lines>23</Lines>
  <Paragraphs>6</Paragraphs>
  <TotalTime>6</TotalTime>
  <ScaleCrop>false</ScaleCrop>
  <LinksUpToDate>false</LinksUpToDate>
  <CharactersWithSpaces>1196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2020-05-09T15:58:00Z</dcterms:created>
  <dc:creator>Windows 用户</dc:creator>
  <cp:lastModifiedBy>fafa</cp:lastModifiedBy>
  <dcterms:modified xsi:type="dcterms:W3CDTF">2022-06-22T06:37:27Z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81A54AE8D41445C0B575D4773BD96D84</vt:lpwstr>
  </property>
</Properties>
</file>