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仿宋" w:hAnsi="仿宋" w:eastAsia="仿宋" w:cs="仿宋"/>
          <w:b w:val="0"/>
          <w:bCs/>
          <w:sz w:val="30"/>
          <w:szCs w:val="30"/>
          <w:lang w:val="en-US" w:eastAsia="zh-CN"/>
        </w:rPr>
      </w:pPr>
      <w:bookmarkStart w:id="0" w:name="_GoBack"/>
      <w:bookmarkEnd w:id="0"/>
      <w:r>
        <w:rPr>
          <w:rFonts w:hint="eastAsia" w:ascii="仿宋" w:hAnsi="仿宋" w:eastAsia="仿宋" w:cs="仿宋"/>
          <w:b w:val="0"/>
          <w:bCs/>
          <w:sz w:val="30"/>
          <w:szCs w:val="30"/>
          <w:lang w:val="en-US" w:eastAsia="zh-CN"/>
        </w:rPr>
        <w:t>附件1：</w:t>
      </w:r>
    </w:p>
    <w:p>
      <w:pPr>
        <w:jc w:val="center"/>
        <w:rPr>
          <w:rFonts w:asciiTheme="minorEastAsia" w:hAnsiTheme="minorEastAsia"/>
          <w:b/>
          <w:sz w:val="44"/>
        </w:rPr>
      </w:pPr>
      <w:r>
        <w:rPr>
          <w:rFonts w:hint="eastAsia" w:asciiTheme="minorEastAsia" w:hAnsiTheme="minorEastAsia"/>
          <w:b/>
          <w:sz w:val="44"/>
        </w:rPr>
        <w:t>江门市202</w:t>
      </w:r>
      <w:r>
        <w:rPr>
          <w:rFonts w:hint="eastAsia" w:asciiTheme="minorEastAsia" w:hAnsiTheme="minorEastAsia"/>
          <w:b/>
          <w:sz w:val="44"/>
          <w:lang w:val="en-US" w:eastAsia="zh-CN"/>
        </w:rPr>
        <w:t>2</w:t>
      </w:r>
      <w:r>
        <w:rPr>
          <w:rFonts w:hint="eastAsia" w:asciiTheme="minorEastAsia" w:hAnsiTheme="minorEastAsia"/>
          <w:b/>
          <w:sz w:val="44"/>
        </w:rPr>
        <w:t>年</w:t>
      </w:r>
      <w:r>
        <w:rPr>
          <w:rFonts w:hint="eastAsia" w:asciiTheme="minorEastAsia" w:hAnsiTheme="minorEastAsia"/>
          <w:b/>
          <w:sz w:val="44"/>
          <w:lang w:eastAsia="zh-CN"/>
        </w:rPr>
        <w:t>度</w:t>
      </w:r>
      <w:r>
        <w:rPr>
          <w:rFonts w:hint="eastAsia" w:asciiTheme="minorEastAsia" w:hAnsiTheme="minorEastAsia"/>
          <w:b/>
          <w:sz w:val="44"/>
        </w:rPr>
        <w:t>“三支一扶”人员</w:t>
      </w:r>
    </w:p>
    <w:p>
      <w:pPr>
        <w:jc w:val="center"/>
        <w:rPr>
          <w:rFonts w:asciiTheme="minorEastAsia" w:hAnsiTheme="minorEastAsia"/>
          <w:b/>
          <w:sz w:val="44"/>
        </w:rPr>
      </w:pPr>
      <w:r>
        <w:rPr>
          <w:rFonts w:hint="eastAsia" w:asciiTheme="minorEastAsia" w:hAnsiTheme="minorEastAsia"/>
          <w:b/>
          <w:sz w:val="44"/>
        </w:rPr>
        <w:t>培训采购需求</w:t>
      </w:r>
    </w:p>
    <w:p>
      <w:pPr>
        <w:pStyle w:val="2"/>
        <w:ind w:firstLine="640" w:firstLineChars="0"/>
        <w:rPr>
          <w:rFonts w:ascii="仿宋_GB2312" w:eastAsia="仿宋_GB2312"/>
          <w:sz w:val="32"/>
        </w:rPr>
      </w:pPr>
    </w:p>
    <w:p>
      <w:pPr>
        <w:pStyle w:val="2"/>
        <w:ind w:firstLine="640" w:firstLineChars="0"/>
        <w:rPr>
          <w:rFonts w:ascii="仿宋_GB2312" w:eastAsia="仿宋_GB2312"/>
          <w:sz w:val="32"/>
        </w:rPr>
      </w:pPr>
      <w:r>
        <w:rPr>
          <w:rFonts w:hint="eastAsia" w:ascii="黑体" w:hAnsi="黑体" w:eastAsia="黑体"/>
          <w:sz w:val="32"/>
        </w:rPr>
        <w:t>一、项目名称：</w:t>
      </w:r>
      <w:r>
        <w:rPr>
          <w:rFonts w:hint="eastAsia" w:ascii="仿宋_GB2312" w:eastAsia="仿宋_GB2312"/>
          <w:sz w:val="32"/>
        </w:rPr>
        <w:t>江门市202</w:t>
      </w:r>
      <w:r>
        <w:rPr>
          <w:rFonts w:hint="eastAsia" w:ascii="仿宋_GB2312" w:eastAsia="仿宋_GB2312"/>
          <w:sz w:val="32"/>
          <w:lang w:val="en-US" w:eastAsia="zh-CN"/>
        </w:rPr>
        <w:t>2</w:t>
      </w:r>
      <w:r>
        <w:rPr>
          <w:rFonts w:hint="eastAsia" w:ascii="仿宋_GB2312" w:eastAsia="仿宋_GB2312"/>
          <w:sz w:val="32"/>
        </w:rPr>
        <w:t>年</w:t>
      </w:r>
      <w:r>
        <w:rPr>
          <w:rFonts w:hint="eastAsia" w:ascii="仿宋_GB2312" w:eastAsia="仿宋_GB2312"/>
          <w:sz w:val="32"/>
          <w:lang w:eastAsia="zh-CN"/>
        </w:rPr>
        <w:t>度</w:t>
      </w:r>
      <w:r>
        <w:rPr>
          <w:rFonts w:hint="eastAsia" w:ascii="仿宋_GB2312" w:eastAsia="仿宋_GB2312"/>
          <w:sz w:val="32"/>
        </w:rPr>
        <w:t>“三支一扶”人员培训</w:t>
      </w:r>
    </w:p>
    <w:p>
      <w:pPr>
        <w:pStyle w:val="2"/>
        <w:ind w:firstLine="640" w:firstLineChars="0"/>
        <w:rPr>
          <w:rFonts w:ascii="仿宋_GB2312" w:eastAsia="仿宋_GB2312"/>
          <w:sz w:val="32"/>
        </w:rPr>
      </w:pPr>
      <w:r>
        <w:rPr>
          <w:rFonts w:ascii="黑体" w:hAnsi="黑体" w:eastAsia="黑体"/>
          <w:sz w:val="32"/>
        </w:rPr>
        <w:t>二、</w:t>
      </w:r>
      <w:r>
        <w:rPr>
          <w:rFonts w:hint="eastAsia" w:ascii="黑体" w:hAnsi="黑体" w:eastAsia="黑体"/>
          <w:sz w:val="32"/>
          <w:lang w:eastAsia="zh-CN"/>
        </w:rPr>
        <w:t>预算</w:t>
      </w:r>
      <w:r>
        <w:rPr>
          <w:rFonts w:ascii="黑体" w:hAnsi="黑体" w:eastAsia="黑体"/>
          <w:sz w:val="32"/>
        </w:rPr>
        <w:t>价格：</w:t>
      </w:r>
      <w:r>
        <w:rPr>
          <w:rFonts w:hint="eastAsia" w:ascii="仿宋_GB2312" w:eastAsia="仿宋_GB2312"/>
          <w:sz w:val="32"/>
          <w:lang w:val="en-US" w:eastAsia="zh-CN"/>
        </w:rPr>
        <w:t>700</w:t>
      </w:r>
      <w:r>
        <w:rPr>
          <w:rFonts w:ascii="仿宋_GB2312" w:eastAsia="仿宋_GB2312"/>
          <w:sz w:val="32"/>
        </w:rPr>
        <w:t>,</w:t>
      </w:r>
      <w:r>
        <w:rPr>
          <w:rFonts w:hint="eastAsia" w:ascii="仿宋_GB2312" w:eastAsia="仿宋_GB2312"/>
          <w:sz w:val="32"/>
        </w:rPr>
        <w:t>000元</w:t>
      </w:r>
    </w:p>
    <w:p>
      <w:pPr>
        <w:pStyle w:val="2"/>
        <w:ind w:firstLine="640" w:firstLineChars="0"/>
        <w:rPr>
          <w:rFonts w:ascii="仿宋_GB2312" w:eastAsia="仿宋_GB2312"/>
          <w:sz w:val="32"/>
        </w:rPr>
      </w:pPr>
      <w:r>
        <w:rPr>
          <w:rFonts w:ascii="黑体" w:hAnsi="黑体" w:eastAsia="黑体"/>
          <w:sz w:val="32"/>
        </w:rPr>
        <w:t>三、项目概况：</w:t>
      </w:r>
      <w:r>
        <w:rPr>
          <w:rFonts w:hint="eastAsia" w:ascii="仿宋_GB2312" w:eastAsia="仿宋_GB2312"/>
          <w:sz w:val="32"/>
        </w:rPr>
        <w:t>为</w:t>
      </w:r>
      <w:r>
        <w:rPr>
          <w:rFonts w:hint="eastAsia" w:ascii="仿宋_GB2312" w:eastAsia="仿宋_GB2312"/>
          <w:sz w:val="32"/>
          <w:lang w:eastAsia="zh-CN"/>
        </w:rPr>
        <w:t>持续</w:t>
      </w:r>
      <w:r>
        <w:rPr>
          <w:rFonts w:hint="eastAsia" w:ascii="仿宋_GB2312" w:eastAsia="仿宋_GB2312"/>
          <w:sz w:val="32"/>
        </w:rPr>
        <w:t>做好我市“三支一扶”培训工作，</w:t>
      </w:r>
      <w:r>
        <w:rPr>
          <w:rFonts w:hint="eastAsia" w:ascii="仿宋_GB2312" w:eastAsia="仿宋_GB2312"/>
          <w:sz w:val="32"/>
          <w:lang w:eastAsia="zh-CN"/>
        </w:rPr>
        <w:t>构建良好的</w:t>
      </w:r>
      <w:r>
        <w:rPr>
          <w:rFonts w:hint="eastAsia" w:ascii="仿宋_GB2312" w:eastAsia="仿宋_GB2312"/>
          <w:sz w:val="32"/>
        </w:rPr>
        <w:t>“三支一扶”人员培训体系，</w:t>
      </w:r>
      <w:r>
        <w:rPr>
          <w:rFonts w:hint="eastAsia" w:ascii="仿宋_GB2312" w:hAnsi="黑体" w:eastAsia="仿宋_GB2312"/>
          <w:sz w:val="32"/>
          <w:szCs w:val="32"/>
          <w:lang w:eastAsia="zh-CN"/>
        </w:rPr>
        <w:t>江门</w:t>
      </w:r>
      <w:r>
        <w:rPr>
          <w:rFonts w:hint="eastAsia" w:ascii="仿宋_GB2312" w:hAnsi="黑体" w:eastAsia="仿宋_GB2312"/>
          <w:sz w:val="32"/>
          <w:szCs w:val="32"/>
        </w:rPr>
        <w:t>市人力资源和社会保障局</w:t>
      </w:r>
      <w:r>
        <w:rPr>
          <w:rFonts w:hint="eastAsia" w:ascii="仿宋_GB2312" w:hAnsi="黑体" w:eastAsia="仿宋_GB2312"/>
          <w:sz w:val="32"/>
          <w:szCs w:val="32"/>
          <w:lang w:eastAsia="zh-CN"/>
        </w:rPr>
        <w:t>计划通过采购</w:t>
      </w:r>
      <w:r>
        <w:rPr>
          <w:rFonts w:hint="eastAsia" w:ascii="仿宋_GB2312" w:hAnsi="黑体" w:eastAsia="仿宋_GB2312"/>
          <w:sz w:val="32"/>
          <w:szCs w:val="32"/>
        </w:rPr>
        <w:t>开展202</w:t>
      </w:r>
      <w:r>
        <w:rPr>
          <w:rFonts w:hint="eastAsia" w:ascii="仿宋_GB2312" w:hAnsi="黑体" w:eastAsia="仿宋_GB2312"/>
          <w:sz w:val="32"/>
          <w:szCs w:val="32"/>
          <w:lang w:val="en-US" w:eastAsia="zh-CN"/>
        </w:rPr>
        <w:t>2</w:t>
      </w:r>
      <w:r>
        <w:rPr>
          <w:rFonts w:hint="eastAsia" w:ascii="仿宋_GB2312" w:hAnsi="黑体" w:eastAsia="仿宋_GB2312"/>
          <w:sz w:val="32"/>
          <w:szCs w:val="32"/>
        </w:rPr>
        <w:t>年度“三支一扶”人员培训，</w:t>
      </w:r>
      <w:r>
        <w:rPr>
          <w:rFonts w:hint="eastAsia" w:ascii="仿宋_GB2312" w:eastAsia="仿宋_GB2312"/>
          <w:sz w:val="32"/>
          <w:lang w:val="en-US" w:eastAsia="zh-CN"/>
        </w:rPr>
        <w:t>旨在</w:t>
      </w:r>
      <w:r>
        <w:rPr>
          <w:rFonts w:hint="eastAsia" w:ascii="仿宋_GB2312" w:eastAsia="仿宋_GB2312"/>
          <w:sz w:val="32"/>
        </w:rPr>
        <w:t>提高“三支一扶“人员的政治站位、提升业务水平、增强服务意识，引领其更好的扎根基层，服务基层。培训采取讲授、座谈、答疑、互动教学、情景模拟、素质拓展等方式开展。</w:t>
      </w:r>
    </w:p>
    <w:p>
      <w:pPr>
        <w:pStyle w:val="2"/>
        <w:ind w:firstLine="640" w:firstLineChars="0"/>
        <w:rPr>
          <w:rFonts w:hint="eastAsia" w:ascii="黑体" w:hAnsi="黑体" w:eastAsia="黑体"/>
          <w:sz w:val="32"/>
        </w:rPr>
      </w:pPr>
      <w:r>
        <w:rPr>
          <w:rFonts w:ascii="黑体" w:hAnsi="黑体" w:eastAsia="黑体"/>
          <w:sz w:val="32"/>
        </w:rPr>
        <w:t>四、项目清单：</w:t>
      </w:r>
    </w:p>
    <w:tbl>
      <w:tblPr>
        <w:tblStyle w:val="5"/>
        <w:tblW w:w="8931" w:type="dxa"/>
        <w:tblInd w:w="-289" w:type="dxa"/>
        <w:tblLayout w:type="fixed"/>
        <w:tblCellMar>
          <w:top w:w="0" w:type="dxa"/>
          <w:left w:w="0" w:type="dxa"/>
          <w:bottom w:w="0" w:type="dxa"/>
          <w:right w:w="0" w:type="dxa"/>
        </w:tblCellMar>
      </w:tblPr>
      <w:tblGrid>
        <w:gridCol w:w="851"/>
        <w:gridCol w:w="1134"/>
        <w:gridCol w:w="1418"/>
        <w:gridCol w:w="5528"/>
      </w:tblGrid>
      <w:tr>
        <w:tblPrEx>
          <w:tblCellMar>
            <w:top w:w="0" w:type="dxa"/>
            <w:left w:w="0" w:type="dxa"/>
            <w:bottom w:w="0" w:type="dxa"/>
            <w:right w:w="0" w:type="dxa"/>
          </w:tblCellMar>
        </w:tblPrEx>
        <w:trPr>
          <w:trHeight w:val="660" w:hRule="atLeast"/>
        </w:trPr>
        <w:tc>
          <w:tcPr>
            <w:tcW w:w="851" w:type="dxa"/>
            <w:tcBorders>
              <w:top w:val="single" w:color="000000" w:sz="4" w:space="0"/>
              <w:left w:val="single" w:color="000000" w:sz="4" w:space="0"/>
              <w:bottom w:val="single" w:color="auto" w:sz="4" w:space="0"/>
              <w:right w:val="single" w:color="000000" w:sz="4" w:space="0"/>
            </w:tcBorders>
            <w:shd w:val="clear" w:color="auto" w:fill="D9D9D9"/>
            <w:tcMar>
              <w:top w:w="15" w:type="dxa"/>
              <w:left w:w="15" w:type="dxa"/>
              <w:right w:w="15" w:type="dxa"/>
            </w:tcMar>
            <w:vAlign w:val="center"/>
          </w:tcPr>
          <w:p>
            <w:pPr>
              <w:widowControl/>
              <w:jc w:val="center"/>
              <w:textAlignment w:val="center"/>
              <w:rPr>
                <w:rFonts w:ascii="宋体" w:hAnsi="宋体" w:eastAsia="宋体" w:cs="宋体"/>
                <w:b/>
                <w:color w:val="000000"/>
                <w:sz w:val="24"/>
              </w:rPr>
            </w:pPr>
            <w:r>
              <w:rPr>
                <w:rFonts w:hint="eastAsia" w:ascii="宋体" w:hAnsi="宋体" w:eastAsia="宋体" w:cs="宋体"/>
                <w:b/>
                <w:color w:val="000000"/>
                <w:kern w:val="0"/>
                <w:sz w:val="24"/>
              </w:rPr>
              <w:t>序号</w:t>
            </w:r>
          </w:p>
        </w:tc>
        <w:tc>
          <w:tcPr>
            <w:tcW w:w="2552" w:type="dxa"/>
            <w:gridSpan w:val="2"/>
            <w:tcBorders>
              <w:top w:val="single" w:color="000000" w:sz="4" w:space="0"/>
              <w:left w:val="single" w:color="000000" w:sz="4" w:space="0"/>
              <w:bottom w:val="single" w:color="auto" w:sz="4" w:space="0"/>
              <w:right w:val="single" w:color="000000" w:sz="4" w:space="0"/>
            </w:tcBorders>
            <w:shd w:val="clear" w:color="auto" w:fill="D9D9D9"/>
            <w:noWrap/>
            <w:tcMar>
              <w:top w:w="15" w:type="dxa"/>
              <w:left w:w="15" w:type="dxa"/>
              <w:right w:w="15" w:type="dxa"/>
            </w:tcMar>
            <w:vAlign w:val="center"/>
          </w:tcPr>
          <w:p>
            <w:pPr>
              <w:widowControl/>
              <w:jc w:val="center"/>
              <w:textAlignment w:val="center"/>
              <w:rPr>
                <w:rFonts w:ascii="宋体" w:hAnsi="宋体" w:eastAsia="宋体" w:cs="宋体"/>
                <w:b/>
                <w:color w:val="000000"/>
                <w:sz w:val="24"/>
              </w:rPr>
            </w:pPr>
            <w:r>
              <w:rPr>
                <w:rFonts w:hint="eastAsia" w:ascii="宋体" w:hAnsi="宋体" w:eastAsia="宋体" w:cs="宋体"/>
                <w:b/>
                <w:color w:val="000000"/>
                <w:kern w:val="0"/>
                <w:sz w:val="24"/>
              </w:rPr>
              <w:t>项目内容</w:t>
            </w:r>
          </w:p>
        </w:tc>
        <w:tc>
          <w:tcPr>
            <w:tcW w:w="5528" w:type="dxa"/>
            <w:tcBorders>
              <w:top w:val="single" w:color="000000" w:sz="4" w:space="0"/>
              <w:left w:val="single" w:color="000000" w:sz="4" w:space="0"/>
              <w:bottom w:val="single" w:color="auto" w:sz="4" w:space="0"/>
              <w:right w:val="single" w:color="000000" w:sz="4" w:space="0"/>
            </w:tcBorders>
            <w:shd w:val="clear" w:color="auto" w:fill="D9D9D9"/>
            <w:noWrap/>
            <w:tcMar>
              <w:top w:w="15" w:type="dxa"/>
              <w:left w:w="15" w:type="dxa"/>
              <w:right w:w="15" w:type="dxa"/>
            </w:tcMar>
            <w:vAlign w:val="center"/>
          </w:tcPr>
          <w:p>
            <w:pPr>
              <w:widowControl/>
              <w:jc w:val="center"/>
              <w:textAlignment w:val="center"/>
              <w:rPr>
                <w:rFonts w:ascii="宋体" w:hAnsi="宋体" w:eastAsia="宋体" w:cs="宋体"/>
                <w:b/>
                <w:color w:val="000000"/>
                <w:sz w:val="24"/>
              </w:rPr>
            </w:pPr>
            <w:r>
              <w:rPr>
                <w:rFonts w:hint="eastAsia" w:ascii="宋体" w:hAnsi="宋体" w:eastAsia="宋体" w:cs="宋体"/>
                <w:b/>
                <w:color w:val="000000"/>
                <w:kern w:val="0"/>
                <w:sz w:val="24"/>
              </w:rPr>
              <w:t>项目说明</w:t>
            </w:r>
          </w:p>
        </w:tc>
      </w:tr>
      <w:tr>
        <w:tblPrEx>
          <w:tblCellMar>
            <w:top w:w="0" w:type="dxa"/>
            <w:left w:w="0" w:type="dxa"/>
            <w:bottom w:w="0" w:type="dxa"/>
            <w:right w:w="0" w:type="dxa"/>
          </w:tblCellMar>
        </w:tblPrEx>
        <w:trPr>
          <w:trHeight w:val="401" w:hRule="atLeast"/>
        </w:trPr>
        <w:tc>
          <w:tcPr>
            <w:tcW w:w="85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_GB2312" w:hAnsi="仿宋" w:eastAsia="仿宋_GB2312" w:cs="仿宋"/>
                <w:color w:val="000000"/>
                <w:sz w:val="24"/>
              </w:rPr>
            </w:pPr>
            <w:r>
              <w:rPr>
                <w:rFonts w:hint="eastAsia" w:ascii="仿宋_GB2312" w:hAnsi="仿宋" w:eastAsia="仿宋_GB2312" w:cs="仿宋"/>
                <w:color w:val="000000"/>
                <w:sz w:val="24"/>
              </w:rPr>
              <w:t>1</w:t>
            </w:r>
          </w:p>
        </w:tc>
        <w:tc>
          <w:tcPr>
            <w:tcW w:w="1134" w:type="dxa"/>
            <w:vMerge w:val="restar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textAlignment w:val="center"/>
              <w:rPr>
                <w:rFonts w:ascii="仿宋_GB2312" w:hAnsi="仿宋" w:eastAsia="仿宋_GB2312" w:cs="仿宋"/>
                <w:color w:val="000000"/>
                <w:kern w:val="0"/>
                <w:sz w:val="24"/>
              </w:rPr>
            </w:pPr>
            <w:r>
              <w:rPr>
                <w:rFonts w:hint="eastAsia" w:ascii="仿宋_GB2312" w:hAnsi="仿宋" w:eastAsia="仿宋_GB2312" w:cs="仿宋"/>
                <w:color w:val="000000"/>
                <w:kern w:val="0"/>
                <w:sz w:val="24"/>
              </w:rPr>
              <w:t>项目安排</w:t>
            </w:r>
          </w:p>
        </w:tc>
        <w:tc>
          <w:tcPr>
            <w:tcW w:w="141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仿宋_GB2312" w:hAnsi="仿宋" w:eastAsia="仿宋_GB2312" w:cs="仿宋"/>
                <w:color w:val="000000"/>
                <w:sz w:val="24"/>
              </w:rPr>
            </w:pPr>
            <w:r>
              <w:rPr>
                <w:rFonts w:hint="eastAsia" w:ascii="仿宋_GB2312" w:hAnsi="仿宋" w:eastAsia="仿宋_GB2312" w:cs="仿宋"/>
                <w:color w:val="000000"/>
                <w:sz w:val="24"/>
              </w:rPr>
              <w:t>培训主题</w:t>
            </w:r>
          </w:p>
        </w:tc>
        <w:tc>
          <w:tcPr>
            <w:tcW w:w="552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pStyle w:val="2"/>
              <w:ind w:firstLine="0" w:firstLineChars="0"/>
              <w:rPr>
                <w:rFonts w:ascii="仿宋_GB2312" w:hAnsi="仿宋" w:eastAsia="仿宋_GB2312"/>
                <w:sz w:val="24"/>
              </w:rPr>
            </w:pPr>
            <w:r>
              <w:rPr>
                <w:rFonts w:hint="eastAsia" w:ascii="仿宋_GB2312" w:hAnsi="仿宋" w:eastAsia="仿宋_GB2312"/>
                <w:sz w:val="24"/>
              </w:rPr>
              <w:t>1</w:t>
            </w:r>
            <w:r>
              <w:rPr>
                <w:rFonts w:ascii="仿宋_GB2312" w:hAnsi="仿宋" w:eastAsia="仿宋_GB2312"/>
                <w:sz w:val="24"/>
              </w:rPr>
              <w:t>.岗前培训以理想信念教育、国情民情教育、法制意识、相关业务政策、群众工作方式方法、基层工作所需通用基础知识和基本技能等为主要内容，帮助学员尽快完成角色转换，提高其基层工作生活适应能力；</w:t>
            </w:r>
          </w:p>
          <w:p>
            <w:pPr>
              <w:pStyle w:val="2"/>
              <w:ind w:firstLine="0" w:firstLineChars="0"/>
              <w:rPr>
                <w:rFonts w:ascii="仿宋_GB2312" w:hAnsi="仿宋" w:eastAsia="仿宋_GB2312"/>
                <w:sz w:val="24"/>
              </w:rPr>
            </w:pPr>
            <w:r>
              <w:rPr>
                <w:rFonts w:hint="eastAsia" w:ascii="仿宋_GB2312" w:hAnsi="仿宋" w:eastAsia="仿宋_GB2312"/>
                <w:sz w:val="24"/>
              </w:rPr>
              <w:t>2</w:t>
            </w:r>
            <w:r>
              <w:rPr>
                <w:rFonts w:ascii="仿宋_GB2312" w:hAnsi="仿宋" w:eastAsia="仿宋_GB2312"/>
                <w:sz w:val="24"/>
              </w:rPr>
              <w:t>.在岗培训以基层公共服务基本理论</w:t>
            </w:r>
            <w:r>
              <w:rPr>
                <w:rFonts w:hint="eastAsia" w:ascii="仿宋_GB2312" w:hAnsi="仿宋" w:eastAsia="仿宋_GB2312"/>
                <w:sz w:val="24"/>
                <w:lang w:val="en-US" w:eastAsia="zh-CN"/>
              </w:rPr>
              <w:t>知识</w:t>
            </w:r>
            <w:r>
              <w:rPr>
                <w:rFonts w:ascii="仿宋_GB2312" w:hAnsi="仿宋" w:eastAsia="仿宋_GB2312"/>
                <w:sz w:val="24"/>
              </w:rPr>
              <w:t>、基本政策法规、社会管理和专门业务培训为主要内容，全面提高其适应基层岗位、服务基层的能力；</w:t>
            </w:r>
          </w:p>
          <w:p>
            <w:pPr>
              <w:pStyle w:val="2"/>
              <w:ind w:firstLine="0" w:firstLineChars="0"/>
              <w:rPr>
                <w:rFonts w:ascii="仿宋_GB2312" w:hAnsi="仿宋" w:eastAsia="仿宋_GB2312"/>
                <w:sz w:val="24"/>
              </w:rPr>
            </w:pPr>
            <w:r>
              <w:rPr>
                <w:rFonts w:hint="eastAsia" w:ascii="仿宋_GB2312" w:hAnsi="仿宋" w:eastAsia="仿宋_GB2312"/>
                <w:sz w:val="24"/>
              </w:rPr>
              <w:t>3</w:t>
            </w:r>
            <w:r>
              <w:rPr>
                <w:rFonts w:ascii="仿宋_GB2312" w:hAnsi="仿宋" w:eastAsia="仿宋_GB2312"/>
                <w:sz w:val="24"/>
              </w:rPr>
              <w:t>.离岗培训以期满</w:t>
            </w:r>
            <w:r>
              <w:rPr>
                <w:rFonts w:hint="eastAsia" w:ascii="仿宋_GB2312" w:hAnsi="仿宋" w:eastAsia="仿宋_GB2312"/>
                <w:sz w:val="24"/>
                <w:lang w:val="en-US" w:eastAsia="zh-CN"/>
              </w:rPr>
              <w:t>安置</w:t>
            </w:r>
            <w:r>
              <w:rPr>
                <w:rFonts w:ascii="仿宋_GB2312" w:hAnsi="仿宋" w:eastAsia="仿宋_GB2312"/>
                <w:sz w:val="24"/>
              </w:rPr>
              <w:t>政策措施、就业形势分析、就业指导、创新创业政策等为主要内容，宣传鼓励多渠道流动的政策措施，提高期满人员就业创业能力；</w:t>
            </w:r>
          </w:p>
          <w:p>
            <w:pPr>
              <w:pStyle w:val="2"/>
              <w:ind w:firstLine="0" w:firstLineChars="0"/>
              <w:rPr>
                <w:rFonts w:ascii="仿宋_GB2312" w:hAnsi="仿宋" w:eastAsia="仿宋_GB2312"/>
                <w:sz w:val="24"/>
              </w:rPr>
            </w:pPr>
            <w:r>
              <w:rPr>
                <w:rFonts w:hint="eastAsia" w:ascii="仿宋_GB2312" w:hAnsi="仿宋" w:eastAsia="仿宋_GB2312"/>
                <w:sz w:val="24"/>
              </w:rPr>
              <w:t>4</w:t>
            </w:r>
            <w:r>
              <w:rPr>
                <w:rFonts w:ascii="仿宋_GB2312" w:hAnsi="仿宋" w:eastAsia="仿宋_GB2312"/>
                <w:sz w:val="24"/>
              </w:rPr>
              <w:t>.“红色加速营”培训</w:t>
            </w:r>
            <w:r>
              <w:rPr>
                <w:rFonts w:hint="eastAsia" w:ascii="仿宋_GB2312" w:hAnsi="仿宋" w:eastAsia="仿宋_GB2312"/>
                <w:sz w:val="24"/>
                <w:lang w:eastAsia="zh-CN"/>
              </w:rPr>
              <w:t>以党建为切入点，结</w:t>
            </w:r>
            <w:r>
              <w:rPr>
                <w:rFonts w:ascii="仿宋_GB2312" w:hAnsi="仿宋" w:eastAsia="仿宋_GB2312"/>
                <w:sz w:val="24"/>
              </w:rPr>
              <w:t>合支教、支医和乡村振兴</w:t>
            </w:r>
            <w:r>
              <w:rPr>
                <w:rFonts w:hint="eastAsia" w:ascii="仿宋_GB2312" w:hAnsi="仿宋" w:eastAsia="仿宋_GB2312"/>
                <w:sz w:val="24"/>
                <w:lang w:val="en-US" w:eastAsia="zh-CN"/>
              </w:rPr>
              <w:t>等</w:t>
            </w:r>
            <w:r>
              <w:rPr>
                <w:rFonts w:ascii="仿宋_GB2312" w:hAnsi="仿宋" w:eastAsia="仿宋_GB2312"/>
                <w:sz w:val="24"/>
              </w:rPr>
              <w:t>主题，帮助学员增强</w:t>
            </w:r>
            <w:r>
              <w:rPr>
                <w:rFonts w:hint="eastAsia" w:ascii="仿宋_GB2312" w:hAnsi="仿宋" w:eastAsia="仿宋_GB2312"/>
                <w:sz w:val="24"/>
                <w:lang w:eastAsia="zh-CN"/>
              </w:rPr>
              <w:t>党建意识、</w:t>
            </w:r>
            <w:r>
              <w:rPr>
                <w:rFonts w:ascii="仿宋_GB2312" w:hAnsi="仿宋" w:eastAsia="仿宋_GB2312"/>
                <w:sz w:val="24"/>
              </w:rPr>
              <w:t>专业技术和文化素养，</w:t>
            </w:r>
            <w:r>
              <w:rPr>
                <w:rFonts w:hint="eastAsia" w:ascii="仿宋_GB2312" w:hAnsi="仿宋" w:eastAsia="仿宋_GB2312"/>
                <w:sz w:val="24"/>
                <w:lang w:eastAsia="zh-CN"/>
              </w:rPr>
              <w:t>不断</w:t>
            </w:r>
            <w:r>
              <w:rPr>
                <w:rFonts w:ascii="仿宋_GB2312" w:hAnsi="仿宋" w:eastAsia="仿宋_GB2312"/>
                <w:sz w:val="24"/>
              </w:rPr>
              <w:t>提高基层服务能力。</w:t>
            </w:r>
          </w:p>
        </w:tc>
      </w:tr>
      <w:tr>
        <w:tblPrEx>
          <w:tblCellMar>
            <w:top w:w="0" w:type="dxa"/>
            <w:left w:w="0" w:type="dxa"/>
            <w:bottom w:w="0" w:type="dxa"/>
            <w:right w:w="0" w:type="dxa"/>
          </w:tblCellMar>
        </w:tblPrEx>
        <w:trPr>
          <w:trHeight w:val="684" w:hRule="atLeast"/>
        </w:trPr>
        <w:tc>
          <w:tcPr>
            <w:tcW w:w="85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_GB2312" w:hAnsi="仿宋" w:eastAsia="仿宋_GB2312" w:cs="仿宋"/>
                <w:color w:val="000000"/>
                <w:sz w:val="24"/>
              </w:rPr>
            </w:pPr>
            <w:r>
              <w:rPr>
                <w:rFonts w:hint="eastAsia" w:ascii="仿宋_GB2312" w:hAnsi="仿宋" w:eastAsia="仿宋_GB2312" w:cs="仿宋"/>
                <w:color w:val="000000"/>
                <w:sz w:val="24"/>
              </w:rPr>
              <w:t>2</w:t>
            </w:r>
          </w:p>
        </w:tc>
        <w:tc>
          <w:tcPr>
            <w:tcW w:w="1134" w:type="dxa"/>
            <w:vMerge w:val="continue"/>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仿宋_GB2312" w:hAnsi="仿宋" w:eastAsia="仿宋_GB2312" w:cs="仿宋"/>
                <w:color w:val="000000"/>
                <w:sz w:val="24"/>
              </w:rPr>
            </w:pPr>
          </w:p>
        </w:tc>
        <w:tc>
          <w:tcPr>
            <w:tcW w:w="141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仿宋_GB2312" w:hAnsi="仿宋" w:eastAsia="仿宋_GB2312" w:cs="仿宋"/>
                <w:color w:val="000000"/>
                <w:sz w:val="24"/>
              </w:rPr>
            </w:pPr>
            <w:r>
              <w:rPr>
                <w:rFonts w:hint="eastAsia" w:ascii="仿宋_GB2312" w:hAnsi="仿宋" w:eastAsia="仿宋_GB2312" w:cs="仿宋"/>
                <w:color w:val="000000"/>
                <w:sz w:val="24"/>
              </w:rPr>
              <w:t>课程安排</w:t>
            </w:r>
          </w:p>
        </w:tc>
        <w:tc>
          <w:tcPr>
            <w:tcW w:w="552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pStyle w:val="2"/>
              <w:ind w:firstLine="0" w:firstLineChars="0"/>
              <w:rPr>
                <w:rFonts w:ascii="仿宋_GB2312" w:hAnsi="仿宋" w:eastAsia="仿宋_GB2312"/>
                <w:sz w:val="24"/>
              </w:rPr>
            </w:pPr>
            <w:r>
              <w:rPr>
                <w:rFonts w:ascii="仿宋_GB2312" w:hAnsi="仿宋" w:eastAsia="仿宋_GB2312"/>
                <w:sz w:val="24"/>
              </w:rPr>
              <w:t>1</w:t>
            </w:r>
            <w:r>
              <w:rPr>
                <w:rFonts w:hint="eastAsia" w:ascii="仿宋_GB2312" w:hAnsi="仿宋" w:eastAsia="仿宋_GB2312"/>
                <w:sz w:val="24"/>
              </w:rPr>
              <w:t>.培训</w:t>
            </w:r>
            <w:r>
              <w:rPr>
                <w:rFonts w:hint="eastAsia" w:ascii="仿宋_GB2312" w:hAnsi="仿宋" w:eastAsia="仿宋_GB2312"/>
                <w:sz w:val="24"/>
                <w:lang w:eastAsia="zh-CN"/>
              </w:rPr>
              <w:t>时间按照省市相关文件规定，</w:t>
            </w:r>
            <w:r>
              <w:rPr>
                <w:rFonts w:hint="eastAsia" w:ascii="仿宋_GB2312" w:hAnsi="仿宋" w:eastAsia="仿宋_GB2312"/>
                <w:sz w:val="24"/>
                <w:lang w:val="en-US" w:eastAsia="zh-CN"/>
              </w:rPr>
              <w:t>在岗培训</w:t>
            </w:r>
            <w:r>
              <w:rPr>
                <w:rFonts w:hint="eastAsia" w:ascii="仿宋_GB2312" w:hAnsi="仿宋" w:eastAsia="仿宋_GB2312"/>
                <w:sz w:val="24"/>
              </w:rPr>
              <w:t>每期不少于</w:t>
            </w:r>
            <w:r>
              <w:rPr>
                <w:rFonts w:hint="eastAsia" w:ascii="仿宋_GB2312" w:hAnsi="仿宋" w:eastAsia="仿宋_GB2312"/>
                <w:sz w:val="24"/>
                <w:lang w:val="en-US" w:eastAsia="zh-CN"/>
              </w:rPr>
              <w:t>3</w:t>
            </w:r>
            <w:r>
              <w:rPr>
                <w:rFonts w:ascii="仿宋_GB2312" w:hAnsi="仿宋" w:eastAsia="仿宋_GB2312"/>
                <w:sz w:val="24"/>
              </w:rPr>
              <w:t>天</w:t>
            </w:r>
            <w:r>
              <w:rPr>
                <w:rFonts w:hint="eastAsia" w:ascii="仿宋_GB2312" w:hAnsi="仿宋" w:eastAsia="仿宋_GB2312"/>
                <w:sz w:val="24"/>
              </w:rPr>
              <w:t>，</w:t>
            </w:r>
            <w:r>
              <w:rPr>
                <w:rFonts w:hint="eastAsia" w:ascii="仿宋_GB2312" w:hAnsi="仿宋" w:eastAsia="仿宋_GB2312"/>
                <w:sz w:val="24"/>
                <w:lang w:val="en-US" w:eastAsia="zh-CN"/>
              </w:rPr>
              <w:t>其余培训每期不少于2天</w:t>
            </w:r>
            <w:r>
              <w:rPr>
                <w:rFonts w:hint="eastAsia" w:ascii="仿宋_GB2312" w:hAnsi="仿宋" w:eastAsia="仿宋_GB2312"/>
                <w:sz w:val="24"/>
                <w:lang w:eastAsia="zh-CN"/>
              </w:rPr>
              <w:t>；</w:t>
            </w:r>
          </w:p>
          <w:p>
            <w:pPr>
              <w:pStyle w:val="2"/>
              <w:ind w:firstLine="0" w:firstLineChars="0"/>
              <w:rPr>
                <w:rFonts w:ascii="仿宋_GB2312" w:hAnsi="仿宋" w:eastAsia="仿宋_GB2312"/>
                <w:sz w:val="24"/>
              </w:rPr>
            </w:pPr>
            <w:r>
              <w:rPr>
                <w:rFonts w:ascii="仿宋_GB2312" w:hAnsi="仿宋" w:eastAsia="仿宋_GB2312"/>
                <w:sz w:val="24"/>
              </w:rPr>
              <w:t>2.</w:t>
            </w:r>
            <w:r>
              <w:rPr>
                <w:rFonts w:hint="eastAsia" w:ascii="仿宋_GB2312" w:hAnsi="仿宋" w:eastAsia="仿宋_GB2312"/>
                <w:sz w:val="24"/>
              </w:rPr>
              <w:t>培训期间须组织开展1-2堂实践参观教学活动或拓展活动，不限室内室外，以互相熟悉、培养群体合作精神为主；</w:t>
            </w:r>
          </w:p>
          <w:p>
            <w:pPr>
              <w:widowControl/>
              <w:jc w:val="left"/>
              <w:textAlignment w:val="center"/>
              <w:rPr>
                <w:rFonts w:ascii="仿宋_GB2312" w:hAnsi="仿宋" w:eastAsia="仿宋_GB2312"/>
                <w:sz w:val="24"/>
              </w:rPr>
            </w:pPr>
            <w:r>
              <w:rPr>
                <w:rFonts w:hint="eastAsia" w:ascii="仿宋_GB2312" w:hAnsi="仿宋" w:eastAsia="仿宋_GB2312"/>
                <w:sz w:val="24"/>
              </w:rPr>
              <w:t>3</w:t>
            </w:r>
            <w:r>
              <w:rPr>
                <w:rFonts w:ascii="仿宋_GB2312" w:hAnsi="仿宋" w:eastAsia="仿宋_GB2312"/>
                <w:sz w:val="24"/>
              </w:rPr>
              <w:t>.培训</w:t>
            </w:r>
            <w:r>
              <w:rPr>
                <w:rFonts w:hint="eastAsia" w:ascii="仿宋_GB2312" w:hAnsi="仿宋" w:eastAsia="仿宋_GB2312"/>
                <w:sz w:val="24"/>
                <w:lang w:eastAsia="zh-CN"/>
              </w:rPr>
              <w:t>期间</w:t>
            </w:r>
            <w:r>
              <w:rPr>
                <w:rFonts w:hint="eastAsia" w:ascii="仿宋_GB2312" w:hAnsi="仿宋" w:eastAsia="仿宋_GB2312"/>
                <w:sz w:val="24"/>
              </w:rPr>
              <w:t>须安排红色教育</w:t>
            </w:r>
            <w:r>
              <w:rPr>
                <w:rFonts w:hint="eastAsia" w:ascii="仿宋_GB2312" w:hAnsi="仿宋" w:eastAsia="仿宋_GB2312"/>
                <w:sz w:val="24"/>
                <w:lang w:eastAsia="zh-CN"/>
              </w:rPr>
              <w:t>或乡村振兴等</w:t>
            </w:r>
            <w:r>
              <w:rPr>
                <w:rFonts w:hint="eastAsia" w:ascii="仿宋_GB2312" w:hAnsi="仿宋" w:eastAsia="仿宋_GB2312"/>
                <w:sz w:val="24"/>
              </w:rPr>
              <w:t>实践基地</w:t>
            </w:r>
            <w:r>
              <w:rPr>
                <w:rFonts w:hint="eastAsia" w:ascii="仿宋_GB2312" w:hAnsi="仿宋" w:eastAsia="仿宋_GB2312"/>
                <w:sz w:val="24"/>
                <w:lang w:eastAsia="zh-CN"/>
              </w:rPr>
              <w:t>调研</w:t>
            </w:r>
            <w:r>
              <w:rPr>
                <w:rFonts w:hint="eastAsia" w:ascii="仿宋_GB2312" w:hAnsi="仿宋" w:eastAsia="仿宋_GB2312"/>
                <w:sz w:val="24"/>
              </w:rPr>
              <w:t>学习；</w:t>
            </w:r>
          </w:p>
          <w:p>
            <w:pPr>
              <w:widowControl/>
              <w:jc w:val="left"/>
              <w:textAlignment w:val="center"/>
              <w:rPr>
                <w:rFonts w:hint="eastAsia" w:ascii="仿宋_GB2312" w:hAnsi="仿宋" w:eastAsia="仿宋_GB2312"/>
                <w:sz w:val="24"/>
              </w:rPr>
            </w:pPr>
            <w:r>
              <w:rPr>
                <w:rFonts w:hint="eastAsia" w:ascii="仿宋_GB2312" w:hAnsi="仿宋" w:eastAsia="仿宋_GB2312"/>
                <w:sz w:val="24"/>
              </w:rPr>
              <w:t>4</w:t>
            </w:r>
            <w:r>
              <w:rPr>
                <w:rFonts w:ascii="仿宋_GB2312" w:hAnsi="仿宋" w:eastAsia="仿宋_GB2312"/>
                <w:sz w:val="24"/>
              </w:rPr>
              <w:t>.按</w:t>
            </w:r>
            <w:r>
              <w:rPr>
                <w:rFonts w:hint="eastAsia" w:ascii="仿宋_GB2312" w:hAnsi="仿宋" w:eastAsia="仿宋_GB2312" w:cs="仿宋"/>
                <w:color w:val="000000"/>
                <w:kern w:val="0"/>
                <w:sz w:val="24"/>
              </w:rPr>
              <w:t>“三支一扶”</w:t>
            </w:r>
            <w:r>
              <w:rPr>
                <w:rFonts w:hint="eastAsia" w:ascii="仿宋_GB2312" w:hAnsi="仿宋" w:eastAsia="仿宋_GB2312"/>
                <w:sz w:val="24"/>
                <w:lang w:eastAsia="zh-CN"/>
              </w:rPr>
              <w:t>招募</w:t>
            </w:r>
            <w:r>
              <w:rPr>
                <w:rFonts w:ascii="仿宋_GB2312" w:hAnsi="仿宋" w:eastAsia="仿宋_GB2312"/>
                <w:sz w:val="24"/>
              </w:rPr>
              <w:t>情况，岗前培训可分</w:t>
            </w:r>
            <w:r>
              <w:rPr>
                <w:rFonts w:hint="eastAsia" w:ascii="仿宋_GB2312" w:hAnsi="仿宋" w:eastAsia="仿宋_GB2312"/>
                <w:sz w:val="24"/>
              </w:rPr>
              <w:t>批进行；</w:t>
            </w:r>
          </w:p>
          <w:p>
            <w:pPr>
              <w:widowControl/>
              <w:jc w:val="left"/>
              <w:textAlignment w:val="center"/>
              <w:rPr>
                <w:rFonts w:ascii="仿宋_GB2312" w:hAnsi="仿宋" w:eastAsia="仿宋_GB2312"/>
                <w:sz w:val="24"/>
              </w:rPr>
            </w:pPr>
            <w:r>
              <w:rPr>
                <w:rFonts w:ascii="仿宋_GB2312" w:hAnsi="仿宋" w:eastAsia="仿宋_GB2312"/>
                <w:sz w:val="24"/>
              </w:rPr>
              <w:t>5</w:t>
            </w:r>
            <w:r>
              <w:rPr>
                <w:rFonts w:hint="eastAsia" w:ascii="仿宋_GB2312" w:hAnsi="仿宋" w:eastAsia="仿宋_GB2312"/>
                <w:sz w:val="24"/>
              </w:rPr>
              <w:t>.</w:t>
            </w:r>
            <w:r>
              <w:rPr>
                <w:rFonts w:hint="eastAsia" w:ascii="仿宋_GB2312" w:hAnsi="仿宋" w:eastAsia="仿宋_GB2312" w:cs="仿宋"/>
                <w:color w:val="000000"/>
                <w:kern w:val="0"/>
                <w:sz w:val="24"/>
                <w:lang w:eastAsia="zh-CN"/>
              </w:rPr>
              <w:t>双方协商的其他</w:t>
            </w:r>
            <w:r>
              <w:rPr>
                <w:rFonts w:hint="eastAsia" w:ascii="仿宋_GB2312" w:hAnsi="仿宋" w:eastAsia="仿宋_GB2312" w:cs="仿宋"/>
                <w:color w:val="000000"/>
                <w:kern w:val="0"/>
                <w:sz w:val="24"/>
              </w:rPr>
              <w:t>相关培训事宜。</w:t>
            </w:r>
          </w:p>
        </w:tc>
      </w:tr>
      <w:tr>
        <w:tblPrEx>
          <w:tblCellMar>
            <w:top w:w="0" w:type="dxa"/>
            <w:left w:w="0" w:type="dxa"/>
            <w:bottom w:w="0" w:type="dxa"/>
            <w:right w:w="0" w:type="dxa"/>
          </w:tblCellMar>
        </w:tblPrEx>
        <w:trPr>
          <w:trHeight w:val="684" w:hRule="atLeast"/>
        </w:trPr>
        <w:tc>
          <w:tcPr>
            <w:tcW w:w="851"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 w:eastAsia="仿宋_GB2312" w:cs="仿宋"/>
                <w:color w:val="000000"/>
                <w:sz w:val="24"/>
              </w:rPr>
            </w:pPr>
            <w:r>
              <w:rPr>
                <w:rFonts w:hint="eastAsia" w:ascii="仿宋_GB2312" w:hAnsi="仿宋" w:eastAsia="仿宋_GB2312" w:cs="仿宋"/>
                <w:color w:val="000000"/>
                <w:sz w:val="24"/>
              </w:rPr>
              <w:t>3</w:t>
            </w:r>
          </w:p>
        </w:tc>
        <w:tc>
          <w:tcPr>
            <w:tcW w:w="1134" w:type="dxa"/>
            <w:vMerge w:val="restart"/>
            <w:tcBorders>
              <w:top w:val="single" w:color="auto"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 w:eastAsia="仿宋_GB2312" w:cs="仿宋"/>
                <w:color w:val="000000"/>
                <w:sz w:val="24"/>
              </w:rPr>
            </w:pPr>
            <w:r>
              <w:rPr>
                <w:rFonts w:hint="eastAsia" w:ascii="仿宋_GB2312" w:hAnsi="仿宋" w:eastAsia="仿宋_GB2312" w:cs="仿宋"/>
                <w:color w:val="000000"/>
                <w:kern w:val="0"/>
                <w:sz w:val="24"/>
              </w:rPr>
              <w:t>组织实施</w:t>
            </w:r>
          </w:p>
        </w:tc>
        <w:tc>
          <w:tcPr>
            <w:tcW w:w="1418" w:type="dxa"/>
            <w:tcBorders>
              <w:top w:val="single" w:color="auto"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 w:eastAsia="仿宋_GB2312" w:cs="仿宋"/>
                <w:color w:val="000000"/>
                <w:sz w:val="24"/>
              </w:rPr>
            </w:pPr>
            <w:r>
              <w:rPr>
                <w:rFonts w:hint="eastAsia" w:ascii="仿宋_GB2312" w:hAnsi="仿宋" w:eastAsia="仿宋_GB2312" w:cs="仿宋"/>
                <w:color w:val="000000"/>
                <w:kern w:val="0"/>
                <w:sz w:val="24"/>
              </w:rPr>
              <w:t>人员及食宿</w:t>
            </w:r>
          </w:p>
        </w:tc>
        <w:tc>
          <w:tcPr>
            <w:tcW w:w="5528"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仿宋" w:eastAsia="仿宋_GB2312" w:cs="仿宋"/>
                <w:color w:val="000000"/>
                <w:kern w:val="0"/>
                <w:sz w:val="24"/>
              </w:rPr>
            </w:pPr>
            <w:r>
              <w:rPr>
                <w:rFonts w:hint="eastAsia" w:ascii="仿宋_GB2312" w:hAnsi="仿宋" w:eastAsia="仿宋_GB2312" w:cs="仿宋"/>
                <w:color w:val="000000"/>
                <w:kern w:val="0"/>
                <w:sz w:val="24"/>
              </w:rPr>
              <w:t>1.202</w:t>
            </w:r>
            <w:r>
              <w:rPr>
                <w:rFonts w:hint="eastAsia" w:ascii="仿宋_GB2312" w:hAnsi="仿宋" w:eastAsia="仿宋_GB2312" w:cs="仿宋"/>
                <w:color w:val="000000"/>
                <w:kern w:val="0"/>
                <w:sz w:val="24"/>
                <w:lang w:val="en-US" w:eastAsia="zh-CN"/>
              </w:rPr>
              <w:t>2</w:t>
            </w:r>
            <w:r>
              <w:rPr>
                <w:rFonts w:hint="eastAsia" w:ascii="仿宋_GB2312" w:hAnsi="仿宋" w:eastAsia="仿宋_GB2312" w:cs="仿宋"/>
                <w:color w:val="000000"/>
                <w:kern w:val="0"/>
                <w:sz w:val="24"/>
              </w:rPr>
              <w:t>年岗前培训预计学员1</w:t>
            </w:r>
            <w:r>
              <w:rPr>
                <w:rFonts w:hint="eastAsia" w:ascii="仿宋_GB2312" w:hAnsi="仿宋" w:eastAsia="仿宋_GB2312" w:cs="仿宋"/>
                <w:color w:val="000000"/>
                <w:kern w:val="0"/>
                <w:sz w:val="24"/>
                <w:lang w:val="en-US" w:eastAsia="zh-CN"/>
              </w:rPr>
              <w:t>76</w:t>
            </w:r>
            <w:r>
              <w:rPr>
                <w:rFonts w:ascii="仿宋_GB2312" w:hAnsi="仿宋" w:eastAsia="仿宋_GB2312" w:cs="仿宋"/>
                <w:color w:val="000000"/>
                <w:kern w:val="0"/>
                <w:sz w:val="24"/>
              </w:rPr>
              <w:t>名，在岗培训预计学员</w:t>
            </w:r>
            <w:r>
              <w:rPr>
                <w:rFonts w:hint="eastAsia" w:ascii="仿宋_GB2312" w:hAnsi="仿宋" w:eastAsia="仿宋_GB2312" w:cs="仿宋"/>
                <w:color w:val="000000"/>
                <w:kern w:val="0"/>
                <w:sz w:val="24"/>
              </w:rPr>
              <w:t>11</w:t>
            </w:r>
            <w:r>
              <w:rPr>
                <w:rFonts w:hint="eastAsia" w:ascii="仿宋_GB2312" w:hAnsi="仿宋" w:eastAsia="仿宋_GB2312" w:cs="仿宋"/>
                <w:color w:val="000000"/>
                <w:kern w:val="0"/>
                <w:sz w:val="24"/>
                <w:lang w:val="en-US" w:eastAsia="zh-CN"/>
              </w:rPr>
              <w:t>6</w:t>
            </w:r>
            <w:r>
              <w:rPr>
                <w:rFonts w:ascii="仿宋_GB2312" w:hAnsi="仿宋" w:eastAsia="仿宋_GB2312" w:cs="仿宋"/>
                <w:color w:val="000000"/>
                <w:kern w:val="0"/>
                <w:sz w:val="24"/>
              </w:rPr>
              <w:t>名；</w:t>
            </w:r>
            <w:r>
              <w:rPr>
                <w:rFonts w:hint="eastAsia" w:ascii="仿宋_GB2312" w:hAnsi="仿宋" w:eastAsia="仿宋_GB2312" w:cs="仿宋"/>
                <w:color w:val="000000"/>
                <w:kern w:val="0"/>
                <w:sz w:val="24"/>
                <w:lang w:val="en-US" w:eastAsia="zh-CN"/>
              </w:rPr>
              <w:t>2023年离岗培训预计学员116名；</w:t>
            </w:r>
            <w:r>
              <w:rPr>
                <w:rFonts w:ascii="仿宋_GB2312" w:hAnsi="仿宋" w:eastAsia="仿宋_GB2312" w:cs="仿宋"/>
                <w:color w:val="000000"/>
                <w:kern w:val="0"/>
                <w:sz w:val="24"/>
              </w:rPr>
              <w:t>“红色加速营”培训预计学员2</w:t>
            </w:r>
            <w:r>
              <w:rPr>
                <w:rFonts w:hint="eastAsia" w:ascii="仿宋_GB2312" w:hAnsi="仿宋" w:eastAsia="仿宋_GB2312" w:cs="仿宋"/>
                <w:color w:val="000000"/>
                <w:kern w:val="0"/>
                <w:sz w:val="24"/>
                <w:lang w:val="en-US" w:eastAsia="zh-CN"/>
              </w:rPr>
              <w:t>92</w:t>
            </w:r>
            <w:r>
              <w:rPr>
                <w:rFonts w:ascii="仿宋_GB2312" w:hAnsi="仿宋" w:eastAsia="仿宋_GB2312" w:cs="仿宋"/>
                <w:color w:val="000000"/>
                <w:kern w:val="0"/>
                <w:sz w:val="24"/>
              </w:rPr>
              <w:t>名；</w:t>
            </w:r>
          </w:p>
          <w:p>
            <w:pPr>
              <w:widowControl/>
              <w:jc w:val="left"/>
              <w:textAlignment w:val="center"/>
              <w:rPr>
                <w:rFonts w:ascii="仿宋_GB2312" w:hAnsi="仿宋" w:eastAsia="仿宋_GB2312" w:cs="仿宋"/>
                <w:color w:val="000000"/>
                <w:kern w:val="0"/>
                <w:sz w:val="24"/>
              </w:rPr>
            </w:pPr>
            <w:r>
              <w:rPr>
                <w:rFonts w:ascii="仿宋_GB2312" w:hAnsi="仿宋" w:eastAsia="仿宋_GB2312" w:cs="仿宋"/>
                <w:color w:val="000000"/>
                <w:kern w:val="0"/>
                <w:sz w:val="24"/>
              </w:rPr>
              <w:t>2.</w:t>
            </w:r>
            <w:r>
              <w:rPr>
                <w:rFonts w:hint="eastAsia" w:ascii="仿宋_GB2312" w:hAnsi="仿宋" w:eastAsia="仿宋_GB2312" w:cs="仿宋"/>
                <w:color w:val="000000"/>
                <w:kern w:val="0"/>
                <w:sz w:val="24"/>
              </w:rPr>
              <w:t>住宿：培训学员安排双人间住宿，专家、导师须安排单人间，包含并不限于培训举办前一晚住宿；</w:t>
            </w:r>
          </w:p>
          <w:p>
            <w:pPr>
              <w:widowControl/>
              <w:jc w:val="left"/>
              <w:textAlignment w:val="center"/>
              <w:rPr>
                <w:rFonts w:ascii="仿宋_GB2312" w:hAnsi="仿宋" w:eastAsia="仿宋_GB2312" w:cs="仿宋"/>
                <w:color w:val="000000"/>
                <w:sz w:val="24"/>
              </w:rPr>
            </w:pPr>
            <w:r>
              <w:rPr>
                <w:rFonts w:ascii="仿宋_GB2312" w:hAnsi="仿宋" w:eastAsia="仿宋_GB2312" w:cs="仿宋"/>
                <w:color w:val="000000"/>
                <w:kern w:val="0"/>
                <w:sz w:val="24"/>
              </w:rPr>
              <w:t>3.餐食：</w:t>
            </w:r>
            <w:r>
              <w:rPr>
                <w:rFonts w:hint="eastAsia" w:ascii="仿宋_GB2312" w:hAnsi="仿宋" w:eastAsia="仿宋_GB2312" w:cs="仿宋"/>
                <w:color w:val="000000"/>
                <w:kern w:val="0"/>
                <w:sz w:val="24"/>
              </w:rPr>
              <w:t>具体人数根据实际学员和专家、导师数量确定。包含并不限于培训举办前一天晚餐、培训日的早、午、晚餐；60</w:t>
            </w:r>
            <w:r>
              <w:rPr>
                <w:rFonts w:ascii="仿宋_GB2312" w:hAnsi="仿宋" w:eastAsia="仿宋_GB2312" w:cs="仿宋"/>
                <w:color w:val="000000"/>
                <w:kern w:val="0"/>
                <w:sz w:val="24"/>
              </w:rPr>
              <w:t>人或以上的午餐和晚餐</w:t>
            </w:r>
            <w:r>
              <w:rPr>
                <w:rFonts w:hint="eastAsia" w:ascii="仿宋_GB2312" w:hAnsi="仿宋" w:eastAsia="仿宋_GB2312" w:cs="仿宋"/>
                <w:color w:val="000000"/>
                <w:kern w:val="0"/>
                <w:sz w:val="24"/>
                <w:lang w:eastAsia="zh-CN"/>
              </w:rPr>
              <w:t>可</w:t>
            </w:r>
            <w:r>
              <w:rPr>
                <w:rFonts w:ascii="仿宋_GB2312" w:hAnsi="仿宋" w:eastAsia="仿宋_GB2312" w:cs="仿宋"/>
                <w:color w:val="000000"/>
                <w:kern w:val="0"/>
                <w:sz w:val="24"/>
              </w:rPr>
              <w:t>安排自助餐。</w:t>
            </w:r>
          </w:p>
        </w:tc>
      </w:tr>
      <w:tr>
        <w:tblPrEx>
          <w:tblCellMar>
            <w:top w:w="0" w:type="dxa"/>
            <w:left w:w="0" w:type="dxa"/>
            <w:bottom w:w="0" w:type="dxa"/>
            <w:right w:w="0" w:type="dxa"/>
          </w:tblCellMar>
        </w:tblPrEx>
        <w:trPr>
          <w:trHeight w:val="922"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 w:eastAsia="仿宋_GB2312" w:cs="仿宋"/>
                <w:color w:val="000000"/>
                <w:sz w:val="24"/>
              </w:rPr>
            </w:pPr>
            <w:r>
              <w:rPr>
                <w:rFonts w:hint="eastAsia" w:ascii="仿宋_GB2312" w:hAnsi="仿宋" w:eastAsia="仿宋_GB2312" w:cs="仿宋"/>
                <w:color w:val="000000"/>
                <w:sz w:val="24"/>
              </w:rPr>
              <w:t>4</w:t>
            </w:r>
          </w:p>
        </w:tc>
        <w:tc>
          <w:tcPr>
            <w:tcW w:w="113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仿宋" w:eastAsia="仿宋_GB2312" w:cs="仿宋"/>
                <w:color w:val="000000"/>
                <w:sz w:val="24"/>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 w:eastAsia="仿宋_GB2312" w:cs="仿宋"/>
                <w:color w:val="000000"/>
                <w:sz w:val="24"/>
              </w:rPr>
            </w:pPr>
            <w:r>
              <w:rPr>
                <w:rFonts w:hint="eastAsia" w:ascii="仿宋_GB2312" w:hAnsi="仿宋" w:eastAsia="仿宋_GB2312" w:cs="仿宋"/>
                <w:color w:val="000000"/>
                <w:kern w:val="0"/>
                <w:sz w:val="24"/>
              </w:rPr>
              <w:t>场地要求</w:t>
            </w:r>
          </w:p>
        </w:tc>
        <w:tc>
          <w:tcPr>
            <w:tcW w:w="55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仿宋" w:eastAsia="仿宋_GB2312" w:cs="仿宋"/>
                <w:color w:val="000000"/>
                <w:kern w:val="0"/>
                <w:sz w:val="24"/>
              </w:rPr>
            </w:pPr>
            <w:r>
              <w:rPr>
                <w:rFonts w:hint="eastAsia" w:ascii="仿宋_GB2312" w:hAnsi="仿宋" w:eastAsia="仿宋_GB2312" w:cs="仿宋"/>
                <w:color w:val="000000"/>
                <w:kern w:val="0"/>
                <w:sz w:val="24"/>
              </w:rPr>
              <w:t>1</w:t>
            </w:r>
            <w:r>
              <w:rPr>
                <w:rFonts w:ascii="仿宋_GB2312" w:hAnsi="仿宋" w:eastAsia="仿宋_GB2312" w:cs="仿宋"/>
                <w:color w:val="000000"/>
                <w:kern w:val="0"/>
                <w:sz w:val="24"/>
              </w:rPr>
              <w:t>.</w:t>
            </w:r>
            <w:r>
              <w:rPr>
                <w:rFonts w:hint="eastAsia" w:ascii="仿宋_GB2312" w:hAnsi="仿宋" w:eastAsia="仿宋_GB2312" w:cs="仿宋"/>
                <w:color w:val="000000"/>
                <w:kern w:val="0"/>
                <w:sz w:val="24"/>
              </w:rPr>
              <w:t>每期培训班授课、住宿和用餐须在同一酒店；</w:t>
            </w:r>
          </w:p>
          <w:p>
            <w:pPr>
              <w:pStyle w:val="2"/>
              <w:ind w:firstLine="0" w:firstLineChars="0"/>
            </w:pPr>
            <w:r>
              <w:rPr>
                <w:rFonts w:hint="eastAsia" w:ascii="仿宋_GB2312" w:hAnsi="仿宋" w:eastAsia="仿宋_GB2312"/>
                <w:sz w:val="24"/>
              </w:rPr>
              <w:t>2.培训场地必须能安排当次参训人员开展培训活动；</w:t>
            </w:r>
          </w:p>
          <w:p>
            <w:pPr>
              <w:widowControl/>
              <w:jc w:val="left"/>
              <w:textAlignment w:val="center"/>
              <w:rPr>
                <w:rFonts w:ascii="仿宋_GB2312" w:hAnsi="仿宋" w:eastAsia="仿宋_GB2312" w:cs="仿宋"/>
                <w:color w:val="000000"/>
                <w:sz w:val="24"/>
              </w:rPr>
            </w:pPr>
            <w:r>
              <w:rPr>
                <w:rFonts w:hint="eastAsia" w:ascii="仿宋_GB2312" w:hAnsi="仿宋" w:eastAsia="仿宋_GB2312"/>
                <w:sz w:val="24"/>
              </w:rPr>
              <w:t>3.根据授课和疫情防控要求安排授课会场。</w:t>
            </w:r>
          </w:p>
        </w:tc>
      </w:tr>
      <w:tr>
        <w:tblPrEx>
          <w:tblCellMar>
            <w:top w:w="0" w:type="dxa"/>
            <w:left w:w="0" w:type="dxa"/>
            <w:bottom w:w="0" w:type="dxa"/>
            <w:right w:w="0" w:type="dxa"/>
          </w:tblCellMar>
        </w:tblPrEx>
        <w:trPr>
          <w:trHeight w:val="80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 w:eastAsia="仿宋_GB2312" w:cs="仿宋"/>
                <w:color w:val="000000"/>
                <w:kern w:val="0"/>
                <w:sz w:val="24"/>
              </w:rPr>
            </w:pPr>
            <w:r>
              <w:rPr>
                <w:rFonts w:hint="eastAsia" w:ascii="仿宋_GB2312" w:hAnsi="仿宋" w:eastAsia="仿宋_GB2312" w:cs="仿宋"/>
                <w:color w:val="000000"/>
                <w:kern w:val="0"/>
                <w:sz w:val="24"/>
              </w:rPr>
              <w:t>5</w:t>
            </w:r>
          </w:p>
        </w:tc>
        <w:tc>
          <w:tcPr>
            <w:tcW w:w="1134"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仿宋" w:eastAsia="仿宋_GB2312" w:cs="仿宋"/>
                <w:color w:val="000000"/>
                <w:kern w:val="0"/>
                <w:sz w:val="24"/>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仿宋" w:eastAsia="仿宋_GB2312" w:cs="仿宋"/>
                <w:color w:val="000000"/>
                <w:kern w:val="0"/>
                <w:sz w:val="24"/>
              </w:rPr>
            </w:pPr>
            <w:r>
              <w:rPr>
                <w:rFonts w:hint="eastAsia" w:ascii="仿宋_GB2312" w:hAnsi="仿宋" w:eastAsia="仿宋_GB2312" w:cs="仿宋"/>
                <w:color w:val="000000"/>
                <w:kern w:val="0"/>
                <w:sz w:val="24"/>
              </w:rPr>
              <w:t>外聘人员</w:t>
            </w:r>
          </w:p>
        </w:tc>
        <w:tc>
          <w:tcPr>
            <w:tcW w:w="55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hint="eastAsia" w:ascii="仿宋_GB2312" w:hAnsi="仿宋" w:eastAsia="仿宋_GB2312" w:cs="仿宋"/>
                <w:color w:val="000000"/>
                <w:kern w:val="0"/>
                <w:sz w:val="24"/>
                <w:lang w:val="en-US" w:eastAsia="zh-CN"/>
              </w:rPr>
            </w:pPr>
            <w:r>
              <w:rPr>
                <w:rFonts w:hint="eastAsia" w:ascii="仿宋_GB2312" w:hAnsi="仿宋" w:eastAsia="仿宋_GB2312" w:cs="仿宋"/>
                <w:color w:val="000000"/>
                <w:kern w:val="0"/>
                <w:sz w:val="24"/>
              </w:rPr>
              <w:t>包括按要求聘请所有</w:t>
            </w:r>
            <w:r>
              <w:rPr>
                <w:rFonts w:hint="eastAsia" w:ascii="仿宋_GB2312" w:hAnsi="仿宋" w:eastAsia="仿宋_GB2312" w:cs="仿宋"/>
                <w:color w:val="000000"/>
                <w:kern w:val="0"/>
                <w:sz w:val="24"/>
                <w:lang w:val="en-US" w:eastAsia="zh-CN"/>
              </w:rPr>
              <w:t>培训</w:t>
            </w:r>
            <w:r>
              <w:rPr>
                <w:rFonts w:hint="eastAsia" w:ascii="仿宋_GB2312" w:hAnsi="仿宋" w:eastAsia="仿宋_GB2312" w:cs="仿宋"/>
                <w:color w:val="000000"/>
                <w:kern w:val="0"/>
                <w:sz w:val="24"/>
              </w:rPr>
              <w:t>活动的专家、导师以及培训期间的有关工作人员等。</w:t>
            </w:r>
            <w:r>
              <w:rPr>
                <w:rFonts w:hint="eastAsia" w:ascii="仿宋_GB2312" w:hAnsi="仿宋" w:eastAsia="仿宋_GB2312" w:cs="仿宋"/>
                <w:color w:val="000000"/>
                <w:kern w:val="0"/>
                <w:sz w:val="24"/>
                <w:lang w:val="en-US" w:eastAsia="zh-CN"/>
              </w:rPr>
              <w:t>其中，为保障培训效果，重点明确培训供应商应保证每期培训邀请不少于3名专家，专家须来自省内外重点高校的副教授级别或以上，其他专家须是副高级职称或省内外知名专家，所有课题均需结合“三支一扶”、培训需求进行量身定制培训课程，确保教学质量满足培训目的。</w:t>
            </w:r>
          </w:p>
        </w:tc>
      </w:tr>
      <w:tr>
        <w:tblPrEx>
          <w:tblCellMar>
            <w:top w:w="0" w:type="dxa"/>
            <w:left w:w="0" w:type="dxa"/>
            <w:bottom w:w="0" w:type="dxa"/>
            <w:right w:w="0" w:type="dxa"/>
          </w:tblCellMar>
        </w:tblPrEx>
        <w:trPr>
          <w:trHeight w:val="80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 w:eastAsia="仿宋_GB2312" w:cs="仿宋"/>
                <w:color w:val="000000"/>
                <w:kern w:val="0"/>
                <w:sz w:val="24"/>
              </w:rPr>
            </w:pPr>
            <w:r>
              <w:rPr>
                <w:rFonts w:hint="eastAsia" w:ascii="仿宋_GB2312" w:hAnsi="仿宋" w:eastAsia="仿宋_GB2312" w:cs="仿宋"/>
                <w:color w:val="000000"/>
                <w:kern w:val="0"/>
                <w:sz w:val="24"/>
              </w:rPr>
              <w:t>6</w:t>
            </w:r>
          </w:p>
        </w:tc>
        <w:tc>
          <w:tcPr>
            <w:tcW w:w="1134"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仿宋" w:eastAsia="仿宋_GB2312" w:cs="仿宋"/>
                <w:color w:val="000000"/>
                <w:kern w:val="0"/>
                <w:sz w:val="24"/>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仿宋" w:eastAsia="仿宋_GB2312" w:cs="仿宋"/>
                <w:color w:val="000000"/>
                <w:kern w:val="0"/>
                <w:sz w:val="24"/>
              </w:rPr>
            </w:pPr>
            <w:r>
              <w:rPr>
                <w:rFonts w:hint="eastAsia" w:ascii="仿宋_GB2312" w:hAnsi="仿宋" w:eastAsia="仿宋_GB2312" w:cs="仿宋"/>
                <w:color w:val="000000"/>
                <w:kern w:val="0"/>
                <w:sz w:val="24"/>
              </w:rPr>
              <w:t>后勤保障</w:t>
            </w:r>
          </w:p>
        </w:tc>
        <w:tc>
          <w:tcPr>
            <w:tcW w:w="55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仿宋" w:eastAsia="仿宋_GB2312" w:cs="仿宋"/>
                <w:color w:val="000000"/>
                <w:kern w:val="0"/>
                <w:sz w:val="24"/>
              </w:rPr>
            </w:pPr>
            <w:r>
              <w:rPr>
                <w:rFonts w:hint="eastAsia" w:ascii="仿宋_GB2312" w:hAnsi="仿宋" w:eastAsia="仿宋_GB2312" w:cs="仿宋"/>
                <w:color w:val="000000"/>
                <w:kern w:val="0"/>
                <w:sz w:val="24"/>
              </w:rPr>
              <w:t>培训过程中的文具、资料、交通、疫情防控物资，以及关于培训的其他相关安排。</w:t>
            </w:r>
          </w:p>
        </w:tc>
      </w:tr>
      <w:tr>
        <w:tblPrEx>
          <w:tblCellMar>
            <w:top w:w="0" w:type="dxa"/>
            <w:left w:w="0" w:type="dxa"/>
            <w:bottom w:w="0" w:type="dxa"/>
            <w:right w:w="0" w:type="dxa"/>
          </w:tblCellMar>
        </w:tblPrEx>
        <w:trPr>
          <w:trHeight w:val="3171"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 w:eastAsia="仿宋_GB2312" w:cs="仿宋"/>
                <w:color w:val="000000"/>
                <w:sz w:val="24"/>
              </w:rPr>
            </w:pPr>
            <w:r>
              <w:rPr>
                <w:rFonts w:hint="eastAsia" w:ascii="仿宋_GB2312" w:hAnsi="仿宋" w:eastAsia="仿宋_GB2312" w:cs="仿宋"/>
                <w:color w:val="000000"/>
                <w:sz w:val="24"/>
              </w:rPr>
              <w:t>7</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 w:eastAsia="仿宋_GB2312" w:cs="仿宋"/>
                <w:color w:val="000000"/>
                <w:sz w:val="24"/>
              </w:rPr>
            </w:pPr>
            <w:r>
              <w:rPr>
                <w:rFonts w:hint="eastAsia" w:ascii="仿宋_GB2312" w:hAnsi="仿宋" w:eastAsia="仿宋_GB2312" w:cs="仿宋"/>
                <w:color w:val="000000"/>
                <w:kern w:val="0"/>
                <w:sz w:val="24"/>
              </w:rPr>
              <w:t>宣传</w:t>
            </w:r>
          </w:p>
        </w:tc>
        <w:tc>
          <w:tcPr>
            <w:tcW w:w="14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 w:eastAsia="仿宋_GB2312" w:cs="仿宋"/>
                <w:color w:val="000000"/>
                <w:sz w:val="24"/>
              </w:rPr>
            </w:pPr>
            <w:r>
              <w:rPr>
                <w:rFonts w:hint="eastAsia" w:ascii="仿宋_GB2312" w:hAnsi="仿宋" w:eastAsia="仿宋_GB2312" w:cs="仿宋"/>
                <w:color w:val="000000"/>
                <w:kern w:val="0"/>
                <w:sz w:val="24"/>
              </w:rPr>
              <w:t>创作、发布</w:t>
            </w:r>
          </w:p>
        </w:tc>
        <w:tc>
          <w:tcPr>
            <w:tcW w:w="55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hint="eastAsia" w:ascii="仿宋_GB2312" w:hAnsi="仿宋" w:eastAsia="仿宋_GB2312" w:cs="仿宋"/>
                <w:color w:val="000000"/>
                <w:kern w:val="0"/>
                <w:sz w:val="24"/>
              </w:rPr>
            </w:pPr>
            <w:r>
              <w:rPr>
                <w:rFonts w:hint="eastAsia" w:ascii="仿宋_GB2312" w:hAnsi="仿宋" w:eastAsia="仿宋_GB2312" w:cs="仿宋"/>
                <w:color w:val="000000"/>
                <w:kern w:val="0"/>
                <w:sz w:val="24"/>
              </w:rPr>
              <w:t>1.制作1个短视频，根据“三支一扶”各环节培训，拍摄团建、户外拓展、学习参观等环节暖心、热情画面，策划“乡村振兴基层使者”短视频，营造“三支一扶”工作人员良好氛围，突出贡献、奋斗、积极等情感抒发；</w:t>
            </w:r>
          </w:p>
          <w:p>
            <w:pPr>
              <w:widowControl/>
              <w:jc w:val="left"/>
              <w:textAlignment w:val="center"/>
              <w:rPr>
                <w:rFonts w:hint="eastAsia" w:ascii="仿宋_GB2312" w:hAnsi="仿宋" w:eastAsia="仿宋_GB2312" w:cs="仿宋"/>
                <w:color w:val="000000"/>
                <w:kern w:val="0"/>
                <w:sz w:val="24"/>
                <w:lang w:eastAsia="zh-CN"/>
              </w:rPr>
            </w:pPr>
            <w:r>
              <w:rPr>
                <w:rFonts w:hint="eastAsia" w:ascii="仿宋_GB2312" w:hAnsi="仿宋" w:eastAsia="仿宋_GB2312" w:cs="仿宋"/>
                <w:color w:val="000000"/>
                <w:kern w:val="0"/>
                <w:sz w:val="24"/>
              </w:rPr>
              <w:t>2.针对各环节培训及最美基层高校毕业生典型，展开“三支一扶”人员及有关工作报道，打造202</w:t>
            </w:r>
            <w:r>
              <w:rPr>
                <w:rFonts w:hint="eastAsia" w:ascii="仿宋_GB2312" w:hAnsi="仿宋" w:eastAsia="仿宋_GB2312" w:cs="仿宋"/>
                <w:color w:val="000000"/>
                <w:kern w:val="0"/>
                <w:sz w:val="24"/>
                <w:lang w:val="en-US" w:eastAsia="zh-CN"/>
              </w:rPr>
              <w:t>2</w:t>
            </w:r>
            <w:r>
              <w:rPr>
                <w:rFonts w:hint="eastAsia" w:ascii="仿宋_GB2312" w:hAnsi="仿宋" w:eastAsia="仿宋_GB2312" w:cs="仿宋"/>
                <w:color w:val="000000"/>
                <w:kern w:val="0"/>
                <w:sz w:val="24"/>
              </w:rPr>
              <w:t>年持续不间断宣传矩阵，塑造江门“三支一扶”良好形象</w:t>
            </w:r>
            <w:r>
              <w:rPr>
                <w:rFonts w:hint="eastAsia" w:ascii="仿宋_GB2312" w:hAnsi="仿宋" w:eastAsia="仿宋_GB2312" w:cs="仿宋"/>
                <w:color w:val="000000"/>
                <w:kern w:val="0"/>
                <w:sz w:val="24"/>
                <w:lang w:eastAsia="zh-CN"/>
              </w:rPr>
              <w:t>；</w:t>
            </w:r>
          </w:p>
          <w:p>
            <w:pPr>
              <w:widowControl/>
              <w:jc w:val="left"/>
              <w:textAlignment w:val="center"/>
              <w:rPr>
                <w:rFonts w:hint="default" w:eastAsia="仿宋_GB2312"/>
                <w:lang w:val="en-US" w:eastAsia="zh-CN"/>
              </w:rPr>
            </w:pPr>
            <w:r>
              <w:rPr>
                <w:rFonts w:hint="eastAsia" w:ascii="仿宋_GB2312" w:hAnsi="仿宋" w:eastAsia="仿宋_GB2312" w:cs="仿宋"/>
                <w:color w:val="000000"/>
                <w:kern w:val="0"/>
                <w:sz w:val="24"/>
                <w:lang w:val="en-US" w:eastAsia="zh-CN"/>
              </w:rPr>
              <w:t>3.制作1个不少于3分钟的“三支一扶”宣传片，介绍近年我市“三支一扶”政策、工作成效等内容。</w:t>
            </w:r>
          </w:p>
        </w:tc>
      </w:tr>
    </w:tbl>
    <w:p>
      <w:pPr>
        <w:pStyle w:val="2"/>
        <w:ind w:firstLine="640"/>
        <w:rPr>
          <w:rFonts w:hint="eastAsia" w:ascii="仿宋_GB2312" w:hAnsi="黑体" w:eastAsia="仿宋_GB2312"/>
          <w:sz w:val="32"/>
          <w:szCs w:val="32"/>
        </w:rPr>
      </w:pPr>
      <w:r>
        <w:rPr>
          <w:rFonts w:hint="eastAsia" w:ascii="仿宋_GB2312" w:hAnsi="黑体" w:eastAsia="仿宋_GB2312"/>
          <w:sz w:val="32"/>
          <w:szCs w:val="32"/>
        </w:rPr>
        <w:t>以上项目所产生费用均为项目全包费用（含税）。</w:t>
      </w:r>
    </w:p>
    <w:p>
      <w:pPr>
        <w:pStyle w:val="2"/>
        <w:ind w:firstLine="640"/>
        <w:rPr>
          <w:rFonts w:ascii="黑体" w:hAnsi="黑体" w:eastAsia="黑体"/>
          <w:sz w:val="32"/>
          <w:szCs w:val="32"/>
        </w:rPr>
      </w:pPr>
      <w:r>
        <w:rPr>
          <w:rFonts w:hint="eastAsia" w:ascii="黑体" w:hAnsi="黑体" w:eastAsia="黑体"/>
          <w:sz w:val="32"/>
          <w:szCs w:val="32"/>
        </w:rPr>
        <w:t>五、项目实施地点、服务期限</w:t>
      </w:r>
    </w:p>
    <w:p>
      <w:pPr>
        <w:pStyle w:val="2"/>
        <w:ind w:firstLine="640"/>
        <w:rPr>
          <w:rFonts w:hint="eastAsia" w:ascii="仿宋_GB2312" w:eastAsia="仿宋_GB2312"/>
          <w:sz w:val="32"/>
          <w:szCs w:val="32"/>
        </w:rPr>
      </w:pPr>
      <w:r>
        <w:rPr>
          <w:rFonts w:hint="eastAsia" w:ascii="仿宋_GB2312" w:eastAsia="仿宋_GB2312"/>
          <w:sz w:val="32"/>
          <w:szCs w:val="32"/>
        </w:rPr>
        <w:t>地点：广东省江门市</w:t>
      </w:r>
    </w:p>
    <w:p>
      <w:pPr>
        <w:pStyle w:val="2"/>
        <w:ind w:firstLine="640"/>
        <w:rPr>
          <w:rFonts w:hint="eastAsia" w:ascii="仿宋_GB2312" w:eastAsia="仿宋_GB2312"/>
          <w:sz w:val="32"/>
          <w:szCs w:val="32"/>
        </w:rPr>
      </w:pPr>
      <w:r>
        <w:rPr>
          <w:rFonts w:hint="eastAsia" w:ascii="仿宋_GB2312" w:eastAsia="仿宋_GB2312"/>
          <w:sz w:val="32"/>
          <w:szCs w:val="32"/>
        </w:rPr>
        <w:t>服务期限：由采购人和供应商在签订合同时约定</w:t>
      </w:r>
    </w:p>
    <w:p>
      <w:pPr>
        <w:pStyle w:val="2"/>
        <w:ind w:firstLine="640"/>
        <w:rPr>
          <w:rFonts w:hint="eastAsia" w:ascii="黑体" w:hAnsi="黑体" w:eastAsia="黑体"/>
          <w:sz w:val="32"/>
          <w:szCs w:val="32"/>
        </w:rPr>
      </w:pPr>
      <w:r>
        <w:rPr>
          <w:rFonts w:hint="eastAsia" w:ascii="黑体" w:hAnsi="黑体" w:eastAsia="黑体"/>
          <w:sz w:val="32"/>
          <w:szCs w:val="32"/>
        </w:rPr>
        <w:t>六、对响应人的资格条件要求</w:t>
      </w:r>
    </w:p>
    <w:p>
      <w:pPr>
        <w:pStyle w:val="2"/>
        <w:ind w:firstLine="640"/>
        <w:rPr>
          <w:rFonts w:hint="eastAsia" w:ascii="仿宋_GB2312" w:eastAsia="仿宋_GB2312"/>
          <w:sz w:val="32"/>
          <w:szCs w:val="32"/>
        </w:rPr>
      </w:pPr>
      <w:r>
        <w:rPr>
          <w:rFonts w:hint="eastAsia" w:ascii="仿宋_GB2312" w:eastAsia="仿宋_GB2312"/>
          <w:sz w:val="32"/>
          <w:szCs w:val="32"/>
        </w:rPr>
        <w:t>（一）响应人应当具备《政府采购法》第二十二条规定的条件；</w:t>
      </w:r>
    </w:p>
    <w:p>
      <w:pPr>
        <w:pStyle w:val="2"/>
        <w:ind w:firstLine="640"/>
        <w:rPr>
          <w:rFonts w:hint="eastAsia" w:ascii="仿宋_GB2312" w:eastAsia="仿宋_GB2312"/>
          <w:sz w:val="32"/>
          <w:szCs w:val="32"/>
        </w:rPr>
      </w:pPr>
      <w:r>
        <w:rPr>
          <w:rFonts w:hint="eastAsia" w:ascii="仿宋_GB2312" w:eastAsia="仿宋_GB2312"/>
          <w:sz w:val="32"/>
          <w:szCs w:val="32"/>
        </w:rPr>
        <w:t>（二）响应人应当是具有合法经营资格的法人或者其他组织，且具有良好的信誉；</w:t>
      </w:r>
    </w:p>
    <w:p>
      <w:pPr>
        <w:pStyle w:val="2"/>
        <w:ind w:firstLine="640"/>
        <w:rPr>
          <w:rFonts w:hint="eastAsia" w:ascii="仿宋_GB2312" w:eastAsia="仿宋_GB2312"/>
          <w:sz w:val="32"/>
          <w:szCs w:val="32"/>
        </w:rPr>
      </w:pPr>
      <w:r>
        <w:rPr>
          <w:rFonts w:hint="eastAsia" w:ascii="仿宋_GB2312" w:eastAsia="仿宋_GB2312"/>
          <w:sz w:val="32"/>
          <w:szCs w:val="32"/>
        </w:rPr>
        <w:t>（三）响应人未被列入“信用中国”网站“记录失信被执行人或重大税收违法案件当事人名单或政府采购严重违法失信行为记录名单；不处于中国政府采购网(www.ccgp.gov.cn)“政府采购严重违法失信行为信息记录”中的禁止参加政府采购活动期间；</w:t>
      </w:r>
    </w:p>
    <w:p>
      <w:pPr>
        <w:pStyle w:val="2"/>
        <w:ind w:firstLine="640"/>
        <w:rPr>
          <w:rFonts w:hint="eastAsia" w:ascii="仿宋_GB2312" w:eastAsia="仿宋_GB2312"/>
          <w:sz w:val="32"/>
          <w:szCs w:val="32"/>
        </w:rPr>
      </w:pPr>
      <w:r>
        <w:rPr>
          <w:rFonts w:hint="eastAsia" w:ascii="仿宋_GB2312" w:eastAsia="仿宋_GB2312"/>
          <w:sz w:val="32"/>
          <w:szCs w:val="32"/>
        </w:rPr>
        <w:t>（四）单位负责人为同一人或者存在直接控股、管理关系的不同供应商，不得参加同一合同项下的政府采购活动；</w:t>
      </w:r>
    </w:p>
    <w:p>
      <w:pPr>
        <w:pStyle w:val="2"/>
        <w:ind w:firstLine="640"/>
        <w:rPr>
          <w:rFonts w:hint="eastAsia" w:ascii="仿宋_GB2312" w:eastAsia="仿宋_GB2312"/>
          <w:sz w:val="32"/>
          <w:szCs w:val="32"/>
        </w:rPr>
      </w:pPr>
      <w:r>
        <w:rPr>
          <w:rFonts w:hint="eastAsia" w:ascii="仿宋_GB2312" w:eastAsia="仿宋_GB2312"/>
          <w:sz w:val="32"/>
          <w:szCs w:val="32"/>
        </w:rPr>
        <w:t>（五）本项目不接受联合体响应。</w:t>
      </w:r>
    </w:p>
    <w:p>
      <w:pPr>
        <w:pStyle w:val="2"/>
        <w:ind w:firstLine="640"/>
        <w:rPr>
          <w:rFonts w:hint="eastAsia" w:ascii="黑体" w:hAnsi="黑体" w:eastAsia="黑体"/>
          <w:sz w:val="32"/>
          <w:szCs w:val="32"/>
        </w:rPr>
      </w:pPr>
      <w:r>
        <w:rPr>
          <w:rFonts w:hint="eastAsia" w:ascii="黑体" w:hAnsi="黑体" w:eastAsia="黑体"/>
          <w:sz w:val="32"/>
          <w:szCs w:val="32"/>
        </w:rPr>
        <w:t>七、付款方式</w:t>
      </w:r>
    </w:p>
    <w:p>
      <w:pPr>
        <w:pStyle w:val="2"/>
        <w:ind w:firstLine="640"/>
        <w:rPr>
          <w:rFonts w:hint="eastAsia" w:ascii="仿宋_GB2312" w:eastAsia="仿宋_GB2312"/>
          <w:sz w:val="32"/>
          <w:szCs w:val="32"/>
        </w:rPr>
      </w:pPr>
      <w:r>
        <w:rPr>
          <w:rFonts w:hint="eastAsia" w:ascii="仿宋_GB2312" w:eastAsia="仿宋_GB2312"/>
          <w:sz w:val="32"/>
          <w:szCs w:val="32"/>
        </w:rPr>
        <w:t>由采购人和供应商在签订合同时约定。</w:t>
      </w:r>
    </w:p>
    <w:p>
      <w:pPr>
        <w:pStyle w:val="2"/>
        <w:ind w:firstLine="640"/>
        <w:rPr>
          <w:rFonts w:hint="eastAsia" w:ascii="仿宋_GB2312" w:eastAsia="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DE2NTU5MDE4Y2EwNWQ5YjdjYTY1ZDFiOTUzMjkwNDgifQ=="/>
  </w:docVars>
  <w:rsids>
    <w:rsidRoot w:val="001E796C"/>
    <w:rsid w:val="000033B4"/>
    <w:rsid w:val="001E796C"/>
    <w:rsid w:val="00206F14"/>
    <w:rsid w:val="00272834"/>
    <w:rsid w:val="00273CB5"/>
    <w:rsid w:val="0028163F"/>
    <w:rsid w:val="003C6652"/>
    <w:rsid w:val="004D765C"/>
    <w:rsid w:val="00900DC4"/>
    <w:rsid w:val="00C56675"/>
    <w:rsid w:val="174C2780"/>
    <w:rsid w:val="1F706EBA"/>
    <w:rsid w:val="2037770E"/>
    <w:rsid w:val="2E317F09"/>
    <w:rsid w:val="364E4FFC"/>
    <w:rsid w:val="42FE75F9"/>
    <w:rsid w:val="477611DD"/>
    <w:rsid w:val="4CE06DA8"/>
    <w:rsid w:val="4E9B688C"/>
    <w:rsid w:val="51712498"/>
    <w:rsid w:val="59172641"/>
    <w:rsid w:val="70CC3019"/>
    <w:rsid w:val="715200BD"/>
    <w:rsid w:val="73F34E8C"/>
    <w:rsid w:val="749B14A9"/>
    <w:rsid w:val="78672D33"/>
    <w:rsid w:val="78726195"/>
    <w:rsid w:val="7BD008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customStyle="1" w:styleId="2">
    <w:name w:val="_Style 3"/>
    <w:basedOn w:val="1"/>
    <w:qFormat/>
    <w:uiPriority w:val="0"/>
    <w:pPr>
      <w:ind w:firstLine="420" w:firstLineChars="200"/>
    </w:pPr>
    <w:rPr>
      <w:sz w:val="20"/>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paragraph" w:styleId="9">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HP Inc.</Company>
  <Pages>3</Pages>
  <Words>1730</Words>
  <Characters>1804</Characters>
  <Lines>11</Lines>
  <Paragraphs>3</Paragraphs>
  <TotalTime>8</TotalTime>
  <ScaleCrop>false</ScaleCrop>
  <LinksUpToDate>false</LinksUpToDate>
  <CharactersWithSpaces>1804</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2021-05-07T06:45:00Z</dcterms:created>
  <dc:creator>马伟东</dc:creator>
  <cp:lastModifiedBy>陈坚灵</cp:lastModifiedBy>
  <dcterms:modified xsi:type="dcterms:W3CDTF">2022-06-27T04:58:03Z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994879B464604FF1B3AED3EDDF6A568A</vt:lpwstr>
  </property>
</Properties>
</file>