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大标宋_GBK"/>
          <w:b/>
          <w:sz w:val="44"/>
          <w:szCs w:val="44"/>
        </w:rPr>
      </w:pPr>
      <w:r>
        <w:rPr>
          <w:rFonts w:ascii="Times New Roman" w:hAnsi="Times New Roman" w:eastAsia="方正大标宋_GBK"/>
          <w:b w:val="0"/>
          <w:sz w:val="44"/>
          <w:szCs w:val="44"/>
        </w:rPr>
        <w:t>江门市新型研发机构建设方案</w:t>
      </w:r>
    </w:p>
    <w:p>
      <w:pPr>
        <w:spacing w:line="580" w:lineRule="exact"/>
        <w:jc w:val="center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 w:val="0"/>
          <w:sz w:val="36"/>
          <w:szCs w:val="36"/>
        </w:rPr>
        <w:t>（提纲）</w:t>
      </w:r>
    </w:p>
    <w:p>
      <w:pPr>
        <w:spacing w:line="580" w:lineRule="exact"/>
        <w:jc w:val="center"/>
        <w:rPr>
          <w:rFonts w:ascii="Times New Roman" w:hAnsi="Times New Roman" w:eastAsia="宋体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580" w:lineRule="exact"/>
        <w:ind w:firstLine="598" w:firstLineChars="200"/>
        <w:jc w:val="left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一、新型研发机构建设的主要目的和任务（重点说明新型研发机构将从哪些方面，如人才团队、关键技术研发、企业服务、成果孵化等，服务并带动江门产业提高自主创新能力等）</w:t>
      </w:r>
    </w:p>
    <w:p>
      <w:pPr>
        <w:autoSpaceDE w:val="0"/>
        <w:autoSpaceDN w:val="0"/>
        <w:adjustRightInd w:val="0"/>
        <w:spacing w:line="580" w:lineRule="exact"/>
        <w:ind w:firstLine="598" w:firstLineChars="200"/>
        <w:jc w:val="left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二、新型研发机构建设的已有基础和成效（主要说明已有的软硬件条件，如办公场所、设施、人才、专利成果等）</w:t>
      </w:r>
    </w:p>
    <w:p>
      <w:pPr>
        <w:autoSpaceDE w:val="0"/>
        <w:autoSpaceDN w:val="0"/>
        <w:adjustRightInd w:val="0"/>
        <w:spacing w:line="580" w:lineRule="exact"/>
        <w:ind w:firstLine="598" w:firstLineChars="200"/>
        <w:jc w:val="left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三、新型研发机构的管理体制、运行模式和主要特色（包括产学研合作共建各方任务分工及责权利划分）</w:t>
      </w:r>
    </w:p>
    <w:p>
      <w:pPr>
        <w:autoSpaceDE w:val="0"/>
        <w:autoSpaceDN w:val="0"/>
        <w:adjustRightInd w:val="0"/>
        <w:spacing w:line="580" w:lineRule="exact"/>
        <w:ind w:firstLine="598" w:firstLineChars="200"/>
        <w:jc w:val="left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四、新型研发机构建设资金预算和经费筹措情况（重点说明资金的预算及主要用途，包括自筹经费和申请财政经费等）</w:t>
      </w:r>
    </w:p>
    <w:p>
      <w:pPr>
        <w:autoSpaceDE w:val="0"/>
        <w:autoSpaceDN w:val="0"/>
        <w:adjustRightInd w:val="0"/>
        <w:spacing w:line="580" w:lineRule="exact"/>
        <w:ind w:firstLine="598" w:firstLineChars="200"/>
        <w:jc w:val="left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五、新型研发机构建设的保障措施（包括后勤配套、提供的办公面积、实验场地、仪器设备种类和总值、研究经费及来源、科研助手配备等情况）</w:t>
      </w:r>
    </w:p>
    <w:p>
      <w:pPr>
        <w:spacing w:line="580" w:lineRule="exact"/>
        <w:ind w:firstLine="598" w:firstLineChars="200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六、未来三年发展规划及预期目标（未来三年发展方向以及预期达到的主要技术经济指标，包括产值收益、人才团队引进、关键技术研发、企业技术咨询与服务、专利与知识产权、技术成果孵化等方面产出，对产业发展和区域创新能力提升的影响等）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88" w:bottom="1588" w:left="1588" w:header="851" w:footer="1134" w:gutter="0"/>
      <w:pgNumType w:fmt="numberInDash"/>
      <w:cols w:space="720" w:num="1"/>
      <w:docGrid w:type="linesAndChars" w:linePitch="43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</w:pPr>
    <w:r>
      <w:rPr>
        <w:rFonts w:hint="eastAsia"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hint="eastAsia"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  <w:fldChar w:fldCharType="separate"/>
    </w:r>
    <w:r>
      <w:rPr>
        <w:rFonts w:ascii="方正仿宋_GBK" w:hAnsi="Times New Roman" w:eastAsia="方正仿宋_GBK" w:cs="Times New Roman"/>
        <w:b w:val="0"/>
        <w:kern w:val="2"/>
        <w:sz w:val="28"/>
        <w:szCs w:val="28"/>
        <w:lang w:val="zh-CN" w:eastAsia="zh-CN" w:bidi="ar-SA"/>
      </w:rPr>
      <w:t>-</w:t>
    </w:r>
    <w:r>
      <w:rPr>
        <w:rFonts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  <w:t xml:space="preserve"> 7 -</w:t>
    </w:r>
    <w:r>
      <w:rPr>
        <w:rFonts w:hint="eastAsia"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4059E"/>
    <w:rsid w:val="73D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2022-03-30T07:59:00Z</dcterms:created>
  <dc:creator>Administrator</dc:creator>
  <cp:lastModifiedBy>煜</cp:lastModifiedBy>
  <dcterms:modified xsi:type="dcterms:W3CDTF">2022-07-28T01:59:42Z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