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附件</w:t>
      </w:r>
    </w:p>
    <w:p>
      <w:pPr>
        <w:jc w:val="center"/>
        <w:rPr>
          <w:rFonts w:ascii="宋体"/>
          <w:b/>
          <w:sz w:val="44"/>
          <w:szCs w:val="44"/>
        </w:rPr>
      </w:pPr>
      <w:r>
        <w:rPr>
          <w:rFonts w:hint="eastAsia" w:ascii="宋体" w:hAnsi="宋体"/>
          <w:b/>
          <w:sz w:val="44"/>
          <w:szCs w:val="44"/>
        </w:rPr>
        <w:t>招标文件</w:t>
      </w: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r>
        <w:rPr>
          <w:rFonts w:hint="eastAsia" w:ascii="仿宋" w:hAnsi="仿宋" w:eastAsia="仿宋"/>
          <w:b/>
          <w:sz w:val="32"/>
          <w:szCs w:val="32"/>
        </w:rPr>
        <w:t>一、资格性要求</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（一）、</w:t>
      </w:r>
      <w:r>
        <w:rPr>
          <w:rFonts w:ascii="仿宋" w:hAnsi="仿宋" w:eastAsia="仿宋"/>
          <w:sz w:val="32"/>
          <w:szCs w:val="32"/>
        </w:rPr>
        <w:t>投标人应当具备《政府采购法》第二十二条规定的条件；</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（二）、</w:t>
      </w:r>
      <w:r>
        <w:rPr>
          <w:rFonts w:ascii="仿宋" w:hAnsi="仿宋" w:eastAsia="仿宋"/>
          <w:sz w:val="32"/>
          <w:szCs w:val="32"/>
        </w:rPr>
        <w:t>投标人应当是具有合法经营资格的法人或者其他组织，具有良好的信誉；</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（三）、</w:t>
      </w:r>
      <w:r>
        <w:rPr>
          <w:rFonts w:ascii="仿宋" w:hAnsi="仿宋" w:eastAsia="仿宋"/>
          <w:sz w:val="32"/>
          <w:szCs w:val="32"/>
        </w:rPr>
        <w:t>投标人不涉及联合体投标;</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（四）、</w:t>
      </w:r>
      <w:r>
        <w:rPr>
          <w:rFonts w:ascii="仿宋" w:hAnsi="仿宋" w:eastAsia="仿宋"/>
          <w:sz w:val="32"/>
          <w:szCs w:val="32"/>
        </w:rPr>
        <w:t>投标人的投标报价不高于控制价格;</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（五）、</w:t>
      </w:r>
      <w:r>
        <w:rPr>
          <w:rFonts w:ascii="仿宋" w:hAnsi="仿宋" w:eastAsia="仿宋"/>
          <w:sz w:val="32"/>
          <w:szCs w:val="32"/>
        </w:rPr>
        <w:t>投标人授权、签名、盖章符合相关规定。</w:t>
      </w:r>
    </w:p>
    <w:p>
      <w:pPr>
        <w:pStyle w:val="2"/>
        <w:rPr>
          <w:rFonts w:hint="eastAsia"/>
          <w:lang w:eastAsia="zh-CN"/>
        </w:rPr>
      </w:pPr>
    </w:p>
    <w:p>
      <w:pPr>
        <w:spacing w:line="560" w:lineRule="exact"/>
        <w:rPr>
          <w:rFonts w:hint="eastAsia" w:ascii="仿宋" w:hAnsi="仿宋" w:eastAsia="仿宋"/>
          <w:b/>
          <w:sz w:val="32"/>
          <w:szCs w:val="32"/>
        </w:rPr>
      </w:pPr>
      <w:r>
        <w:rPr>
          <w:rFonts w:hint="eastAsia" w:ascii="仿宋" w:hAnsi="仿宋" w:eastAsia="仿宋"/>
          <w:b/>
          <w:sz w:val="32"/>
          <w:szCs w:val="32"/>
        </w:rPr>
        <w:t>二、技术要求</w:t>
      </w:r>
    </w:p>
    <w:tbl>
      <w:tblPr>
        <w:tblStyle w:val="4"/>
        <w:tblW w:w="9460" w:type="dxa"/>
        <w:tblInd w:w="93" w:type="dxa"/>
        <w:tblLayout w:type="fixed"/>
        <w:tblCellMar>
          <w:top w:w="0" w:type="dxa"/>
          <w:left w:w="108" w:type="dxa"/>
          <w:bottom w:w="0" w:type="dxa"/>
          <w:right w:w="108" w:type="dxa"/>
        </w:tblCellMar>
      </w:tblPr>
      <w:tblGrid>
        <w:gridCol w:w="396"/>
        <w:gridCol w:w="1462"/>
        <w:gridCol w:w="2127"/>
        <w:gridCol w:w="2126"/>
        <w:gridCol w:w="1842"/>
        <w:gridCol w:w="713"/>
        <w:gridCol w:w="794"/>
      </w:tblGrid>
      <w:tr>
        <w:tblPrEx>
          <w:tblCellMar>
            <w:top w:w="0" w:type="dxa"/>
            <w:left w:w="108" w:type="dxa"/>
            <w:bottom w:w="0" w:type="dxa"/>
            <w:right w:w="108" w:type="dxa"/>
          </w:tblCellMar>
        </w:tblPrEx>
        <w:trPr>
          <w:trHeight w:val="660" w:hRule="atLeast"/>
        </w:trPr>
        <w:tc>
          <w:tcPr>
            <w:tcW w:w="9460" w:type="dxa"/>
            <w:gridSpan w:val="7"/>
            <w:tcBorders>
              <w:top w:val="nil"/>
              <w:left w:val="nil"/>
              <w:bottom w:val="nil"/>
              <w:right w:val="nil"/>
            </w:tcBorders>
            <w:noWrap w:val="0"/>
            <w:vAlign w:val="center"/>
          </w:tcPr>
          <w:p>
            <w:pPr>
              <w:widowControl/>
              <w:rPr>
                <w:rFonts w:ascii="仿宋" w:hAnsi="仿宋" w:eastAsia="仿宋"/>
                <w:sz w:val="32"/>
                <w:szCs w:val="32"/>
              </w:rPr>
            </w:pPr>
            <w:r>
              <w:rPr>
                <w:rFonts w:hint="eastAsia" w:ascii="宋体" w:hAnsi="宋体" w:cs="宋体"/>
                <w:bCs/>
                <w:color w:val="000000"/>
                <w:kern w:val="0"/>
                <w:sz w:val="32"/>
                <w:szCs w:val="32"/>
              </w:rPr>
              <w:t xml:space="preserve">   </w:t>
            </w:r>
            <w:r>
              <w:rPr>
                <w:rFonts w:ascii="仿宋" w:hAnsi="仿宋" w:eastAsia="仿宋"/>
                <w:sz w:val="32"/>
                <w:szCs w:val="32"/>
              </w:rPr>
              <w:t>投标人对技术要求中产品的品名、型号、规格、数量、生产厂家自作偏离表。</w:t>
            </w:r>
          </w:p>
        </w:tc>
      </w:tr>
      <w:tr>
        <w:tblPrEx>
          <w:tblCellMar>
            <w:top w:w="0" w:type="dxa"/>
            <w:left w:w="108" w:type="dxa"/>
            <w:bottom w:w="0" w:type="dxa"/>
            <w:right w:w="108" w:type="dxa"/>
          </w:tblCellMar>
        </w:tblPrEx>
        <w:trPr>
          <w:trHeight w:val="499" w:hRule="atLeast"/>
        </w:trPr>
        <w:tc>
          <w:tcPr>
            <w:tcW w:w="3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4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产品名称</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型号规格</w:t>
            </w: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技术要求</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品牌</w:t>
            </w:r>
          </w:p>
        </w:tc>
        <w:tc>
          <w:tcPr>
            <w:tcW w:w="7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数量</w:t>
            </w:r>
          </w:p>
        </w:tc>
        <w:tc>
          <w:tcPr>
            <w:tcW w:w="79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单位</w:t>
            </w:r>
          </w:p>
        </w:tc>
      </w:tr>
      <w:tr>
        <w:tblPrEx>
          <w:tblCellMar>
            <w:top w:w="0" w:type="dxa"/>
            <w:left w:w="108" w:type="dxa"/>
            <w:bottom w:w="0" w:type="dxa"/>
            <w:right w:w="108" w:type="dxa"/>
          </w:tblCellMar>
        </w:tblPrEx>
        <w:trPr>
          <w:trHeight w:val="480"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1</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擦镜纸</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34155#</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280张/盒</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KIMTECH</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2</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电导电极</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电导池常数0.01cm</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DDS-307A电导率仪配套</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雷磁</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3</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一甲基砷</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GBW08668</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阿拉丁</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642"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4</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二甲基砷</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HYPERLINK "http://www.bzwz-gov.com/goods.php?id=98881" \o "http://www.bzwz-gov.com/goods.php?id=98881" </w:instrText>
            </w:r>
            <w:r>
              <w:rPr>
                <w:rFonts w:ascii="宋体" w:hAnsi="宋体" w:cs="宋体"/>
                <w:color w:val="000000"/>
                <w:kern w:val="0"/>
                <w:sz w:val="18"/>
                <w:szCs w:val="18"/>
              </w:rPr>
              <w:fldChar w:fldCharType="separate"/>
            </w:r>
            <w:r>
              <w:rPr>
                <w:rFonts w:hint="eastAsia" w:ascii="宋体" w:hAnsi="宋体" w:cs="宋体"/>
                <w:color w:val="000000"/>
                <w:kern w:val="0"/>
                <w:sz w:val="18"/>
              </w:rPr>
              <w:t>GBW08669</w:t>
            </w:r>
            <w:r>
              <w:rPr>
                <w:rFonts w:ascii="宋体" w:hAnsi="宋体" w:cs="宋体"/>
                <w:color w:val="000000"/>
                <w:kern w:val="0"/>
                <w:sz w:val="18"/>
                <w:szCs w:val="18"/>
              </w:rPr>
              <w:fldChar w:fldCharType="end"/>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国家标准物质研究中心</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600"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5</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砷甜菜碱</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GBW08670</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国家标准物质研究中心</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6</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氯化铁</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500g/瓶</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AR</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Adamas</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7</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pH三复合电极</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E-301-CF</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PHBJ-260F便携式pH计配套</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雷磁</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8</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甲醇中地西泮溶液</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439-14-5</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100μg/mL, 1mL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9</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甲醇中地西泮-D5溶液</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65854-76-4</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100μg/mL, 1mL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600"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10</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QuEChERS 吸附剂</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MS-9PP0272</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100mgPSA,50mgC18,20mgGCB,400mg无水MgSO4，50ea/pk</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艾杰尔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0" w:type="dxa"/>
            <w:left w:w="108" w:type="dxa"/>
            <w:bottom w:w="0" w:type="dxa"/>
            <w:right w:w="108" w:type="dxa"/>
          </w:tblCellMar>
        </w:tblPrEx>
        <w:trPr>
          <w:trHeight w:val="73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11</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QuEChERS 吸附剂</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MS-9PA1220</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100mgPSA,40mgC18,600mg无水MgSO4；，50ea/pk</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艾杰尔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0" w:type="dxa"/>
            <w:left w:w="108" w:type="dxa"/>
            <w:bottom w:w="0" w:type="dxa"/>
            <w:right w:w="108" w:type="dxa"/>
          </w:tblCellMar>
        </w:tblPrEx>
        <w:trPr>
          <w:trHeight w:val="702"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12</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β-葡萄苷醛甙酶—芳基硫酸酯酶</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134600U</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5200U/mL芳基硫酸酯酶</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安谱</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13</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甲醇中甲基睾丸酮溶液</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58-18-4</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100μg/mL, 1mL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14</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甲醇中倍他米松溶液</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378-44-9</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100μg/mL, 1mL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15</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甲醇中</w:t>
            </w:r>
            <w:r>
              <w:rPr>
                <w:rFonts w:ascii="Verdana" w:hAnsi="Verdana" w:cs="宋体"/>
                <w:color w:val="000000"/>
                <w:kern w:val="0"/>
                <w:sz w:val="18"/>
                <w:szCs w:val="18"/>
              </w:rPr>
              <w:t>α-</w:t>
            </w:r>
            <w:r>
              <w:rPr>
                <w:rFonts w:hint="eastAsia" w:ascii="宋体" w:hAnsi="宋体" w:cs="宋体"/>
                <w:color w:val="000000"/>
                <w:kern w:val="0"/>
                <w:sz w:val="18"/>
                <w:szCs w:val="18"/>
              </w:rPr>
              <w:t>玉米赤霉醇溶液</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26538-44-3</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100μg/mL, 1mL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16</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乙腈中β-玉米赤霉醇溶液</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42422-68-4</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100μg/mL, 1mL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17</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甲醇中氯丙嗪溶液</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50-53-3</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100μg/mL, 1mL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18</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氯丙嗪-D6</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1228182-46-4</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100μg/mL, 1mL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19</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甲醇中磺胺二甲异嘧啶溶液</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515-64-0</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100μg/mL, 1mL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20</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甲醇中磺胺对甲氧嘧啶溶液</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651-06-9</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1000μg/mL, 1mL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21</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甲醇中磺胺邻二甲氧嘧啶溶液</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2447-57-6</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100μg/mL, 1mL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22</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甲醇中磺胺苯吡唑溶液</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526-08-9</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100μg/mL, 1mL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23</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甲醇中酞磺胺噻唑溶液</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85-73-4</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100μg/mL, 1mL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24</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二甲基亚砜中马波沙星溶液</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115550-35-1</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100μg/mL, 1mL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7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25</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6种β-受体激素混标</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1000ug/mL；氯丙那林、特步他林、西马特罗、妥布特罗、喷布特罗、非诺特罗混标</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26</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中性氧化铝柱Alumina N</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20支/盒</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2000mg，12mL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艾杰尔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27</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甲醇中氟苯尼考-D3溶液</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1217619-10-7</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100ug/mL，1ml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28</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HLB柱</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PE0603-2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3cc（60mg）；50支/盒</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艾杰尔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29</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邻菲罗啉</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5g</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分析纯</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30</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硫酸亚铁</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500g</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分析纯</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660"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31</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甲醇/二甲基亚砜中恶喹酸溶液</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14698-29-4</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1000ug/mL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32</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甲醇中氟甲喹溶液</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42835-25-6</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100μg/mL, 1mL</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7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33</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3-氨基-2-恶唑烷酮|3-Amino-2-oxazolidinone</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80-65-9</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纯品型；50mg</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Dr.E</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85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34</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氨基脲盐酸盐 |Semicarbazide hydrochloride</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563-41-7</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纯品型；100mg</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Dr.E</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103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35</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硝基呋喃代谢物AMOZ|3-Amino-5-morpholinomethyl-2-oxazolidinone</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43056-63-9</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纯品型；50mg</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Dr.E</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85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36</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1-盐酸氨基海特因|1-Aminohydantoin hydrochloride</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2827-56-7</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纯品型；100mg</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Dr.E</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55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37</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As形态分析柱</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HM79433</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PRP-X100 10um COL250*4.1mm</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安捷伦</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38</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保鲜盒</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1L</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PP、TPC-ET</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茶花</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39</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保鲜盒</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2.5L</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PP、TPC-ET</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茶花</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40</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保鲜盒</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5L</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PP、TPC-ET</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茶花</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41</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保鲜盒</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10L</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PP、TPC-ET</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乐扣</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42</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托盘 </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60×30×5cm</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耐酸碱；PP</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43</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塑料方盘</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29*20*3.5cm</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白色，PP</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44</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塑料方盘</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45*30*5.7cm</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白色，PP</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45</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储物箱</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25L</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pp</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茶花</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46</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不锈钢刀头</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24460047</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配套Retsch GM200</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Retsch</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CellMar>
            <w:top w:w="0" w:type="dxa"/>
            <w:left w:w="108" w:type="dxa"/>
            <w:bottom w:w="0" w:type="dxa"/>
            <w:right w:w="108" w:type="dxa"/>
          </w:tblCellMar>
        </w:tblPrEx>
        <w:trPr>
          <w:trHeight w:val="10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47</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ACQUITY Column In-Line Filter（ACQUITY 色谱柱 在线过滤器）</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205000343</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waters</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48</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不锈钢碟珠</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500个/包</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直径8mm</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斤</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49</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不锈钢珠</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500个/包</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直径7mm</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斤</w:t>
            </w:r>
          </w:p>
        </w:tc>
      </w:tr>
      <w:tr>
        <w:tblPrEx>
          <w:tblCellMar>
            <w:top w:w="0" w:type="dxa"/>
            <w:left w:w="108" w:type="dxa"/>
            <w:bottom w:w="0" w:type="dxa"/>
            <w:right w:w="108" w:type="dxa"/>
          </w:tblCellMar>
        </w:tblPrEx>
        <w:trPr>
          <w:trHeight w:val="762"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50</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QuEChERS 吸附剂</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MS-9PA1010</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15mL，PSA:100mg;C18:100mg;MgSO4:300mg;50pk</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艾杰尔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r>
      <w:tr>
        <w:tblPrEx>
          <w:tblCellMar>
            <w:top w:w="0" w:type="dxa"/>
            <w:left w:w="108" w:type="dxa"/>
            <w:bottom w:w="0" w:type="dxa"/>
            <w:right w:w="108" w:type="dxa"/>
          </w:tblCellMar>
        </w:tblPrEx>
        <w:trPr>
          <w:trHeight w:val="600"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51</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色谱柱Kinetex2.6uF5100A</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00D-4723-AN</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100*2.1mm</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飞诺美</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52</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泵油</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19号</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正品； 4L/瓶</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爱德华</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53</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壁挂式移液器架</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6支挂</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白色或者透明  5MM</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CellMar>
            <w:top w:w="0" w:type="dxa"/>
            <w:left w:w="108" w:type="dxa"/>
            <w:bottom w:w="0" w:type="dxa"/>
            <w:right w:w="108" w:type="dxa"/>
          </w:tblCellMar>
        </w:tblPrEx>
        <w:trPr>
          <w:trHeight w:val="1440"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54</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9种β-受体激素混标溶液</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1mL/瓶</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1000ug/mL；克伦特罗、沙丁胺醇、莱克多巴胺、氯丙那林、特步他林、西马特罗、妥布特罗、喷布特罗、非诺特罗混标</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阿尔塔</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55</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进样瓶架</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4463860</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AB/岛津</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CellMar>
            <w:top w:w="0" w:type="dxa"/>
            <w:left w:w="108" w:type="dxa"/>
            <w:bottom w:w="0" w:type="dxa"/>
            <w:right w:w="108" w:type="dxa"/>
          </w:tblCellMar>
        </w:tblPrEx>
        <w:trPr>
          <w:trHeight w:val="840"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56</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离心机角转子（含适配器）</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0301891099+0304891070</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6*100ml角转子+50ml尖底适配器</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湘仪</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57</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离心机角转子</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0301805520</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24*1.5/2.2ml角转子</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湘仪</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CellMar>
            <w:top w:w="0" w:type="dxa"/>
            <w:left w:w="108" w:type="dxa"/>
            <w:bottom w:w="0" w:type="dxa"/>
            <w:right w:w="108" w:type="dxa"/>
          </w:tblCellMar>
        </w:tblPrEx>
        <w:trPr>
          <w:trHeight w:val="499" w:hRule="atLeast"/>
        </w:trPr>
        <w:tc>
          <w:tcPr>
            <w:tcW w:w="396"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58</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离心管</w:t>
            </w:r>
          </w:p>
        </w:tc>
        <w:tc>
          <w:tcPr>
            <w:tcW w:w="21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100ml</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30个/包；螺口，带刻度</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白鲨</w:t>
            </w:r>
          </w:p>
        </w:tc>
        <w:tc>
          <w:tcPr>
            <w:tcW w:w="7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r>
    </w:tbl>
    <w:p>
      <w:pPr>
        <w:pStyle w:val="2"/>
        <w:ind w:firstLine="210"/>
        <w:rPr>
          <w:rFonts w:hint="eastAsia"/>
        </w:rPr>
      </w:pPr>
    </w:p>
    <w:p>
      <w:pPr>
        <w:spacing w:line="560" w:lineRule="exact"/>
        <w:ind w:firstLine="710" w:firstLineChars="221"/>
        <w:rPr>
          <w:rFonts w:hint="eastAsia" w:ascii="仿宋" w:hAnsi="仿宋" w:eastAsia="仿宋"/>
          <w:b/>
          <w:sz w:val="32"/>
          <w:szCs w:val="32"/>
        </w:rPr>
      </w:pPr>
    </w:p>
    <w:p>
      <w:pPr>
        <w:spacing w:line="560" w:lineRule="exact"/>
        <w:ind w:firstLine="710" w:firstLineChars="221"/>
        <w:rPr>
          <w:rFonts w:hint="eastAsia" w:ascii="仿宋" w:hAnsi="仿宋" w:eastAsia="仿宋"/>
          <w:b/>
          <w:sz w:val="32"/>
          <w:szCs w:val="32"/>
        </w:rPr>
      </w:pPr>
    </w:p>
    <w:p>
      <w:pPr>
        <w:spacing w:line="560" w:lineRule="exact"/>
        <w:rPr>
          <w:rFonts w:hint="eastAsia" w:ascii="仿宋" w:hAnsi="仿宋" w:eastAsia="仿宋"/>
          <w:b/>
          <w:bCs/>
          <w:sz w:val="32"/>
          <w:szCs w:val="32"/>
        </w:rPr>
      </w:pPr>
      <w:r>
        <w:rPr>
          <w:rFonts w:hint="eastAsia" w:ascii="仿宋" w:hAnsi="仿宋" w:eastAsia="仿宋"/>
          <w:b/>
          <w:sz w:val="32"/>
          <w:szCs w:val="32"/>
        </w:rPr>
        <w:t>三、</w:t>
      </w:r>
      <w:r>
        <w:rPr>
          <w:rFonts w:ascii="仿宋" w:hAnsi="仿宋" w:eastAsia="仿宋"/>
          <w:b/>
          <w:sz w:val="32"/>
          <w:szCs w:val="32"/>
        </w:rPr>
        <w:t>商务要求</w:t>
      </w:r>
    </w:p>
    <w:tbl>
      <w:tblPr>
        <w:tblStyle w:val="4"/>
        <w:tblpPr w:leftFromText="180" w:rightFromText="180" w:vertAnchor="text" w:horzAnchor="margin" w:tblpXSpec="center" w:tblpY="395"/>
        <w:tblOverlap w:val="never"/>
        <w:tblW w:w="10020"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0"/>
        <w:gridCol w:w="7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2100" w:type="dxa"/>
            <w:noWrap w:val="0"/>
            <w:vAlign w:val="center"/>
          </w:tcPr>
          <w:p>
            <w:pPr>
              <w:pStyle w:val="6"/>
              <w:spacing w:line="480" w:lineRule="exact"/>
              <w:jc w:val="center"/>
              <w:rPr>
                <w:rFonts w:hint="eastAsia" w:ascii="仿宋" w:hAnsi="仿宋" w:eastAsia="仿宋"/>
                <w:sz w:val="28"/>
                <w:szCs w:val="28"/>
              </w:rPr>
            </w:pPr>
            <w:r>
              <w:rPr>
                <w:rFonts w:hint="eastAsia" w:ascii="仿宋" w:hAnsi="仿宋" w:eastAsia="仿宋"/>
                <w:sz w:val="28"/>
                <w:szCs w:val="28"/>
              </w:rPr>
              <w:t>标的提供时间</w:t>
            </w:r>
          </w:p>
        </w:tc>
        <w:tc>
          <w:tcPr>
            <w:tcW w:w="7920" w:type="dxa"/>
            <w:noWrap w:val="0"/>
            <w:vAlign w:val="center"/>
          </w:tcPr>
          <w:p>
            <w:pPr>
              <w:pStyle w:val="6"/>
              <w:spacing w:line="480" w:lineRule="exact"/>
              <w:jc w:val="center"/>
              <w:rPr>
                <w:rFonts w:hint="eastAsia" w:ascii="仿宋" w:hAnsi="仿宋" w:eastAsia="仿宋"/>
                <w:sz w:val="28"/>
                <w:szCs w:val="28"/>
              </w:rPr>
            </w:pPr>
            <w:r>
              <w:rPr>
                <w:rFonts w:hint="eastAsia" w:ascii="仿宋" w:hAnsi="仿宋" w:eastAsia="仿宋"/>
                <w:sz w:val="28"/>
                <w:szCs w:val="28"/>
              </w:rPr>
              <w:t>自合同签订生效之日起30个日历日内完成所投产品的交货。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0" w:type="dxa"/>
            <w:noWrap w:val="0"/>
            <w:vAlign w:val="center"/>
          </w:tcPr>
          <w:p>
            <w:pPr>
              <w:pStyle w:val="6"/>
              <w:spacing w:line="480" w:lineRule="exact"/>
              <w:jc w:val="center"/>
              <w:rPr>
                <w:rFonts w:hint="eastAsia" w:ascii="仿宋" w:hAnsi="仿宋" w:eastAsia="仿宋"/>
                <w:sz w:val="28"/>
                <w:szCs w:val="28"/>
              </w:rPr>
            </w:pPr>
            <w:r>
              <w:rPr>
                <w:rFonts w:hint="eastAsia" w:ascii="仿宋" w:hAnsi="仿宋" w:eastAsia="仿宋"/>
                <w:sz w:val="28"/>
                <w:szCs w:val="28"/>
              </w:rPr>
              <w:t>标的提供地点</w:t>
            </w:r>
          </w:p>
        </w:tc>
        <w:tc>
          <w:tcPr>
            <w:tcW w:w="7920" w:type="dxa"/>
            <w:noWrap w:val="0"/>
            <w:vAlign w:val="top"/>
          </w:tcPr>
          <w:p>
            <w:pPr>
              <w:pStyle w:val="6"/>
              <w:spacing w:line="480" w:lineRule="exact"/>
              <w:rPr>
                <w:rFonts w:ascii="仿宋" w:hAnsi="仿宋" w:eastAsia="仿宋"/>
                <w:sz w:val="28"/>
                <w:szCs w:val="28"/>
              </w:rPr>
            </w:pPr>
            <w:r>
              <w:rPr>
                <w:rFonts w:hint="eastAsia" w:ascii="仿宋" w:hAnsi="仿宋" w:eastAsia="仿宋"/>
                <w:sz w:val="28"/>
                <w:szCs w:val="28"/>
              </w:rPr>
              <w:t>江门市龙祥路95号四楼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9" w:hRule="atLeast"/>
        </w:trPr>
        <w:tc>
          <w:tcPr>
            <w:tcW w:w="2100" w:type="dxa"/>
            <w:noWrap w:val="0"/>
            <w:vAlign w:val="center"/>
          </w:tcPr>
          <w:p>
            <w:pPr>
              <w:pStyle w:val="6"/>
              <w:spacing w:line="480" w:lineRule="exact"/>
              <w:jc w:val="center"/>
              <w:rPr>
                <w:rFonts w:hint="eastAsia" w:ascii="仿宋" w:hAnsi="仿宋" w:eastAsia="仿宋"/>
                <w:sz w:val="28"/>
                <w:szCs w:val="28"/>
              </w:rPr>
            </w:pPr>
            <w:r>
              <w:rPr>
                <w:rFonts w:hint="eastAsia" w:ascii="仿宋" w:hAnsi="仿宋" w:eastAsia="仿宋"/>
                <w:sz w:val="28"/>
                <w:szCs w:val="28"/>
              </w:rPr>
              <w:t>付款方式</w:t>
            </w:r>
          </w:p>
        </w:tc>
        <w:tc>
          <w:tcPr>
            <w:tcW w:w="7920" w:type="dxa"/>
            <w:noWrap w:val="0"/>
            <w:vAlign w:val="top"/>
          </w:tcPr>
          <w:p>
            <w:pPr>
              <w:spacing w:line="480" w:lineRule="exact"/>
              <w:rPr>
                <w:rFonts w:hint="eastAsia" w:ascii="仿宋" w:hAnsi="仿宋" w:eastAsia="仿宋"/>
                <w:sz w:val="28"/>
                <w:szCs w:val="28"/>
              </w:rPr>
            </w:pPr>
            <w:r>
              <w:rPr>
                <w:rFonts w:hint="eastAsia" w:ascii="仿宋" w:hAnsi="仿宋" w:eastAsia="仿宋"/>
                <w:sz w:val="28"/>
                <w:szCs w:val="28"/>
              </w:rPr>
              <w:t>1)自本合同签订之日起三十个工作日（不含财政审批流程）内，采购人向中标人支付预算总金额80%作为预付款，中标人向采购人开具相应金额的正式发票。</w:t>
            </w:r>
          </w:p>
          <w:p>
            <w:pPr>
              <w:spacing w:line="480" w:lineRule="exact"/>
              <w:rPr>
                <w:rFonts w:hint="eastAsia" w:ascii="仿宋" w:hAnsi="仿宋" w:eastAsia="仿宋"/>
                <w:sz w:val="28"/>
                <w:szCs w:val="28"/>
              </w:rPr>
            </w:pPr>
            <w:r>
              <w:rPr>
                <w:rFonts w:hint="eastAsia" w:ascii="仿宋" w:hAnsi="仿宋" w:eastAsia="仿宋"/>
                <w:sz w:val="28"/>
                <w:szCs w:val="28"/>
              </w:rPr>
              <w:t>(2)中标人根据采购需求供货，货物到货并验收合格后，中标人向采购人提供由采购人认可的验收报告，供货货值超过预付款金额后，以实际送货货值开具正式发票，货物验收合格后三十个工作日(不含财政审批时间)内采购人支付余款。</w:t>
            </w:r>
          </w:p>
          <w:p>
            <w:pPr>
              <w:spacing w:line="480" w:lineRule="exact"/>
              <w:rPr>
                <w:rFonts w:hint="eastAsia" w:ascii="仿宋" w:hAnsi="仿宋" w:eastAsia="仿宋"/>
                <w:sz w:val="28"/>
                <w:szCs w:val="28"/>
              </w:rPr>
            </w:pPr>
            <w:r>
              <w:rPr>
                <w:rFonts w:hint="eastAsia" w:ascii="仿宋" w:hAnsi="仿宋" w:eastAsia="仿宋"/>
                <w:sz w:val="28"/>
                <w:szCs w:val="28"/>
              </w:rPr>
              <w:t>结算方式：银行转帐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0" w:type="dxa"/>
            <w:noWrap w:val="0"/>
            <w:vAlign w:val="center"/>
          </w:tcPr>
          <w:p>
            <w:pPr>
              <w:pStyle w:val="6"/>
              <w:spacing w:line="480" w:lineRule="exact"/>
              <w:jc w:val="center"/>
              <w:rPr>
                <w:rFonts w:hint="eastAsia" w:ascii="仿宋" w:hAnsi="仿宋" w:eastAsia="仿宋"/>
                <w:sz w:val="28"/>
                <w:szCs w:val="28"/>
              </w:rPr>
            </w:pPr>
            <w:r>
              <w:rPr>
                <w:rFonts w:hint="eastAsia" w:ascii="仿宋" w:hAnsi="仿宋" w:eastAsia="仿宋"/>
                <w:sz w:val="28"/>
                <w:szCs w:val="28"/>
              </w:rPr>
              <w:t>验收要求</w:t>
            </w:r>
          </w:p>
        </w:tc>
        <w:tc>
          <w:tcPr>
            <w:tcW w:w="7920" w:type="dxa"/>
            <w:noWrap w:val="0"/>
            <w:vAlign w:val="top"/>
          </w:tcPr>
          <w:p>
            <w:pPr>
              <w:pStyle w:val="6"/>
              <w:spacing w:line="480" w:lineRule="exact"/>
              <w:rPr>
                <w:rFonts w:hint="eastAsia" w:ascii="仿宋" w:hAnsi="仿宋" w:eastAsia="仿宋"/>
                <w:sz w:val="28"/>
                <w:szCs w:val="28"/>
              </w:rPr>
            </w:pPr>
            <w:r>
              <w:rPr>
                <w:rFonts w:hint="eastAsia" w:ascii="仿宋" w:hAnsi="仿宋" w:eastAsia="仿宋"/>
                <w:sz w:val="28"/>
                <w:szCs w:val="28"/>
              </w:rPr>
              <w:t>以国家、省和市现行相关规范为验收标准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2" w:hRule="atLeast"/>
        </w:trPr>
        <w:tc>
          <w:tcPr>
            <w:tcW w:w="2100" w:type="dxa"/>
            <w:noWrap w:val="0"/>
            <w:vAlign w:val="center"/>
          </w:tcPr>
          <w:p>
            <w:pPr>
              <w:pStyle w:val="6"/>
              <w:spacing w:line="480" w:lineRule="exact"/>
              <w:jc w:val="center"/>
              <w:rPr>
                <w:rFonts w:hint="eastAsia" w:ascii="仿宋" w:hAnsi="仿宋" w:eastAsia="仿宋"/>
                <w:sz w:val="28"/>
                <w:szCs w:val="28"/>
              </w:rPr>
            </w:pPr>
            <w:r>
              <w:rPr>
                <w:rFonts w:hint="eastAsia" w:ascii="仿宋" w:hAnsi="仿宋" w:eastAsia="仿宋"/>
                <w:sz w:val="28"/>
                <w:szCs w:val="28"/>
              </w:rPr>
              <w:t>其他</w:t>
            </w:r>
          </w:p>
        </w:tc>
        <w:tc>
          <w:tcPr>
            <w:tcW w:w="7920" w:type="dxa"/>
            <w:noWrap w:val="0"/>
            <w:vAlign w:val="top"/>
          </w:tcPr>
          <w:p>
            <w:pPr>
              <w:spacing w:line="480" w:lineRule="exact"/>
              <w:rPr>
                <w:rFonts w:hint="eastAsia" w:ascii="仿宋" w:hAnsi="仿宋" w:eastAsia="仿宋"/>
                <w:sz w:val="28"/>
                <w:szCs w:val="28"/>
              </w:rPr>
            </w:pPr>
            <w:r>
              <w:rPr>
                <w:rFonts w:hint="eastAsia" w:ascii="仿宋" w:hAnsi="仿宋" w:eastAsia="仿宋"/>
                <w:sz w:val="28"/>
                <w:szCs w:val="28"/>
              </w:rPr>
              <w:t>1）投标人负责产品运输到采购人指定的地点（如房间号），运输及搬运过程中发生的产品破损或丢失的，全部由投标人负责。</w:t>
            </w:r>
          </w:p>
          <w:p>
            <w:pPr>
              <w:spacing w:line="480" w:lineRule="exact"/>
              <w:rPr>
                <w:rFonts w:hint="eastAsia" w:ascii="仿宋" w:hAnsi="仿宋" w:eastAsia="仿宋"/>
                <w:sz w:val="28"/>
                <w:szCs w:val="28"/>
              </w:rPr>
            </w:pPr>
            <w:r>
              <w:rPr>
                <w:rFonts w:hint="eastAsia" w:ascii="仿宋" w:hAnsi="仿宋" w:eastAsia="仿宋"/>
                <w:sz w:val="28"/>
                <w:szCs w:val="28"/>
              </w:rPr>
              <w:t>2）投标人所提供的标准品与试剂出厂日期不得超过三个月（进口产品除外，但必需有一年半以上的有效期），所有的产品必须是全新的产品，符合国家以及该产品的出厂标准，并提供产品的附件、说明书和技术咨询，并保证能获得原厂的售后服务和技术支持。</w:t>
            </w:r>
          </w:p>
          <w:p>
            <w:pPr>
              <w:spacing w:line="480" w:lineRule="exact"/>
              <w:rPr>
                <w:rFonts w:hint="eastAsia" w:ascii="仿宋" w:hAnsi="仿宋" w:eastAsia="仿宋"/>
                <w:sz w:val="28"/>
                <w:szCs w:val="28"/>
              </w:rPr>
            </w:pPr>
            <w:r>
              <w:rPr>
                <w:rFonts w:hint="eastAsia" w:ascii="仿宋" w:hAnsi="仿宋" w:eastAsia="仿宋"/>
                <w:sz w:val="28"/>
                <w:szCs w:val="28"/>
              </w:rPr>
              <w:t>3）投标人须有能力提供完善的售后服务(包括技术人员、响应时间及相关承诺等)。</w:t>
            </w:r>
          </w:p>
          <w:p>
            <w:pPr>
              <w:spacing w:line="480" w:lineRule="exact"/>
              <w:rPr>
                <w:rFonts w:hint="eastAsia" w:ascii="仿宋" w:hAnsi="仿宋" w:eastAsia="仿宋"/>
                <w:sz w:val="28"/>
                <w:szCs w:val="28"/>
              </w:rPr>
            </w:pPr>
            <w:r>
              <w:rPr>
                <w:rFonts w:hint="eastAsia" w:ascii="仿宋" w:hAnsi="仿宋" w:eastAsia="仿宋"/>
                <w:sz w:val="28"/>
                <w:szCs w:val="28"/>
              </w:rPr>
              <w:t>4）如投标人所提供的产品、服务存在质量问题或缺陷，或不能满足采购人的要求，采购人有权要求更换。</w:t>
            </w:r>
          </w:p>
          <w:p>
            <w:pPr>
              <w:spacing w:line="480" w:lineRule="exact"/>
              <w:rPr>
                <w:rFonts w:hint="eastAsia" w:ascii="仿宋" w:hAnsi="仿宋" w:eastAsia="仿宋"/>
                <w:sz w:val="28"/>
                <w:szCs w:val="28"/>
              </w:rPr>
            </w:pPr>
            <w:r>
              <w:rPr>
                <w:rFonts w:hint="eastAsia" w:ascii="仿宋" w:hAnsi="仿宋" w:eastAsia="仿宋"/>
                <w:sz w:val="28"/>
                <w:szCs w:val="28"/>
              </w:rPr>
              <w:t>5）中标人在合同生效后30工作日内交货，进口产品在协商日期内（不超60个日历日）交货。</w:t>
            </w:r>
          </w:p>
          <w:p>
            <w:pPr>
              <w:spacing w:line="480" w:lineRule="exact"/>
              <w:rPr>
                <w:rFonts w:hint="eastAsia" w:ascii="仿宋" w:hAnsi="仿宋" w:eastAsia="仿宋"/>
                <w:sz w:val="28"/>
                <w:szCs w:val="28"/>
              </w:rPr>
            </w:pPr>
            <w:r>
              <w:rPr>
                <w:rFonts w:hint="eastAsia" w:ascii="仿宋" w:hAnsi="仿宋" w:eastAsia="仿宋"/>
                <w:sz w:val="28"/>
                <w:szCs w:val="28"/>
              </w:rPr>
              <w:t>6）验收：交货时产品须运到指定地点后，经验收合格后由采购人确认验收。</w:t>
            </w:r>
          </w:p>
        </w:tc>
      </w:tr>
    </w:tbl>
    <w:p>
      <w:pPr>
        <w:pStyle w:val="7"/>
        <w:tabs>
          <w:tab w:val="left" w:pos="313"/>
        </w:tabs>
        <w:spacing w:before="0" w:line="480" w:lineRule="exact"/>
        <w:ind w:left="0" w:firstLine="640" w:firstLineChars="200"/>
        <w:rPr>
          <w:rFonts w:hint="eastAsia" w:ascii="仿宋" w:hAnsi="仿宋" w:eastAsia="仿宋"/>
          <w:sz w:val="32"/>
          <w:szCs w:val="32"/>
        </w:rPr>
      </w:pPr>
      <w:r>
        <w:rPr>
          <w:rFonts w:ascii="仿宋" w:hAnsi="仿宋" w:eastAsia="仿宋"/>
          <w:sz w:val="32"/>
          <w:szCs w:val="32"/>
        </w:rPr>
        <w:t>投标人提供项目的实施方案</w:t>
      </w:r>
      <w:r>
        <w:rPr>
          <w:rFonts w:hint="eastAsia" w:ascii="仿宋" w:hAnsi="仿宋" w:eastAsia="仿宋"/>
          <w:sz w:val="32"/>
          <w:szCs w:val="32"/>
        </w:rPr>
        <w:t>，</w:t>
      </w:r>
      <w:r>
        <w:rPr>
          <w:rFonts w:ascii="仿宋" w:hAnsi="仿宋" w:eastAsia="仿宋"/>
          <w:sz w:val="32"/>
          <w:szCs w:val="32"/>
        </w:rPr>
        <w:t>包括</w:t>
      </w:r>
      <w:r>
        <w:rPr>
          <w:rFonts w:hint="eastAsia" w:ascii="仿宋" w:hAnsi="仿宋" w:eastAsia="仿宋"/>
          <w:sz w:val="32"/>
          <w:szCs w:val="32"/>
        </w:rPr>
        <w:t>产品质量保证、安全保障措施、</w:t>
      </w:r>
      <w:r>
        <w:rPr>
          <w:rFonts w:ascii="仿宋" w:hAnsi="仿宋" w:eastAsia="仿宋"/>
          <w:sz w:val="32"/>
          <w:szCs w:val="32"/>
        </w:rPr>
        <w:t>进度安排，</w:t>
      </w:r>
      <w:r>
        <w:rPr>
          <w:rFonts w:hint="eastAsia" w:ascii="仿宋" w:hAnsi="仿宋" w:eastAsia="仿宋"/>
          <w:sz w:val="32"/>
          <w:szCs w:val="32"/>
        </w:rPr>
        <w:t>整体</w:t>
      </w:r>
      <w:r>
        <w:rPr>
          <w:rFonts w:ascii="仿宋" w:hAnsi="仿宋" w:eastAsia="仿宋"/>
          <w:sz w:val="32"/>
          <w:szCs w:val="32"/>
        </w:rPr>
        <w:t>供货</w:t>
      </w:r>
      <w:r>
        <w:rPr>
          <w:rFonts w:hint="eastAsia" w:ascii="仿宋" w:hAnsi="仿宋" w:eastAsia="仿宋"/>
          <w:sz w:val="32"/>
          <w:szCs w:val="32"/>
        </w:rPr>
        <w:t>、配送</w:t>
      </w:r>
      <w:r>
        <w:rPr>
          <w:rFonts w:ascii="仿宋" w:hAnsi="仿宋" w:eastAsia="仿宋"/>
          <w:sz w:val="32"/>
          <w:szCs w:val="32"/>
        </w:rPr>
        <w:t>方案，验收及有问题供货的处理办法等</w:t>
      </w:r>
      <w:r>
        <w:rPr>
          <w:rFonts w:hint="eastAsia" w:ascii="仿宋" w:hAnsi="仿宋" w:eastAsia="仿宋"/>
          <w:sz w:val="32"/>
          <w:szCs w:val="32"/>
        </w:rPr>
        <w:t>。</w:t>
      </w:r>
    </w:p>
    <w:p>
      <w:pPr>
        <w:pStyle w:val="7"/>
        <w:tabs>
          <w:tab w:val="left" w:pos="313"/>
        </w:tabs>
        <w:spacing w:before="0" w:line="480" w:lineRule="exact"/>
        <w:ind w:left="0" w:firstLine="560" w:firstLineChars="200"/>
        <w:rPr>
          <w:rFonts w:hint="eastAsia" w:ascii="仿宋" w:hAnsi="仿宋" w:eastAsia="仿宋"/>
          <w:sz w:val="28"/>
          <w:szCs w:val="28"/>
        </w:rPr>
      </w:pPr>
    </w:p>
    <w:p>
      <w:pPr>
        <w:spacing w:line="480" w:lineRule="exact"/>
        <w:rPr>
          <w:rFonts w:ascii="仿宋" w:hAnsi="仿宋" w:eastAsia="仿宋"/>
          <w:b/>
          <w:bCs/>
          <w:sz w:val="32"/>
          <w:szCs w:val="32"/>
        </w:rPr>
      </w:pPr>
      <w:r>
        <w:rPr>
          <w:rFonts w:hint="eastAsia" w:ascii="仿宋" w:hAnsi="仿宋" w:eastAsia="仿宋"/>
          <w:b/>
          <w:bCs/>
          <w:sz w:val="32"/>
          <w:szCs w:val="32"/>
        </w:rPr>
        <w:t>四、评审标准和方法</w:t>
      </w:r>
    </w:p>
    <w:p>
      <w:pPr>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bCs/>
          <w:sz w:val="30"/>
          <w:szCs w:val="30"/>
        </w:rPr>
        <w:t>资格性、符合性评审</w:t>
      </w:r>
    </w:p>
    <w:p>
      <w:pPr>
        <w:ind w:firstLine="300" w:firstLineChars="100"/>
        <w:rPr>
          <w:rFonts w:ascii="仿宋" w:hAnsi="仿宋" w:eastAsia="仿宋"/>
          <w:sz w:val="30"/>
          <w:szCs w:val="30"/>
        </w:rPr>
      </w:pPr>
      <w:r>
        <w:rPr>
          <w:rFonts w:hint="eastAsia" w:ascii="仿宋" w:hAnsi="仿宋" w:eastAsia="仿宋"/>
          <w:sz w:val="30"/>
          <w:szCs w:val="30"/>
        </w:rPr>
        <w:t xml:space="preserve">                     表1：资格性评审表</w:t>
      </w:r>
    </w:p>
    <w:tbl>
      <w:tblPr>
        <w:tblStyle w:val="4"/>
        <w:tblW w:w="5332"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2"/>
        <w:gridCol w:w="8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447" w:type="pct"/>
            <w:noWrap w:val="0"/>
            <w:vAlign w:val="center"/>
          </w:tcPr>
          <w:p>
            <w:pPr>
              <w:snapToGrid w:val="0"/>
              <w:spacing w:line="288" w:lineRule="auto"/>
              <w:jc w:val="center"/>
              <w:rPr>
                <w:rFonts w:hint="eastAsia" w:ascii="仿宋" w:hAnsi="仿宋" w:eastAsia="仿宋"/>
                <w:sz w:val="30"/>
                <w:szCs w:val="30"/>
              </w:rPr>
            </w:pPr>
            <w:r>
              <w:rPr>
                <w:rFonts w:hint="eastAsia" w:ascii="仿宋" w:hAnsi="仿宋" w:eastAsia="仿宋"/>
                <w:sz w:val="30"/>
                <w:szCs w:val="30"/>
              </w:rPr>
              <w:t>序号</w:t>
            </w:r>
          </w:p>
        </w:tc>
        <w:tc>
          <w:tcPr>
            <w:tcW w:w="4552" w:type="pct"/>
            <w:noWrap w:val="0"/>
            <w:vAlign w:val="center"/>
          </w:tcPr>
          <w:p>
            <w:pPr>
              <w:snapToGrid w:val="0"/>
              <w:spacing w:line="288" w:lineRule="auto"/>
              <w:jc w:val="center"/>
              <w:rPr>
                <w:rFonts w:hint="eastAsia" w:ascii="仿宋" w:hAnsi="仿宋" w:eastAsia="仿宋"/>
                <w:sz w:val="30"/>
                <w:szCs w:val="30"/>
              </w:rPr>
            </w:pPr>
            <w:r>
              <w:rPr>
                <w:rFonts w:hint="eastAsia" w:ascii="仿宋" w:hAnsi="仿宋" w:eastAsia="仿宋"/>
                <w:sz w:val="30"/>
                <w:szCs w:val="30"/>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47" w:type="pct"/>
            <w:noWrap w:val="0"/>
            <w:vAlign w:val="center"/>
          </w:tcPr>
          <w:p>
            <w:pPr>
              <w:pStyle w:val="7"/>
              <w:snapToGrid w:val="0"/>
              <w:spacing w:line="288" w:lineRule="auto"/>
              <w:ind w:left="0" w:firstLine="300" w:firstLineChars="100"/>
              <w:rPr>
                <w:rFonts w:hint="eastAsia" w:ascii="仿宋" w:hAnsi="仿宋" w:eastAsia="仿宋"/>
                <w:sz w:val="30"/>
                <w:szCs w:val="30"/>
              </w:rPr>
            </w:pPr>
            <w:r>
              <w:rPr>
                <w:rFonts w:hint="eastAsia" w:ascii="仿宋" w:hAnsi="仿宋" w:eastAsia="仿宋"/>
                <w:sz w:val="30"/>
                <w:szCs w:val="30"/>
              </w:rPr>
              <w:t>1</w:t>
            </w:r>
          </w:p>
        </w:tc>
        <w:tc>
          <w:tcPr>
            <w:tcW w:w="4552" w:type="pct"/>
            <w:noWrap w:val="0"/>
            <w:vAlign w:val="center"/>
          </w:tcPr>
          <w:p>
            <w:pPr>
              <w:snapToGrid w:val="0"/>
              <w:spacing w:line="360" w:lineRule="auto"/>
              <w:rPr>
                <w:rFonts w:hint="eastAsia" w:ascii="仿宋" w:hAnsi="仿宋" w:eastAsia="仿宋"/>
                <w:sz w:val="30"/>
                <w:szCs w:val="30"/>
              </w:rPr>
            </w:pPr>
            <w:r>
              <w:rPr>
                <w:rFonts w:hint="eastAsia" w:ascii="仿宋" w:hAnsi="仿宋" w:eastAsia="仿宋"/>
                <w:sz w:val="30"/>
                <w:szCs w:val="30"/>
              </w:rPr>
              <w:t>具备《中华人民共和国政府采购法》第二十二条规定的条件；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7" w:hRule="atLeast"/>
        </w:trPr>
        <w:tc>
          <w:tcPr>
            <w:tcW w:w="447" w:type="pct"/>
            <w:noWrap w:val="0"/>
            <w:vAlign w:val="center"/>
          </w:tcPr>
          <w:p>
            <w:pPr>
              <w:tabs>
                <w:tab w:val="left" w:pos="176"/>
                <w:tab w:val="left" w:pos="612"/>
              </w:tabs>
              <w:snapToGrid w:val="0"/>
              <w:spacing w:line="288" w:lineRule="auto"/>
              <w:ind w:firstLine="300" w:firstLineChars="100"/>
              <w:rPr>
                <w:rFonts w:hint="eastAsia" w:ascii="仿宋" w:hAnsi="仿宋" w:eastAsia="仿宋"/>
                <w:sz w:val="30"/>
                <w:szCs w:val="30"/>
              </w:rPr>
            </w:pPr>
            <w:r>
              <w:rPr>
                <w:rFonts w:hint="eastAsia" w:ascii="仿宋" w:hAnsi="仿宋" w:eastAsia="仿宋"/>
                <w:sz w:val="30"/>
                <w:szCs w:val="30"/>
              </w:rPr>
              <w:t>2</w:t>
            </w:r>
          </w:p>
        </w:tc>
        <w:tc>
          <w:tcPr>
            <w:tcW w:w="4552" w:type="pct"/>
            <w:noWrap w:val="0"/>
            <w:vAlign w:val="center"/>
          </w:tcPr>
          <w:p>
            <w:pPr>
              <w:snapToGrid w:val="0"/>
              <w:spacing w:line="360" w:lineRule="auto"/>
              <w:rPr>
                <w:rFonts w:hint="eastAsia" w:ascii="仿宋" w:hAnsi="仿宋" w:eastAsia="仿宋"/>
                <w:sz w:val="30"/>
                <w:szCs w:val="30"/>
              </w:rPr>
            </w:pPr>
            <w:r>
              <w:rPr>
                <w:rFonts w:hint="eastAsia" w:ascii="仿宋" w:hAnsi="仿宋" w:eastAsia="仿宋"/>
                <w:sz w:val="30"/>
                <w:szCs w:val="30"/>
              </w:rPr>
              <w:t>提供在中华人民共和国境内注册的法人或其他组织的营业执照或事业单位法人证书或社会团体法人登记证书复印件，如国家另有规定的，则从其规定。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6" w:hRule="atLeast"/>
        </w:trPr>
        <w:tc>
          <w:tcPr>
            <w:tcW w:w="447" w:type="pct"/>
            <w:noWrap w:val="0"/>
            <w:vAlign w:val="center"/>
          </w:tcPr>
          <w:p>
            <w:pPr>
              <w:tabs>
                <w:tab w:val="left" w:pos="176"/>
                <w:tab w:val="left" w:pos="612"/>
              </w:tabs>
              <w:snapToGrid w:val="0"/>
              <w:spacing w:line="288" w:lineRule="auto"/>
              <w:ind w:firstLine="300" w:firstLineChars="100"/>
              <w:rPr>
                <w:rFonts w:hint="eastAsia" w:ascii="仿宋" w:hAnsi="仿宋" w:eastAsia="仿宋"/>
                <w:sz w:val="30"/>
                <w:szCs w:val="30"/>
              </w:rPr>
            </w:pPr>
            <w:r>
              <w:rPr>
                <w:rFonts w:hint="eastAsia" w:ascii="仿宋" w:hAnsi="仿宋" w:eastAsia="仿宋"/>
                <w:sz w:val="30"/>
                <w:szCs w:val="30"/>
              </w:rPr>
              <w:t>3</w:t>
            </w:r>
          </w:p>
        </w:tc>
        <w:tc>
          <w:tcPr>
            <w:tcW w:w="4552" w:type="pct"/>
            <w:noWrap w:val="0"/>
            <w:vAlign w:val="center"/>
          </w:tcPr>
          <w:p>
            <w:pPr>
              <w:snapToGrid w:val="0"/>
              <w:spacing w:line="360" w:lineRule="auto"/>
              <w:rPr>
                <w:rFonts w:hint="eastAsia" w:ascii="仿宋" w:hAnsi="仿宋" w:eastAsia="仿宋"/>
                <w:color w:val="FF0000"/>
                <w:sz w:val="30"/>
                <w:szCs w:val="30"/>
              </w:rPr>
            </w:pPr>
            <w:r>
              <w:rPr>
                <w:rFonts w:hint="eastAsia" w:ascii="仿宋" w:hAnsi="仿宋" w:eastAsia="仿宋"/>
                <w:color w:val="FF0000"/>
                <w:sz w:val="30"/>
                <w:szCs w:val="30"/>
              </w:rPr>
              <w:t xml:space="preserve"> </w:t>
            </w:r>
            <w:r>
              <w:rPr>
                <w:rFonts w:hint="eastAsia" w:ascii="仿宋" w:hAnsi="仿宋" w:eastAsia="仿宋"/>
                <w:sz w:val="30"/>
                <w:szCs w:val="30"/>
              </w:rPr>
              <w:t>未被“信用中国”网站（www.creditchina.gov.cn）列入失信被执行人、重大税收违法案件当事人名单、政府采购严重失信行为记录名单（须提供网上截图加盖单位公章）</w:t>
            </w:r>
          </w:p>
        </w:tc>
      </w:tr>
    </w:tbl>
    <w:p>
      <w:pPr>
        <w:rPr>
          <w:rFonts w:hint="eastAsia" w:ascii="仿宋" w:hAnsi="仿宋" w:eastAsia="仿宋"/>
          <w:sz w:val="30"/>
          <w:szCs w:val="30"/>
        </w:rPr>
      </w:pPr>
    </w:p>
    <w:p>
      <w:pPr>
        <w:ind w:firstLine="3300" w:firstLineChars="1100"/>
        <w:rPr>
          <w:rFonts w:ascii="仿宋" w:hAnsi="仿宋" w:eastAsia="仿宋"/>
          <w:sz w:val="30"/>
          <w:szCs w:val="30"/>
        </w:rPr>
      </w:pPr>
      <w:r>
        <w:rPr>
          <w:rFonts w:hint="eastAsia" w:ascii="仿宋" w:hAnsi="仿宋" w:eastAsia="仿宋"/>
          <w:sz w:val="30"/>
          <w:szCs w:val="30"/>
        </w:rPr>
        <w:t>表2：符合性审查表</w:t>
      </w:r>
    </w:p>
    <w:tbl>
      <w:tblPr>
        <w:tblStyle w:val="4"/>
        <w:tblW w:w="532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1"/>
        <w:gridCol w:w="8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447" w:type="pct"/>
            <w:noWrap w:val="0"/>
            <w:vAlign w:val="center"/>
          </w:tcPr>
          <w:p>
            <w:pPr>
              <w:jc w:val="center"/>
              <w:rPr>
                <w:rFonts w:hint="eastAsia" w:ascii="仿宋" w:hAnsi="仿宋" w:eastAsia="仿宋"/>
                <w:sz w:val="30"/>
                <w:szCs w:val="30"/>
              </w:rPr>
            </w:pPr>
            <w:r>
              <w:rPr>
                <w:rFonts w:hint="eastAsia" w:ascii="仿宋" w:hAnsi="仿宋" w:eastAsia="仿宋"/>
                <w:sz w:val="30"/>
                <w:szCs w:val="30"/>
              </w:rPr>
              <w:t>序号</w:t>
            </w:r>
          </w:p>
        </w:tc>
        <w:tc>
          <w:tcPr>
            <w:tcW w:w="4552" w:type="pct"/>
            <w:noWrap w:val="0"/>
            <w:vAlign w:val="center"/>
          </w:tcPr>
          <w:p>
            <w:pPr>
              <w:jc w:val="center"/>
              <w:rPr>
                <w:rFonts w:hint="eastAsia" w:ascii="仿宋" w:hAnsi="仿宋" w:eastAsia="仿宋"/>
                <w:sz w:val="30"/>
                <w:szCs w:val="30"/>
              </w:rPr>
            </w:pPr>
            <w:r>
              <w:rPr>
                <w:rFonts w:hint="eastAsia" w:ascii="仿宋" w:hAnsi="仿宋" w:eastAsia="仿宋"/>
                <w:sz w:val="30"/>
                <w:szCs w:val="30"/>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trPr>
        <w:tc>
          <w:tcPr>
            <w:tcW w:w="447" w:type="pct"/>
            <w:noWrap w:val="0"/>
            <w:vAlign w:val="center"/>
          </w:tcPr>
          <w:p>
            <w:pPr>
              <w:numPr>
                <w:ilvl w:val="0"/>
                <w:numId w:val="1"/>
              </w:numPr>
              <w:tabs>
                <w:tab w:val="left" w:pos="176"/>
                <w:tab w:val="left" w:pos="612"/>
              </w:tabs>
              <w:jc w:val="center"/>
              <w:rPr>
                <w:rFonts w:hint="eastAsia" w:ascii="仿宋" w:hAnsi="仿宋" w:eastAsia="仿宋"/>
                <w:sz w:val="30"/>
                <w:szCs w:val="30"/>
              </w:rPr>
            </w:pPr>
          </w:p>
        </w:tc>
        <w:tc>
          <w:tcPr>
            <w:tcW w:w="4552" w:type="pct"/>
            <w:noWrap w:val="0"/>
            <w:vAlign w:val="center"/>
          </w:tcPr>
          <w:p>
            <w:pPr>
              <w:snapToGrid w:val="0"/>
              <w:spacing w:line="360" w:lineRule="auto"/>
              <w:rPr>
                <w:rFonts w:hint="eastAsia" w:ascii="仿宋" w:hAnsi="仿宋" w:eastAsia="仿宋"/>
                <w:sz w:val="30"/>
                <w:szCs w:val="30"/>
              </w:rPr>
            </w:pPr>
            <w:r>
              <w:rPr>
                <w:rFonts w:hint="eastAsia" w:ascii="仿宋" w:hAnsi="仿宋" w:eastAsia="仿宋"/>
                <w:sz w:val="30"/>
                <w:szCs w:val="30"/>
              </w:rPr>
              <w:t>投标报价按照招标文件要求进行报价，报价单加盖投标单位公章；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4" w:hRule="atLeast"/>
        </w:trPr>
        <w:tc>
          <w:tcPr>
            <w:tcW w:w="447" w:type="pct"/>
            <w:noWrap w:val="0"/>
            <w:vAlign w:val="center"/>
          </w:tcPr>
          <w:p>
            <w:pPr>
              <w:numPr>
                <w:ilvl w:val="0"/>
                <w:numId w:val="1"/>
              </w:numPr>
              <w:tabs>
                <w:tab w:val="left" w:pos="176"/>
                <w:tab w:val="left" w:pos="612"/>
              </w:tabs>
              <w:jc w:val="center"/>
              <w:rPr>
                <w:rFonts w:hint="eastAsia" w:ascii="仿宋" w:hAnsi="仿宋" w:eastAsia="仿宋"/>
                <w:sz w:val="30"/>
                <w:szCs w:val="30"/>
              </w:rPr>
            </w:pPr>
          </w:p>
        </w:tc>
        <w:tc>
          <w:tcPr>
            <w:tcW w:w="4552" w:type="pct"/>
            <w:noWrap w:val="0"/>
            <w:vAlign w:val="center"/>
          </w:tcPr>
          <w:p>
            <w:pPr>
              <w:snapToGrid w:val="0"/>
              <w:spacing w:line="360" w:lineRule="auto"/>
              <w:rPr>
                <w:rFonts w:hint="eastAsia" w:ascii="仿宋" w:hAnsi="仿宋" w:eastAsia="仿宋"/>
                <w:sz w:val="30"/>
                <w:szCs w:val="30"/>
              </w:rPr>
            </w:pPr>
            <w:r>
              <w:rPr>
                <w:rFonts w:hint="eastAsia" w:ascii="仿宋" w:hAnsi="仿宋" w:eastAsia="仿宋"/>
                <w:sz w:val="30"/>
                <w:szCs w:val="30"/>
              </w:rPr>
              <w:t>报价单没有删除品种、缺项、漏项（数量不符合将被视为漏项）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447" w:type="pct"/>
            <w:noWrap w:val="0"/>
            <w:vAlign w:val="center"/>
          </w:tcPr>
          <w:p>
            <w:pPr>
              <w:numPr>
                <w:ilvl w:val="0"/>
                <w:numId w:val="1"/>
              </w:numPr>
              <w:tabs>
                <w:tab w:val="left" w:pos="176"/>
                <w:tab w:val="left" w:pos="612"/>
              </w:tabs>
              <w:jc w:val="center"/>
              <w:rPr>
                <w:rFonts w:hint="eastAsia" w:ascii="仿宋" w:hAnsi="仿宋" w:eastAsia="仿宋"/>
                <w:sz w:val="30"/>
                <w:szCs w:val="30"/>
              </w:rPr>
            </w:pPr>
          </w:p>
        </w:tc>
        <w:tc>
          <w:tcPr>
            <w:tcW w:w="4552" w:type="pct"/>
            <w:noWrap w:val="0"/>
            <w:vAlign w:val="center"/>
          </w:tcPr>
          <w:p>
            <w:pPr>
              <w:snapToGrid w:val="0"/>
              <w:spacing w:line="360" w:lineRule="auto"/>
              <w:rPr>
                <w:rFonts w:hint="eastAsia" w:ascii="仿宋" w:hAnsi="仿宋" w:eastAsia="仿宋"/>
                <w:sz w:val="30"/>
                <w:szCs w:val="30"/>
              </w:rPr>
            </w:pPr>
            <w:r>
              <w:rPr>
                <w:rFonts w:hint="eastAsia" w:ascii="仿宋" w:hAnsi="仿宋" w:eastAsia="仿宋"/>
                <w:sz w:val="30"/>
                <w:szCs w:val="30"/>
              </w:rPr>
              <w:t>投标人的投标报价不高于控制价格；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447" w:type="pct"/>
            <w:noWrap w:val="0"/>
            <w:vAlign w:val="center"/>
          </w:tcPr>
          <w:p>
            <w:pPr>
              <w:numPr>
                <w:ilvl w:val="0"/>
                <w:numId w:val="1"/>
              </w:numPr>
              <w:tabs>
                <w:tab w:val="left" w:pos="176"/>
                <w:tab w:val="left" w:pos="612"/>
              </w:tabs>
              <w:jc w:val="center"/>
              <w:rPr>
                <w:rFonts w:hint="eastAsia" w:ascii="仿宋" w:hAnsi="仿宋" w:eastAsia="仿宋"/>
                <w:sz w:val="30"/>
                <w:szCs w:val="30"/>
              </w:rPr>
            </w:pPr>
          </w:p>
        </w:tc>
        <w:tc>
          <w:tcPr>
            <w:tcW w:w="4552" w:type="pct"/>
            <w:noWrap w:val="0"/>
            <w:vAlign w:val="center"/>
          </w:tcPr>
          <w:p>
            <w:pPr>
              <w:snapToGrid w:val="0"/>
              <w:spacing w:line="360" w:lineRule="auto"/>
              <w:rPr>
                <w:rFonts w:hint="eastAsia" w:ascii="仿宋" w:hAnsi="仿宋" w:eastAsia="仿宋"/>
                <w:sz w:val="30"/>
                <w:szCs w:val="30"/>
              </w:rPr>
            </w:pPr>
            <w:r>
              <w:rPr>
                <w:rFonts w:hint="eastAsia" w:ascii="仿宋" w:hAnsi="仿宋" w:eastAsia="仿宋"/>
                <w:sz w:val="30"/>
                <w:szCs w:val="30"/>
              </w:rPr>
              <w:t>投标人不涉及联合体投标；</w:t>
            </w:r>
          </w:p>
        </w:tc>
      </w:tr>
    </w:tbl>
    <w:p>
      <w:pPr>
        <w:rPr>
          <w:rFonts w:hint="eastAsia"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2）</w:t>
      </w:r>
      <w:r>
        <w:rPr>
          <w:rFonts w:hint="eastAsia" w:ascii="仿宋" w:hAnsi="仿宋" w:eastAsia="仿宋"/>
          <w:b/>
          <w:bCs/>
          <w:sz w:val="30"/>
          <w:szCs w:val="30"/>
        </w:rPr>
        <w:t>综合评审</w:t>
      </w:r>
    </w:p>
    <w:p>
      <w:pPr>
        <w:ind w:firstLine="3000" w:firstLineChars="1000"/>
        <w:rPr>
          <w:rFonts w:hint="eastAsia" w:ascii="仿宋" w:hAnsi="仿宋" w:eastAsia="仿宋"/>
          <w:sz w:val="30"/>
          <w:szCs w:val="30"/>
        </w:rPr>
      </w:pPr>
      <w:r>
        <w:rPr>
          <w:rFonts w:hint="eastAsia" w:ascii="仿宋" w:hAnsi="仿宋" w:eastAsia="仿宋"/>
          <w:sz w:val="30"/>
          <w:szCs w:val="30"/>
        </w:rPr>
        <w:t>表3：综合评分表</w:t>
      </w:r>
    </w:p>
    <w:tbl>
      <w:tblPr>
        <w:tblStyle w:val="4"/>
        <w:tblW w:w="9704"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47"/>
        <w:gridCol w:w="1653"/>
        <w:gridCol w:w="6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1347" w:type="dxa"/>
            <w:noWrap w:val="0"/>
            <w:vAlign w:val="top"/>
          </w:tcPr>
          <w:p>
            <w:pPr>
              <w:pStyle w:val="6"/>
              <w:spacing w:line="480" w:lineRule="exact"/>
              <w:jc w:val="center"/>
              <w:rPr>
                <w:rFonts w:hint="eastAsia" w:ascii="宋体" w:hAnsi="宋体" w:cs="宋体"/>
                <w:sz w:val="30"/>
                <w:szCs w:val="30"/>
                <w:lang w:bidi="zh-CN"/>
              </w:rPr>
            </w:pPr>
            <w:r>
              <w:rPr>
                <w:rFonts w:hint="eastAsia" w:ascii="宋体" w:hAnsi="宋体" w:cs="宋体"/>
                <w:sz w:val="30"/>
                <w:szCs w:val="30"/>
                <w:lang w:bidi="zh-CN"/>
              </w:rPr>
              <w:t>评审因素</w:t>
            </w:r>
          </w:p>
        </w:tc>
        <w:tc>
          <w:tcPr>
            <w:tcW w:w="8357" w:type="dxa"/>
            <w:gridSpan w:val="2"/>
            <w:noWrap w:val="0"/>
            <w:vAlign w:val="top"/>
          </w:tcPr>
          <w:p>
            <w:pPr>
              <w:pStyle w:val="6"/>
              <w:spacing w:line="480" w:lineRule="exact"/>
              <w:jc w:val="center"/>
              <w:rPr>
                <w:rFonts w:hint="eastAsia" w:ascii="宋体" w:hAnsi="宋体" w:cs="宋体"/>
                <w:sz w:val="30"/>
                <w:szCs w:val="30"/>
                <w:lang w:bidi="zh-CN"/>
              </w:rPr>
            </w:pPr>
            <w:r>
              <w:rPr>
                <w:rFonts w:hint="eastAsia" w:ascii="宋体" w:hAnsi="宋体" w:cs="宋体"/>
                <w:sz w:val="30"/>
                <w:szCs w:val="30"/>
                <w:lang w:bidi="zh-CN"/>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1347" w:type="dxa"/>
            <w:noWrap w:val="0"/>
            <w:vAlign w:val="top"/>
          </w:tcPr>
          <w:p>
            <w:pPr>
              <w:pStyle w:val="6"/>
              <w:spacing w:line="480" w:lineRule="exact"/>
              <w:jc w:val="center"/>
              <w:rPr>
                <w:rFonts w:hint="eastAsia" w:ascii="仿宋" w:hAnsi="仿宋" w:eastAsia="仿宋"/>
                <w:sz w:val="28"/>
                <w:szCs w:val="28"/>
              </w:rPr>
            </w:pPr>
            <w:r>
              <w:rPr>
                <w:rFonts w:hint="eastAsia" w:ascii="仿宋" w:hAnsi="仿宋" w:eastAsia="仿宋"/>
                <w:sz w:val="28"/>
                <w:szCs w:val="28"/>
              </w:rPr>
              <w:t>分值构成</w:t>
            </w:r>
          </w:p>
        </w:tc>
        <w:tc>
          <w:tcPr>
            <w:tcW w:w="8357" w:type="dxa"/>
            <w:gridSpan w:val="2"/>
            <w:noWrap w:val="0"/>
            <w:vAlign w:val="top"/>
          </w:tcPr>
          <w:p>
            <w:pPr>
              <w:pStyle w:val="6"/>
              <w:spacing w:line="480" w:lineRule="exact"/>
              <w:rPr>
                <w:rFonts w:hint="eastAsia" w:ascii="仿宋" w:hAnsi="仿宋" w:eastAsia="仿宋"/>
                <w:sz w:val="28"/>
                <w:szCs w:val="28"/>
              </w:rPr>
            </w:pPr>
            <w:r>
              <w:rPr>
                <w:rFonts w:hint="eastAsia" w:ascii="仿宋" w:hAnsi="仿宋" w:eastAsia="仿宋"/>
                <w:sz w:val="28"/>
                <w:szCs w:val="28"/>
              </w:rPr>
              <w:t>技术部分50.0分</w:t>
            </w:r>
          </w:p>
          <w:p>
            <w:pPr>
              <w:pStyle w:val="6"/>
              <w:spacing w:line="480" w:lineRule="exact"/>
              <w:rPr>
                <w:rFonts w:hint="eastAsia" w:ascii="仿宋" w:hAnsi="仿宋" w:eastAsia="仿宋"/>
                <w:sz w:val="28"/>
                <w:szCs w:val="28"/>
              </w:rPr>
            </w:pPr>
            <w:r>
              <w:rPr>
                <w:rFonts w:hint="eastAsia" w:ascii="仿宋" w:hAnsi="仿宋" w:eastAsia="仿宋"/>
                <w:sz w:val="28"/>
                <w:szCs w:val="28"/>
              </w:rPr>
              <w:t>商务部分20.0分</w:t>
            </w:r>
          </w:p>
          <w:p>
            <w:pPr>
              <w:pStyle w:val="6"/>
              <w:spacing w:line="480" w:lineRule="exact"/>
              <w:rPr>
                <w:rFonts w:hint="eastAsia" w:ascii="仿宋" w:hAnsi="仿宋" w:eastAsia="仿宋"/>
                <w:sz w:val="28"/>
                <w:szCs w:val="28"/>
              </w:rPr>
            </w:pPr>
            <w:r>
              <w:rPr>
                <w:rFonts w:hint="eastAsia" w:ascii="仿宋" w:hAnsi="仿宋" w:eastAsia="仿宋"/>
                <w:sz w:val="28"/>
                <w:szCs w:val="28"/>
              </w:rPr>
              <w:t>报价得分30.0分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1347" w:type="dxa"/>
            <w:noWrap w:val="0"/>
            <w:vAlign w:val="top"/>
          </w:tcPr>
          <w:p>
            <w:pPr>
              <w:pStyle w:val="6"/>
              <w:spacing w:line="480" w:lineRule="exact"/>
              <w:rPr>
                <w:rFonts w:hint="eastAsia" w:ascii="仿宋" w:hAnsi="仿宋" w:eastAsia="仿宋"/>
                <w:sz w:val="28"/>
                <w:szCs w:val="28"/>
              </w:rPr>
            </w:pPr>
            <w:r>
              <w:rPr>
                <w:rFonts w:hint="eastAsia" w:ascii="仿宋" w:hAnsi="仿宋" w:eastAsia="仿宋"/>
                <w:sz w:val="28"/>
                <w:szCs w:val="28"/>
              </w:rPr>
              <w:t>技术部分</w:t>
            </w:r>
          </w:p>
        </w:tc>
        <w:tc>
          <w:tcPr>
            <w:tcW w:w="1653" w:type="dxa"/>
            <w:noWrap w:val="0"/>
            <w:vAlign w:val="center"/>
          </w:tcPr>
          <w:p>
            <w:pPr>
              <w:pStyle w:val="6"/>
              <w:spacing w:line="480" w:lineRule="exact"/>
              <w:rPr>
                <w:rFonts w:hint="eastAsia" w:ascii="仿宋" w:hAnsi="仿宋" w:eastAsia="仿宋"/>
                <w:sz w:val="28"/>
                <w:szCs w:val="28"/>
              </w:rPr>
            </w:pPr>
            <w:r>
              <w:rPr>
                <w:rFonts w:hint="eastAsia" w:ascii="仿宋" w:hAnsi="仿宋" w:eastAsia="仿宋"/>
                <w:sz w:val="28"/>
                <w:szCs w:val="28"/>
              </w:rPr>
              <w:t>技术条款响应(50分）</w:t>
            </w:r>
          </w:p>
        </w:tc>
        <w:tc>
          <w:tcPr>
            <w:tcW w:w="6704" w:type="dxa"/>
            <w:noWrap w:val="0"/>
            <w:vAlign w:val="center"/>
          </w:tcPr>
          <w:p>
            <w:pPr>
              <w:spacing w:line="480" w:lineRule="exact"/>
              <w:rPr>
                <w:rFonts w:hint="eastAsia" w:ascii="仿宋" w:hAnsi="仿宋" w:eastAsia="仿宋"/>
                <w:sz w:val="28"/>
                <w:szCs w:val="28"/>
              </w:rPr>
            </w:pPr>
            <w:r>
              <w:rPr>
                <w:rFonts w:hint="eastAsia" w:ascii="仿宋" w:hAnsi="仿宋" w:eastAsia="仿宋"/>
                <w:sz w:val="28"/>
                <w:szCs w:val="28"/>
              </w:rPr>
              <w:t>对招标文件全部响应的，50分；</w:t>
            </w:r>
          </w:p>
          <w:p>
            <w:pPr>
              <w:spacing w:line="480" w:lineRule="exact"/>
              <w:rPr>
                <w:rFonts w:ascii="仿宋" w:hAnsi="仿宋" w:eastAsia="仿宋"/>
                <w:sz w:val="28"/>
                <w:szCs w:val="28"/>
              </w:rPr>
            </w:pPr>
            <w:r>
              <w:rPr>
                <w:rFonts w:hint="eastAsia" w:ascii="仿宋" w:hAnsi="仿宋" w:eastAsia="仿宋"/>
                <w:sz w:val="28"/>
                <w:szCs w:val="28"/>
              </w:rPr>
              <w:t>对招标文件有部分不响应的，每一项扣10分，扣完为止。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1347" w:type="dxa"/>
            <w:vMerge w:val="restart"/>
            <w:noWrap w:val="0"/>
            <w:vAlign w:val="top"/>
          </w:tcPr>
          <w:p>
            <w:pPr>
              <w:pStyle w:val="6"/>
              <w:spacing w:line="480" w:lineRule="exact"/>
              <w:rPr>
                <w:rFonts w:hint="eastAsia" w:ascii="仿宋" w:hAnsi="仿宋" w:eastAsia="仿宋"/>
                <w:sz w:val="28"/>
                <w:szCs w:val="28"/>
              </w:rPr>
            </w:pPr>
            <w:r>
              <w:rPr>
                <w:rFonts w:hint="eastAsia" w:ascii="仿宋" w:hAnsi="仿宋" w:eastAsia="仿宋"/>
                <w:sz w:val="28"/>
                <w:szCs w:val="28"/>
              </w:rPr>
              <w:t>商务部分</w:t>
            </w:r>
          </w:p>
        </w:tc>
        <w:tc>
          <w:tcPr>
            <w:tcW w:w="1653" w:type="dxa"/>
            <w:noWrap w:val="0"/>
            <w:vAlign w:val="top"/>
          </w:tcPr>
          <w:p>
            <w:pPr>
              <w:pStyle w:val="6"/>
              <w:spacing w:line="480" w:lineRule="exact"/>
              <w:rPr>
                <w:rFonts w:hint="eastAsia" w:ascii="仿宋" w:hAnsi="仿宋" w:eastAsia="仿宋"/>
                <w:sz w:val="28"/>
                <w:szCs w:val="28"/>
              </w:rPr>
            </w:pPr>
            <w:r>
              <w:rPr>
                <w:rFonts w:hint="eastAsia" w:ascii="仿宋" w:hAnsi="仿宋" w:eastAsia="仿宋"/>
                <w:sz w:val="28"/>
                <w:szCs w:val="28"/>
              </w:rPr>
              <w:t>产品质量保证、安全保障措施(10分）</w:t>
            </w:r>
          </w:p>
        </w:tc>
        <w:tc>
          <w:tcPr>
            <w:tcW w:w="6704" w:type="dxa"/>
            <w:noWrap w:val="0"/>
            <w:vAlign w:val="top"/>
          </w:tcPr>
          <w:p>
            <w:pPr>
              <w:spacing w:line="480" w:lineRule="exact"/>
              <w:rPr>
                <w:rFonts w:hint="eastAsia" w:ascii="仿宋" w:hAnsi="仿宋" w:eastAsia="仿宋"/>
                <w:sz w:val="28"/>
                <w:szCs w:val="28"/>
              </w:rPr>
            </w:pPr>
            <w:r>
              <w:rPr>
                <w:rFonts w:hint="eastAsia" w:ascii="仿宋" w:hAnsi="仿宋" w:eastAsia="仿宋"/>
                <w:sz w:val="28"/>
                <w:szCs w:val="28"/>
              </w:rPr>
              <w:t>1、本项目总体质量目标和实施方案；</w:t>
            </w:r>
          </w:p>
          <w:p>
            <w:pPr>
              <w:spacing w:line="480" w:lineRule="exact"/>
              <w:rPr>
                <w:rFonts w:hint="eastAsia" w:ascii="仿宋" w:hAnsi="仿宋" w:eastAsia="仿宋"/>
                <w:sz w:val="28"/>
                <w:szCs w:val="28"/>
              </w:rPr>
            </w:pPr>
            <w:r>
              <w:rPr>
                <w:rFonts w:hint="eastAsia" w:ascii="仿宋" w:hAnsi="仿宋" w:eastAsia="仿宋"/>
                <w:sz w:val="28"/>
                <w:szCs w:val="28"/>
              </w:rPr>
              <w:t>2、产品有效期；</w:t>
            </w:r>
          </w:p>
          <w:p>
            <w:pPr>
              <w:spacing w:line="480" w:lineRule="exact"/>
              <w:rPr>
                <w:rFonts w:hint="eastAsia" w:ascii="仿宋" w:hAnsi="仿宋" w:eastAsia="仿宋"/>
                <w:sz w:val="28"/>
                <w:szCs w:val="28"/>
              </w:rPr>
            </w:pPr>
            <w:r>
              <w:rPr>
                <w:rFonts w:hint="eastAsia" w:ascii="仿宋" w:hAnsi="仿宋" w:eastAsia="仿宋"/>
                <w:sz w:val="28"/>
                <w:szCs w:val="28"/>
              </w:rPr>
              <w:t>3、产品安全性保障；</w:t>
            </w:r>
          </w:p>
          <w:p>
            <w:pPr>
              <w:spacing w:line="480" w:lineRule="exact"/>
              <w:rPr>
                <w:rFonts w:hint="eastAsia" w:ascii="仿宋" w:hAnsi="仿宋" w:eastAsia="仿宋"/>
                <w:sz w:val="28"/>
                <w:szCs w:val="28"/>
              </w:rPr>
            </w:pPr>
            <w:r>
              <w:rPr>
                <w:rFonts w:hint="eastAsia" w:ascii="仿宋" w:hAnsi="仿宋" w:eastAsia="仿宋"/>
                <w:sz w:val="28"/>
                <w:szCs w:val="28"/>
              </w:rPr>
              <w:t>4、退换货服务措施。</w:t>
            </w:r>
          </w:p>
          <w:p>
            <w:pPr>
              <w:spacing w:line="480" w:lineRule="exact"/>
              <w:rPr>
                <w:rFonts w:hint="eastAsia" w:ascii="仿宋" w:hAnsi="仿宋" w:eastAsia="仿宋"/>
                <w:sz w:val="28"/>
                <w:szCs w:val="28"/>
              </w:rPr>
            </w:pPr>
            <w:r>
              <w:rPr>
                <w:rFonts w:hint="eastAsia" w:ascii="仿宋" w:hAnsi="仿宋" w:eastAsia="仿宋"/>
                <w:sz w:val="28"/>
                <w:szCs w:val="28"/>
              </w:rPr>
              <w:t>方案措施详细具体，可行性高，产品有效期符合招标文件要求的，得10分；</w:t>
            </w:r>
          </w:p>
          <w:p>
            <w:pPr>
              <w:spacing w:line="480" w:lineRule="exact"/>
              <w:rPr>
                <w:rFonts w:hint="eastAsia" w:ascii="仿宋" w:hAnsi="仿宋" w:eastAsia="仿宋"/>
                <w:sz w:val="28"/>
                <w:szCs w:val="28"/>
              </w:rPr>
            </w:pPr>
            <w:r>
              <w:rPr>
                <w:rFonts w:hint="eastAsia" w:ascii="仿宋" w:hAnsi="仿宋" w:eastAsia="仿宋"/>
                <w:sz w:val="28"/>
                <w:szCs w:val="28"/>
              </w:rPr>
              <w:t>方案措施详细具体，可行性较高，产品有效期符合招标文件要求的，得5分；</w:t>
            </w:r>
          </w:p>
          <w:p>
            <w:pPr>
              <w:spacing w:line="480" w:lineRule="exact"/>
              <w:rPr>
                <w:rFonts w:hint="eastAsia" w:ascii="仿宋" w:hAnsi="仿宋" w:eastAsia="仿宋"/>
                <w:sz w:val="28"/>
                <w:szCs w:val="28"/>
              </w:rPr>
            </w:pPr>
            <w:r>
              <w:rPr>
                <w:rFonts w:hint="eastAsia" w:ascii="仿宋" w:hAnsi="仿宋" w:eastAsia="仿宋"/>
                <w:sz w:val="28"/>
                <w:szCs w:val="28"/>
              </w:rPr>
              <w:t>方案措施详细具体，可行性一般，产品有效期符合招标文件要求的，得2分。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1347" w:type="dxa"/>
            <w:vMerge w:val="continue"/>
            <w:noWrap w:val="0"/>
            <w:vAlign w:val="top"/>
          </w:tcPr>
          <w:p>
            <w:pPr>
              <w:pStyle w:val="6"/>
              <w:spacing w:line="480" w:lineRule="exact"/>
              <w:rPr>
                <w:rFonts w:hint="eastAsia" w:ascii="仿宋" w:hAnsi="仿宋" w:eastAsia="仿宋"/>
                <w:sz w:val="28"/>
                <w:szCs w:val="28"/>
              </w:rPr>
            </w:pPr>
          </w:p>
        </w:tc>
        <w:tc>
          <w:tcPr>
            <w:tcW w:w="1653" w:type="dxa"/>
            <w:noWrap w:val="0"/>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整体供货、配送方案（10分）</w:t>
            </w:r>
          </w:p>
        </w:tc>
        <w:tc>
          <w:tcPr>
            <w:tcW w:w="6704" w:type="dxa"/>
            <w:noWrap w:val="0"/>
            <w:vAlign w:val="center"/>
          </w:tcPr>
          <w:p>
            <w:pPr>
              <w:spacing w:line="480" w:lineRule="exact"/>
              <w:rPr>
                <w:rFonts w:hint="eastAsia" w:ascii="仿宋" w:hAnsi="仿宋" w:eastAsia="仿宋"/>
                <w:sz w:val="28"/>
                <w:szCs w:val="28"/>
              </w:rPr>
            </w:pPr>
            <w:r>
              <w:rPr>
                <w:rFonts w:hint="eastAsia" w:ascii="仿宋" w:hAnsi="仿宋" w:eastAsia="仿宋"/>
                <w:sz w:val="28"/>
                <w:szCs w:val="28"/>
              </w:rPr>
              <w:t>1、对于采购人所需耗材的备货方案；</w:t>
            </w:r>
          </w:p>
          <w:p>
            <w:pPr>
              <w:spacing w:line="480" w:lineRule="exact"/>
              <w:rPr>
                <w:rFonts w:hint="eastAsia" w:ascii="仿宋" w:hAnsi="仿宋" w:eastAsia="仿宋"/>
                <w:sz w:val="28"/>
                <w:szCs w:val="28"/>
              </w:rPr>
            </w:pPr>
            <w:r>
              <w:rPr>
                <w:rFonts w:hint="eastAsia" w:ascii="仿宋" w:hAnsi="仿宋" w:eastAsia="仿宋"/>
                <w:sz w:val="28"/>
                <w:szCs w:val="28"/>
              </w:rPr>
              <w:t>2、对于采购人需求的时间安排，包括紧急需求的响应方案；</w:t>
            </w:r>
          </w:p>
          <w:p>
            <w:pPr>
              <w:spacing w:line="480" w:lineRule="exact"/>
              <w:rPr>
                <w:rFonts w:hint="eastAsia" w:ascii="仿宋" w:hAnsi="仿宋" w:eastAsia="仿宋"/>
                <w:sz w:val="28"/>
                <w:szCs w:val="28"/>
              </w:rPr>
            </w:pPr>
            <w:r>
              <w:rPr>
                <w:rFonts w:hint="eastAsia" w:ascii="仿宋" w:hAnsi="仿宋" w:eastAsia="仿宋"/>
                <w:sz w:val="28"/>
                <w:szCs w:val="28"/>
              </w:rPr>
              <w:t>3、产品的配送、运输方案；</w:t>
            </w:r>
          </w:p>
          <w:p>
            <w:pPr>
              <w:spacing w:line="480" w:lineRule="exact"/>
              <w:rPr>
                <w:rFonts w:hint="eastAsia" w:ascii="仿宋" w:hAnsi="仿宋" w:eastAsia="仿宋"/>
                <w:sz w:val="28"/>
                <w:szCs w:val="28"/>
              </w:rPr>
            </w:pPr>
            <w:r>
              <w:rPr>
                <w:rFonts w:hint="eastAsia" w:ascii="仿宋" w:hAnsi="仿宋" w:eastAsia="仿宋"/>
                <w:sz w:val="28"/>
                <w:szCs w:val="28"/>
              </w:rPr>
              <w:t>4、供货及售后服务点便利性。</w:t>
            </w:r>
          </w:p>
          <w:p>
            <w:pPr>
              <w:spacing w:line="480" w:lineRule="exact"/>
              <w:rPr>
                <w:rFonts w:hint="eastAsia" w:ascii="仿宋" w:hAnsi="仿宋" w:eastAsia="仿宋"/>
                <w:sz w:val="28"/>
                <w:szCs w:val="28"/>
              </w:rPr>
            </w:pPr>
            <w:r>
              <w:rPr>
                <w:rFonts w:hint="eastAsia" w:ascii="仿宋" w:hAnsi="仿宋" w:eastAsia="仿宋"/>
                <w:sz w:val="28"/>
                <w:szCs w:val="28"/>
              </w:rPr>
              <w:t>响应时间快、配送方案和应急措施具体、可行为优10分；</w:t>
            </w:r>
          </w:p>
          <w:p>
            <w:pPr>
              <w:spacing w:line="480" w:lineRule="exact"/>
              <w:rPr>
                <w:rFonts w:hint="eastAsia" w:ascii="仿宋" w:hAnsi="仿宋" w:eastAsia="仿宋"/>
                <w:sz w:val="28"/>
                <w:szCs w:val="28"/>
              </w:rPr>
            </w:pPr>
            <w:r>
              <w:rPr>
                <w:rFonts w:hint="eastAsia" w:ascii="仿宋" w:hAnsi="仿宋" w:eastAsia="仿宋"/>
                <w:sz w:val="28"/>
                <w:szCs w:val="28"/>
              </w:rPr>
              <w:t>响应时间较快、配送方案和应急措施较具体、可行为良5分；</w:t>
            </w:r>
          </w:p>
          <w:p>
            <w:pPr>
              <w:spacing w:line="480" w:lineRule="exact"/>
              <w:rPr>
                <w:rFonts w:ascii="仿宋" w:hAnsi="仿宋" w:eastAsia="仿宋"/>
                <w:sz w:val="28"/>
                <w:szCs w:val="28"/>
              </w:rPr>
            </w:pPr>
            <w:r>
              <w:rPr>
                <w:rFonts w:hint="eastAsia" w:ascii="仿宋" w:hAnsi="仿宋" w:eastAsia="仿宋"/>
                <w:sz w:val="28"/>
                <w:szCs w:val="28"/>
              </w:rPr>
              <w:t>响应时间较慢、配送方案和应急措施可行性一般，2分；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1347" w:type="dxa"/>
            <w:noWrap w:val="0"/>
            <w:vAlign w:val="top"/>
          </w:tcPr>
          <w:p>
            <w:pPr>
              <w:pStyle w:val="6"/>
              <w:spacing w:line="480" w:lineRule="exact"/>
              <w:jc w:val="center"/>
              <w:rPr>
                <w:rFonts w:hint="eastAsia" w:ascii="仿宋" w:hAnsi="仿宋" w:eastAsia="仿宋"/>
                <w:sz w:val="28"/>
                <w:szCs w:val="28"/>
              </w:rPr>
            </w:pPr>
            <w:r>
              <w:rPr>
                <w:rFonts w:hint="eastAsia" w:ascii="仿宋" w:hAnsi="仿宋" w:eastAsia="仿宋"/>
                <w:sz w:val="28"/>
                <w:szCs w:val="28"/>
              </w:rPr>
              <w:t>投标报价</w:t>
            </w:r>
          </w:p>
        </w:tc>
        <w:tc>
          <w:tcPr>
            <w:tcW w:w="1653" w:type="dxa"/>
            <w:noWrap w:val="0"/>
            <w:vAlign w:val="top"/>
          </w:tcPr>
          <w:p>
            <w:pPr>
              <w:pStyle w:val="6"/>
              <w:spacing w:line="480" w:lineRule="exact"/>
              <w:rPr>
                <w:rFonts w:hint="eastAsia" w:ascii="仿宋" w:hAnsi="仿宋" w:eastAsia="仿宋"/>
                <w:sz w:val="28"/>
                <w:szCs w:val="28"/>
              </w:rPr>
            </w:pPr>
            <w:r>
              <w:rPr>
                <w:rFonts w:hint="eastAsia" w:ascii="仿宋" w:hAnsi="仿宋" w:eastAsia="仿宋"/>
                <w:sz w:val="28"/>
                <w:szCs w:val="28"/>
              </w:rPr>
              <w:t>投标报价得分(30分)</w:t>
            </w:r>
          </w:p>
        </w:tc>
        <w:tc>
          <w:tcPr>
            <w:tcW w:w="6704" w:type="dxa"/>
            <w:noWrap w:val="0"/>
            <w:vAlign w:val="top"/>
          </w:tcPr>
          <w:p>
            <w:pPr>
              <w:snapToGrid w:val="0"/>
              <w:spacing w:line="360" w:lineRule="auto"/>
              <w:rPr>
                <w:rFonts w:hint="eastAsia" w:ascii="仿宋" w:hAnsi="仿宋" w:eastAsia="仿宋"/>
                <w:sz w:val="28"/>
                <w:szCs w:val="28"/>
              </w:rPr>
            </w:pPr>
            <w:r>
              <w:rPr>
                <w:rFonts w:hint="eastAsia" w:ascii="仿宋" w:hAnsi="仿宋" w:eastAsia="仿宋"/>
                <w:sz w:val="28"/>
                <w:szCs w:val="28"/>
              </w:rPr>
              <w:t>价格分应当采用低价优先法计算，即满足招标文件要求且投标价格最低的投标报价为评标基准价，其价格分为满分。其他投标人的价格分统一按照下列公式计算：</w:t>
            </w:r>
          </w:p>
          <w:p>
            <w:pPr>
              <w:snapToGrid w:val="0"/>
              <w:spacing w:line="360" w:lineRule="auto"/>
              <w:rPr>
                <w:rFonts w:hint="eastAsia" w:ascii="仿宋" w:hAnsi="仿宋" w:eastAsia="仿宋"/>
                <w:sz w:val="28"/>
                <w:szCs w:val="28"/>
              </w:rPr>
            </w:pPr>
            <w:r>
              <w:rPr>
                <w:rFonts w:hint="eastAsia" w:ascii="仿宋" w:hAnsi="仿宋" w:eastAsia="仿宋"/>
                <w:sz w:val="28"/>
                <w:szCs w:val="28"/>
              </w:rPr>
              <w:t>投标报价得分=(评标基准价／投标报价)×100×权重</w:t>
            </w:r>
          </w:p>
        </w:tc>
      </w:tr>
    </w:tbl>
    <w:p>
      <w:pPr>
        <w:rPr>
          <w:rFonts w:hint="eastAsia"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b/>
          <w:bCs/>
          <w:sz w:val="32"/>
          <w:szCs w:val="32"/>
        </w:rPr>
        <w:t>评分方法</w:t>
      </w:r>
    </w:p>
    <w:p>
      <w:pPr>
        <w:ind w:firstLine="640" w:firstLineChars="200"/>
        <w:rPr>
          <w:rFonts w:hint="eastAsia" w:ascii="仿宋" w:hAnsi="仿宋" w:eastAsia="仿宋"/>
          <w:sz w:val="32"/>
          <w:szCs w:val="32"/>
        </w:rPr>
      </w:pPr>
      <w:r>
        <w:rPr>
          <w:rFonts w:hint="eastAsia" w:ascii="仿宋" w:hAnsi="仿宋" w:eastAsia="仿宋"/>
          <w:sz w:val="32"/>
          <w:szCs w:val="32"/>
        </w:rPr>
        <w:t>1、资格性和符合性评审标准其中一项不符合，即不得推荐为候选中标人。</w:t>
      </w:r>
    </w:p>
    <w:p>
      <w:pPr>
        <w:ind w:firstLine="640" w:firstLineChars="200"/>
        <w:rPr>
          <w:rFonts w:hint="eastAsia" w:ascii="仿宋" w:hAnsi="仿宋" w:eastAsia="仿宋"/>
          <w:sz w:val="32"/>
          <w:szCs w:val="32"/>
        </w:rPr>
      </w:pPr>
      <w:r>
        <w:rPr>
          <w:rFonts w:hint="eastAsia" w:ascii="仿宋" w:hAnsi="仿宋" w:eastAsia="仿宋"/>
          <w:sz w:val="32"/>
          <w:szCs w:val="32"/>
        </w:rPr>
        <w:t>2、候选中标人达三家以上（含三家）才能进行综合评审。</w:t>
      </w:r>
    </w:p>
    <w:p>
      <w:pPr>
        <w:ind w:firstLine="640" w:firstLineChars="200"/>
        <w:rPr>
          <w:rFonts w:hint="eastAsia" w:ascii="仿宋" w:hAnsi="仿宋" w:eastAsia="仿宋"/>
          <w:sz w:val="32"/>
          <w:szCs w:val="32"/>
        </w:rPr>
      </w:pPr>
      <w:r>
        <w:rPr>
          <w:rFonts w:hint="eastAsia" w:ascii="仿宋" w:hAnsi="仿宋" w:eastAsia="仿宋"/>
          <w:sz w:val="32"/>
          <w:szCs w:val="32"/>
        </w:rPr>
        <w:t>3、评标委员会根据投标人综合得分进行排名，综合得分最高者，拟定为中标供应商。</w:t>
      </w:r>
    </w:p>
    <w:p>
      <w:pPr>
        <w:ind w:firstLine="640" w:firstLineChars="200"/>
        <w:rPr>
          <w:rFonts w:ascii="仿宋" w:hAnsi="仿宋" w:eastAsia="仿宋"/>
          <w:sz w:val="32"/>
          <w:szCs w:val="32"/>
        </w:rPr>
      </w:pPr>
      <w:r>
        <w:rPr>
          <w:rFonts w:hint="eastAsia" w:ascii="仿宋" w:hAnsi="仿宋" w:eastAsia="仿宋"/>
          <w:sz w:val="32"/>
          <w:szCs w:val="32"/>
        </w:rPr>
        <w:t>对各个评标委员会成员的技术、商务分取平均值，加上价格得分之和为综合得分。推荐综合得分最高的投标人为中标候选供应商（综合得分相同的，按投标报价由低到高顺序排列。综合得分且投标报价相同的，按技术指标优劣顺序排列）。</w:t>
      </w:r>
    </w:p>
    <w:p>
      <w:pPr>
        <w:ind w:firstLine="640" w:firstLineChars="200"/>
        <w:rPr>
          <w:rFonts w:ascii="仿宋" w:hAnsi="仿宋" w:eastAsia="仿宋"/>
          <w:sz w:val="32"/>
          <w:szCs w:val="32"/>
        </w:rPr>
      </w:pPr>
    </w:p>
    <w:p>
      <w:pPr>
        <w:pStyle w:val="2"/>
        <w:rPr>
          <w:rFonts w:hint="default" w:ascii="黑体" w:hAnsi="黑体" w:eastAsia="黑体" w:cs="Times New Roman"/>
          <w:kern w:val="0"/>
          <w:sz w:val="32"/>
          <w:szCs w:val="32"/>
          <w:lang w:val="en-US" w:eastAsia="zh-CN"/>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lEV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W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LQ0br6UHUP&#10;MIWWha3eWR7TRKm8XR0DpE2KR4E6VdCpeMAcpp71OxMH/c9zinr8n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npRFa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ODUxYTVjMjEyYTY2MzMxZDdkMGQzOTAwNjhiNDEifQ=="/>
  </w:docVars>
  <w:rsids>
    <w:rsidRoot w:val="00000000"/>
    <w:rsid w:val="113D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Paragraph"/>
    <w:basedOn w:val="1"/>
    <w:qFormat/>
    <w:uiPriority w:val="1"/>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2022-09-09T01:09:20Z</dcterms:created>
  <dc:creator>Administrator</dc:creator>
  <cp:lastModifiedBy>ting.</cp:lastModifiedBy>
  <dcterms:modified xsi:type="dcterms:W3CDTF">2022-09-09T01:09:52Z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27E052F4F6D74B53B04F663B11FF5A3D</vt:lpwstr>
  </property>
</Properties>
</file>