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8" w:type="dxa"/>
        <w:tblLayout w:type="fixed"/>
        <w:tblCellMar>
          <w:top w:w="0" w:type="dxa"/>
          <w:left w:w="108" w:type="dxa"/>
          <w:bottom w:w="0" w:type="dxa"/>
          <w:right w:w="108" w:type="dxa"/>
        </w:tblCellMar>
      </w:tblPr>
      <w:tblGrid>
        <w:gridCol w:w="1418"/>
        <w:gridCol w:w="1984"/>
        <w:gridCol w:w="1276"/>
        <w:gridCol w:w="7371"/>
        <w:gridCol w:w="1985"/>
      </w:tblGrid>
      <w:tr>
        <w:tblPrEx>
          <w:tblCellMar>
            <w:top w:w="0" w:type="dxa"/>
            <w:left w:w="108" w:type="dxa"/>
            <w:bottom w:w="0" w:type="dxa"/>
            <w:right w:w="108" w:type="dxa"/>
          </w:tblCellMar>
        </w:tblPrEx>
        <w:trPr>
          <w:trHeight w:val="660" w:hRule="atLeast"/>
        </w:trPr>
        <w:tc>
          <w:tcPr>
            <w:tcW w:w="14034" w:type="dxa"/>
            <w:gridSpan w:val="5"/>
            <w:tcBorders>
              <w:top w:val="nil"/>
              <w:left w:val="nil"/>
              <w:bottom w:val="nil"/>
              <w:right w:val="nil"/>
            </w:tcBorders>
            <w:noWrap w:val="0"/>
            <w:vAlign w:val="center"/>
          </w:tcPr>
          <w:p>
            <w:pPr>
              <w:pStyle w:val="2"/>
              <w:rPr>
                <w:lang w:val="en-US" w:eastAsia="zh-CN"/>
              </w:rPr>
            </w:pPr>
            <w:r>
              <w:rPr>
                <w:rFonts w:hint="eastAsia"/>
                <w:lang w:val="en-US" w:eastAsia="zh-CN"/>
              </w:rPr>
              <w:t>江门市医疗保障局新会分局关于采购医保政策法规培训服务项目评审表</w:t>
            </w:r>
          </w:p>
        </w:tc>
      </w:tr>
      <w:tr>
        <w:tblPrEx>
          <w:tblCellMar>
            <w:top w:w="0" w:type="dxa"/>
            <w:left w:w="108" w:type="dxa"/>
            <w:bottom w:w="0" w:type="dxa"/>
            <w:right w:w="108" w:type="dxa"/>
          </w:tblCellMar>
        </w:tblPrEx>
        <w:trPr>
          <w:trHeight w:val="435" w:hRule="atLeast"/>
        </w:trPr>
        <w:tc>
          <w:tcPr>
            <w:tcW w:w="12049" w:type="dxa"/>
            <w:gridSpan w:val="4"/>
            <w:tcBorders>
              <w:top w:val="nil"/>
              <w:left w:val="nil"/>
              <w:bottom w:val="single" w:color="000000" w:sz="4" w:space="0"/>
              <w:right w:val="nil"/>
            </w:tcBorders>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lang w:val="en-US" w:eastAsia="zh-CN"/>
              </w:rPr>
              <w:t>投标</w:t>
            </w:r>
            <w:r>
              <w:rPr>
                <w:rFonts w:ascii="宋体" w:hAnsi="宋体" w:cs="宋体"/>
                <w:kern w:val="0"/>
                <w:sz w:val="24"/>
              </w:rPr>
              <w:t>单位：</w:t>
            </w:r>
          </w:p>
        </w:tc>
        <w:tc>
          <w:tcPr>
            <w:tcW w:w="1985" w:type="dxa"/>
            <w:tcBorders>
              <w:top w:val="nil"/>
              <w:left w:val="nil"/>
              <w:bottom w:val="nil"/>
              <w:right w:val="nil"/>
            </w:tcBorders>
            <w:noWrap w:val="0"/>
            <w:vAlign w:val="top"/>
          </w:tcPr>
          <w:p>
            <w:pPr>
              <w:widowControl/>
              <w:spacing w:line="400" w:lineRule="exact"/>
              <w:jc w:val="left"/>
              <w:rPr>
                <w:rFonts w:ascii="宋体" w:hAnsi="宋体" w:cs="宋体"/>
                <w:kern w:val="0"/>
                <w:sz w:val="24"/>
              </w:rPr>
            </w:pPr>
          </w:p>
        </w:tc>
      </w:tr>
      <w:tr>
        <w:tblPrEx>
          <w:tblCellMar>
            <w:top w:w="0" w:type="dxa"/>
            <w:left w:w="108" w:type="dxa"/>
            <w:bottom w:w="0" w:type="dxa"/>
            <w:right w:w="108" w:type="dxa"/>
          </w:tblCellMar>
        </w:tblPrEx>
        <w:trPr>
          <w:trHeight w:val="420" w:hRule="atLeast"/>
        </w:trPr>
        <w:tc>
          <w:tcPr>
            <w:tcW w:w="34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中宋" w:hAnsi="华文中宋" w:eastAsia="华文中宋" w:cs="黑体"/>
                <w:kern w:val="0"/>
                <w:sz w:val="24"/>
              </w:rPr>
            </w:pPr>
            <w:r>
              <w:rPr>
                <w:rFonts w:hint="eastAsia" w:ascii="华文中宋" w:hAnsi="华文中宋" w:eastAsia="华文中宋" w:cs="黑体"/>
                <w:kern w:val="0"/>
                <w:sz w:val="24"/>
              </w:rPr>
              <w:t>评审项目</w:t>
            </w:r>
          </w:p>
        </w:tc>
        <w:tc>
          <w:tcPr>
            <w:tcW w:w="1276" w:type="dxa"/>
            <w:tcBorders>
              <w:top w:val="nil"/>
              <w:left w:val="nil"/>
              <w:bottom w:val="single" w:color="000000" w:sz="4" w:space="0"/>
              <w:right w:val="single" w:color="000000" w:sz="4" w:space="0"/>
            </w:tcBorders>
            <w:noWrap w:val="0"/>
            <w:vAlign w:val="center"/>
          </w:tcPr>
          <w:p>
            <w:pPr>
              <w:widowControl/>
              <w:jc w:val="center"/>
              <w:rPr>
                <w:rFonts w:ascii="华文中宋" w:hAnsi="华文中宋" w:eastAsia="华文中宋" w:cs="黑体"/>
                <w:kern w:val="0"/>
                <w:sz w:val="24"/>
              </w:rPr>
            </w:pPr>
            <w:r>
              <w:rPr>
                <w:rFonts w:hint="eastAsia" w:ascii="华文中宋" w:hAnsi="华文中宋" w:eastAsia="华文中宋" w:cs="黑体"/>
                <w:kern w:val="0"/>
                <w:sz w:val="24"/>
              </w:rPr>
              <w:t>分值(分)</w:t>
            </w:r>
          </w:p>
        </w:tc>
        <w:tc>
          <w:tcPr>
            <w:tcW w:w="7371" w:type="dxa"/>
            <w:tcBorders>
              <w:top w:val="nil"/>
              <w:left w:val="nil"/>
              <w:bottom w:val="single" w:color="000000" w:sz="4" w:space="0"/>
              <w:right w:val="nil"/>
            </w:tcBorders>
            <w:noWrap w:val="0"/>
            <w:vAlign w:val="center"/>
          </w:tcPr>
          <w:p>
            <w:pPr>
              <w:widowControl/>
              <w:jc w:val="center"/>
              <w:rPr>
                <w:rFonts w:ascii="华文中宋" w:hAnsi="华文中宋" w:eastAsia="华文中宋" w:cs="黑体"/>
                <w:kern w:val="0"/>
                <w:sz w:val="24"/>
              </w:rPr>
            </w:pPr>
            <w:r>
              <w:rPr>
                <w:rFonts w:hint="eastAsia" w:ascii="华文中宋" w:hAnsi="华文中宋" w:eastAsia="华文中宋" w:cs="黑体"/>
                <w:kern w:val="0"/>
                <w:sz w:val="24"/>
              </w:rPr>
              <w:t>评审标准</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中宋" w:hAnsi="华文中宋" w:eastAsia="华文中宋" w:cs="黑体"/>
                <w:kern w:val="0"/>
                <w:sz w:val="24"/>
              </w:rPr>
            </w:pPr>
            <w:r>
              <w:rPr>
                <w:rFonts w:hint="eastAsia" w:ascii="华文中宋" w:hAnsi="华文中宋" w:eastAsia="华文中宋" w:cs="黑体"/>
                <w:kern w:val="0"/>
                <w:sz w:val="24"/>
              </w:rPr>
              <w:t>得分</w:t>
            </w:r>
          </w:p>
        </w:tc>
      </w:tr>
      <w:tr>
        <w:tblPrEx>
          <w:tblCellMar>
            <w:top w:w="0" w:type="dxa"/>
            <w:left w:w="108" w:type="dxa"/>
            <w:bottom w:w="0" w:type="dxa"/>
            <w:right w:w="108" w:type="dxa"/>
          </w:tblCellMar>
        </w:tblPrEx>
        <w:trPr>
          <w:trHeight w:val="971" w:hRule="atLeast"/>
        </w:trPr>
        <w:tc>
          <w:tcPr>
            <w:tcW w:w="3402" w:type="dxa"/>
            <w:gridSpan w:val="2"/>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价格评审评定</w:t>
            </w:r>
          </w:p>
          <w:p>
            <w:pPr>
              <w:widowControl/>
              <w:jc w:val="center"/>
              <w:rPr>
                <w:rFonts w:ascii="宋体" w:hAnsi="宋体" w:cs="宋体"/>
                <w:kern w:val="0"/>
                <w:szCs w:val="21"/>
              </w:rPr>
            </w:pPr>
            <w:r>
              <w:rPr>
                <w:rFonts w:hint="eastAsia" w:ascii="宋体" w:hAnsi="宋体" w:cs="宋体"/>
                <w:kern w:val="0"/>
                <w:szCs w:val="21"/>
              </w:rPr>
              <w:t>（权重</w:t>
            </w:r>
            <w:r>
              <w:rPr>
                <w:rFonts w:hint="eastAsia" w:ascii="宋体" w:hAnsi="宋体" w:cs="宋体"/>
                <w:kern w:val="0"/>
                <w:szCs w:val="21"/>
                <w:lang w:val="en-US" w:eastAsia="zh-CN"/>
              </w:rPr>
              <w:t>20</w:t>
            </w:r>
            <w:r>
              <w:rPr>
                <w:rFonts w:hint="eastAsia" w:ascii="宋体" w:hAnsi="宋体" w:cs="宋体"/>
                <w:kern w:val="0"/>
                <w:szCs w:val="21"/>
              </w:rPr>
              <w:t>%）</w:t>
            </w:r>
          </w:p>
        </w:tc>
        <w:tc>
          <w:tcPr>
            <w:tcW w:w="1276" w:type="dxa"/>
            <w:tcBorders>
              <w:top w:val="nil"/>
              <w:left w:val="nil"/>
              <w:bottom w:val="single" w:color="auto" w:sz="4" w:space="0"/>
              <w:right w:val="single" w:color="000000"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7371" w:type="dxa"/>
            <w:tcBorders>
              <w:top w:val="nil"/>
              <w:left w:val="nil"/>
              <w:bottom w:val="single" w:color="auto" w:sz="4" w:space="0"/>
              <w:right w:val="nil"/>
            </w:tcBorders>
            <w:noWrap w:val="0"/>
            <w:vAlign w:val="center"/>
          </w:tcPr>
          <w:p>
            <w:pPr>
              <w:widowControl/>
              <w:jc w:val="left"/>
              <w:rPr>
                <w:rFonts w:hint="default" w:ascii="宋体" w:hAnsi="宋体" w:eastAsia="宋体" w:cs="宋体"/>
                <w:kern w:val="0"/>
                <w:sz w:val="18"/>
                <w:szCs w:val="18"/>
                <w:lang w:val="en-US" w:eastAsia="zh-CN"/>
              </w:rPr>
            </w:pPr>
            <w:r>
              <w:rPr>
                <w:rFonts w:hint="eastAsia"/>
                <w:kern w:val="0"/>
                <w:szCs w:val="21"/>
              </w:rPr>
              <w:t>重点评定承诺服务价格高低。以所有合格投标人评标价的最低价作为评分基准价，投标人的价格分按下式计算：价格分=（评分基准价/评标价）×</w:t>
            </w:r>
            <w:r>
              <w:rPr>
                <w:rFonts w:hint="eastAsia"/>
                <w:kern w:val="0"/>
                <w:szCs w:val="21"/>
                <w:lang w:val="en-US" w:eastAsia="zh-CN"/>
              </w:rPr>
              <w:t>20</w:t>
            </w:r>
          </w:p>
        </w:tc>
        <w:tc>
          <w:tcPr>
            <w:tcW w:w="19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953" w:hRule="atLeast"/>
        </w:trPr>
        <w:tc>
          <w:tcPr>
            <w:tcW w:w="14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服务评审评定</w:t>
            </w:r>
          </w:p>
          <w:p>
            <w:pPr>
              <w:widowControl/>
              <w:jc w:val="center"/>
              <w:rPr>
                <w:rFonts w:ascii="宋体" w:hAnsi="宋体" w:cs="宋体"/>
                <w:kern w:val="0"/>
                <w:szCs w:val="21"/>
              </w:rPr>
            </w:pPr>
            <w:r>
              <w:rPr>
                <w:rFonts w:hint="eastAsia" w:ascii="宋体" w:hAnsi="宋体" w:cs="宋体"/>
                <w:kern w:val="0"/>
                <w:szCs w:val="21"/>
              </w:rPr>
              <w:t>（权重</w:t>
            </w:r>
            <w:r>
              <w:rPr>
                <w:rFonts w:hint="eastAsia" w:ascii="宋体" w:hAnsi="宋体" w:cs="宋体"/>
                <w:kern w:val="0"/>
                <w:szCs w:val="21"/>
                <w:lang w:val="en-US" w:eastAsia="zh-CN"/>
              </w:rPr>
              <w:t>80</w:t>
            </w:r>
            <w:r>
              <w:rPr>
                <w:rFonts w:hint="eastAsia" w:ascii="宋体" w:hAnsi="宋体" w:cs="宋体"/>
                <w:kern w:val="0"/>
                <w:szCs w:val="21"/>
              </w:rPr>
              <w:t>%）</w:t>
            </w:r>
          </w:p>
          <w:p>
            <w:pPr>
              <w:jc w:val="center"/>
              <w:rPr>
                <w:rFonts w:ascii="宋体" w:hAnsi="宋体" w:cs="宋体"/>
                <w:kern w:val="0"/>
                <w:szCs w:val="21"/>
              </w:rPr>
            </w:pPr>
          </w:p>
        </w:tc>
        <w:tc>
          <w:tcPr>
            <w:tcW w:w="1984" w:type="dxa"/>
            <w:vMerge w:val="restart"/>
            <w:tcBorders>
              <w:top w:val="single" w:color="auto" w:sz="4" w:space="0"/>
              <w:left w:val="single" w:color="auto" w:sz="4" w:space="0"/>
              <w:right w:val="single" w:color="000000" w:sz="4" w:space="0"/>
            </w:tcBorders>
            <w:noWrap w:val="0"/>
            <w:vAlign w:val="center"/>
          </w:tcPr>
          <w:p>
            <w:pPr>
              <w:jc w:val="center"/>
              <w:rPr>
                <w:rFonts w:ascii="宋体" w:hAnsi="宋体" w:cs="宋体"/>
                <w:kern w:val="0"/>
                <w:szCs w:val="21"/>
              </w:rPr>
            </w:pPr>
            <w:r>
              <w:rPr>
                <w:rFonts w:hint="eastAsia" w:ascii="宋体" w:hAnsi="宋体" w:cs="宋体"/>
                <w:kern w:val="0"/>
                <w:szCs w:val="21"/>
                <w:lang w:val="en-US" w:eastAsia="zh-CN"/>
              </w:rPr>
              <w:t>综合实力</w:t>
            </w:r>
            <w:r>
              <w:rPr>
                <w:rFonts w:hint="eastAsia" w:ascii="宋体" w:hAnsi="宋体" w:cs="宋体"/>
                <w:kern w:val="0"/>
                <w:szCs w:val="21"/>
              </w:rPr>
              <w:t>评定</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20</w:t>
            </w:r>
          </w:p>
        </w:tc>
        <w:tc>
          <w:tcPr>
            <w:tcW w:w="7371" w:type="dxa"/>
            <w:tcBorders>
              <w:top w:val="single" w:color="auto" w:sz="4" w:space="0"/>
              <w:left w:val="nil"/>
              <w:bottom w:val="single" w:color="auto" w:sz="4" w:space="0"/>
              <w:right w:val="nil"/>
            </w:tcBorders>
            <w:noWrap w:val="0"/>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rPr>
              <w:t>根据投标人的管理规范、队伍稳定、社会信誉度</w:t>
            </w:r>
            <w:r>
              <w:rPr>
                <w:rFonts w:hint="eastAsia" w:ascii="宋体" w:hAnsi="宋体" w:cs="宋体"/>
                <w:kern w:val="0"/>
                <w:szCs w:val="21"/>
                <w:lang w:val="en-US" w:eastAsia="zh-CN"/>
              </w:rPr>
              <w:t>等</w:t>
            </w:r>
            <w:r>
              <w:rPr>
                <w:rFonts w:hint="eastAsia" w:ascii="宋体" w:hAnsi="宋体" w:cs="宋体"/>
                <w:kern w:val="0"/>
                <w:szCs w:val="21"/>
              </w:rPr>
              <w:t>进行综合比较</w:t>
            </w:r>
            <w:r>
              <w:rPr>
                <w:rFonts w:hint="eastAsia" w:ascii="宋体" w:hAnsi="宋体" w:cs="宋体"/>
                <w:kern w:val="0"/>
                <w:szCs w:val="21"/>
                <w:lang w:eastAsia="zh-CN"/>
              </w:rPr>
              <w:t>。</w:t>
            </w:r>
            <w:r>
              <w:rPr>
                <w:rFonts w:hint="eastAsia" w:ascii="宋体" w:hAnsi="宋体" w:cs="宋体"/>
                <w:kern w:val="0"/>
                <w:szCs w:val="21"/>
              </w:rPr>
              <w:t>优20-14分，良13-7分，一般6分以下。</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p>
        </w:tc>
      </w:tr>
      <w:tr>
        <w:tblPrEx>
          <w:tblCellMar>
            <w:top w:w="0" w:type="dxa"/>
            <w:left w:w="108" w:type="dxa"/>
            <w:bottom w:w="0" w:type="dxa"/>
            <w:right w:w="108" w:type="dxa"/>
          </w:tblCellMar>
        </w:tblPrEx>
        <w:trPr>
          <w:cantSplit/>
          <w:trHeight w:val="953" w:hRule="atLeast"/>
        </w:trPr>
        <w:tc>
          <w:tcPr>
            <w:tcW w:w="1418" w:type="dxa"/>
            <w:vMerge w:val="continue"/>
            <w:tcBorders>
              <w:left w:val="single" w:color="auto" w:sz="4" w:space="0"/>
              <w:right w:val="single" w:color="auto" w:sz="4" w:space="0"/>
            </w:tcBorders>
            <w:noWrap w:val="0"/>
            <w:vAlign w:val="center"/>
          </w:tcPr>
          <w:p>
            <w:pPr>
              <w:jc w:val="center"/>
              <w:rPr>
                <w:rFonts w:ascii="宋体" w:hAnsi="宋体" w:cs="宋体"/>
                <w:kern w:val="0"/>
                <w:szCs w:val="21"/>
              </w:rPr>
            </w:pPr>
          </w:p>
        </w:tc>
        <w:tc>
          <w:tcPr>
            <w:tcW w:w="1984" w:type="dxa"/>
            <w:vMerge w:val="continue"/>
            <w:tcBorders>
              <w:left w:val="single" w:color="auto" w:sz="4" w:space="0"/>
              <w:bottom w:val="single" w:color="auto" w:sz="4" w:space="0"/>
              <w:right w:val="single" w:color="000000" w:sz="4" w:space="0"/>
            </w:tcBorders>
            <w:noWrap w:val="0"/>
            <w:vAlign w:val="center"/>
          </w:tcPr>
          <w:p>
            <w:pPr>
              <w:jc w:val="center"/>
              <w:rPr>
                <w:rFonts w:ascii="宋体" w:hAnsi="宋体" w:cs="宋体"/>
                <w:kern w:val="0"/>
                <w:szCs w:val="21"/>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7371" w:type="dxa"/>
            <w:tcBorders>
              <w:top w:val="single" w:color="auto" w:sz="4" w:space="0"/>
              <w:left w:val="nil"/>
              <w:bottom w:val="single" w:color="auto" w:sz="4" w:space="0"/>
              <w:right w:val="nil"/>
            </w:tcBorders>
            <w:noWrap w:val="0"/>
            <w:vAlign w:val="center"/>
          </w:tcPr>
          <w:p>
            <w:pPr>
              <w:widowControl/>
              <w:jc w:val="left"/>
              <w:rPr>
                <w:kern w:val="0"/>
                <w:szCs w:val="21"/>
              </w:rPr>
            </w:pPr>
            <w:r>
              <w:rPr>
                <w:rFonts w:hint="eastAsia" w:ascii="宋体" w:hAnsi="宋体" w:cs="宋体"/>
                <w:kern w:val="0"/>
                <w:szCs w:val="21"/>
              </w:rPr>
              <w:t>根据投标人的专业方向、工作经验</w:t>
            </w:r>
            <w:r>
              <w:rPr>
                <w:rFonts w:hint="eastAsia" w:ascii="宋体" w:hAnsi="宋体" w:cs="宋体"/>
                <w:kern w:val="0"/>
                <w:szCs w:val="21"/>
                <w:lang w:eastAsia="zh-CN"/>
              </w:rPr>
              <w:t>、</w:t>
            </w:r>
            <w:r>
              <w:rPr>
                <w:rFonts w:hint="eastAsia" w:ascii="宋体" w:hAnsi="宋体" w:cs="宋体"/>
                <w:kern w:val="0"/>
                <w:szCs w:val="21"/>
              </w:rPr>
              <w:t>近两年开展的</w:t>
            </w:r>
            <w:r>
              <w:rPr>
                <w:rFonts w:hint="eastAsia" w:ascii="宋体" w:hAnsi="宋体" w:cs="宋体"/>
                <w:kern w:val="0"/>
                <w:szCs w:val="21"/>
                <w:lang w:val="en-US" w:eastAsia="zh-CN"/>
              </w:rPr>
              <w:t>培训</w:t>
            </w:r>
            <w:r>
              <w:rPr>
                <w:rFonts w:hint="eastAsia" w:ascii="宋体" w:hAnsi="宋体" w:cs="宋体"/>
                <w:kern w:val="0"/>
                <w:szCs w:val="21"/>
              </w:rPr>
              <w:t>工作情况、成效</w:t>
            </w:r>
            <w:r>
              <w:rPr>
                <w:rFonts w:hint="eastAsia" w:ascii="宋体" w:hAnsi="宋体" w:cs="宋体"/>
                <w:kern w:val="0"/>
                <w:szCs w:val="21"/>
                <w:lang w:val="en-US" w:eastAsia="zh-CN"/>
              </w:rPr>
              <w:t>等</w:t>
            </w:r>
            <w:r>
              <w:rPr>
                <w:rFonts w:hint="eastAsia" w:ascii="宋体" w:hAnsi="宋体" w:cs="宋体"/>
                <w:kern w:val="0"/>
                <w:szCs w:val="21"/>
              </w:rPr>
              <w:t>进行综合比较。优20-14分，良13-7分，一般6分以下。</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p>
          <w:p>
            <w:pPr>
              <w:jc w:val="center"/>
              <w:rPr>
                <w:rFonts w:ascii="宋体" w:hAnsi="宋体" w:cs="宋体"/>
                <w:kern w:val="0"/>
                <w:szCs w:val="21"/>
              </w:rPr>
            </w:pPr>
          </w:p>
        </w:tc>
      </w:tr>
      <w:tr>
        <w:tblPrEx>
          <w:tblCellMar>
            <w:top w:w="0" w:type="dxa"/>
            <w:left w:w="108" w:type="dxa"/>
            <w:bottom w:w="0" w:type="dxa"/>
            <w:right w:w="108" w:type="dxa"/>
          </w:tblCellMar>
        </w:tblPrEx>
        <w:trPr>
          <w:cantSplit/>
          <w:trHeight w:val="1013" w:hRule="atLeast"/>
        </w:trPr>
        <w:tc>
          <w:tcPr>
            <w:tcW w:w="1418" w:type="dxa"/>
            <w:vMerge w:val="continue"/>
            <w:tcBorders>
              <w:left w:val="single" w:color="auto" w:sz="4" w:space="0"/>
              <w:right w:val="single" w:color="auto" w:sz="4" w:space="0"/>
            </w:tcBorders>
            <w:noWrap w:val="0"/>
            <w:vAlign w:val="center"/>
          </w:tcPr>
          <w:p>
            <w:pPr>
              <w:jc w:val="center"/>
              <w:rPr>
                <w:rFonts w:ascii="宋体" w:hAnsi="宋体" w:cs="宋体"/>
                <w:kern w:val="0"/>
                <w:szCs w:val="21"/>
              </w:rPr>
            </w:pPr>
          </w:p>
        </w:tc>
        <w:tc>
          <w:tcPr>
            <w:tcW w:w="1984" w:type="dxa"/>
            <w:tcBorders>
              <w:top w:val="single" w:color="auto" w:sz="4" w:space="0"/>
              <w:left w:val="single" w:color="auto" w:sz="4" w:space="0"/>
              <w:bottom w:val="single" w:color="auto" w:sz="4" w:space="0"/>
              <w:right w:val="nil"/>
            </w:tcBorders>
            <w:noWrap w:val="0"/>
            <w:vAlign w:val="center"/>
          </w:tcPr>
          <w:p>
            <w:pPr>
              <w:jc w:val="center"/>
              <w:rPr>
                <w:rFonts w:ascii="宋体" w:hAnsi="宋体" w:cs="宋体"/>
                <w:kern w:val="0"/>
                <w:szCs w:val="21"/>
              </w:rPr>
            </w:pPr>
            <w:r>
              <w:rPr>
                <w:rFonts w:hint="eastAsia" w:ascii="宋体" w:hAnsi="宋体" w:cs="宋体"/>
                <w:kern w:val="0"/>
                <w:szCs w:val="21"/>
              </w:rPr>
              <w:t>服务单位团队评定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w:t>
            </w:r>
          </w:p>
        </w:tc>
        <w:tc>
          <w:tcPr>
            <w:tcW w:w="7371" w:type="dxa"/>
            <w:tcBorders>
              <w:top w:val="nil"/>
              <w:left w:val="nil"/>
              <w:bottom w:val="single" w:color="auto" w:sz="4" w:space="0"/>
              <w:right w:val="nil"/>
            </w:tcBorders>
            <w:noWrap w:val="0"/>
            <w:vAlign w:val="center"/>
          </w:tcPr>
          <w:p>
            <w:pPr>
              <w:widowControl/>
              <w:jc w:val="left"/>
              <w:rPr>
                <w:kern w:val="0"/>
                <w:szCs w:val="21"/>
              </w:rPr>
            </w:pPr>
            <w:r>
              <w:rPr>
                <w:rFonts w:hint="eastAsia" w:ascii="宋体" w:hAnsi="宋体" w:cs="宋体"/>
                <w:kern w:val="0"/>
                <w:szCs w:val="21"/>
              </w:rPr>
              <w:t>根据投标人对提供项目服务内容响应度等进行综合比较。包括是否提供详尽的项目方案、优质的服务质量及应对服务承诺程度</w:t>
            </w:r>
            <w:r>
              <w:rPr>
                <w:rFonts w:hint="eastAsia" w:ascii="宋体" w:hAnsi="宋体" w:cs="宋体"/>
                <w:kern w:val="0"/>
                <w:szCs w:val="21"/>
                <w:lang w:val="en-US" w:eastAsia="zh-CN"/>
              </w:rPr>
              <w:t>等</w:t>
            </w:r>
            <w:r>
              <w:rPr>
                <w:rFonts w:hint="eastAsia" w:ascii="宋体" w:hAnsi="宋体" w:cs="宋体"/>
                <w:kern w:val="0"/>
                <w:szCs w:val="21"/>
              </w:rPr>
              <w:t>。优</w:t>
            </w:r>
            <w:r>
              <w:rPr>
                <w:rFonts w:hint="eastAsia" w:ascii="宋体" w:hAnsi="宋体" w:cs="宋体"/>
                <w:kern w:val="0"/>
                <w:szCs w:val="21"/>
                <w:lang w:val="en-US" w:eastAsia="zh-CN"/>
              </w:rPr>
              <w:t>40</w:t>
            </w:r>
            <w:r>
              <w:rPr>
                <w:rFonts w:hint="eastAsia" w:ascii="宋体" w:hAnsi="宋体" w:cs="宋体"/>
                <w:kern w:val="0"/>
                <w:szCs w:val="21"/>
              </w:rPr>
              <w:t>-</w:t>
            </w:r>
            <w:r>
              <w:rPr>
                <w:rFonts w:hint="eastAsia" w:ascii="宋体" w:hAnsi="宋体" w:cs="宋体"/>
                <w:kern w:val="0"/>
                <w:szCs w:val="21"/>
                <w:lang w:val="en-US" w:eastAsia="zh-CN"/>
              </w:rPr>
              <w:t>27</w:t>
            </w:r>
            <w:r>
              <w:rPr>
                <w:rFonts w:hint="eastAsia" w:ascii="宋体" w:hAnsi="宋体" w:cs="宋体"/>
                <w:kern w:val="0"/>
                <w:szCs w:val="21"/>
              </w:rPr>
              <w:t>分，良</w:t>
            </w:r>
            <w:r>
              <w:rPr>
                <w:rFonts w:hint="eastAsia" w:ascii="宋体" w:hAnsi="宋体" w:cs="宋体"/>
                <w:kern w:val="0"/>
                <w:szCs w:val="21"/>
                <w:lang w:val="en-US" w:eastAsia="zh-CN"/>
              </w:rPr>
              <w:t>26</w:t>
            </w:r>
            <w:r>
              <w:rPr>
                <w:rFonts w:hint="eastAsia" w:ascii="宋体" w:hAnsi="宋体" w:cs="宋体"/>
                <w:kern w:val="0"/>
                <w:szCs w:val="21"/>
              </w:rPr>
              <w:t>-</w:t>
            </w:r>
            <w:r>
              <w:rPr>
                <w:rFonts w:hint="eastAsia" w:ascii="宋体" w:hAnsi="宋体" w:cs="宋体"/>
                <w:kern w:val="0"/>
                <w:szCs w:val="21"/>
                <w:lang w:val="en-US" w:eastAsia="zh-CN"/>
              </w:rPr>
              <w:t>13</w:t>
            </w:r>
            <w:r>
              <w:rPr>
                <w:rFonts w:hint="eastAsia" w:ascii="宋体" w:hAnsi="宋体" w:cs="宋体"/>
                <w:kern w:val="0"/>
                <w:szCs w:val="21"/>
              </w:rPr>
              <w:t>分，一般</w:t>
            </w:r>
            <w:r>
              <w:rPr>
                <w:rFonts w:hint="eastAsia" w:ascii="宋体" w:hAnsi="宋体" w:cs="宋体"/>
                <w:kern w:val="0"/>
                <w:szCs w:val="21"/>
                <w:lang w:val="en-US" w:eastAsia="zh-CN"/>
              </w:rPr>
              <w:t>12</w:t>
            </w:r>
            <w:r>
              <w:rPr>
                <w:rFonts w:hint="eastAsia" w:ascii="宋体" w:hAnsi="宋体" w:cs="宋体"/>
                <w:kern w:val="0"/>
                <w:szCs w:val="21"/>
              </w:rPr>
              <w:t>分以下。</w:t>
            </w:r>
          </w:p>
        </w:tc>
        <w:tc>
          <w:tcPr>
            <w:tcW w:w="19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 w:hRule="atLeast"/>
        </w:trPr>
        <w:tc>
          <w:tcPr>
            <w:tcW w:w="1204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合 </w:t>
            </w:r>
            <w:r>
              <w:rPr>
                <w:rFonts w:ascii="宋体" w:hAnsi="宋体" w:cs="宋体"/>
                <w:color w:val="000000"/>
                <w:kern w:val="0"/>
                <w:sz w:val="24"/>
              </w:rPr>
              <w:t xml:space="preserve"> </w:t>
            </w:r>
            <w:r>
              <w:rPr>
                <w:rFonts w:hint="eastAsia" w:ascii="宋体" w:hAnsi="宋体" w:cs="宋体"/>
                <w:color w:val="000000"/>
                <w:kern w:val="0"/>
                <w:sz w:val="24"/>
              </w:rPr>
              <w:t>计</w:t>
            </w:r>
          </w:p>
        </w:tc>
        <w:tc>
          <w:tcPr>
            <w:tcW w:w="1985"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p>
          <w:p>
            <w:pPr>
              <w:rPr>
                <w:rFonts w:ascii="宋体" w:hAnsi="宋体" w:cs="宋体"/>
                <w:kern w:val="0"/>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C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2022-09-14T02:32:41Z</dcterms:created>
  <dc:creator>HP</dc:creator>
  <cp:lastModifiedBy>林嘉琪</cp:lastModifiedBy>
  <dcterms:modified xsi:type="dcterms:W3CDTF">2022-09-14T02:32:58Z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