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</w:pPr>
      <w:r>
        <w:rPr>
          <w:rFonts w:hint="eastAsia" w:ascii="方正大标宋_GBK" w:hAnsi="方正大标宋_GBK" w:eastAsia="方正大标宋_GBK" w:cs="方正大标宋_GBK"/>
          <w:sz w:val="44"/>
          <w:szCs w:val="44"/>
          <w:lang w:val="en-US" w:eastAsia="zh-CN"/>
        </w:rPr>
        <w:t>2022年高新技术企业技术创新“强核”计划难题筛选指导会专家简介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val="en-US" w:eastAsia="zh-CN"/>
        </w:rPr>
        <w:t>杨杰：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广东省创新方法首席专家，面向企事业单位主讲过创新方法培训超过400场，辅导过的企业实际课题数百项，服务过机械制造、家用电器、仪器仪表、医疗仪器、电气、电子、化工、建筑、云服务、知识产权、汽车、航空、航天、灯具、包装等众多行业领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CA5E7B"/>
    <w:rsid w:val="2D6C2B90"/>
    <w:rsid w:val="4AAE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2022-10-20T10:29:00Z</dcterms:created>
  <dc:creator>Administrator</dc:creator>
  <cp:lastModifiedBy>甘锋</cp:lastModifiedBy>
  <dcterms:modified xsi:type="dcterms:W3CDTF">2022-10-21T03:05:30Z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