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widowControl w:val="0"/>
        <w:shd w:val="clear" w:color="auto" w:fill="auto"/>
        <w:bidi w:val="0"/>
        <w:spacing w:before="0" w:after="940" w:line="240" w:lineRule="auto"/>
        <w:ind w:left="0" w:right="0" w:firstLine="0"/>
        <w:jc w:val="left"/>
        <w:rPr>
          <w:rFonts w:hint="eastAsia" w:eastAsia="宋体"/>
          <w:sz w:val="30"/>
          <w:szCs w:val="30"/>
          <w:lang w:eastAsia="zh-CN"/>
        </w:rPr>
      </w:pPr>
      <w:bookmarkStart w:id="0" w:name="bookmark21"/>
      <w:bookmarkStart w:id="1" w:name="bookmark24"/>
      <w:bookmarkStart w:id="2" w:name="bookmark23"/>
      <w:bookmarkStart w:id="3" w:name="bookmark22"/>
      <w:r>
        <w:rPr>
          <w:b/>
          <w:bCs/>
          <w:color w:val="000000"/>
          <w:spacing w:val="0"/>
          <w:w w:val="100"/>
          <w:position w:val="0"/>
          <w:sz w:val="26"/>
          <w:szCs w:val="26"/>
        </w:rPr>
        <w:t>4</w:t>
      </w:r>
      <w:r>
        <w:rPr>
          <w:b/>
          <w:bCs/>
          <w:color w:val="000000"/>
          <w:spacing w:val="0"/>
          <w:w w:val="100"/>
          <w:position w:val="0"/>
          <w:sz w:val="30"/>
          <w:szCs w:val="30"/>
        </w:rPr>
        <w:t>检查</w:t>
      </w:r>
      <w:bookmarkEnd w:id="0"/>
      <w:bookmarkEnd w:id="1"/>
      <w:bookmarkEnd w:id="2"/>
      <w:bookmarkEnd w:id="3"/>
      <w:r>
        <w:rPr>
          <w:rFonts w:hint="eastAsia"/>
          <w:b/>
          <w:bCs/>
          <w:color w:val="000000"/>
          <w:spacing w:val="0"/>
          <w:w w:val="100"/>
          <w:position w:val="0"/>
          <w:sz w:val="30"/>
          <w:szCs w:val="30"/>
          <w:lang w:eastAsia="zh-CN"/>
        </w:rPr>
        <w:t>方法</w:t>
      </w:r>
    </w:p>
    <w:p>
      <w:pPr>
        <w:pStyle w:val="5"/>
        <w:keepNext/>
        <w:keepLines/>
        <w:widowControl w:val="0"/>
        <w:numPr>
          <w:ilvl w:val="0"/>
          <w:numId w:val="0"/>
        </w:numPr>
        <w:shd w:val="clear" w:color="auto" w:fill="auto"/>
        <w:tabs>
          <w:tab w:val="left" w:pos="392"/>
        </w:tabs>
        <w:bidi w:val="0"/>
        <w:spacing w:before="0" w:after="0" w:line="240" w:lineRule="auto"/>
        <w:ind w:leftChars="0" w:right="0" w:rightChars="0"/>
        <w:jc w:val="left"/>
        <w:rPr>
          <w:sz w:val="30"/>
          <w:szCs w:val="30"/>
        </w:rPr>
      </w:pPr>
      <w:bookmarkStart w:id="4" w:name="bookmark28"/>
      <w:bookmarkEnd w:id="4"/>
      <w:bookmarkStart w:id="5" w:name="bookmark25"/>
      <w:bookmarkStart w:id="6" w:name="bookmark26"/>
      <w:bookmarkStart w:id="7" w:name="bookmark27"/>
      <w:bookmarkStart w:id="8" w:name="bookmark29"/>
      <w:r>
        <w:rPr>
          <w:rFonts w:hint="eastAsia"/>
          <w:color w:val="000000"/>
          <w:spacing w:val="0"/>
          <w:w w:val="100"/>
          <w:position w:val="0"/>
          <w:sz w:val="26"/>
          <w:szCs w:val="26"/>
          <w:lang w:val="en-US" w:eastAsia="zh-CN"/>
        </w:rPr>
        <w:t>4.</w:t>
      </w:r>
      <w:r>
        <w:rPr>
          <w:color w:val="000000"/>
          <w:spacing w:val="0"/>
          <w:w w:val="100"/>
          <w:position w:val="0"/>
          <w:sz w:val="26"/>
          <w:szCs w:val="26"/>
        </w:rPr>
        <w:t xml:space="preserve">1 </w:t>
      </w:r>
      <w:r>
        <w:rPr>
          <w:color w:val="000000"/>
          <w:spacing w:val="0"/>
          <w:w w:val="100"/>
          <w:position w:val="0"/>
          <w:sz w:val="30"/>
          <w:szCs w:val="30"/>
        </w:rPr>
        <w:t>一般要求</w:t>
      </w:r>
      <w:bookmarkEnd w:id="5"/>
      <w:bookmarkEnd w:id="6"/>
      <w:bookmarkEnd w:id="7"/>
      <w:bookmarkEnd w:id="8"/>
    </w:p>
    <w:p>
      <w:pPr>
        <w:pStyle w:val="6"/>
        <w:keepNext w:val="0"/>
        <w:keepLines w:val="0"/>
        <w:widowControl w:val="0"/>
        <w:numPr>
          <w:ilvl w:val="0"/>
          <w:numId w:val="0"/>
        </w:numPr>
        <w:shd w:val="clear" w:color="auto" w:fill="auto"/>
        <w:tabs>
          <w:tab w:val="left" w:pos="382"/>
        </w:tabs>
        <w:bidi w:val="0"/>
        <w:spacing w:before="0" w:after="0" w:line="628" w:lineRule="exact"/>
        <w:ind w:leftChars="0" w:right="0" w:rightChars="0"/>
        <w:jc w:val="left"/>
      </w:pPr>
      <w:bookmarkStart w:id="9" w:name="bookmark30"/>
      <w:bookmarkEnd w:id="9"/>
      <w:r>
        <w:rPr>
          <w:rFonts w:hint="eastAsia" w:ascii="Times New Roman" w:hAnsi="Times New Roman" w:cs="Times New Roman"/>
          <w:color w:val="000000"/>
          <w:spacing w:val="0"/>
          <w:w w:val="100"/>
          <w:position w:val="0"/>
          <w:sz w:val="28"/>
          <w:szCs w:val="28"/>
          <w:lang w:val="en-US" w:eastAsia="zh-CN" w:bidi="en-US"/>
        </w:rPr>
        <w:t>4.</w:t>
      </w:r>
      <w:r>
        <w:rPr>
          <w:rFonts w:ascii="Times New Roman" w:hAnsi="Times New Roman" w:eastAsia="Times New Roman" w:cs="Times New Roman"/>
          <w:color w:val="000000"/>
          <w:spacing w:val="0"/>
          <w:w w:val="100"/>
          <w:position w:val="0"/>
          <w:sz w:val="28"/>
          <w:szCs w:val="28"/>
          <w:lang w:val="en-US" w:eastAsia="en-US" w:bidi="en-US"/>
        </w:rPr>
        <w:t xml:space="preserve">1. </w:t>
      </w:r>
      <w:r>
        <w:rPr>
          <w:rFonts w:ascii="Times New Roman" w:hAnsi="Times New Roman" w:eastAsia="Times New Roman" w:cs="Times New Roman"/>
          <w:color w:val="000000"/>
          <w:spacing w:val="0"/>
          <w:w w:val="100"/>
          <w:position w:val="0"/>
          <w:sz w:val="28"/>
          <w:szCs w:val="28"/>
        </w:rPr>
        <w:t>1</w:t>
      </w:r>
      <w:r>
        <w:rPr>
          <w:rFonts w:hint="eastAsia"/>
          <w:color w:val="000000"/>
          <w:spacing w:val="0"/>
          <w:w w:val="100"/>
          <w:position w:val="0"/>
          <w:lang w:eastAsia="zh-CN"/>
        </w:rPr>
        <w:t>检查</w:t>
      </w:r>
      <w:r>
        <w:rPr>
          <w:color w:val="000000"/>
          <w:spacing w:val="0"/>
          <w:w w:val="100"/>
          <w:position w:val="0"/>
        </w:rPr>
        <w:t>应按照本</w:t>
      </w:r>
      <w:r>
        <w:rPr>
          <w:rFonts w:hint="eastAsia"/>
          <w:color w:val="000000"/>
          <w:spacing w:val="0"/>
          <w:w w:val="100"/>
          <w:position w:val="0"/>
          <w:lang w:eastAsia="zh-CN"/>
        </w:rPr>
        <w:t>规范</w:t>
      </w:r>
      <w:r>
        <w:rPr>
          <w:color w:val="000000"/>
          <w:spacing w:val="0"/>
          <w:w w:val="100"/>
          <w:position w:val="0"/>
        </w:rPr>
        <w:t>预先划分的若干单元，使用相应的表格</w:t>
      </w:r>
      <w:r>
        <w:rPr>
          <w:rFonts w:hint="eastAsia"/>
          <w:color w:val="000000"/>
          <w:spacing w:val="0"/>
          <w:w w:val="100"/>
          <w:position w:val="0"/>
          <w:lang w:eastAsia="zh-CN"/>
        </w:rPr>
        <w:t>（见附录）</w:t>
      </w:r>
      <w:r>
        <w:rPr>
          <w:color w:val="000000"/>
          <w:spacing w:val="0"/>
          <w:w w:val="100"/>
          <w:position w:val="0"/>
        </w:rPr>
        <w:t>。</w:t>
      </w:r>
    </w:p>
    <w:p>
      <w:pPr>
        <w:pStyle w:val="6"/>
        <w:keepNext w:val="0"/>
        <w:keepLines w:val="0"/>
        <w:widowControl w:val="0"/>
        <w:shd w:val="clear" w:color="auto" w:fill="auto"/>
        <w:bidi w:val="0"/>
        <w:spacing w:before="0" w:after="0" w:line="628" w:lineRule="exact"/>
        <w:ind w:left="0" w:right="0" w:firstLine="0"/>
        <w:jc w:val="left"/>
      </w:pPr>
      <w:r>
        <w:rPr>
          <w:rFonts w:ascii="Times New Roman" w:hAnsi="Times New Roman" w:eastAsia="Times New Roman" w:cs="Times New Roman"/>
          <w:color w:val="000000"/>
          <w:spacing w:val="0"/>
          <w:w w:val="100"/>
          <w:position w:val="0"/>
          <w:sz w:val="28"/>
          <w:szCs w:val="28"/>
          <w:lang w:val="en-US" w:eastAsia="en-US" w:bidi="en-US"/>
        </w:rPr>
        <w:t>4.1.2</w:t>
      </w:r>
      <w:r>
        <w:rPr>
          <w:color w:val="000000"/>
          <w:spacing w:val="0"/>
          <w:w w:val="100"/>
          <w:position w:val="0"/>
        </w:rPr>
        <w:t>检查组</w:t>
      </w:r>
      <w:r>
        <w:rPr>
          <w:rFonts w:hint="eastAsia"/>
          <w:color w:val="000000"/>
          <w:spacing w:val="0"/>
          <w:w w:val="100"/>
          <w:position w:val="0"/>
          <w:lang w:eastAsia="zh-CN"/>
        </w:rPr>
        <w:t>组成：</w:t>
      </w:r>
      <w:r>
        <w:rPr>
          <w:color w:val="000000"/>
          <w:spacing w:val="0"/>
          <w:w w:val="100"/>
          <w:position w:val="0"/>
        </w:rPr>
        <w:t>燃气专业技术人员应不少于</w:t>
      </w:r>
      <w:r>
        <w:rPr>
          <w:rFonts w:ascii="Times New Roman" w:hAnsi="Times New Roman" w:eastAsia="Times New Roman" w:cs="Times New Roman"/>
          <w:color w:val="000000"/>
          <w:spacing w:val="0"/>
          <w:w w:val="100"/>
          <w:position w:val="0"/>
          <w:sz w:val="28"/>
          <w:szCs w:val="28"/>
        </w:rPr>
        <w:t>2</w:t>
      </w:r>
      <w:r>
        <w:rPr>
          <w:color w:val="000000"/>
          <w:spacing w:val="0"/>
          <w:w w:val="100"/>
          <w:position w:val="0"/>
        </w:rPr>
        <w:t>人，其余由</w:t>
      </w:r>
      <w:r>
        <w:rPr>
          <w:rFonts w:hint="eastAsia"/>
          <w:color w:val="000000"/>
          <w:spacing w:val="0"/>
          <w:w w:val="100"/>
          <w:position w:val="0"/>
          <w:lang w:eastAsia="zh-CN"/>
        </w:rPr>
        <w:t>燃气管理、特种设备、消防安全、电气防爆、应急管理、安全生产等领域专家</w:t>
      </w:r>
      <w:r>
        <w:rPr>
          <w:color w:val="000000"/>
          <w:spacing w:val="0"/>
          <w:w w:val="100"/>
          <w:position w:val="0"/>
        </w:rPr>
        <w:t>组成。</w:t>
      </w:r>
    </w:p>
    <w:p>
      <w:pPr>
        <w:pStyle w:val="6"/>
        <w:keepNext w:val="0"/>
        <w:keepLines w:val="0"/>
        <w:widowControl w:val="0"/>
        <w:numPr>
          <w:ilvl w:val="0"/>
          <w:numId w:val="0"/>
        </w:numPr>
        <w:shd w:val="clear" w:color="auto" w:fill="auto"/>
        <w:tabs>
          <w:tab w:val="left" w:pos="382"/>
        </w:tabs>
        <w:bidi w:val="0"/>
        <w:spacing w:before="0" w:after="0" w:line="648" w:lineRule="exact"/>
        <w:ind w:leftChars="0" w:right="0" w:rightChars="0"/>
        <w:jc w:val="left"/>
      </w:pPr>
      <w:bookmarkStart w:id="10" w:name="bookmark31"/>
      <w:bookmarkEnd w:id="10"/>
      <w:r>
        <w:rPr>
          <w:rFonts w:hint="eastAsia" w:ascii="Times New Roman" w:hAnsi="Times New Roman" w:cs="Times New Roman"/>
          <w:color w:val="000000"/>
          <w:spacing w:val="0"/>
          <w:w w:val="100"/>
          <w:position w:val="0"/>
          <w:sz w:val="28"/>
          <w:szCs w:val="28"/>
          <w:lang w:val="en-US" w:eastAsia="zh-CN" w:bidi="en-US"/>
        </w:rPr>
        <w:t>4.</w:t>
      </w:r>
      <w:r>
        <w:rPr>
          <w:rFonts w:ascii="Times New Roman" w:hAnsi="Times New Roman" w:eastAsia="Times New Roman" w:cs="Times New Roman"/>
          <w:color w:val="000000"/>
          <w:spacing w:val="0"/>
          <w:w w:val="100"/>
          <w:position w:val="0"/>
          <w:sz w:val="28"/>
          <w:szCs w:val="28"/>
          <w:lang w:val="en-US" w:eastAsia="en-US" w:bidi="en-US"/>
        </w:rPr>
        <w:t>1.3</w:t>
      </w:r>
      <w:r>
        <w:rPr>
          <w:color w:val="000000"/>
          <w:spacing w:val="0"/>
          <w:w w:val="100"/>
          <w:position w:val="0"/>
        </w:rPr>
        <w:t>为保证结果的客观、公正，检查或评估组人员的选取，应采取回避制度。</w:t>
      </w:r>
    </w:p>
    <w:p>
      <w:pPr>
        <w:pStyle w:val="6"/>
        <w:keepNext w:val="0"/>
        <w:keepLines w:val="0"/>
        <w:widowControl w:val="0"/>
        <w:shd w:val="clear" w:color="auto" w:fill="auto"/>
        <w:bidi w:val="0"/>
        <w:spacing w:before="0" w:after="260" w:line="590" w:lineRule="exact"/>
        <w:ind w:left="0" w:right="0" w:firstLine="0"/>
        <w:jc w:val="left"/>
        <w:rPr>
          <w:color w:val="000000"/>
          <w:spacing w:val="0"/>
          <w:w w:val="100"/>
          <w:position w:val="0"/>
        </w:rPr>
      </w:pPr>
      <w:r>
        <w:rPr>
          <w:rFonts w:ascii="Times New Roman" w:hAnsi="Times New Roman" w:eastAsia="Times New Roman" w:cs="Times New Roman"/>
          <w:color w:val="000000"/>
          <w:spacing w:val="0"/>
          <w:w w:val="100"/>
          <w:position w:val="0"/>
          <w:sz w:val="28"/>
          <w:szCs w:val="28"/>
          <w:lang w:val="en-US" w:eastAsia="en-US" w:bidi="en-US"/>
        </w:rPr>
        <w:t>4.1.4</w:t>
      </w:r>
      <w:r>
        <w:rPr>
          <w:color w:val="000000"/>
          <w:spacing w:val="0"/>
          <w:w w:val="100"/>
          <w:position w:val="0"/>
        </w:rPr>
        <w:t>检查或评估组人员应做好记录，编制检查和评估报告，并在记录和报告上签字确认，记录和报告应归档，妥善保管。</w:t>
      </w:r>
      <w:bookmarkStart w:id="11" w:name="bookmark32"/>
      <w:bookmarkEnd w:id="11"/>
    </w:p>
    <w:p>
      <w:pPr>
        <w:pStyle w:val="6"/>
        <w:keepNext w:val="0"/>
        <w:keepLines w:val="0"/>
        <w:widowControl w:val="0"/>
        <w:shd w:val="clear" w:color="auto" w:fill="auto"/>
        <w:bidi w:val="0"/>
        <w:spacing w:before="0" w:after="260" w:line="590" w:lineRule="exact"/>
        <w:ind w:left="0" w:right="0" w:firstLine="0"/>
        <w:jc w:val="left"/>
        <w:rPr>
          <w:rFonts w:hint="eastAsia" w:eastAsia="宋体"/>
          <w:lang w:eastAsia="zh-CN"/>
        </w:rPr>
      </w:pPr>
      <w:r>
        <w:rPr>
          <w:rFonts w:ascii="Times New Roman" w:hAnsi="Times New Roman" w:eastAsia="Times New Roman" w:cs="Times New Roman"/>
          <w:color w:val="000000"/>
          <w:spacing w:val="0"/>
          <w:w w:val="100"/>
          <w:position w:val="0"/>
          <w:sz w:val="28"/>
          <w:szCs w:val="28"/>
          <w:lang w:val="en-US" w:eastAsia="en-US" w:bidi="en-US"/>
        </w:rPr>
        <w:t>4.1.7</w:t>
      </w:r>
      <w:r>
        <w:rPr>
          <w:rFonts w:hint="eastAsia"/>
          <w:color w:val="000000"/>
          <w:spacing w:val="0"/>
          <w:w w:val="100"/>
          <w:position w:val="0"/>
          <w:lang w:eastAsia="zh-CN"/>
        </w:rPr>
        <w:t>检查周期为每年一次。</w:t>
      </w:r>
    </w:p>
    <w:p>
      <w:pPr>
        <w:pStyle w:val="5"/>
        <w:keepNext/>
        <w:keepLines/>
        <w:widowControl w:val="0"/>
        <w:shd w:val="clear" w:color="auto" w:fill="auto"/>
        <w:bidi w:val="0"/>
        <w:spacing w:before="0" w:after="0" w:line="240" w:lineRule="auto"/>
        <w:ind w:left="0" w:right="0" w:firstLine="0"/>
        <w:jc w:val="left"/>
        <w:rPr>
          <w:sz w:val="30"/>
          <w:szCs w:val="30"/>
        </w:rPr>
      </w:pPr>
      <w:bookmarkStart w:id="12" w:name="bookmark38"/>
      <w:bookmarkStart w:id="13" w:name="bookmark39"/>
      <w:bookmarkStart w:id="14" w:name="bookmark40"/>
      <w:bookmarkStart w:id="15" w:name="bookmark41"/>
      <w:r>
        <w:rPr>
          <w:color w:val="000000"/>
          <w:spacing w:val="0"/>
          <w:w w:val="100"/>
          <w:position w:val="0"/>
          <w:sz w:val="26"/>
          <w:szCs w:val="26"/>
          <w:lang w:val="en-US" w:eastAsia="en-US" w:bidi="en-US"/>
        </w:rPr>
        <w:t>4.2</w:t>
      </w:r>
      <w:r>
        <w:rPr>
          <w:color w:val="000000"/>
          <w:spacing w:val="0"/>
          <w:w w:val="100"/>
          <w:position w:val="0"/>
          <w:sz w:val="30"/>
          <w:szCs w:val="30"/>
        </w:rPr>
        <w:t>方式与内容</w:t>
      </w:r>
      <w:bookmarkEnd w:id="12"/>
      <w:bookmarkEnd w:id="13"/>
      <w:bookmarkEnd w:id="14"/>
      <w:bookmarkEnd w:id="15"/>
    </w:p>
    <w:p>
      <w:pPr>
        <w:pStyle w:val="6"/>
        <w:keepNext w:val="0"/>
        <w:keepLines w:val="0"/>
        <w:widowControl w:val="0"/>
        <w:numPr>
          <w:ilvl w:val="0"/>
          <w:numId w:val="0"/>
        </w:numPr>
        <w:shd w:val="clear" w:color="auto" w:fill="auto"/>
        <w:tabs>
          <w:tab w:val="left" w:pos="661"/>
        </w:tabs>
        <w:bidi w:val="0"/>
        <w:spacing w:before="0" w:after="0" w:line="632" w:lineRule="exact"/>
        <w:ind w:leftChars="0" w:right="0" w:rightChars="0"/>
        <w:jc w:val="left"/>
      </w:pPr>
      <w:bookmarkStart w:id="16" w:name="bookmark42"/>
      <w:bookmarkEnd w:id="16"/>
      <w:r>
        <w:rPr>
          <w:rFonts w:hint="eastAsia" w:ascii="Times New Roman" w:hAnsi="Times New Roman" w:cs="Times New Roman"/>
          <w:color w:val="000000"/>
          <w:spacing w:val="0"/>
          <w:w w:val="100"/>
          <w:position w:val="0"/>
          <w:sz w:val="28"/>
          <w:szCs w:val="28"/>
          <w:lang w:val="en-US" w:eastAsia="zh-CN"/>
        </w:rPr>
        <w:t>4.2.</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检查应采取资料核查、现场检查、问询、测试等相结合的方式进行。</w:t>
      </w:r>
    </w:p>
    <w:p>
      <w:pPr>
        <w:pStyle w:val="6"/>
        <w:keepNext w:val="0"/>
        <w:keepLines w:val="0"/>
        <w:widowControl w:val="0"/>
        <w:shd w:val="clear" w:color="auto" w:fill="auto"/>
        <w:bidi w:val="0"/>
        <w:spacing w:before="0" w:after="0" w:line="624" w:lineRule="exact"/>
        <w:ind w:left="0" w:right="0" w:firstLine="0"/>
        <w:jc w:val="left"/>
      </w:pPr>
      <w:r>
        <w:rPr>
          <w:rFonts w:ascii="Times New Roman" w:hAnsi="Times New Roman" w:eastAsia="Times New Roman" w:cs="Times New Roman"/>
          <w:color w:val="000000"/>
          <w:spacing w:val="0"/>
          <w:w w:val="100"/>
          <w:position w:val="0"/>
          <w:sz w:val="28"/>
          <w:szCs w:val="28"/>
          <w:lang w:val="en-US" w:eastAsia="en-US" w:bidi="en-US"/>
        </w:rPr>
        <w:t>4.2.2</w:t>
      </w:r>
      <w:r>
        <w:rPr>
          <w:color w:val="000000"/>
          <w:spacing w:val="0"/>
          <w:w w:val="100"/>
          <w:position w:val="0"/>
        </w:rPr>
        <w:t>安全检查应依据附录</w:t>
      </w:r>
      <w:r>
        <w:rPr>
          <w:rFonts w:hint="eastAsia" w:ascii="Times New Roman" w:hAnsi="Times New Roman" w:cs="Times New Roman"/>
          <w:color w:val="000000"/>
          <w:spacing w:val="0"/>
          <w:w w:val="100"/>
          <w:position w:val="0"/>
          <w:sz w:val="28"/>
          <w:szCs w:val="28"/>
          <w:lang w:val="en-US" w:eastAsia="zh-CN" w:bidi="en-US"/>
        </w:rPr>
        <w:t>A或附</w:t>
      </w:r>
      <w:r>
        <w:rPr>
          <w:color w:val="000000"/>
          <w:spacing w:val="0"/>
          <w:w w:val="100"/>
          <w:position w:val="0"/>
        </w:rPr>
        <w:t>录</w:t>
      </w:r>
      <w:r>
        <w:rPr>
          <w:rFonts w:hint="eastAsia"/>
          <w:color w:val="000000"/>
          <w:spacing w:val="0"/>
          <w:w w:val="100"/>
          <w:position w:val="0"/>
          <w:lang w:val="en-US" w:eastAsia="zh-CN"/>
        </w:rPr>
        <w:t>B</w:t>
      </w:r>
      <w:r>
        <w:rPr>
          <w:color w:val="000000"/>
          <w:spacing w:val="0"/>
          <w:w w:val="100"/>
          <w:position w:val="0"/>
        </w:rPr>
        <w:t>检查与评估表的项目内容进行。安全检</w:t>
      </w:r>
      <w:r>
        <w:rPr>
          <w:rFonts w:hint="eastAsia"/>
          <w:color w:val="000000"/>
          <w:spacing w:val="0"/>
          <w:w w:val="100"/>
          <w:position w:val="0"/>
          <w:lang w:eastAsia="zh-CN"/>
        </w:rPr>
        <w:t>查</w:t>
      </w:r>
      <w:r>
        <w:rPr>
          <w:color w:val="000000"/>
          <w:spacing w:val="0"/>
          <w:w w:val="100"/>
          <w:position w:val="0"/>
        </w:rPr>
        <w:t>应涵盖表中的全部项目内容（空项除外）进行检查、评分，并确定安全等级。</w:t>
      </w:r>
    </w:p>
    <w:p>
      <w:pPr>
        <w:pStyle w:val="5"/>
        <w:keepNext/>
        <w:keepLines/>
        <w:widowControl w:val="0"/>
        <w:shd w:val="clear" w:color="auto" w:fill="auto"/>
        <w:bidi w:val="0"/>
        <w:spacing w:before="0" w:after="0" w:line="240" w:lineRule="auto"/>
        <w:ind w:left="0" w:right="0" w:firstLine="0"/>
        <w:jc w:val="left"/>
        <w:rPr>
          <w:rFonts w:hint="default"/>
          <w:color w:val="000000"/>
          <w:spacing w:val="0"/>
          <w:w w:val="100"/>
          <w:position w:val="0"/>
          <w:sz w:val="30"/>
          <w:szCs w:val="30"/>
          <w:lang w:val="en-US" w:eastAsia="zh-CN"/>
        </w:rPr>
      </w:pPr>
      <w:r>
        <w:rPr>
          <w:rFonts w:hint="eastAsia"/>
          <w:color w:val="000000"/>
          <w:spacing w:val="0"/>
          <w:w w:val="100"/>
          <w:position w:val="0"/>
          <w:sz w:val="30"/>
          <w:szCs w:val="30"/>
          <w:lang w:val="en-US" w:eastAsia="zh-CN"/>
        </w:rPr>
        <w:t>4.3评分标准</w:t>
      </w:r>
    </w:p>
    <w:p>
      <w:pPr>
        <w:pStyle w:val="6"/>
        <w:keepNext w:val="0"/>
        <w:keepLines w:val="0"/>
        <w:widowControl w:val="0"/>
        <w:numPr>
          <w:ilvl w:val="0"/>
          <w:numId w:val="0"/>
        </w:numPr>
        <w:shd w:val="clear" w:color="auto" w:fill="auto"/>
        <w:tabs>
          <w:tab w:val="left" w:pos="661"/>
        </w:tabs>
        <w:bidi w:val="0"/>
        <w:spacing w:before="0" w:after="0" w:line="632" w:lineRule="exact"/>
        <w:ind w:leftChars="0" w:right="0" w:rightChars="0"/>
        <w:jc w:val="left"/>
        <w:rPr>
          <w:rFonts w:hint="eastAsia"/>
          <w:color w:val="000000"/>
          <w:spacing w:val="0"/>
          <w:w w:val="100"/>
          <w:position w:val="0"/>
          <w:lang w:val="en-US" w:eastAsia="zh-CN"/>
        </w:rPr>
      </w:pPr>
      <w:r>
        <w:rPr>
          <w:rFonts w:hint="eastAsia"/>
          <w:color w:val="000000"/>
          <w:spacing w:val="0"/>
          <w:w w:val="100"/>
          <w:position w:val="0"/>
          <w:lang w:val="en-US" w:eastAsia="zh-CN"/>
        </w:rPr>
        <w:t>4.3.1有下列情况之一的，不适用本标准</w:t>
      </w:r>
    </w:p>
    <w:p>
      <w:pPr>
        <w:pStyle w:val="6"/>
        <w:keepNext w:val="0"/>
        <w:keepLines w:val="0"/>
        <w:widowControl w:val="0"/>
        <w:numPr>
          <w:ilvl w:val="0"/>
          <w:numId w:val="0"/>
        </w:numPr>
        <w:shd w:val="clear" w:color="auto" w:fill="auto"/>
        <w:tabs>
          <w:tab w:val="left" w:pos="661"/>
        </w:tabs>
        <w:bidi w:val="0"/>
        <w:spacing w:before="0" w:after="0" w:line="632" w:lineRule="exact"/>
        <w:ind w:leftChars="0" w:right="0" w:rightChars="0"/>
        <w:jc w:val="left"/>
        <w:rPr>
          <w:rFonts w:hint="eastAsia"/>
          <w:color w:val="000000"/>
          <w:spacing w:val="0"/>
          <w:w w:val="100"/>
          <w:position w:val="0"/>
          <w:lang w:val="en-US" w:eastAsia="zh-CN"/>
        </w:rPr>
      </w:pPr>
      <w:r>
        <w:rPr>
          <w:rFonts w:hint="eastAsia"/>
          <w:color w:val="000000"/>
          <w:spacing w:val="0"/>
          <w:w w:val="100"/>
          <w:position w:val="0"/>
          <w:lang w:val="en-US" w:eastAsia="zh-CN"/>
        </w:rPr>
        <w:t>1.本考核年度因生产事故发生人员死亡或重伤3人及以上的。</w:t>
      </w:r>
    </w:p>
    <w:p>
      <w:pPr>
        <w:pStyle w:val="6"/>
        <w:keepNext w:val="0"/>
        <w:keepLines w:val="0"/>
        <w:widowControl w:val="0"/>
        <w:numPr>
          <w:ilvl w:val="0"/>
          <w:numId w:val="0"/>
        </w:numPr>
        <w:shd w:val="clear" w:color="auto" w:fill="auto"/>
        <w:tabs>
          <w:tab w:val="left" w:pos="661"/>
        </w:tabs>
        <w:bidi w:val="0"/>
        <w:spacing w:before="0" w:after="0" w:line="632" w:lineRule="exact"/>
        <w:ind w:leftChars="0" w:right="0" w:rightChars="0"/>
        <w:jc w:val="left"/>
        <w:rPr>
          <w:rFonts w:hint="eastAsia"/>
          <w:color w:val="000000"/>
          <w:spacing w:val="0"/>
          <w:w w:val="100"/>
          <w:position w:val="0"/>
          <w:lang w:val="en-US" w:eastAsia="zh-CN"/>
        </w:rPr>
      </w:pPr>
      <w:r>
        <w:rPr>
          <w:rFonts w:hint="eastAsia"/>
          <w:color w:val="000000"/>
          <w:spacing w:val="0"/>
          <w:w w:val="100"/>
          <w:position w:val="0"/>
          <w:lang w:val="en-US" w:eastAsia="zh-CN"/>
        </w:rPr>
        <w:t>2.本考核年度因管理不善而发生事故，损失超过1000万元的。</w:t>
      </w:r>
    </w:p>
    <w:p>
      <w:pPr>
        <w:pStyle w:val="6"/>
        <w:keepNext w:val="0"/>
        <w:keepLines w:val="0"/>
        <w:widowControl w:val="0"/>
        <w:numPr>
          <w:ilvl w:val="0"/>
          <w:numId w:val="0"/>
        </w:numPr>
        <w:shd w:val="clear" w:color="auto" w:fill="auto"/>
        <w:tabs>
          <w:tab w:val="left" w:pos="661"/>
        </w:tabs>
        <w:bidi w:val="0"/>
        <w:spacing w:before="0" w:after="0" w:line="632" w:lineRule="exact"/>
        <w:ind w:leftChars="0" w:right="0" w:rightChars="0"/>
        <w:jc w:val="left"/>
        <w:rPr>
          <w:rFonts w:hint="eastAsia"/>
          <w:color w:val="000000"/>
          <w:spacing w:val="0"/>
          <w:w w:val="100"/>
          <w:position w:val="0"/>
          <w:lang w:val="en-US" w:eastAsia="zh-CN"/>
        </w:rPr>
      </w:pPr>
      <w:r>
        <w:rPr>
          <w:rFonts w:hint="eastAsia"/>
          <w:color w:val="000000"/>
          <w:spacing w:val="0"/>
          <w:w w:val="100"/>
          <w:position w:val="0"/>
          <w:lang w:val="en-US" w:eastAsia="zh-CN"/>
        </w:rPr>
        <w:t>3.重大违法违规行为，累计罚款超过50万元的。</w:t>
      </w:r>
    </w:p>
    <w:p>
      <w:pPr>
        <w:pStyle w:val="6"/>
        <w:keepNext w:val="0"/>
        <w:keepLines w:val="0"/>
        <w:widowControl w:val="0"/>
        <w:numPr>
          <w:ilvl w:val="0"/>
          <w:numId w:val="0"/>
        </w:numPr>
        <w:shd w:val="clear" w:color="auto" w:fill="auto"/>
        <w:tabs>
          <w:tab w:val="left" w:pos="661"/>
        </w:tabs>
        <w:bidi w:val="0"/>
        <w:spacing w:before="0" w:after="0" w:line="632" w:lineRule="exact"/>
        <w:ind w:leftChars="0" w:right="0" w:rightChars="0"/>
        <w:jc w:val="left"/>
        <w:rPr>
          <w:rFonts w:hint="eastAsia"/>
          <w:color w:val="000000"/>
          <w:spacing w:val="0"/>
          <w:w w:val="100"/>
          <w:position w:val="0"/>
          <w:lang w:val="en-US" w:eastAsia="zh-CN"/>
        </w:rPr>
      </w:pPr>
      <w:r>
        <w:rPr>
          <w:rFonts w:hint="eastAsia"/>
          <w:color w:val="000000"/>
          <w:spacing w:val="0"/>
          <w:w w:val="100"/>
          <w:position w:val="0"/>
          <w:lang w:val="en-US" w:eastAsia="zh-CN"/>
        </w:rPr>
        <w:t>4.本考核年度气站搬迁或重新开业的企业。</w:t>
      </w:r>
    </w:p>
    <w:p>
      <w:pPr>
        <w:pStyle w:val="6"/>
        <w:keepNext w:val="0"/>
        <w:keepLines w:val="0"/>
        <w:widowControl w:val="0"/>
        <w:numPr>
          <w:ilvl w:val="0"/>
          <w:numId w:val="0"/>
        </w:numPr>
        <w:shd w:val="clear" w:color="auto" w:fill="auto"/>
        <w:tabs>
          <w:tab w:val="left" w:pos="661"/>
        </w:tabs>
        <w:bidi w:val="0"/>
        <w:spacing w:before="0" w:after="0" w:line="632" w:lineRule="exact"/>
        <w:ind w:leftChars="0" w:right="0" w:rightChars="0"/>
        <w:jc w:val="left"/>
        <w:rPr>
          <w:rFonts w:hint="eastAsia"/>
          <w:color w:val="000000"/>
          <w:spacing w:val="0"/>
          <w:w w:val="100"/>
          <w:position w:val="0"/>
          <w:lang w:val="en-US" w:eastAsia="zh-CN"/>
        </w:rPr>
      </w:pPr>
      <w:r>
        <w:rPr>
          <w:rFonts w:hint="eastAsia"/>
          <w:color w:val="000000"/>
          <w:spacing w:val="0"/>
          <w:w w:val="100"/>
          <w:position w:val="0"/>
          <w:lang w:val="en-US" w:eastAsia="zh-CN"/>
        </w:rPr>
        <w:t>5.主要设施运行不足200天的企业。</w:t>
      </w:r>
    </w:p>
    <w:p>
      <w:pPr>
        <w:pStyle w:val="6"/>
        <w:keepNext w:val="0"/>
        <w:keepLines w:val="0"/>
        <w:widowControl w:val="0"/>
        <w:numPr>
          <w:ilvl w:val="0"/>
          <w:numId w:val="0"/>
        </w:numPr>
        <w:shd w:val="clear" w:color="auto" w:fill="auto"/>
        <w:tabs>
          <w:tab w:val="left" w:pos="661"/>
        </w:tabs>
        <w:bidi w:val="0"/>
        <w:spacing w:before="0" w:after="0" w:line="632" w:lineRule="exact"/>
        <w:ind w:leftChars="0" w:right="0" w:rightChars="0"/>
        <w:jc w:val="left"/>
        <w:rPr>
          <w:rFonts w:hint="eastAsia"/>
          <w:color w:val="000000"/>
          <w:spacing w:val="0"/>
          <w:w w:val="100"/>
          <w:position w:val="0"/>
          <w:lang w:val="en-US" w:eastAsia="zh-CN"/>
        </w:rPr>
      </w:pPr>
      <w:r>
        <w:rPr>
          <w:rFonts w:hint="eastAsia"/>
          <w:color w:val="000000"/>
          <w:spacing w:val="0"/>
          <w:w w:val="100"/>
          <w:position w:val="0"/>
          <w:lang w:val="en-US" w:eastAsia="zh-CN"/>
        </w:rPr>
        <w:t>4.3.2评分计算办法</w:t>
      </w:r>
    </w:p>
    <w:p>
      <w:pPr>
        <w:pStyle w:val="6"/>
        <w:keepNext w:val="0"/>
        <w:keepLines w:val="0"/>
        <w:widowControl w:val="0"/>
        <w:numPr>
          <w:ilvl w:val="0"/>
          <w:numId w:val="0"/>
        </w:numPr>
        <w:shd w:val="clear" w:color="auto" w:fill="auto"/>
        <w:tabs>
          <w:tab w:val="left" w:pos="661"/>
        </w:tabs>
        <w:bidi w:val="0"/>
        <w:spacing w:before="0" w:after="0" w:line="632" w:lineRule="exact"/>
        <w:ind w:leftChars="0" w:right="0" w:rightChars="0"/>
        <w:jc w:val="left"/>
        <w:rPr>
          <w:rFonts w:hint="eastAsia"/>
          <w:color w:val="000000"/>
          <w:spacing w:val="0"/>
          <w:w w:val="100"/>
          <w:position w:val="0"/>
          <w:lang w:val="en-US" w:eastAsia="zh-CN"/>
        </w:rPr>
      </w:pPr>
      <w:r>
        <w:rPr>
          <w:rFonts w:hint="eastAsia"/>
          <w:color w:val="000000"/>
          <w:spacing w:val="0"/>
          <w:w w:val="100"/>
          <w:position w:val="0"/>
          <w:lang w:val="en-US" w:eastAsia="zh-CN"/>
        </w:rPr>
        <w:t>1.前九部分每项标准分数额度为最高得分，最低得分为0分；奖惩分数额度为最高加分或扣分。</w:t>
      </w:r>
    </w:p>
    <w:p>
      <w:pPr>
        <w:pStyle w:val="6"/>
        <w:keepNext w:val="0"/>
        <w:keepLines w:val="0"/>
        <w:widowControl w:val="0"/>
        <w:numPr>
          <w:ilvl w:val="0"/>
          <w:numId w:val="0"/>
        </w:numPr>
        <w:shd w:val="clear" w:color="auto" w:fill="auto"/>
        <w:tabs>
          <w:tab w:val="left" w:pos="661"/>
        </w:tabs>
        <w:bidi w:val="0"/>
        <w:spacing w:before="0" w:after="0" w:line="632" w:lineRule="exact"/>
        <w:ind w:leftChars="0" w:right="0" w:rightChars="0"/>
        <w:jc w:val="left"/>
        <w:rPr>
          <w:rFonts w:hint="eastAsia"/>
          <w:color w:val="000000"/>
          <w:spacing w:val="0"/>
          <w:w w:val="100"/>
          <w:position w:val="0"/>
          <w:lang w:val="en-US" w:eastAsia="zh-CN"/>
        </w:rPr>
      </w:pPr>
      <w:r>
        <w:rPr>
          <w:rFonts w:hint="eastAsia"/>
          <w:color w:val="000000"/>
          <w:spacing w:val="0"/>
          <w:w w:val="100"/>
          <w:position w:val="0"/>
          <w:lang w:val="en-US" w:eastAsia="zh-CN"/>
        </w:rPr>
        <w:t>2.评分标准中有不适用项的，以权重方式将有效项目总分按1000分计分。（部分条款的扣分项不适用部分企业，总分不够1000分，最后得分以权重方式计算）</w:t>
      </w:r>
    </w:p>
    <w:p>
      <w:pPr>
        <w:pStyle w:val="6"/>
        <w:keepNext w:val="0"/>
        <w:keepLines w:val="0"/>
        <w:widowControl w:val="0"/>
        <w:numPr>
          <w:ilvl w:val="0"/>
          <w:numId w:val="0"/>
        </w:numPr>
        <w:shd w:val="clear" w:color="auto" w:fill="auto"/>
        <w:tabs>
          <w:tab w:val="left" w:pos="661"/>
        </w:tabs>
        <w:bidi w:val="0"/>
        <w:spacing w:before="0" w:after="0" w:line="632" w:lineRule="exact"/>
        <w:ind w:leftChars="0" w:right="0" w:rightChars="0"/>
        <w:jc w:val="left"/>
        <w:rPr>
          <w:rFonts w:hint="eastAsia"/>
          <w:color w:val="000000"/>
          <w:spacing w:val="0"/>
          <w:w w:val="100"/>
          <w:position w:val="0"/>
          <w:lang w:val="en-US" w:eastAsia="zh-CN"/>
        </w:rPr>
      </w:pPr>
      <w:r>
        <w:rPr>
          <w:rFonts w:hint="eastAsia"/>
          <w:color w:val="000000"/>
          <w:spacing w:val="0"/>
          <w:w w:val="100"/>
          <w:position w:val="0"/>
          <w:lang w:val="en-US" w:eastAsia="zh-CN"/>
        </w:rPr>
        <w:t>3.往年发现的问题未整改的双倍扣分。</w:t>
      </w:r>
    </w:p>
    <w:p>
      <w:pPr>
        <w:pStyle w:val="6"/>
        <w:keepNext w:val="0"/>
        <w:keepLines w:val="0"/>
        <w:widowControl w:val="0"/>
        <w:numPr>
          <w:ilvl w:val="0"/>
          <w:numId w:val="0"/>
        </w:numPr>
        <w:shd w:val="clear" w:color="auto" w:fill="auto"/>
        <w:tabs>
          <w:tab w:val="left" w:pos="661"/>
        </w:tabs>
        <w:bidi w:val="0"/>
        <w:spacing w:before="0" w:after="0" w:line="632" w:lineRule="exact"/>
        <w:ind w:leftChars="0" w:right="0" w:rightChars="0"/>
        <w:jc w:val="left"/>
        <w:rPr>
          <w:rFonts w:hint="eastAsia"/>
          <w:color w:val="000000"/>
          <w:spacing w:val="0"/>
          <w:w w:val="100"/>
          <w:position w:val="0"/>
          <w:lang w:val="en-US" w:eastAsia="zh-CN"/>
        </w:rPr>
      </w:pPr>
      <w:r>
        <w:rPr>
          <w:rFonts w:hint="eastAsia"/>
          <w:color w:val="000000"/>
          <w:spacing w:val="0"/>
          <w:w w:val="100"/>
          <w:position w:val="0"/>
          <w:lang w:val="en-US" w:eastAsia="zh-CN"/>
        </w:rPr>
        <w:t>4.3.3执行</w:t>
      </w:r>
      <w:bookmarkStart w:id="17" w:name="_GoBack"/>
      <w:bookmarkEnd w:id="17"/>
      <w:r>
        <w:rPr>
          <w:rFonts w:hint="eastAsia"/>
          <w:color w:val="000000"/>
          <w:spacing w:val="0"/>
          <w:w w:val="100"/>
          <w:position w:val="0"/>
          <w:lang w:val="en-US" w:eastAsia="zh-CN"/>
        </w:rPr>
        <w:t>建议</w:t>
      </w:r>
    </w:p>
    <w:p>
      <w:pPr>
        <w:pStyle w:val="6"/>
        <w:keepNext w:val="0"/>
        <w:keepLines w:val="0"/>
        <w:widowControl w:val="0"/>
        <w:numPr>
          <w:ilvl w:val="0"/>
          <w:numId w:val="0"/>
        </w:numPr>
        <w:shd w:val="clear" w:color="auto" w:fill="auto"/>
        <w:tabs>
          <w:tab w:val="left" w:pos="661"/>
        </w:tabs>
        <w:bidi w:val="0"/>
        <w:spacing w:before="0" w:after="0" w:line="632" w:lineRule="exact"/>
        <w:ind w:right="0" w:rightChars="0"/>
        <w:jc w:val="left"/>
        <w:rPr>
          <w:rFonts w:hint="eastAsia"/>
          <w:color w:val="000000"/>
          <w:spacing w:val="0"/>
          <w:w w:val="100"/>
          <w:position w:val="0"/>
          <w:lang w:val="en-US" w:eastAsia="zh-CN"/>
        </w:rPr>
      </w:pPr>
      <w:r>
        <w:rPr>
          <w:rFonts w:hint="eastAsia"/>
          <w:color w:val="000000"/>
          <w:spacing w:val="0"/>
          <w:w w:val="100"/>
          <w:position w:val="0"/>
          <w:lang w:val="en-US" w:eastAsia="zh-CN"/>
        </w:rPr>
        <w:t>总评分850分以上，900分以下的（不含900分），由属地燃气行政管理部门督促企业限期整改并组织预检，预检通过后向检查组申请复核验收；850分以下的企业（不含850分），由属地燃气行政管理部门按有关法律法规进行处理，并视情况停业整顿。</w:t>
      </w:r>
    </w:p>
    <w:p>
      <w:pPr>
        <w:pStyle w:val="6"/>
        <w:keepNext w:val="0"/>
        <w:keepLines w:val="0"/>
        <w:widowControl w:val="0"/>
        <w:numPr>
          <w:ilvl w:val="0"/>
          <w:numId w:val="0"/>
        </w:numPr>
        <w:shd w:val="clear" w:color="auto" w:fill="auto"/>
        <w:tabs>
          <w:tab w:val="left" w:pos="661"/>
        </w:tabs>
        <w:bidi w:val="0"/>
        <w:spacing w:before="0" w:after="0" w:line="632" w:lineRule="exact"/>
        <w:ind w:leftChars="0" w:right="0" w:rightChars="0"/>
        <w:jc w:val="left"/>
        <w:rPr>
          <w:rFonts w:hint="eastAsia"/>
          <w:color w:val="000000"/>
          <w:spacing w:val="0"/>
          <w:w w:val="100"/>
          <w:position w:val="0"/>
          <w:lang w:val="en-US" w:eastAsia="zh-CN"/>
        </w:rPr>
      </w:pPr>
      <w:r>
        <w:rPr>
          <w:rFonts w:hint="eastAsia"/>
          <w:color w:val="000000"/>
          <w:spacing w:val="0"/>
          <w:w w:val="100"/>
          <w:position w:val="0"/>
          <w:lang w:val="en-US" w:eastAsia="zh-CN"/>
        </w:rPr>
        <w:t>4.3.4复核验收</w:t>
      </w:r>
    </w:p>
    <w:p>
      <w:pPr>
        <w:pStyle w:val="6"/>
        <w:keepNext w:val="0"/>
        <w:keepLines w:val="0"/>
        <w:widowControl w:val="0"/>
        <w:numPr>
          <w:ilvl w:val="0"/>
          <w:numId w:val="0"/>
        </w:numPr>
        <w:shd w:val="clear" w:color="auto" w:fill="auto"/>
        <w:tabs>
          <w:tab w:val="left" w:pos="661"/>
        </w:tabs>
        <w:bidi w:val="0"/>
        <w:spacing w:before="0" w:after="0" w:line="632" w:lineRule="exact"/>
        <w:ind w:leftChars="0" w:right="0" w:rightChars="0"/>
        <w:jc w:val="left"/>
        <w:rPr>
          <w:rFonts w:hint="eastAsia"/>
          <w:color w:val="000000"/>
          <w:spacing w:val="0"/>
          <w:w w:val="100"/>
          <w:position w:val="0"/>
          <w:lang w:val="en-US" w:eastAsia="zh-CN"/>
        </w:rPr>
      </w:pPr>
      <w:r>
        <w:rPr>
          <w:rFonts w:hint="eastAsia"/>
          <w:color w:val="000000"/>
          <w:spacing w:val="0"/>
          <w:w w:val="100"/>
          <w:position w:val="0"/>
          <w:lang w:val="en-US" w:eastAsia="zh-CN"/>
        </w:rPr>
        <w:t>1.由燃气主管部门组织或特种设备安全监察部门组织检查组对被查单位，以本标准进行打分复核验收，验收时间以整改计划完成期限时间为准。</w:t>
      </w:r>
    </w:p>
    <w:p>
      <w:pPr>
        <w:pStyle w:val="6"/>
        <w:keepNext w:val="0"/>
        <w:keepLines w:val="0"/>
        <w:widowControl w:val="0"/>
        <w:numPr>
          <w:ilvl w:val="0"/>
          <w:numId w:val="0"/>
        </w:numPr>
        <w:shd w:val="clear" w:color="auto" w:fill="auto"/>
        <w:tabs>
          <w:tab w:val="left" w:pos="661"/>
        </w:tabs>
        <w:bidi w:val="0"/>
        <w:spacing w:before="0" w:after="0" w:line="632" w:lineRule="exact"/>
        <w:ind w:leftChars="0" w:right="0" w:rightChars="0"/>
        <w:jc w:val="left"/>
        <w:rPr>
          <w:rFonts w:hint="eastAsia"/>
          <w:color w:val="000000"/>
          <w:spacing w:val="0"/>
          <w:w w:val="100"/>
          <w:position w:val="0"/>
          <w:lang w:val="en-US" w:eastAsia="zh-CN"/>
        </w:rPr>
      </w:pPr>
      <w:r>
        <w:rPr>
          <w:rFonts w:hint="eastAsia"/>
          <w:color w:val="000000"/>
          <w:spacing w:val="0"/>
          <w:w w:val="100"/>
          <w:position w:val="0"/>
          <w:lang w:val="en-US" w:eastAsia="zh-CN"/>
        </w:rPr>
        <w:t>2.复核验收不合格的，属地部门应在采取相应措施保障用户供气的同时，责令其停止或部分停止运行，进行整改，直至完成整改并通过验收后方可恢复运行。</w:t>
      </w:r>
    </w:p>
    <w:p>
      <w:pPr>
        <w:pStyle w:val="6"/>
        <w:keepNext w:val="0"/>
        <w:keepLines w:val="0"/>
        <w:widowControl w:val="0"/>
        <w:numPr>
          <w:ilvl w:val="0"/>
          <w:numId w:val="0"/>
        </w:numPr>
        <w:shd w:val="clear" w:color="auto" w:fill="auto"/>
        <w:tabs>
          <w:tab w:val="left" w:pos="661"/>
        </w:tabs>
        <w:bidi w:val="0"/>
        <w:spacing w:before="0" w:after="0" w:line="632" w:lineRule="exact"/>
        <w:ind w:leftChars="0" w:right="0" w:rightChars="0"/>
        <w:jc w:val="left"/>
        <w:rPr>
          <w:rFonts w:hint="eastAsia"/>
          <w:color w:val="000000"/>
          <w:spacing w:val="0"/>
          <w:w w:val="100"/>
          <w:position w:val="0"/>
          <w:lang w:val="en-US" w:eastAsia="zh-CN"/>
        </w:rPr>
      </w:pPr>
      <w:r>
        <w:rPr>
          <w:rFonts w:hint="eastAsia"/>
          <w:color w:val="000000"/>
          <w:spacing w:val="0"/>
          <w:w w:val="100"/>
          <w:position w:val="0"/>
          <w:lang w:val="en-US" w:eastAsia="zh-CN"/>
        </w:rPr>
        <w:t>3.对整改闭环不完善、不及时的、相同问题重复发生的或综合分数未达标的，按处罚条款处理。</w:t>
      </w:r>
    </w:p>
    <w:p>
      <w:pPr>
        <w:pStyle w:val="6"/>
        <w:keepNext w:val="0"/>
        <w:keepLines w:val="0"/>
        <w:widowControl w:val="0"/>
        <w:numPr>
          <w:ilvl w:val="0"/>
          <w:numId w:val="0"/>
        </w:numPr>
        <w:shd w:val="clear" w:color="auto" w:fill="auto"/>
        <w:tabs>
          <w:tab w:val="left" w:pos="661"/>
        </w:tabs>
        <w:bidi w:val="0"/>
        <w:spacing w:before="0" w:after="0" w:line="632" w:lineRule="exact"/>
        <w:ind w:leftChars="0" w:right="0" w:rightChars="0"/>
        <w:jc w:val="left"/>
        <w:rPr>
          <w:rFonts w:hint="eastAsia"/>
          <w:color w:val="000000"/>
          <w:spacing w:val="0"/>
          <w:w w:val="100"/>
          <w:position w:val="0"/>
          <w:lang w:val="en-US" w:eastAsia="zh-CN"/>
        </w:rPr>
      </w:pPr>
      <w:r>
        <w:rPr>
          <w:rFonts w:hint="eastAsia"/>
          <w:color w:val="000000"/>
          <w:spacing w:val="0"/>
          <w:w w:val="100"/>
          <w:position w:val="0"/>
          <w:lang w:val="en-US" w:eastAsia="zh-CN"/>
        </w:rPr>
        <w:t>4.4 其他</w:t>
      </w:r>
    </w:p>
    <w:p>
      <w:pPr>
        <w:pStyle w:val="6"/>
        <w:keepNext w:val="0"/>
        <w:keepLines w:val="0"/>
        <w:widowControl w:val="0"/>
        <w:numPr>
          <w:ilvl w:val="0"/>
          <w:numId w:val="0"/>
        </w:numPr>
        <w:shd w:val="clear" w:color="auto" w:fill="auto"/>
        <w:tabs>
          <w:tab w:val="left" w:pos="661"/>
        </w:tabs>
        <w:bidi w:val="0"/>
        <w:spacing w:before="0" w:after="0" w:line="632" w:lineRule="exact"/>
        <w:ind w:leftChars="0" w:right="0" w:rightChars="0"/>
        <w:jc w:val="left"/>
        <w:rPr>
          <w:rFonts w:hint="default"/>
          <w:color w:val="000000"/>
          <w:spacing w:val="0"/>
          <w:w w:val="100"/>
          <w:position w:val="0"/>
          <w:lang w:val="en-US" w:eastAsia="zh-CN"/>
        </w:rPr>
      </w:pPr>
    </w:p>
    <w:p>
      <w:pPr>
        <w:pStyle w:val="6"/>
        <w:keepNext w:val="0"/>
        <w:keepLines w:val="0"/>
        <w:widowControl w:val="0"/>
        <w:shd w:val="clear" w:color="auto" w:fill="auto"/>
        <w:bidi w:val="0"/>
        <w:spacing w:before="0" w:after="0" w:line="627" w:lineRule="exact"/>
        <w:ind w:left="0" w:right="0" w:firstLine="0"/>
        <w:jc w:val="left"/>
      </w:pPr>
      <w:r>
        <w:rPr>
          <w:rFonts w:hint="eastAsia"/>
          <w:color w:val="000000"/>
          <w:spacing w:val="0"/>
          <w:w w:val="100"/>
          <w:position w:val="0"/>
          <w:lang w:val="en-US" w:eastAsia="zh-CN"/>
        </w:rPr>
        <w:t>4.4.1</w:t>
      </w:r>
      <w:r>
        <w:rPr>
          <w:color w:val="000000"/>
          <w:spacing w:val="0"/>
          <w:w w:val="100"/>
          <w:position w:val="0"/>
        </w:rPr>
        <w:t>燃气安全检查、评估结果应作为燃气经营</w:t>
      </w:r>
      <w:r>
        <w:rPr>
          <w:rFonts w:hint="eastAsia"/>
          <w:color w:val="000000"/>
          <w:spacing w:val="0"/>
          <w:w w:val="100"/>
          <w:position w:val="0"/>
          <w:lang w:eastAsia="zh-CN"/>
        </w:rPr>
        <w:t>充装单位《燃气经营许可证》和《充装许可证》</w:t>
      </w:r>
      <w:r>
        <w:rPr>
          <w:color w:val="000000"/>
          <w:spacing w:val="0"/>
          <w:w w:val="100"/>
          <w:position w:val="0"/>
        </w:rPr>
        <w:t>的重要参考依据。</w:t>
      </w:r>
    </w:p>
    <w:p>
      <w:pPr>
        <w:pStyle w:val="6"/>
        <w:keepNext w:val="0"/>
        <w:keepLines w:val="0"/>
        <w:widowControl w:val="0"/>
        <w:shd w:val="clear" w:color="auto" w:fill="auto"/>
        <w:bidi w:val="0"/>
        <w:spacing w:before="0" w:after="0" w:line="627" w:lineRule="exact"/>
        <w:ind w:left="0" w:right="0" w:firstLine="0"/>
        <w:jc w:val="left"/>
      </w:pPr>
      <w:r>
        <w:rPr>
          <w:rFonts w:hint="eastAsia" w:ascii="Times New Roman" w:hAnsi="Times New Roman" w:cs="Times New Roman"/>
          <w:color w:val="000000"/>
          <w:spacing w:val="0"/>
          <w:w w:val="100"/>
          <w:position w:val="0"/>
          <w:sz w:val="28"/>
          <w:szCs w:val="28"/>
          <w:lang w:val="en-US" w:eastAsia="zh-CN" w:bidi="en-US"/>
        </w:rPr>
        <w:t xml:space="preserve">4.4.2 </w:t>
      </w:r>
      <w:r>
        <w:rPr>
          <w:color w:val="000000"/>
          <w:spacing w:val="0"/>
          <w:w w:val="100"/>
          <w:position w:val="0"/>
        </w:rPr>
        <w:t>对于存在重大事故隐患的企业，应立即排除；重大事故隐患排除前或者排除过程中无法保证安全的，应暂时停产、停业或者停止使用，并从危险区域内撤出作业人员；重大事故隐患排除后，应重新进行评估，评估合格并经燃气管理部门审查同意，方可恢复生产经营和使用。</w:t>
      </w:r>
    </w:p>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3756660</wp:posOffset>
              </wp:positionH>
              <wp:positionV relativeFrom="page">
                <wp:posOffset>10031095</wp:posOffset>
              </wp:positionV>
              <wp:extent cx="42545" cy="79375"/>
              <wp:effectExtent l="0" t="0" r="0" b="0"/>
              <wp:wrapNone/>
              <wp:docPr id="10" name="Shape 10"/>
              <wp:cNvGraphicFramePr/>
              <a:graphic xmlns:a="http://schemas.openxmlformats.org/drawingml/2006/main">
                <a:graphicData uri="http://schemas.microsoft.com/office/word/2010/wordprocessingShape">
                  <wps:wsp>
                    <wps:cNvSpPr txBox="1"/>
                    <wps:spPr>
                      <a:xfrm>
                        <a:off x="0" y="0"/>
                        <a:ext cx="42545" cy="7937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wps:txbx>
                    <wps:bodyPr wrap="none" lIns="0" tIns="0" rIns="0" bIns="0">
                      <a:spAutoFit/>
                    </wps:bodyPr>
                  </wps:wsp>
                </a:graphicData>
              </a:graphic>
            </wp:anchor>
          </w:drawing>
        </mc:Choice>
        <mc:Fallback>
          <w:pict>
            <v:shape id="Shape 10" o:spid="_x0000_s1026" o:spt="202" type="#_x0000_t202" style="position:absolute;left:0pt;margin-left:295.8pt;margin-top:789.85pt;height:6.25pt;width:3.35pt;mso-position-horizontal-relative:page;mso-position-vertical-relative:page;mso-wrap-style:none;z-index:-251657216;mso-width-relative:page;mso-height-relative:page;" filled="f" stroked="f" coordsize="21600,21600" o:gfxdata="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kdQt9kA&#10;AAANAQAADwAAAAAAAAABACAAAAAiAAAAZHJzL2Rvd25yZXYueG1sUEsBAhQAFAAAAAgAh07iQLGM&#10;ftisAQAAbwMAAA4AAAAAAAAAAQAgAAAAKAEAAGRycy9lMm9Eb2MueG1sUEsFBgAAAAAGAAYAWQEA&#10;AEYFA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MGZmNjNlM2NiZGYyMzAzNTMwZjZiMTk4OGU5ZTcifQ=="/>
  </w:docVars>
  <w:rsids>
    <w:rsidRoot w:val="00000000"/>
    <w:rsid w:val="059A202D"/>
    <w:rsid w:val="12B23F47"/>
    <w:rsid w:val="4BD417A5"/>
    <w:rsid w:val="66C34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Heading #2|1"/>
    <w:basedOn w:val="1"/>
    <w:qFormat/>
    <w:uiPriority w:val="0"/>
    <w:pPr>
      <w:widowControl w:val="0"/>
      <w:shd w:val="clear" w:color="auto" w:fill="auto"/>
      <w:spacing w:after="540" w:line="612" w:lineRule="exact"/>
      <w:jc w:val="center"/>
      <w:outlineLvl w:val="1"/>
    </w:pPr>
    <w:rPr>
      <w:rFonts w:ascii="宋体" w:hAnsi="宋体" w:eastAsia="宋体" w:cs="宋体"/>
      <w:sz w:val="44"/>
      <w:szCs w:val="44"/>
      <w:u w:val="none"/>
      <w:shd w:val="clear" w:color="auto" w:fill="auto"/>
      <w:lang w:val="zh-TW" w:eastAsia="zh-TW" w:bidi="zh-TW"/>
    </w:rPr>
  </w:style>
  <w:style w:type="paragraph" w:customStyle="1" w:styleId="5">
    <w:name w:val="Heading #3|1"/>
    <w:basedOn w:val="1"/>
    <w:qFormat/>
    <w:uiPriority w:val="0"/>
    <w:pPr>
      <w:widowControl w:val="0"/>
      <w:shd w:val="clear" w:color="auto" w:fill="auto"/>
      <w:outlineLvl w:val="2"/>
    </w:pPr>
    <w:rPr>
      <w:rFonts w:ascii="宋体" w:hAnsi="宋体" w:eastAsia="宋体" w:cs="宋体"/>
      <w:b/>
      <w:bCs/>
      <w:sz w:val="26"/>
      <w:szCs w:val="26"/>
      <w:u w:val="none"/>
      <w:shd w:val="clear" w:color="auto" w:fill="auto"/>
      <w:lang w:val="zh-TW" w:eastAsia="zh-TW" w:bidi="zh-TW"/>
    </w:rPr>
  </w:style>
  <w:style w:type="paragraph" w:customStyle="1" w:styleId="6">
    <w:name w:val="Body text|1"/>
    <w:basedOn w:val="1"/>
    <w:qFormat/>
    <w:uiPriority w:val="0"/>
    <w:pPr>
      <w:widowControl w:val="0"/>
      <w:shd w:val="clear" w:color="auto" w:fill="auto"/>
      <w:spacing w:after="300" w:line="442" w:lineRule="auto"/>
      <w:ind w:firstLine="400"/>
    </w:pPr>
    <w:rPr>
      <w:rFonts w:ascii="宋体" w:hAnsi="宋体" w:eastAsia="宋体" w:cs="宋体"/>
      <w:sz w:val="26"/>
      <w:szCs w:val="26"/>
      <w:u w:val="none"/>
      <w:shd w:val="clear" w:color="auto" w:fill="auto"/>
      <w:lang w:val="zh-TW" w:eastAsia="zh-TW" w:bidi="zh-TW"/>
    </w:rPr>
  </w:style>
  <w:style w:type="paragraph" w:customStyle="1" w:styleId="7">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1030</Words>
  <Characters>1122</Characters>
  <Lines>0</Lines>
  <Paragraphs>0</Paragraphs>
  <TotalTime>1</TotalTime>
  <ScaleCrop>false</ScaleCrop>
  <LinksUpToDate>false</LinksUpToDate>
  <CharactersWithSpaces>1126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2022-11-11T00:08:00Z</dcterms:created>
  <dc:creator>Administrator</dc:creator>
  <cp:lastModifiedBy>吃素狼</cp:lastModifiedBy>
  <dcterms:modified xsi:type="dcterms:W3CDTF">2022-11-14T10:44:47Z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2B494851D0F94368ABD7765A5AE7D95B</vt:lpwstr>
  </property>
</Properties>
</file>