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方正仿宋_GBK"/>
          <w:color w:val="000000" w:themeColor="text1"/>
          <w:kern w:val="0"/>
          <w:sz w:val="30"/>
          <w:szCs w:val="30"/>
          <w14:textFill>
            <w14:solidFill>
              <w14:schemeClr w14:val="tx1"/>
            </w14:solidFill>
          </w14:textFill>
        </w:rPr>
      </w:pPr>
      <w:r>
        <w:rPr>
          <w:rFonts w:ascii="Times New Roman" w:hAnsi="Times New Roman" w:eastAsia="方正仿宋_GBK"/>
          <w:color w:val="000000" w:themeColor="text1"/>
          <w:kern w:val="0"/>
          <w:sz w:val="30"/>
          <w:szCs w:val="30"/>
          <w14:textFill>
            <w14:solidFill>
              <w14:schemeClr w14:val="tx1"/>
            </w14:solidFill>
          </w14:textFill>
        </w:rPr>
        <w:t>附件：</w:t>
      </w:r>
    </w:p>
    <w:p>
      <w:pPr>
        <w:widowControl/>
        <w:spacing w:after="240" w:line="400" w:lineRule="exact"/>
        <w:jc w:val="center"/>
        <w:rPr>
          <w:rFonts w:hint="default" w:ascii="Times New Roman" w:hAnsi="Times New Roman" w:eastAsia="方正仿宋_GBK"/>
          <w:color w:val="000000" w:themeColor="text1"/>
          <w:kern w:val="0"/>
          <w:sz w:val="30"/>
          <w:szCs w:val="30"/>
          <w14:textFill>
            <w14:solidFill>
              <w14:schemeClr w14:val="tx1"/>
            </w14:solidFill>
          </w14:textFill>
        </w:rPr>
      </w:pPr>
      <w:r>
        <w:rPr>
          <w:rFonts w:hint="eastAsia" w:ascii="Times New Roman" w:hAnsi="Times New Roman" w:eastAsia="方正大标宋_GBK"/>
          <w:color w:val="000000" w:themeColor="text1"/>
          <w:kern w:val="0"/>
          <w:sz w:val="36"/>
          <w:szCs w:val="36"/>
          <w14:textFill>
            <w14:solidFill>
              <w14:schemeClr w14:val="tx1"/>
            </w14:solidFill>
          </w14:textFill>
        </w:rPr>
        <w:t>2022年第七批江门市科技计划项目验收结论信息表</w:t>
      </w:r>
    </w:p>
    <w:tbl>
      <w:tblPr>
        <w:tblStyle w:val="5"/>
        <w:tblW w:w="9915" w:type="dxa"/>
        <w:jc w:val="center"/>
        <w:tblLayout w:type="fixed"/>
        <w:tblCellMar>
          <w:top w:w="0" w:type="dxa"/>
          <w:left w:w="108" w:type="dxa"/>
          <w:bottom w:w="0" w:type="dxa"/>
          <w:right w:w="108" w:type="dxa"/>
        </w:tblCellMar>
      </w:tblPr>
      <w:tblGrid>
        <w:gridCol w:w="809"/>
        <w:gridCol w:w="4846"/>
        <w:gridCol w:w="3391"/>
        <w:gridCol w:w="869"/>
      </w:tblGrid>
      <w:tr>
        <w:tblPrEx>
          <w:tblCellMar>
            <w:top w:w="0" w:type="dxa"/>
            <w:left w:w="108" w:type="dxa"/>
            <w:bottom w:w="0" w:type="dxa"/>
            <w:right w:w="108" w:type="dxa"/>
          </w:tblCellMar>
        </w:tblPrEx>
        <w:trPr>
          <w:trHeight w:val="731" w:hRule="atLeast"/>
          <w:tblHeader/>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序号</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项 目 名 称</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承 担 单 位</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验收</w:t>
            </w:r>
          </w:p>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结论</w:t>
            </w:r>
          </w:p>
        </w:tc>
      </w:tr>
      <w:tr>
        <w:tblPrEx>
          <w:tblCellMar>
            <w:top w:w="0" w:type="dxa"/>
            <w:left w:w="108" w:type="dxa"/>
            <w:bottom w:w="0" w:type="dxa"/>
            <w:right w:w="108" w:type="dxa"/>
          </w:tblCellMar>
        </w:tblPrEx>
        <w:trPr>
          <w:trHeight w:val="567"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b/>
                <w:bCs/>
                <w:color w:val="000000" w:themeColor="text1"/>
                <w:sz w:val="22"/>
                <w14:textFill>
                  <w14:solidFill>
                    <w14:schemeClr w14:val="tx1"/>
                  </w14:solidFill>
                </w14:textFill>
              </w:rPr>
              <w:t>市直单位（</w:t>
            </w:r>
            <w:r>
              <w:rPr>
                <w:rFonts w:hint="default" w:ascii="Times New Roman" w:hAnsi="Times New Roman" w:eastAsia="方正仿宋_GBK"/>
                <w:b/>
                <w:bCs/>
                <w:color w:val="000000" w:themeColor="text1"/>
                <w:sz w:val="22"/>
                <w14:textFill>
                  <w14:solidFill>
                    <w14:schemeClr w14:val="tx1"/>
                  </w14:solidFill>
                </w14:textFill>
              </w:rPr>
              <w:t>113</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引种日本食用菊花“黄球”种质资源栽培基质试验可行性分析报告</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江门市东湖公园管理所</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原生艺术绘画治疗在精神障碍急性期患者的康复效果观察</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江门市第三人民医院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江门市高校智慧就业信息化体系构建的策略探究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改性南瓜皮对废水中重金属离子的吸附性能研究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职业教育专业建设对接产业评议体系的构建与实践 ——基于江门市新会区的实证研究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“一带一路”战略框架下海上丝绸之路文化外宣翻译技术研究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PVC/碳纤维粉复合材料电工套管的研制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江门职业技术学院科研资助管理（2014年）</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江门职业技术学院BIM应用工程技术研究中心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机器人辅助空心钉内固定技术治疗股骨颈骨折的临床应用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上颌前牙美学区骨量不足种植修复的临床研究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江门市口腔医院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胫骨平台后内侧解剖型支撑锁定钢板（PMTPAPLP）的初步研发</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盐酸右美托咪定与水合氯醛在小儿PICC置管中的镇静效果对比研究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胃镜下橡皮圈套扎术治疗上消化道黏膜下肿瘤的临床研究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基于缺氧相关基因构建乳腺浸润性导管癌的预后模型</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替莫唑胺治疗难治性垂体腺瘤的应用研究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CTCs对早期NSCLC诊治的应用价值研究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江门地区复发性泌尿系统结石的成分分析与代谢因素相关性研究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公立医院患者满意度测量模型构建</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三维可视化技术联合术中超声定位在肝癌切除中的应用研究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甲磺酸阿帕替尼联合替吉奥三线治疗晚期结直肠癌的临床研究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血浆中Septin9和SESN3基因甲基化无创早诊结直肠癌的临床应用基础研究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经皮肾镜联合输尿管-肾软镜治疗高危患者肾结石的临床研究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IVF/ICSI患者卵泡液及血清C-型尿钠肽水平的研究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5E康复护理模式对腹膜透析患者血压自我管理的影响</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超声评价保留左室射血分数心力衰竭患者的心室同步化</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倒“V”形切口改良Brisson手术治疗小儿隐匿阴茎的临床研究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急诊科急救一体化运转模式探讨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乳腺癌化疗患者并发带状疱疹的危险因素分析</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集束化护理提高经桡动脉穿刺行冠脉介入术术肢舒适度的应用研究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局部进展期直肠癌新辅助放疗后病理缓解情况的多因素分析</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再灌注治疗后D-二聚体水平与急性脑梗死疗效及预后的关系</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多模态乳腺MRI鉴别乳腺小肿块良恶性的价值</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基于18F-FDG PET/CT、HRCT影像学特征预测I期非小细胞肺癌脉管侵犯的临床研究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一种基于历史结果演算的检验智能审核推荐指标范围系统设计及应用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18F-FDG PET/CT显像在难确诊性鼻咽癌中的临床应用研究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区域旅游创新能力评价研究——以江门市为例</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富含承压水地层盾构螺旋输送机渗流规律及突水致灾机理研究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面向智能制造的工业大数据特征提取与数据融合研究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bookmarkStart w:id="0" w:name="_GoBack"/>
            <w:r>
              <w:rPr>
                <w:rFonts w:hint="default" w:ascii="Times New Roman" w:hAnsi="Times New Roman" w:eastAsia="方正仿宋_GBK"/>
                <w:color w:val="000000"/>
                <w:spacing w:val="-6"/>
                <w:kern w:val="0"/>
                <w:sz w:val="22"/>
              </w:rPr>
              <w:t>基于Spark的分布式混合计算推荐系统模型研究</w:t>
            </w:r>
            <w:bookmarkEnd w:id="0"/>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基于动物种群优化的欠驱动分数阶系统非线性控制方法研究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新型阳离子苯丙乳液表面施胶剂的制备及产业化研究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侨乡红色文化基因提升党员教育成效的路径研究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基于客流动态估计的城轨高峰期路网协同限流组织优化</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基于甘露糖受体介导的肝靶向医药纳米材料修饰脂质体研究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基于脂肪酸氧化菌与产电菌互营共生体介导种间电子传递的厌氧新工艺</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val="en-US" w:eastAsia="zh-CN" w:bidi="ar-SA"/>
              </w:rPr>
              <w:t>生物质碳负载钌催化剂的制备及其催化醇的氢转移反应研究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钯催化脒基化反应在氨基取代氮杂环化合物合成中的研究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基于高铁酸钾与亚硫酸钠协同体系在水处理消毒工艺中应用研究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基于榫卯结构数字化加工的红木家具创新设计路径研究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台风环境下城际列车失稳机理及涡结构平衡控制防风方法研究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柔性纳米晶随机激光器的研究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江门市海洋环境承载力分析</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基于多空间波长投影条纹的工业产品全表面扫描关键问题的研究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基于数字投影条纹的快速立体匹配关键技术研究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基于深度学习的农产品电子商务智能推荐研究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多市场耦合视角下火电企业发电交易和调度策略研究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基于天然结晶多糖构筑功能性生物医用材料</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具有超疏水性和温敏透湿功能的织物涂层的研究开发</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地方高校科技人员分类评价探索与研究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重载车轮钢锈层组织成分与腐蚀机理研究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基于电活性微生物强化的污水复合生态净化技术研发及应用研究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spacing w:val="-6"/>
                <w:kern w:val="2"/>
                <w:sz w:val="21"/>
                <w:szCs w:val="21"/>
                <w:lang w:eastAsia="zh-CN" w:bidi="ar-SA"/>
              </w:rPr>
              <w:t>虚拟现实环境下飞行员精神负荷脑功能网络评估研究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eastAsia="zh-CN" w:bidi="ar-SA"/>
              </w:rPr>
              <w:t>盾构螺旋输送改性土力学特性研究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eastAsia="zh-CN" w:bidi="ar-SA"/>
              </w:rPr>
              <w:t>基于增量宽度学习的心律失常检测方法研究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eastAsia" w:ascii="Times New Roman" w:hAnsi="Times New Roman" w:eastAsia="方正仿宋_GBK"/>
                <w:color w:val="000000"/>
                <w:spacing w:val="-11"/>
                <w:kern w:val="0"/>
                <w:sz w:val="22"/>
                <w:lang w:eastAsia="zh-CN"/>
              </w:rPr>
              <w:t>天然植物精油与合成抗蚊药协同效应与作用机理研究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二维过渡金属碳化物（MXene）基新型光催化剂的可控制备与分解水制氢性能研究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八珍汤联合肠内营养乳剂瑞代对重症脑卒中患者血清前白蛋白及免疫指标的影响</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维持性血液透析患者动静脉内瘘的个体化护理的临床研究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早期应用柴葛解肌汤加减方联合奥司他韦治疗冬季流感样病例的临床研究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基于网络药理学与分子对接技术探讨甘麦大枣汤治疗卒中后抑郁潜在作用机制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临床药师对慢阻肺稳定期患者生活质量干预前后的疗效对比研究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朱良春痛风方的临床应用研究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spacing w:val="-6"/>
                <w:kern w:val="0"/>
                <w:sz w:val="22"/>
                <w:lang w:val="en-US" w:eastAsia="zh-CN"/>
              </w:rPr>
              <w:t>青黄散对KG1a细胞株的协同杀伤作用及机制研究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喜炎平注射液滴鼻治疗慢性单纯性鼻炎的临床研究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集束化护理策略在火针治疗脓疱性痤疮患者的应用研究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临床药师信息化干预前后中药注射剂合理使用效果的对比分析</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叶菜生产全过程绿色防控害虫技术研究与示范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江门市农业科学研究所</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基于农机农艺融合的水稻机插秧同步侧深施肥技术应用研究与推广</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江门市农业科学研究所</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基于稻壳覆盖的冬作马铃薯可持续施肥模式研究与应用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江门市农业科学研究所</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大数据环境下地方政务信息资源优化配置与服务创新研究及实现</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江门市图书馆</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eastAsia="zh-CN" w:bidi="ar-SA"/>
              </w:rPr>
              <w:t>呼出气一氧化氮测定在慢性阻塞性肺疾病急性加重期中的应用研究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慢性肾脏病5期患者情绪管理实施及效果评价</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腹腔镜阴道骶骨固定术与传统阴式手术治疗女性盆腔脏器脱垂的疗效对比</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spacing w:val="-6"/>
                <w:kern w:val="0"/>
                <w:sz w:val="22"/>
              </w:rPr>
              <w:t>非高密度脂蛋白胆固醇与早期动脉硬化关系的研究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项目管理在术中低体温预防中的应用研究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持续声门下吸引结合间断声门下灌洗在预防呼吸机相关性肺炎中的效果观察</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便携式肺功能仪在慢性阻塞性肺病中的应用研究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不同疗程吸入布地奈德对咳嗽变异性哮喘的影响</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超低剂量Turbo Flash一站式CTA在胸痛三联症与头颈血管疾病中的价值</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不同时程录像脑电图监测在发作性疾病中的诊断价值</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腹腔镜阑尾切除器的研究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食道超声引导下经胸微创室间隔缺损封堵术的临床应用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妊娠期糖尿病规范化管理</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健脾化湿清热方对糖尿病前期患者的干预作用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尿促卵泡素在血清FSH正常的特发性无精子症和严重少精子症治疗中的应用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spacing w:val="-6"/>
                <w:kern w:val="0"/>
                <w:sz w:val="22"/>
              </w:rPr>
              <w:t>基于软件系统的健康管理对代谢综合征干预的研究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超选择性肾动脉栓塞止血术后肾功能损害的临床研究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循证护理在继发性甲旁亢全切除加自体移植术围手术期的应用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spacing w:val="-6"/>
                <w:kern w:val="0"/>
                <w:sz w:val="22"/>
              </w:rPr>
              <w:t>运动干预疗法对血液透析患者睡眠障碍影响的研究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血液透析期间运动干预应用于预防症状性低血压的护理研究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肺真菌感染的临床、CT表现和病理特征</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103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镁合金微弧氧化复合膜层在摩托车关键零部件上的应用与研究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面向节能的多品种小批量流水车间调度问题的细胞膜优化算法理论分析</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低频重复经颅磁刺激联合丁苯酞胶囊对急性脑梗死患者运动功能恢复的影响</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106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搭肩环抱提拉法配合中药封包治疗上胸椎小关节紊乱症的临床研究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107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调脊针对颈型颈椎病肌张力影响的临床研究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108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肝动脉化疗栓塞联合臭氧大自血治疗中期肝细胞癌的临床应用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109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不同途径强化降糖对新诊断2型糖尿病患者胰岛功能影响</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eastAsia="zh-CN" w:bidi="ar-SA"/>
              </w:rPr>
              <w:t>《内经》傍针刺法结合鲑鱼降钙素改善绝经后骨质疏松患者生存质量的临床研究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蜂蜜加珍珠末用于压疮伤口换药的临床疗效观察</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spacing w:val="-6"/>
                <w:kern w:val="0"/>
                <w:sz w:val="22"/>
                <w:lang w:val="en-US" w:eastAsia="zh-CN"/>
              </w:rPr>
              <w:t>院前创伤预警系统对严重创伤患者的临床应用研究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中药贴敷疗法对胸膜炎胸痛的疗效观察与护理研究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江海区（</w:t>
            </w:r>
            <w:r>
              <w:rPr>
                <w:rFonts w:hint="default" w:ascii="Times New Roman" w:hAnsi="Times New Roman" w:eastAsia="方正仿宋_GBK"/>
                <w:b/>
                <w:bCs/>
                <w:color w:val="000000" w:themeColor="text1"/>
                <w:sz w:val="22"/>
                <w14:textFill>
                  <w14:solidFill>
                    <w14:schemeClr w14:val="tx1"/>
                  </w14:solidFill>
                </w14:textFill>
              </w:rPr>
              <w:t>4</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spacing w:val="-6"/>
                <w:kern w:val="0"/>
                <w:sz w:val="22"/>
              </w:rPr>
              <w:t>一次性蓝白冷光源阴道无菌检查器的开发与产业化</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江门大诚医疗器械有限公司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特种工程塑料聚醚砜PES工业化开发</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广东优巨先进材料研究有限公司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新型饲料添加剂—环十肽（C35H50N10O10•5H20）的产业化</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江门佰仕路生物科技有限公司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农作物无农药种殖杀菌灭虫设备制造项目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spacing w:val="-17"/>
                <w:kern w:val="2"/>
                <w:sz w:val="21"/>
                <w:szCs w:val="21"/>
                <w:lang w:eastAsia="zh-CN" w:bidi="ar-SA"/>
              </w:rPr>
              <w:t>江门市江海区雷迅太阳能科技有限公司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b/>
                <w:bCs/>
                <w:color w:val="000000" w:themeColor="text1"/>
                <w:sz w:val="22"/>
                <w14:textFill>
                  <w14:solidFill>
                    <w14:schemeClr w14:val="tx1"/>
                  </w14:solidFill>
                </w14:textFill>
              </w:rPr>
              <w:t>蓬江区（</w:t>
            </w:r>
            <w:r>
              <w:rPr>
                <w:rFonts w:hint="default" w:ascii="Times New Roman" w:hAnsi="Times New Roman" w:eastAsia="方正仿宋_GBK"/>
                <w:b/>
                <w:bCs/>
                <w:color w:val="000000" w:themeColor="text1"/>
                <w:sz w:val="22"/>
                <w14:textFill>
                  <w14:solidFill>
                    <w14:schemeClr w14:val="tx1"/>
                  </w14:solidFill>
                </w14:textFill>
              </w:rPr>
              <w:t>16</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118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江门市非开挖地下管道工程技术研究中心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江门市信通通信工程有限公司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119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环保高分子密封材料技术开发科技特派员工作</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江门市本和密封技术开发有限公司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江门市环保高分子密封材料技术研究中心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江门市本和密封技术开发有限公司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江门市车载智能系统工程技术研究中心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江门市蓬江区声汇电子有限公司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江门市铝合金材料加工工程技术研究开发中心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广东万丰摩轮有限公司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江门市醋和功能饮料工程技术研究开发中心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天地壹号饮料股份有限公司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江门市功能精细化学品工程技术研究开发中心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江门市瑞期精细化学工程有限公司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江门市嘉铭五金制品有限公司科技特派员工作站</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江门市嘉铭五金制品有限公司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江门市高效低耗能电机工程技术研究中心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江门市蓬江区金富菱电机有限公司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江门市智能电风扇工程技术研究中心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江门市蓬江区德信电器有限公司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江门市智能车载系统工程技术研究中心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江门市维科电子有限公司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江门市功能性昆虫蛋白制备工程技术研究中心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江门鑫肽生物蛋白有限公司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130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江门市高性能硬质合金材料及产品工程技术研究开发中心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江门市楚材科技有限公司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江门市小功率电机（虹宇）工程技术研究中心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江门市虹宇电子电器有限公司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132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江门市高端轴承工程技术研究中心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进峰（江门）五金制造有限公司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133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广东海信宽带科技有限公司科技特派员工作站</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广东海信宽带科技有限公司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b/>
                <w:bCs/>
                <w:color w:val="000000" w:themeColor="text1"/>
                <w:sz w:val="22"/>
                <w14:textFill>
                  <w14:solidFill>
                    <w14:schemeClr w14:val="tx1"/>
                  </w14:solidFill>
                </w14:textFill>
              </w:rPr>
              <w:t>新会区（</w:t>
            </w:r>
            <w:r>
              <w:rPr>
                <w:rFonts w:hint="default" w:ascii="Times New Roman" w:hAnsi="Times New Roman" w:eastAsia="方正仿宋_GBK"/>
                <w:b/>
                <w:bCs/>
                <w:color w:val="000000" w:themeColor="text1"/>
                <w:sz w:val="22"/>
                <w14:textFill>
                  <w14:solidFill>
                    <w14:schemeClr w14:val="tx1"/>
                  </w14:solidFill>
                </w14:textFill>
              </w:rPr>
              <w:t>13</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沙堆绿色水产养殖专业镇质量检测公共服务平台建设</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江门市新会区沙堆人民政府</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广东省绿色环保农药制剂和水溶肥料工程技术研究中心建设</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江门市植保有限公司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罗哌卡因联合小剂量芬太尼用于臀位外倒转的最佳剂量</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江门市新会区妇幼保健院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用SF-36健康量表进行新会区伴有疼痛的子宫内膜异位症患者生活质量的调查研究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Times New Roman" w:hAnsi="Times New Roman" w:eastAsia="方正仿宋_GBK"/>
                <w:color w:val="000000"/>
                <w:spacing w:val="-11"/>
                <w:kern w:val="0"/>
                <w:sz w:val="22"/>
                <w:lang w:eastAsia="zh-CN"/>
              </w:rPr>
              <w:t>江门市新会区人口和计划生育服务站</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治疗启动年龄对小学注意缺陷多动障碍患儿疗效的影响</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江门市新会区妇幼保健院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快速康复外科护理对微创下治疗椎间盘突出症患者术后康复的研究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江门市新会区中医院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SuperPATH微创入路半髋关节置换术治疗老年性股骨颈骨折</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江门市新会区人民医院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糖皮质激素改善靶向治疗药物安罗替尼引起的疲乏</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江门市新会区人民医院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餐厨废弃物资源化分散式处理模式研究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江门市新会区环境科学研究所</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spacing w:val="-6"/>
                <w:kern w:val="2"/>
                <w:sz w:val="21"/>
                <w:szCs w:val="21"/>
                <w:lang w:eastAsia="zh-CN" w:bidi="ar-SA"/>
              </w:rPr>
              <w:t>圣通络（硝苯地平缓释片（Ⅲ））与拜新同（硝苯地平控释片）在基层医院临床疗效及药物经济学评价</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江门市新会区第二人民医院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集束化护理策略在预防ICU患者导尿管相关尿路感染的研究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江门市新会区人民医院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妊娠期阴道炎与绒毛膜羊膜炎的相关性的探讨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江门市新会区妇幼保健院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小儿下呼吸道感染病原体监测与耐药性的临床研究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江门市新会区人民医院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85"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鹤山市（</w:t>
            </w:r>
            <w:r>
              <w:rPr>
                <w:rFonts w:hint="default" w:ascii="Times New Roman" w:hAnsi="Times New Roman" w:eastAsia="方正仿宋_GBK"/>
                <w:b/>
                <w:bCs/>
                <w:color w:val="000000" w:themeColor="text1"/>
                <w:sz w:val="22"/>
                <w14:textFill>
                  <w14:solidFill>
                    <w14:schemeClr w14:val="tx1"/>
                  </w14:solidFill>
                </w14:textFill>
              </w:rPr>
              <w:t>20</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147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sz w:val="22"/>
              </w:rPr>
            </w:pPr>
            <w:r>
              <w:rPr>
                <w:rFonts w:hint="default" w:ascii="Times New Roman" w:hAnsi="Times New Roman" w:eastAsia="方正仿宋_GBK"/>
                <w:sz w:val="22"/>
              </w:rPr>
              <w:t>速生木材密实化、功能改性研究及产业化</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sz w:val="22"/>
              </w:rPr>
            </w:pPr>
            <w:r>
              <w:rPr>
                <w:rFonts w:hint="default" w:ascii="Times New Roman" w:hAnsi="Times New Roman" w:eastAsia="方正仿宋_GBK"/>
                <w:sz w:val="22"/>
              </w:rPr>
              <w:t>鹤山市木森木制品有限公司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148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江门市新型多功能电动滑板车工程技术研究中心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鹤山市创泰科技发展有限公司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149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江门市污水处理工程技术研究中心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鹤山市中南污水处理有限公司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t>150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有机蛹虫草培养及深加工技术集成研究与产业化</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鹤山市中春生物科技有限公司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江门市高性能鞋材工程技术研究中心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鹤山市名鹤鞋材有限公司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152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金科科技特派员工作站</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val="en-US" w:eastAsia="zh-CN" w:bidi="ar-SA"/>
              </w:rPr>
              <w:t>鹤山市金科生态农牧有限公司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153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江门市新型办公座椅工程技术研究中心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鹤山国靖家具有限公司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154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rPr>
            </w:pPr>
            <w:r>
              <w:rPr>
                <w:rFonts w:hint="default" w:ascii="Times New Roman" w:hAnsi="Times New Roman" w:eastAsia="方正仿宋_GBK"/>
                <w:color w:val="000000"/>
                <w:w w:val="90"/>
                <w:kern w:val="0"/>
                <w:sz w:val="22"/>
              </w:rPr>
              <w:t>江门市饱和聚酯树脂工程技术研究中</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val="en-US" w:eastAsia="zh-CN" w:bidi="ar-SA"/>
              </w:rPr>
              <w:t>鹤山市星玥高分子材料有限公司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t>155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江门市智能家居工程技术研究开发中心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鹤山市三盛家居制品有限公司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江门市玻璃容器工程技术研究中心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鹤山市景峰玻璃器皿有限公司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0"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江门市新型涂料工程技术研究中心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迪克印材(江门)有限公司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1772"/>
              </w:tabs>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江门市高性能建筑机械工程技术研究中心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鹤山市建筑机械厂有限公司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江门市热能控制设备技术工程技术研究中心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spacing w:val="-6"/>
                <w:kern w:val="0"/>
                <w:sz w:val="22"/>
                <w:lang w:eastAsia="zh-CN"/>
              </w:rPr>
              <w:t>泰</w:t>
            </w:r>
            <w:r>
              <w:rPr>
                <w:rFonts w:hint="default" w:ascii="Times New Roman" w:hAnsi="Times New Roman" w:eastAsia="方正仿宋_GBK"/>
                <w:color w:val="000000"/>
                <w:spacing w:val="-6"/>
                <w:kern w:val="0"/>
                <w:sz w:val="22"/>
                <w:lang w:eastAsia="zh-CN"/>
              </w:rPr>
              <w:t>美斯热能技术（江门）有限公司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江门市有机棉运动服装制造技术工程技术研究中心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鹤山雷吉利制衣有限公司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江门市高端制鞋产业工程技术研究中心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鹤山市永创鞋业有限公司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江门市新型高性能饲料工程技术研究中心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鹤山市广佛饲料有限公司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江门市环保包装纸箱工程技术研究中心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鹤山市利联纸品有限公司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164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江门市现代隧道装备工程技术研究中心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广东欣龙隧道装备股份有限公司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spacing w:val="-6"/>
                <w:w w:val="90"/>
                <w:kern w:val="0"/>
                <w:sz w:val="22"/>
                <w:lang w:val="en-US" w:eastAsia="zh-CN"/>
              </w:rPr>
              <w:t>广东世运电路科技股份有限公司科技特派员工作站建设</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广东世运电路科技股份有限公司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t>166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“节粮高效型”优质黄羽肉鸡配套技术创新与应用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spacing w:val="-6"/>
                <w:kern w:val="0"/>
                <w:sz w:val="22"/>
                <w:lang w:eastAsia="zh-CN"/>
              </w:rPr>
              <w:t>广东墟岗黄家禽种业集团有限公司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both"/>
              <w:rPr>
                <w:rFonts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开平市（</w:t>
            </w:r>
            <w:r>
              <w:rPr>
                <w:rFonts w:hint="default" w:ascii="Times New Roman" w:hAnsi="Times New Roman" w:eastAsia="方正仿宋_GBK"/>
                <w:b/>
                <w:bCs/>
                <w:color w:val="000000" w:themeColor="text1"/>
                <w:sz w:val="22"/>
                <w14:textFill>
                  <w14:solidFill>
                    <w14:schemeClr w14:val="tx1"/>
                  </w14:solidFill>
                </w14:textFill>
              </w:rPr>
              <w:t>9</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t>167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广东省特色蛋鸭制品工程技术研究中心资助项目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开平市旭日蛋品有限公司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spacing w:val="-6"/>
                <w:w w:val="90"/>
                <w:kern w:val="0"/>
                <w:sz w:val="22"/>
                <w:lang w:val="en-US" w:eastAsia="zh-CN"/>
              </w:rPr>
              <w:t>广东省特级小麦粉（开兰）工程技术研究中心资助项目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广东开兰面粉有限公司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鱼菜共生循环农业种养技术中期试验项目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广东天菜农业有限公司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开平市苍城镇农业专业镇建设</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苍城镇农业综合服务中心</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spacing w:val="-6"/>
                <w:w w:val="90"/>
                <w:kern w:val="0"/>
                <w:sz w:val="22"/>
                <w:lang w:val="en-US" w:eastAsia="zh-CN"/>
              </w:rPr>
              <w:t>急诊便携式超声诊治创伤性血气胸的可行性及疗效观察</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开平市中心医院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专科管理在基层手术室管理中的应用探讨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lang w:val="en-US" w:eastAsia="zh-CN"/>
              </w:rPr>
              <w:t>开平市中心医院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远程健康教育方式对经皮冠状动脉介入治疗术后患者康复影响的研究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lang w:val="en-US" w:eastAsia="zh-CN"/>
              </w:rPr>
              <w:t>开平市中心医院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清咽利窍汤联合苏黄止咳胶囊对激素敏感性咳嗽(风痰伏肺证)的临床疗效观察</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kern w:val="0"/>
                <w:sz w:val="22"/>
                <w:lang w:val="en-US" w:eastAsia="zh-CN"/>
              </w:rPr>
              <w:t>开平市中心医院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食管胃结合部腺癌血液常规检查指标预后模型的构建</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w w:val="90"/>
                <w:kern w:val="0"/>
                <w:sz w:val="22"/>
                <w:szCs w:val="22"/>
                <w:lang w:val="en-US" w:eastAsia="zh-CN" w:bidi="ar-SA"/>
              </w:rPr>
            </w:pPr>
            <w:r>
              <w:rPr>
                <w:rFonts w:hint="eastAsia" w:ascii="Times New Roman" w:hAnsi="Times New Roman" w:eastAsia="方正仿宋_GBK"/>
                <w:color w:val="000000"/>
                <w:kern w:val="0"/>
                <w:sz w:val="22"/>
                <w:lang w:val="en-US" w:eastAsia="zh-CN"/>
              </w:rPr>
              <w:t>开平市中心医院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both"/>
              <w:rPr>
                <w:rFonts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台山市（</w:t>
            </w:r>
            <w:r>
              <w:rPr>
                <w:rFonts w:hint="default" w:ascii="Times New Roman" w:hAnsi="Times New Roman" w:eastAsia="方正仿宋_GBK"/>
                <w:b/>
                <w:bCs/>
                <w:color w:val="000000" w:themeColor="text1"/>
                <w:sz w:val="22"/>
                <w14:textFill>
                  <w14:solidFill>
                    <w14:schemeClr w14:val="tx1"/>
                  </w14:solidFill>
                </w14:textFill>
              </w:rPr>
              <w:t>2</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广东省猪饲料工艺技术及猪病防治工程技术研究中心资助项目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江门嘉年华饲料实业有限公司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神秘果项目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广东龙飞生物有限公司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bl>
    <w:p>
      <w:pPr>
        <w:rPr>
          <w:rFonts w:ascii="Times New Roman" w:hAnsi="Times New Roman"/>
          <w:color w:val="000000" w:themeColor="text1"/>
          <w14:textFill>
            <w14:solidFill>
              <w14:schemeClr w14:val="tx1"/>
            </w14:solidFill>
          </w14:textFill>
        </w:rPr>
      </w:pPr>
    </w:p>
    <w:sectPr>
      <w:pgSz w:w="11906" w:h="16838"/>
      <w:pgMar w:top="1440" w:right="1800" w:bottom="108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0A8"/>
    <w:rsid w:val="00042A49"/>
    <w:rsid w:val="000B499A"/>
    <w:rsid w:val="000D25FD"/>
    <w:rsid w:val="000D28A6"/>
    <w:rsid w:val="000F4B17"/>
    <w:rsid w:val="000F7DE1"/>
    <w:rsid w:val="00144C17"/>
    <w:rsid w:val="001603D5"/>
    <w:rsid w:val="00173726"/>
    <w:rsid w:val="001F0FE6"/>
    <w:rsid w:val="0021588B"/>
    <w:rsid w:val="00251952"/>
    <w:rsid w:val="002652F3"/>
    <w:rsid w:val="002B0614"/>
    <w:rsid w:val="002B402D"/>
    <w:rsid w:val="0030792D"/>
    <w:rsid w:val="00337C5D"/>
    <w:rsid w:val="00343443"/>
    <w:rsid w:val="00353E8F"/>
    <w:rsid w:val="00361E08"/>
    <w:rsid w:val="003A2DF6"/>
    <w:rsid w:val="003D3611"/>
    <w:rsid w:val="003F2D02"/>
    <w:rsid w:val="004013E2"/>
    <w:rsid w:val="004064A3"/>
    <w:rsid w:val="00413360"/>
    <w:rsid w:val="004568AC"/>
    <w:rsid w:val="00457AA2"/>
    <w:rsid w:val="004753BD"/>
    <w:rsid w:val="004761F5"/>
    <w:rsid w:val="0047692C"/>
    <w:rsid w:val="004A383F"/>
    <w:rsid w:val="004A6563"/>
    <w:rsid w:val="004B24A5"/>
    <w:rsid w:val="004B733A"/>
    <w:rsid w:val="004E27CB"/>
    <w:rsid w:val="004F701B"/>
    <w:rsid w:val="005431F8"/>
    <w:rsid w:val="00563BF8"/>
    <w:rsid w:val="00577779"/>
    <w:rsid w:val="00630FD3"/>
    <w:rsid w:val="00656AE2"/>
    <w:rsid w:val="0069433F"/>
    <w:rsid w:val="006B27D1"/>
    <w:rsid w:val="00724272"/>
    <w:rsid w:val="0074685A"/>
    <w:rsid w:val="007C2E75"/>
    <w:rsid w:val="007C31AF"/>
    <w:rsid w:val="007E0F3F"/>
    <w:rsid w:val="0083558E"/>
    <w:rsid w:val="0087320E"/>
    <w:rsid w:val="008D3021"/>
    <w:rsid w:val="009035E9"/>
    <w:rsid w:val="00966C43"/>
    <w:rsid w:val="009C434B"/>
    <w:rsid w:val="00A109FC"/>
    <w:rsid w:val="00A234A7"/>
    <w:rsid w:val="00A40206"/>
    <w:rsid w:val="00A4348F"/>
    <w:rsid w:val="00A50FD2"/>
    <w:rsid w:val="00A90B66"/>
    <w:rsid w:val="00AB609D"/>
    <w:rsid w:val="00AD7126"/>
    <w:rsid w:val="00AE49F9"/>
    <w:rsid w:val="00B04555"/>
    <w:rsid w:val="00B04B9C"/>
    <w:rsid w:val="00B361D2"/>
    <w:rsid w:val="00B52ED1"/>
    <w:rsid w:val="00B716AC"/>
    <w:rsid w:val="00B82650"/>
    <w:rsid w:val="00BB2026"/>
    <w:rsid w:val="00C116AE"/>
    <w:rsid w:val="00C30DAB"/>
    <w:rsid w:val="00C562D4"/>
    <w:rsid w:val="00C608A4"/>
    <w:rsid w:val="00C77E18"/>
    <w:rsid w:val="00C810AE"/>
    <w:rsid w:val="00C85228"/>
    <w:rsid w:val="00CA46F1"/>
    <w:rsid w:val="00CC2DDD"/>
    <w:rsid w:val="00CC723B"/>
    <w:rsid w:val="00CE2A06"/>
    <w:rsid w:val="00CF34A7"/>
    <w:rsid w:val="00DE470F"/>
    <w:rsid w:val="00E16942"/>
    <w:rsid w:val="00E43D3E"/>
    <w:rsid w:val="00E747CA"/>
    <w:rsid w:val="00EB07A5"/>
    <w:rsid w:val="00EB6227"/>
    <w:rsid w:val="00F33137"/>
    <w:rsid w:val="00F33EBC"/>
    <w:rsid w:val="00F34BB8"/>
    <w:rsid w:val="00F90FB4"/>
    <w:rsid w:val="00FB252A"/>
    <w:rsid w:val="00FE29AC"/>
    <w:rsid w:val="00FF358A"/>
    <w:rsid w:val="07BFB8B7"/>
    <w:rsid w:val="0BD93E4A"/>
    <w:rsid w:val="0FCB3B25"/>
    <w:rsid w:val="1DF77B43"/>
    <w:rsid w:val="2FFE7877"/>
    <w:rsid w:val="3DE3ECA0"/>
    <w:rsid w:val="3F170102"/>
    <w:rsid w:val="3FF7BF7E"/>
    <w:rsid w:val="4BFF570F"/>
    <w:rsid w:val="56BF5ECE"/>
    <w:rsid w:val="5A572A0A"/>
    <w:rsid w:val="5FFBEEC5"/>
    <w:rsid w:val="67F79C82"/>
    <w:rsid w:val="6DBE9AF7"/>
    <w:rsid w:val="6EEDE5D7"/>
    <w:rsid w:val="6F5D4135"/>
    <w:rsid w:val="71AECB91"/>
    <w:rsid w:val="7660182E"/>
    <w:rsid w:val="767C9A7F"/>
    <w:rsid w:val="77F3AB73"/>
    <w:rsid w:val="7CED9407"/>
    <w:rsid w:val="7EEBA65E"/>
    <w:rsid w:val="7EFD2940"/>
    <w:rsid w:val="7F16557F"/>
    <w:rsid w:val="7F66FF31"/>
    <w:rsid w:val="7FB35EC1"/>
    <w:rsid w:val="7FBF5576"/>
    <w:rsid w:val="7FDBEC02"/>
    <w:rsid w:val="7FFFF4E1"/>
    <w:rsid w:val="9323FE8A"/>
    <w:rsid w:val="93730FC9"/>
    <w:rsid w:val="9777A282"/>
    <w:rsid w:val="BBE915EF"/>
    <w:rsid w:val="BF6CEEE1"/>
    <w:rsid w:val="BF7A179D"/>
    <w:rsid w:val="BFD958FC"/>
    <w:rsid w:val="BFDE9565"/>
    <w:rsid w:val="D1AFA702"/>
    <w:rsid w:val="DEBDCED8"/>
    <w:rsid w:val="EFE7089F"/>
    <w:rsid w:val="F3DE2CF9"/>
    <w:rsid w:val="F6FC4308"/>
    <w:rsid w:val="F7BDF308"/>
    <w:rsid w:val="FAE757CB"/>
    <w:rsid w:val="FDA7A0EA"/>
    <w:rsid w:val="FDE710B5"/>
    <w:rsid w:val="FDEE84A7"/>
    <w:rsid w:val="FED52885"/>
    <w:rsid w:val="FF3FF67F"/>
    <w:rsid w:val="FFA1FEA6"/>
    <w:rsid w:val="FFF96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rFonts w:ascii="Calibri" w:hAnsi="Calibri" w:eastAsia="宋体" w:cs="Times New Roman"/>
      <w:sz w:val="18"/>
      <w:szCs w:val="18"/>
    </w:rPr>
  </w:style>
  <w:style w:type="character" w:customStyle="1" w:styleId="9">
    <w:name w:val="页脚 Char"/>
    <w:basedOn w:val="6"/>
    <w:link w:val="2"/>
    <w:qFormat/>
    <w:uiPriority w:val="99"/>
    <w:rPr>
      <w:rFonts w:ascii="Calibri" w:hAnsi="Calibri" w:eastAsia="宋体" w:cs="Times New Roman"/>
      <w:sz w:val="18"/>
      <w:szCs w:val="18"/>
    </w:rPr>
  </w:style>
  <w:style w:type="character" w:customStyle="1" w:styleId="10">
    <w:name w:val="font31"/>
    <w:basedOn w:val="6"/>
    <w:qFormat/>
    <w:uiPriority w:val="0"/>
    <w:rPr>
      <w:rFonts w:hint="eastAsia" w:ascii="宋体" w:hAnsi="宋体" w:eastAsia="宋体" w:cs="宋体"/>
      <w:color w:val="000000"/>
      <w:sz w:val="20"/>
      <w:szCs w:val="20"/>
      <w:u w:val="none"/>
    </w:rPr>
  </w:style>
  <w:style w:type="character" w:customStyle="1" w:styleId="11">
    <w:name w:val="font11"/>
    <w:basedOn w:val="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745</Words>
  <Characters>4252</Characters>
  <Lines>35</Lines>
  <Paragraphs>9</Paragraphs>
  <TotalTime>6</TotalTime>
  <ScaleCrop>false</ScaleCrop>
  <LinksUpToDate>false</LinksUpToDate>
  <CharactersWithSpaces>4988</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2022-01-29T02:01:00Z</dcterms:created>
  <dc:creator>叶欣</dc:creator>
  <cp:lastModifiedBy>吴知豪</cp:lastModifiedBy>
  <cp:lastPrinted>2022-03-19T00:25:00Z</cp:lastPrinted>
  <dcterms:modified xsi:type="dcterms:W3CDTF">2022-11-30T11:14:10Z</dcterms:modified>
  <dc:title>附件：</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