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440701-2022-04868</w:t>
      </w:r>
    </w:p>
    <w:p>
      <w:pPr>
        <w:jc w:val="center"/>
      </w:pPr>
      <w:r>
        <w:rPr>
          <w:b/>
          <w:sz w:val="24"/>
        </w:rPr>
        <w:t>采购项目编号：</w:t>
      </w:r>
      <w:r>
        <w:rPr>
          <w:b/>
          <w:sz w:val="24"/>
        </w:rPr>
        <w:t>440701-2022-04868</w:t>
      </w:r>
    </w:p>
    <w:p>
      <w:pPr>
        <w:jc w:val="center"/>
      </w:pPr>
      <w:r>
        <w:rPr>
          <w:b/>
          <w:sz w:val="24"/>
        </w:rPr>
        <w:t>项目名称：</w:t>
      </w:r>
      <w:r>
        <w:rPr>
          <w:b/>
          <w:sz w:val="24"/>
        </w:rPr>
        <w:t>广佛江珠城际广州芳村至江门段项目江门境内站点综合开发及站城一体化规划设计项目</w:t>
      </w:r>
    </w:p>
    <w:p>
      <w:pPr>
        <w:jc w:val="center"/>
      </w:pPr>
      <w:r>
        <w:rPr>
          <w:b/>
          <w:sz w:val="24"/>
        </w:rPr>
        <w:t>采购人：</w:t>
      </w:r>
      <w:r>
        <w:rPr>
          <w:b/>
          <w:sz w:val="24"/>
        </w:rPr>
        <w:t>江门市发展和改革局</w:t>
      </w:r>
    </w:p>
    <w:p>
      <w:pPr>
        <w:jc w:val="center"/>
      </w:pPr>
      <w:r>
        <w:rPr>
          <w:b/>
          <w:sz w:val="24"/>
        </w:rPr>
        <w:t>采购代理机构：</w:t>
      </w:r>
      <w:r>
        <w:rPr>
          <w:b/>
          <w:sz w:val="24"/>
        </w:rPr>
        <w:t>江门市深联招标有限公司</w:t>
      </w:r>
    </w:p>
    <w:p>
      <w:pPr>
        <w:ind w:firstLine="480"/>
      </w:pPr>
    </w:p>
    <w:p>
      <w:r>
        <w:rPr/>
        <w:t xml:space="preserve"> </w:t>
      </w:r>
    </w:p>
    <w:p/>
    <w:p>
      <w:pPr>
        <w:jc w:val="center"/>
      </w:pPr>
      <w:r>
        <w:rPr>
          <w:b/>
          <w:sz w:val="36"/>
        </w:rPr>
        <w:t>第一章投标邀请</w:t>
      </w:r>
    </w:p>
    <w:p>
      <w:pPr>
        <w:ind w:firstLine="480"/>
      </w:pPr>
      <w:r>
        <w:rPr/>
        <w:t>江门市深联招标有限公司</w:t>
      </w:r>
      <w:r>
        <w:rPr/>
        <w:t>受</w:t>
      </w:r>
      <w:r>
        <w:rPr/>
        <w:t>江门市发展和改革局</w:t>
      </w:r>
      <w:r>
        <w:rPr/>
        <w:t>的委托，采用</w:t>
      </w:r>
      <w:r>
        <w:rPr/>
        <w:t>公开招标</w:t>
      </w:r>
      <w:r>
        <w:rPr/>
        <w:t>方式组织采购</w:t>
      </w:r>
      <w:r>
        <w:rPr/>
        <w:t>广佛江珠城际广州芳村至江门段项目江门境内站点综合开发及站城一体化规划设计项目</w:t>
      </w:r>
      <w:r>
        <w:rPr/>
        <w:t>。欢迎符合资格条件的国内供应商参加投标。</w:t>
      </w:r>
    </w:p>
    <w:p>
      <w:r>
        <w:rPr>
          <w:b/>
          <w:sz w:val="28"/>
        </w:rPr>
        <w:t>一.项目概述</w:t>
      </w:r>
    </w:p>
    <w:p>
      <w:r>
        <w:rPr>
          <w:b/>
          <w:sz w:val="24"/>
        </w:rPr>
        <w:t>1.名称与编号</w:t>
      </w:r>
    </w:p>
    <w:p>
      <w:pPr>
        <w:ind w:firstLine="480"/>
      </w:pPr>
      <w:r>
        <w:rPr/>
        <w:t>项目名称：</w:t>
      </w:r>
      <w:r>
        <w:rPr/>
        <w:t>广佛江珠城际广州芳村至江门段项目江门境内站点综合开发及站城一体化规划设计项目</w:t>
      </w:r>
    </w:p>
    <w:p>
      <w:pPr>
        <w:ind w:firstLine="480"/>
      </w:pPr>
      <w:r>
        <w:rPr/>
        <w:t>采购计划编号：</w:t>
      </w:r>
      <w:r>
        <w:rPr/>
        <w:t>440701-2022-04868</w:t>
      </w:r>
    </w:p>
    <w:p>
      <w:pPr>
        <w:ind w:firstLine="480"/>
      </w:pPr>
      <w:r>
        <w:rPr/>
        <w:t>采购项目编号：</w:t>
      </w:r>
      <w:r>
        <w:rPr/>
        <w:t>440701-2022-04868</w:t>
      </w:r>
    </w:p>
    <w:p>
      <w:pPr>
        <w:ind w:firstLine="480"/>
      </w:pPr>
      <w:r>
        <w:rPr/>
        <w:t>采购方式：</w:t>
      </w:r>
      <w:r>
        <w:rPr/>
        <w:t>公开招标</w:t>
      </w:r>
    </w:p>
    <w:p>
      <w:pPr>
        <w:ind w:firstLine="480"/>
      </w:pPr>
      <w:r>
        <w:rPr/>
        <w:t>预算金额：</w:t>
      </w:r>
      <w:r>
        <w:rPr/>
        <w:t>22,000,000.00</w:t>
      </w:r>
      <w:r>
        <w:rPr/>
        <w:t>元</w:t>
      </w:r>
    </w:p>
    <w:p>
      <w:r>
        <w:rPr>
          <w:b/>
          <w:sz w:val="24"/>
        </w:rPr>
        <w:t>2.项目内容及需求情况（采购项目技术规格、参数及要求）</w:t>
      </w:r>
    </w:p>
    <w:p>
      <w:pPr>
        <w:ind w:firstLine="480"/>
      </w:pPr>
    </w:p>
    <w:p/>
    <w:p>
      <w:r>
        <w:rPr/>
        <w:t>采购包1(广佛江珠城际广州芳村至江门段项目江门境内站点综合开发及站城一体化规划设计项目):</w:t>
      </w:r>
    </w:p>
    <w:p>
      <w:r>
        <w:rPr/>
        <w:t>采购包预算金额：22,000,000.00元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城市规划和设计服务</w:t>
            </w:r>
          </w:p>
        </w:tc>
        <w:tc>
          <w:tcPr>
            <w:tcW w:type="dxa" w:w="2136"/>
          </w:tcPr>
          <w:p>
            <w:r>
              <w:rPr/>
              <w:t>广佛江珠城际广州芳村至江门段项目江门境内站点综合开发及站城一体化规划设计</w:t>
            </w:r>
          </w:p>
        </w:tc>
        <w:tc>
          <w:tcPr>
            <w:tcW w:type="dxa" w:w="1187"/>
          </w:tcPr>
          <w:p>
            <w:r>
              <w:rPr/>
              <w:t>1.0000(项)</w:t>
            </w:r>
          </w:p>
        </w:tc>
        <w:tc>
          <w:tcPr>
            <w:tcW w:type="dxa" w:w="1187"/>
          </w:tcPr>
          <w:p>
            <w:r>
              <w:rPr/>
              <w:t>详见第二章</w:t>
            </w:r>
          </w:p>
        </w:tc>
        <w:tc>
          <w:tcPr>
            <w:tcW w:type="dxa" w:w="1187"/>
          </w:tcPr>
          <w:p>
            <w:r>
              <w:rPr/>
              <w:t>否</w:t>
            </w:r>
          </w:p>
        </w:tc>
      </w:tr>
    </w:tbl>
    <w:p/>
    <w:p>
      <w:r>
        <w:rPr/>
        <w:t>本采购包接受联合体投标</w:t>
      </w:r>
    </w:p>
    <w:p/>
    <w:p>
      <w:r>
        <w:rPr/>
        <w:t>合同履行期限：自合同签订生效之日起至合同所约定的全部义务履行完毕之日止。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或扫描件）。若分支机构投标的，应当取得总公司（总所）出具给分支机构的有效授权，并同时提供总公司（总所）的营业执照、总公司（总所）出具给分支机构的有效授权书及分支机构的营业执照复印件（或扫描件）。已取得总公司（总所）授权的，总公司（总所）取得的相关资质证书对分支机构有效，法律法规或者行业另有规定的除外。</w:t>
      </w:r>
    </w:p>
    <w:p/>
    <w:p>
      <w:r>
        <w:rPr/>
        <w:t>2）有依法缴纳税收和社会保障资金的良好记录：提供2022年1月至今任意1个月的依法缴纳税收和社会保障资金的相关材料复印件（或扫描件）；如依法免税或不需要缴纳社会保障资金的，应当提供相应证明文件复印件（或扫描件）。</w:t>
      </w:r>
    </w:p>
    <w:p/>
    <w:p>
      <w:r>
        <w:rPr/>
        <w:t>3）具有良好的商业信誉和健全的财务会计制度：提供2021年度或2022年1月至今任意1个月的财务状况报告或银行出具的资信证明复印件（或扫描件）。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采购包1（广佛江珠城际广州芳村至江门段项目江门境内站点综合开发及站城一体化规划设计项目）：</w:t>
      </w:r>
      <w:r>
        <w:rPr/>
        <w:t>本项目不属于专门面向中小企业采购的项目。</w:t>
      </w:r>
    </w:p>
    <w:p/>
    <w:p>
      <w:r>
        <w:rPr>
          <w:b/>
          <w:sz w:val="24"/>
        </w:rPr>
        <w:t>3.本项目特定的资格要求：</w:t>
      </w:r>
    </w:p>
    <w:p>
      <w:pPr>
        <w:ind w:firstLine="480"/>
      </w:pPr>
    </w:p>
    <w:p/>
    <w:p>
      <w:r>
        <w:rPr/>
        <w:t>采购包1（广佛江珠城际广州芳村至江门段项目江门境内站点综合开发及站城一体化规划设计项目）：</w:t>
      </w:r>
    </w:p>
    <w:p/>
    <w:p>
      <w:r>
        <w:rPr/>
        <w:t>1)供应商（若供应商以联合体形式参加投标（响应）的，则为联合体所有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或扫描件））</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若供应商以联合体形式参加投标（响应）的，则为联合体所有方）应当具有有效的城乡规划编制甲级资质。（提供有效的城乡规划编制资质证书复印件（或扫描件），若暂无城乡规划编制资质证书复印件（或扫描件），可由相应的国家自然资源部公告的城乡规划编制单位甲级资质认定名单的相关材料复印件（或扫描件）代替。根据自然资源部办公厅关于城乡规划编制单位甲级资质证书延期有关事宜的通知，有效期至2022年12月31日的城乡规划编制单位甲级资质证书，有效期延长至2023年12月31日。因此，城乡规划编制甲级资质证书的有效期为2022年12月31日的，视其有效期为2023年12月31日）</w:t>
      </w:r>
    </w:p>
    <w:p/>
    <w:p>
      <w:r>
        <w:rPr/>
        <w:t>4)本采购包接受联合体投标（响应），联合体成员不得超过三家；若供应商以联合体形式参加投标（响应）的，参与本项目投标（响应）的联合体各成员必须签订联合体共同投标协议书，明确各方承担的工作内容和权利义务，且联合体中的牵头单位须承担的工作内容至少包含全线土地开发策略研究、地块开发策略研究、综合交通规划等3个子项目的工作内容（具体内容详见招标文件第二章“采购需求”中的“项目工作内容”）（若供应商以联合体形式参加投标（响应）的，需提供《联合体共同投标协议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江门市发展和改革局</w:t>
      </w:r>
    </w:p>
    <w:p>
      <w:pPr>
        <w:ind w:firstLine="480"/>
      </w:pPr>
      <w:r>
        <w:rPr/>
        <w:t>地址：</w:t>
      </w:r>
      <w:r>
        <w:rPr/>
        <w:t>白沙大道西1号1栋</w:t>
      </w:r>
    </w:p>
    <w:p>
      <w:pPr>
        <w:ind w:firstLine="480"/>
      </w:pPr>
      <w:r>
        <w:rPr/>
        <w:t>联系方式：</w:t>
      </w:r>
      <w:r>
        <w:rPr/>
        <w:t>3276621</w:t>
      </w:r>
    </w:p>
    <w:p>
      <w:r>
        <w:rPr>
          <w:b/>
          <w:sz w:val="24"/>
        </w:rPr>
        <w:t>2.采购代理机构信息</w:t>
      </w:r>
    </w:p>
    <w:p>
      <w:pPr>
        <w:ind w:firstLine="480"/>
      </w:pPr>
      <w:r>
        <w:rPr/>
        <w:t>名称：</w:t>
      </w:r>
      <w:r>
        <w:rPr/>
        <w:t>江门市深联招标有限公司</w:t>
      </w:r>
    </w:p>
    <w:p>
      <w:pPr>
        <w:ind w:firstLine="480"/>
      </w:pPr>
      <w:r>
        <w:rPr/>
        <w:t>地址：</w:t>
      </w:r>
      <w:r>
        <w:rPr/>
        <w:t>广东省江门市蓬江区华园路21号101</w:t>
      </w:r>
    </w:p>
    <w:p>
      <w:pPr>
        <w:ind w:firstLine="480"/>
      </w:pPr>
      <w:r>
        <w:rPr/>
        <w:t>联系方式：</w:t>
      </w:r>
      <w:r>
        <w:rPr/>
        <w:t>0750-3503585</w:t>
      </w:r>
    </w:p>
    <w:p>
      <w:r>
        <w:rPr>
          <w:b/>
          <w:sz w:val="24"/>
        </w:rPr>
        <w:t>3.项目联系方式</w:t>
      </w:r>
    </w:p>
    <w:p>
      <w:pPr>
        <w:ind w:firstLine="480"/>
      </w:pPr>
      <w:r>
        <w:rPr/>
        <w:t>项目联系人：</w:t>
      </w:r>
      <w:r>
        <w:rPr/>
        <w:t>黄兢文</w:t>
      </w:r>
    </w:p>
    <w:p>
      <w:pPr>
        <w:ind w:firstLine="480"/>
      </w:pPr>
      <w:r>
        <w:rPr/>
        <w:t>电话：</w:t>
      </w:r>
      <w:r>
        <w:rPr/>
        <w:t>0750-3503585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江门市深联招标有限公司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918"/>
        <w:gridCol w:w="5718"/>
        <w:gridCol w:w="1641"/>
      </w:tblGrid>
      <w:tr>
        <w:tc>
          <w:tcPr>
            <w:tcW w:type="dxa" w:w="918"/>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5718"/>
            <w:tcBorders>
              <w:top w:val="single" w:color="000000" w:sz="4"/>
              <w:left w:val="single" w:color="000000" w:sz="4"/>
              <w:bottom w:val="single" w:color="000000" w:sz="4"/>
              <w:right w:val="single" w:color="000000" w:sz="4"/>
            </w:tcBorders>
            <w:vAlign w:val="top"/>
          </w:tcPr>
          <w:p>
            <w:pPr>
              <w:jc w:val="center"/>
            </w:pPr>
            <w:r>
              <w:rPr>
                <w:b/>
                <w:sz w:val="24"/>
              </w:rPr>
              <w:t>项目名称</w:t>
            </w:r>
          </w:p>
        </w:tc>
        <w:tc>
          <w:tcPr>
            <w:tcW w:type="dxa" w:w="1641"/>
            <w:tcBorders>
              <w:top w:val="single" w:color="000000" w:sz="4"/>
              <w:left w:val="single" w:color="000000" w:sz="4"/>
              <w:bottom w:val="single" w:color="000000" w:sz="4"/>
              <w:right w:val="single" w:color="000000" w:sz="4"/>
            </w:tcBorders>
            <w:vAlign w:val="top"/>
          </w:tcPr>
          <w:p>
            <w:pPr>
              <w:jc w:val="center"/>
            </w:pPr>
            <w:r>
              <w:rPr>
                <w:b/>
                <w:sz w:val="24"/>
              </w:rPr>
              <w:t>数量（单位）</w:t>
            </w:r>
          </w:p>
        </w:tc>
      </w:tr>
      <w:tr>
        <w:tc>
          <w:tcPr>
            <w:tcW w:type="dxa" w:w="918"/>
            <w:tcBorders>
              <w:top w:val="none" w:color="000000" w:sz="4"/>
              <w:left w:val="single" w:color="000000" w:sz="4"/>
              <w:bottom w:val="single" w:color="000000" w:sz="4"/>
              <w:right w:val="single" w:color="000000" w:sz="4"/>
            </w:tcBorders>
            <w:vAlign w:val="top"/>
          </w:tcPr>
          <w:p>
            <w:pPr>
              <w:jc w:val="center"/>
            </w:pPr>
            <w:r>
              <w:rPr>
                <w:sz w:val="24"/>
              </w:rPr>
              <w:t>1</w:t>
            </w:r>
          </w:p>
        </w:tc>
        <w:tc>
          <w:tcPr>
            <w:tcW w:type="dxa" w:w="5718"/>
            <w:tcBorders>
              <w:top w:val="none" w:color="000000" w:sz="4"/>
              <w:left w:val="single" w:color="000000" w:sz="4"/>
              <w:bottom w:val="single" w:color="000000" w:sz="4"/>
              <w:right w:val="single" w:color="000000" w:sz="4"/>
            </w:tcBorders>
            <w:vAlign w:val="top"/>
          </w:tcPr>
          <w:p>
            <w:pPr>
              <w:jc w:val="center"/>
            </w:pPr>
            <w:r>
              <w:rPr>
                <w:sz w:val="24"/>
              </w:rPr>
              <w:t>广佛江珠城际广州芳村至江门段项目江门境内站点综合开发及站城一体化规划设计项目</w:t>
            </w:r>
          </w:p>
        </w:tc>
        <w:tc>
          <w:tcPr>
            <w:tcW w:type="dxa" w:w="1641"/>
            <w:tcBorders>
              <w:top w:val="none" w:color="000000" w:sz="4"/>
              <w:left w:val="single" w:color="000000" w:sz="4"/>
              <w:bottom w:val="single" w:color="000000" w:sz="4"/>
              <w:right w:val="single" w:color="000000" w:sz="4"/>
            </w:tcBorders>
            <w:vAlign w:val="top"/>
          </w:tcPr>
          <w:p>
            <w:pPr>
              <w:jc w:val="center"/>
            </w:pPr>
            <w:r>
              <w:rPr>
                <w:sz w:val="24"/>
              </w:rPr>
              <w:t>1项</w:t>
            </w:r>
          </w:p>
        </w:tc>
      </w:tr>
    </w:tbl>
    <w:p/>
    <w:p>
      <w:pPr>
        <w:ind w:firstLine="480"/>
      </w:pPr>
    </w:p>
    <w:p/>
    <w:p>
      <w:r>
        <w:rPr/>
        <w:t>采购包1（广佛江珠城际广州芳村至江门段项目江门境内站点综合开发及站城一体化规划设计项目）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18个月内完成广佛江珠城际广州芳村至江门段项目江门境内站点综合开发及站城一体化规划设计工作并提交相应成果文件。因本项目城市设计、站点相关交通项目可研等需要根据广佛江珠城际广州芳村至江门段项目建设时序匹配，提交的相应成果须进行修改、完善延误，或因成果公示、提交部门或政府审议等程序及项目实施条件延误的，经采购人同意，完成时间可顺延。</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1期：支付比例30%,合同签订生效并提交工作大纲后的60个日历日内，将合同总金额的30%支付给中标供应商。</w:t>
            </w:r>
          </w:p>
          <w:p/>
          <w:p>
            <w:r>
              <w:rPr/>
              <w:t>2期：支付比例20%,按要求完成全线土地开发策略研究、业态策划定位和规模预测研究、产业资源导入和运营研究、TOD机制和政策研究4个子项目最终成果并经采购人或政府主管部门审批同意或专家评审通过后的60个日历日内，将合同总金额的20%支付给中标供应商。</w:t>
            </w:r>
          </w:p>
          <w:p/>
          <w:p>
            <w:r>
              <w:rPr/>
              <w:t>3期：支付比例30%,按要求完成地块开发策略研究、全生命周期轨道投融资模式研究、土地利益平衡研究3个子项目最终成果并经采购人或政府主管部门审批同意或专家评审通过，并提交TOD控制性详细规划、地下空间专项规划、综合交通规划、站城一体化城市设计、车站配套工程可行性研究5个子项目的中期成果后的60个日历日内，将合同总金额的30%支付给中标供应商。</w:t>
            </w:r>
          </w:p>
          <w:p/>
          <w:p>
            <w:r>
              <w:rPr/>
              <w:t>4期：支付比例10%,按要求完成TOD控制详细规划、车站配套工程可行性研究2个子项目通过政府批复，完成地下空间专项规划、综合交通规划、站城一体化城市设计3个子项目最终成果并经采购人或政府主管部门审批同意或专家评审通过后的60个日历日内，将合同总金额的10%支付给中标供应商。</w:t>
            </w:r>
          </w:p>
          <w:p/>
          <w:p>
            <w:r>
              <w:rPr/>
              <w:t>5期：支付比例10%,项目最终成果经采购人或政府主管部门审批同意或专家评审通过并按要求提供项目相关后续技术服务且后续技术服务达1年后的60个日历日内，将合同总金额的10%支付给中标供应商。 注：因采购人使用的是财政资金，采购人在前款规定的付款时间是指向政府采购支付部门提出办理财政支付申请手续的时间（不含政府财政支付部门审核的时间），在规定时间内提出支付申请手续后即视为采购人已经按期支付，采购人不承担任何逾期付款的违约责任。</w:t>
            </w:r>
          </w:p>
        </w:tc>
      </w:tr>
      <w:tr>
        <w:tc>
          <w:tcPr>
            <w:tcW w:type="dxa" w:w="4153"/>
          </w:tcPr>
          <w:p>
            <w:r>
              <w:rPr/>
              <w:t>验收要求</w:t>
            </w:r>
          </w:p>
        </w:tc>
        <w:tc>
          <w:tcPr>
            <w:tcW w:type="dxa" w:w="4153"/>
          </w:tcPr>
          <w:p/>
          <w:p/>
          <w:p/>
          <w:p>
            <w:r>
              <w:rPr/>
              <w:t>1期：1、验收标准：获得采购人或政府主管部门审查同意或者由采购人组织专家评审通过，中标供应商根据合同相关条款要求，提供完善的项目成果，以国家、省和市现行相关规范为验收标准。 2、组织验收：由采购人组织验收，以专家评审或者内部审查形式，中标供应商根据采购人需要进行汇报并提交验收材料。</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其他商务要求</w:t>
            </w:r>
          </w:p>
        </w:tc>
        <w:tc>
          <w:tcPr>
            <w:tcW w:type="dxa" w:w="2076"/>
          </w:tcPr>
          <w:p>
            <w:pPr>
              <w:jc w:val="left"/>
            </w:pPr>
            <w:r>
              <w:rPr/>
              <w:t>1、本次招标内容为广佛江珠城际广州芳村至江门段项目江门境内站点综合开发及站城一体化规划设计。投标人不得将本项目中的内容拆散来投标。 2、投标人应当在投标文件中详细列出并提供相关证明文件证明本项目负责人的学历、职称、从事相关工作的时间，承担过类似项目名称、责任内容、完成日期以及其它业绩证明材料。 3、投标人应当说明与本项目类似的其它项目的业绩和服务情况等。 4、投标人在保证质量的前提下，应能按时完成所有工作内容。 5、在中标后的整个作业期间，投标人若发生人身伤亡、财物或其它损失，无论何种原因所致，采购人和采购代理机构均不负责。 6、投标人中标后应当承担项目中主体性工作内容（包括子项目中的全线土地开发策略研究、地块开发策略研究、TOD机制和政策研究、TOD控制性详细规划、综合交通规划、地下空间专项规划、站城一体化城市设计、车站配套工程可行性研究等8项主体性子项目的工作内容），不得转包或者分包；而项目中的非主体性工作内容（包括业态策划定位和规模预测研究、全生命周期轨道投融资模式研究、产业资源导入和运营研究、土地利益平衡测算等4个子项目的工作内容）经采购人同意可分包给具有相应能力的单位承担（不得再次分包），但投标人将对分包单位进行涉及本项目的相关内容进行管理并对其业务行为承担无限连带责任。 7、投标报价应为人民币含税全包价，包括但不限于项目的基础资料收集、现场踏勘、外出调研、项目规划设计和研究、报送阶段成果和最终成果的文本编制印刷，技术人员的劳务、差旅、交通、通讯、办公费，专家咨询、技术评审、会务，税费及验收等完成本项目所有工作的全部费用。投标人进行投标报价时，除了对投标总价进行报价外，还需对本项目12个子项目进行分项报价。 8、采购合同由中标供应商与采购人双方签订。 9、本项目如涉及商品包装、快递包装，应当满足商品包装政府采购需求标准、快递包装政府采购需求标准。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城市规划和设计服务</w:t>
            </w:r>
          </w:p>
        </w:tc>
        <w:tc>
          <w:tcPr>
            <w:tcW w:type="dxa" w:w="933"/>
          </w:tcPr>
          <w:p>
            <w:pPr>
              <w:jc w:val="left"/>
            </w:pPr>
            <w:r>
              <w:rPr/>
              <w:t>广佛江珠城际广州芳村至江门段项目江门境内站点综合开发及站城一体化规划设计</w:t>
            </w:r>
          </w:p>
        </w:tc>
        <w:tc>
          <w:tcPr>
            <w:tcW w:type="dxa" w:w="933"/>
          </w:tcPr>
          <w:p>
            <w:pPr>
              <w:jc w:val="left"/>
            </w:pPr>
            <w:r>
              <w:rPr/>
              <w:t>项</w:t>
            </w:r>
          </w:p>
        </w:tc>
        <w:tc>
          <w:tcPr>
            <w:tcW w:type="dxa" w:w="933"/>
          </w:tcPr>
          <w:p>
            <w:pPr>
              <w:jc w:val="right"/>
            </w:pPr>
            <w:r>
              <w:rPr/>
              <w:t>1.00</w:t>
            </w:r>
          </w:p>
        </w:tc>
        <w:tc>
          <w:tcPr>
            <w:tcW w:type="dxa" w:w="933"/>
          </w:tcPr>
          <w:p>
            <w:pPr>
              <w:jc w:val="right"/>
            </w:pPr>
            <w:r>
              <w:rPr/>
              <w:t>22,000,000.00</w:t>
            </w:r>
          </w:p>
        </w:tc>
        <w:tc>
          <w:tcPr>
            <w:tcW w:type="dxa" w:w="933"/>
          </w:tcPr>
          <w:p>
            <w:pPr>
              <w:jc w:val="right"/>
            </w:pPr>
            <w:r>
              <w:rPr/>
              <w:t>22,000,000.00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广佛江珠城际广州芳村至江门段项目江门境内站点综合开发及站城一体化规划设计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r>
              <w:rPr>
                <w:b/>
                <w:sz w:val="24"/>
              </w:rPr>
              <w:t>（一）项目概况</w:t>
            </w:r>
          </w:p>
          <w:p>
            <w:pPr>
              <w:ind w:firstLine="480"/>
              <w:jc w:val="both"/>
            </w:pPr>
            <w:r>
              <w:rPr>
                <w:sz w:val="24"/>
              </w:rPr>
              <w:t>2020年粤港澳大湾区城际铁路建设模式调整为广州、深圳分别牵头后，城际铁路由地市负责辖区内项目全部出资。按照广佛江珠城际可研估算，江门境内投资249亿元，其中50%资本金即124.5亿元需由我市全额出资；同时，江门段运营补亏资金也需我市全额承担，江门市资金筹措压力巨大。在当前财政紧张、经济放缓的大背景下，江门市难以直接以财政资金出资，预计通过国家专项债、政策性金融性工具解决部分资本金来源，后续将面临巨大的还款付息压力。</w:t>
            </w:r>
          </w:p>
          <w:p>
            <w:pPr>
              <w:ind w:firstLine="480"/>
              <w:jc w:val="both"/>
            </w:pPr>
            <w:r>
              <w:rPr>
                <w:sz w:val="24"/>
              </w:rPr>
              <w:t>为落实市领导工作和上级规定，平衡广佛江珠城际江门段建设资金和运营补亏资金需求，最大化提升站场周边土地价值，我局拟参照粤东城际开展站城一体化规划设计做法，计划委托咨询单位开展本项目。从国家、省有关政策（粤府办</w:t>
            </w:r>
            <w:r>
              <w:rPr>
                <w:sz w:val="24"/>
              </w:rPr>
              <w:t>[2018]36号）及大湾区深圳、广州等地推进轨道交通的经验来看，通过土地综合开发收益支持项目建设、运营是有效且可行的。因此，加快开展本项目，结合广佛江珠城际建设运营全周期投融资分析，把所需资金落实到具体地块，通过土地收益来平衡建设、运营全周期整体资金需求是非常必要且迫切的。</w:t>
            </w:r>
          </w:p>
          <w:p>
            <w:pPr>
              <w:ind w:firstLine="482"/>
              <w:jc w:val="both"/>
            </w:pPr>
            <w:r>
              <w:rPr>
                <w:b/>
                <w:sz w:val="24"/>
              </w:rPr>
              <w:t>（二）项目背景</w:t>
            </w:r>
          </w:p>
          <w:p>
            <w:pPr>
              <w:ind w:firstLine="482"/>
              <w:jc w:val="both"/>
            </w:pPr>
            <w:r>
              <w:rPr>
                <w:b/>
                <w:sz w:val="24"/>
              </w:rPr>
              <w:t>1、轨道上的湾区逐步形成，枢纽站城一体化建设成为城市提升竞争力的抓手</w:t>
            </w:r>
          </w:p>
          <w:p>
            <w:pPr>
              <w:ind w:firstLine="480"/>
              <w:jc w:val="both"/>
            </w:pPr>
            <w:r>
              <w:rPr>
                <w:sz w:val="24"/>
              </w:rPr>
              <w:t>2019年，中共中央国务院印发交通强国建设纲要，要求粤港澳等城市群大力发展枢纽经济、建设具有全球竞争力的区域性交通枢纽。区域轨道通过时空距离的缩短为科技研发、商务活动、旅游产业等与人的流动相关的发展要素的高效流动创造条件。粤港澳大湾区，尤其是珠江西岸城市，纷纷抢抓轨道枢纽建设机遇，深度融入湾区核心发展格局，加速城市能级提升。</w:t>
            </w:r>
          </w:p>
          <w:p>
            <w:pPr>
              <w:ind w:firstLine="482"/>
              <w:jc w:val="both"/>
            </w:pPr>
            <w:r>
              <w:rPr>
                <w:b/>
                <w:sz w:val="24"/>
              </w:rPr>
              <w:t>2、广佛江珠城际写入2022年省政府工作报告，预计明年动工</w:t>
            </w:r>
          </w:p>
          <w:p>
            <w:pPr>
              <w:ind w:firstLine="480"/>
              <w:jc w:val="both"/>
            </w:pPr>
            <w:r>
              <w:rPr>
                <w:sz w:val="24"/>
              </w:rPr>
              <w:t>2022年1月20日在广东省第十三届人民代表大会第五次会议上，广东省省长王伟中做政府工作报告，提到纵深推进“双区”建设和深圳综合改革试点，推动国家重大发展战略落地落实。其中加快建设“轨道上的大湾区”，推进广佛江珠等城际项目，提升干线铁路、城际铁路、城市轨道融合发展水平。</w:t>
            </w:r>
          </w:p>
          <w:p>
            <w:pPr>
              <w:ind w:firstLine="482"/>
              <w:jc w:val="both"/>
            </w:pPr>
            <w:r>
              <w:rPr>
                <w:b/>
                <w:sz w:val="24"/>
              </w:rPr>
              <w:t>3、广佛江珠城际实现江门半小时直达广州中心城区，是联动广佛都市圈、珠澳都市圈重要的战略资源</w:t>
            </w:r>
          </w:p>
          <w:p>
            <w:pPr>
              <w:ind w:firstLine="480"/>
              <w:jc w:val="both"/>
            </w:pPr>
            <w:r>
              <w:rPr>
                <w:sz w:val="24"/>
              </w:rPr>
              <w:t>江门十四五规划明确提出，积极推动广州</w:t>
            </w:r>
            <w:r>
              <w:rPr>
                <w:sz w:val="24"/>
              </w:rPr>
              <w:t>28号线，争取广佛江城际与广州28号线对接，进一步提升江门向北至佛山、广州的交通能力。应重点把握广佛江珠城际契机，有力推动沿线枢纽站城一体开发，城市强化向北通道。根据初步设计，广佛江珠城际铁路可采用开行大站快车和站站停列车、大站快车越行停列的运输组织，江门至广州中心城区最短时间在半小时以内，成为江门联动广佛、珠澳两大都市圈的重要的战略资源。</w:t>
            </w:r>
          </w:p>
          <w:p>
            <w:pPr>
              <w:ind w:firstLine="482"/>
              <w:jc w:val="both"/>
            </w:pPr>
            <w:r>
              <w:rPr>
                <w:b/>
                <w:sz w:val="24"/>
              </w:rPr>
              <w:t>4、广佛江珠城际江门境内投资249亿元，亟需TOD综合开发实现投融资平衡</w:t>
            </w:r>
          </w:p>
          <w:p>
            <w:pPr>
              <w:ind w:firstLine="480"/>
              <w:jc w:val="both"/>
            </w:pPr>
            <w:r>
              <w:rPr>
                <w:sz w:val="24"/>
              </w:rPr>
              <w:t>依据省政府印发《关于完善珠三角城际轨道交通沿线土地综合开发机制意见的通知》</w:t>
            </w:r>
            <w:r>
              <w:rPr>
                <w:sz w:val="24"/>
              </w:rPr>
              <w:t>(粤府函〔2012〕16号)和省政府办公厅印发《关于支持铁路建设推进土地综合开发若干政策措施的通知》（粤府办〔2018〕36号），要求结合各地实际，保障城际铁路沿线土地综合开发用地，加强规划编制与衔接，促进土地符合开发利用，明确供地方式，合理确定用地成本，建立综合保障机制以及建立省市监督及协调机制。</w:t>
            </w:r>
          </w:p>
          <w:p>
            <w:pPr>
              <w:ind w:firstLine="480"/>
              <w:jc w:val="both"/>
            </w:pPr>
            <w:r>
              <w:rPr>
                <w:sz w:val="24"/>
              </w:rPr>
              <w:t>率先实施佛山东平新城至江门段中，江门境内投资</w:t>
            </w:r>
            <w:r>
              <w:rPr>
                <w:sz w:val="24"/>
              </w:rPr>
              <w:t>249亿元，其中50%资本金即124.5亿元需由我市全额出资，在当前财政紧张、经济发展放缓的时局下，围绕轨道站点开展站城一体化综合开发，能有效解决轨道投融资成本，缓解政府财政压力，更有利于带动全市经济面向好。</w:t>
            </w:r>
          </w:p>
          <w:p>
            <w:pPr>
              <w:ind w:firstLine="482"/>
              <w:jc w:val="both"/>
            </w:pPr>
            <w:r>
              <w:rPr>
                <w:b/>
                <w:sz w:val="24"/>
              </w:rPr>
              <w:t>（三）项目范围</w:t>
            </w:r>
          </w:p>
          <w:p>
            <w:pPr>
              <w:ind w:firstLine="482"/>
              <w:jc w:val="both"/>
            </w:pPr>
            <w:r>
              <w:rPr>
                <w:b/>
                <w:sz w:val="24"/>
              </w:rPr>
              <w:t>1、总体层面</w:t>
            </w:r>
          </w:p>
          <w:p>
            <w:pPr>
              <w:ind w:firstLine="480"/>
              <w:jc w:val="both"/>
            </w:pPr>
            <w:r>
              <w:rPr>
                <w:sz w:val="24"/>
              </w:rPr>
              <w:t>针对轨道全线</w:t>
            </w:r>
            <w:r>
              <w:rPr>
                <w:sz w:val="24"/>
              </w:rPr>
              <w:t>6</w:t>
            </w:r>
            <w:r>
              <w:rPr>
                <w:sz w:val="24"/>
              </w:rPr>
              <w:t>站点半径</w:t>
            </w:r>
            <w:r>
              <w:rPr>
                <w:sz w:val="24"/>
              </w:rPr>
              <w:t>1500</w:t>
            </w:r>
            <w:r>
              <w:rPr>
                <w:sz w:val="24"/>
              </w:rPr>
              <w:t>米范围区域，</w:t>
            </w:r>
            <w:r>
              <w:rPr>
                <w:sz w:val="24"/>
              </w:rPr>
              <w:t>扣除站点周边现状保留建成区和生态保护区</w:t>
            </w:r>
            <w:r>
              <w:rPr>
                <w:sz w:val="24"/>
              </w:rPr>
              <w:t>，总计约</w:t>
            </w:r>
            <w:r>
              <w:rPr>
                <w:sz w:val="24"/>
              </w:rPr>
              <w:t>18</w:t>
            </w:r>
            <w:r>
              <w:rPr>
                <w:sz w:val="24"/>
              </w:rPr>
              <w:t>平方公里，在城市区域层面研究，强化轨道交通与城市发展片区开发、重大基础设施建设、重大产业项目和高价值功能要素引入等方面的结合与联动，融入城市发展，驱动区域一体化。具体内容包括全线土地开发策略研究、全生命周期轨道投融资模式研究、产业资源导入和运营研究、地块开发策略研究、</w:t>
            </w:r>
            <w:r>
              <w:rPr>
                <w:sz w:val="24"/>
              </w:rPr>
              <w:t>TOD机制和政策研究。</w:t>
            </w:r>
          </w:p>
          <w:p>
            <w:pPr>
              <w:ind w:firstLine="482"/>
              <w:jc w:val="both"/>
            </w:pPr>
            <w:r>
              <w:rPr>
                <w:b/>
                <w:sz w:val="24"/>
              </w:rPr>
              <w:t>2</w:t>
            </w:r>
            <w:r>
              <w:rPr>
                <w:b/>
                <w:sz w:val="24"/>
              </w:rPr>
              <w:t>、站点层面</w:t>
            </w:r>
          </w:p>
          <w:p>
            <w:pPr>
              <w:ind w:firstLine="480"/>
              <w:jc w:val="both"/>
            </w:pPr>
            <w:r>
              <w:rPr>
                <w:sz w:val="24"/>
              </w:rPr>
              <w:t>针对初步判断开发条件较好的鹤山东站、滨江站、蓬江北站、蓬江站、</w:t>
            </w:r>
            <w:r>
              <w:rPr>
                <w:sz w:val="24"/>
              </w:rPr>
              <w:t>江会站</w:t>
            </w:r>
            <w:r>
              <w:rPr>
                <w:sz w:val="24"/>
              </w:rPr>
              <w:t>、江门站</w:t>
            </w:r>
            <w:r>
              <w:rPr>
                <w:sz w:val="24"/>
              </w:rPr>
              <w:t>6站点，除江门站仅涉及东广场外，其他5个站点按1000米初步划定站点</w:t>
            </w:r>
            <w:r>
              <w:rPr>
                <w:sz w:val="24"/>
              </w:rPr>
              <w:t>规划</w:t>
            </w:r>
            <w:r>
              <w:rPr>
                <w:sz w:val="24"/>
              </w:rPr>
              <w:t>范围（每个站点按</w:t>
            </w:r>
            <w:r>
              <w:rPr>
                <w:sz w:val="24"/>
              </w:rPr>
              <w:t>3平方公里，则5个站点规划范围</w:t>
            </w:r>
            <w:r>
              <w:rPr>
                <w:sz w:val="24"/>
              </w:rPr>
              <w:t>15</w:t>
            </w:r>
            <w:r>
              <w:rPr>
                <w:sz w:val="24"/>
              </w:rPr>
              <w:t>平方公里。开展站点</w:t>
            </w:r>
            <w:r>
              <w:rPr>
                <w:sz w:val="24"/>
              </w:rPr>
              <w:t>TOD控制性详细规划、综合交通规划、土地利益平衡，并配合需求开展相关技术咨询工作。</w:t>
            </w:r>
          </w:p>
          <w:p>
            <w:pPr>
              <w:ind w:firstLine="480"/>
              <w:jc w:val="both"/>
            </w:pPr>
            <w:r>
              <w:rPr>
                <w:sz w:val="24"/>
              </w:rPr>
              <w:t>鹤山东站、滨江站、蓬江北站、蓬江站、</w:t>
            </w:r>
            <w:r>
              <w:rPr>
                <w:sz w:val="24"/>
              </w:rPr>
              <w:t>江会站</w:t>
            </w:r>
            <w:r>
              <w:rPr>
                <w:sz w:val="24"/>
              </w:rPr>
              <w:t>5个站点周边500米半径范围以及江门站东广场1</w:t>
            </w:r>
            <w:r>
              <w:rPr>
                <w:sz w:val="24"/>
              </w:rPr>
              <w:t>0</w:t>
            </w:r>
            <w:r>
              <w:rPr>
                <w:sz w:val="24"/>
              </w:rPr>
              <w:t>公顷的范围，开展站城一体化城市设计，将站点和周边开发一体化设计，明确连通的界面和空间尺度，除江门站外每个站点按</w:t>
            </w:r>
            <w:r>
              <w:rPr>
                <w:sz w:val="24"/>
              </w:rPr>
              <w:t>80公顷计算，总计范围410公顷。</w:t>
            </w:r>
          </w:p>
          <w:p>
            <w:pPr>
              <w:ind w:firstLine="480"/>
              <w:jc w:val="both"/>
            </w:pPr>
            <w:r>
              <w:rPr>
                <w:sz w:val="24"/>
              </w:rPr>
              <w:t>针对</w:t>
            </w:r>
            <w:r>
              <w:rPr>
                <w:sz w:val="24"/>
              </w:rPr>
              <w:t>江会站</w:t>
            </w:r>
            <w:r>
              <w:rPr>
                <w:sz w:val="24"/>
              </w:rPr>
              <w:t>、蓬江站和蓬江北站、江门北站东广场，在站点周边</w:t>
            </w:r>
            <w:r>
              <w:rPr>
                <w:sz w:val="24"/>
              </w:rPr>
              <w:t>500米半径范围，总计</w:t>
            </w:r>
            <w:r>
              <w:rPr>
                <w:sz w:val="24"/>
              </w:rPr>
              <w:t>400</w:t>
            </w:r>
            <w:r>
              <w:rPr>
                <w:sz w:val="24"/>
              </w:rPr>
              <w:t>公顷，开展地下空间专项规划。</w:t>
            </w:r>
          </w:p>
          <w:p>
            <w:pPr>
              <w:ind w:firstLine="482"/>
              <w:jc w:val="both"/>
            </w:pPr>
            <w:r>
              <w:rPr>
                <w:b/>
                <w:sz w:val="24"/>
              </w:rPr>
              <w:t>3</w:t>
            </w:r>
            <w:r>
              <w:rPr>
                <w:b/>
                <w:sz w:val="24"/>
              </w:rPr>
              <w:t>、规划年限</w:t>
            </w:r>
          </w:p>
          <w:p>
            <w:pPr>
              <w:ind w:firstLine="480"/>
              <w:jc w:val="both"/>
            </w:pPr>
            <w:r>
              <w:rPr>
                <w:sz w:val="24"/>
              </w:rPr>
              <w:t>规划年限为</w:t>
            </w:r>
            <w:r>
              <w:rPr>
                <w:sz w:val="24"/>
              </w:rPr>
              <w:t>2022-2035年，与江门市国土空间总体规划保持一致。</w:t>
            </w:r>
          </w:p>
          <w:p>
            <w:pPr>
              <w:ind w:firstLine="482"/>
              <w:jc w:val="both"/>
            </w:pPr>
            <w:r>
              <w:rPr>
                <w:b/>
                <w:sz w:val="24"/>
              </w:rPr>
              <w:t>（四）项目实施依据</w:t>
            </w:r>
          </w:p>
          <w:p>
            <w:pPr>
              <w:ind w:firstLine="480"/>
              <w:jc w:val="both"/>
            </w:pPr>
            <w:r>
              <w:rPr>
                <w:sz w:val="24"/>
              </w:rPr>
              <w:t>本项目以国家和广东省、江门市有关城市规划、土地利用、环境保护等方面的法律、法规、条例及其实施办法为基本依据。本项目的重要依据还包括：</w:t>
            </w:r>
          </w:p>
          <w:p>
            <w:pPr>
              <w:ind w:firstLine="480"/>
              <w:jc w:val="both"/>
            </w:pPr>
            <w:r>
              <w:rPr>
                <w:sz w:val="24"/>
              </w:rPr>
              <w:t>（</w:t>
            </w:r>
            <w:r>
              <w:rPr>
                <w:sz w:val="24"/>
              </w:rPr>
              <w:t>1）《中华人民共和国城乡规划法》（2008）；</w:t>
            </w:r>
          </w:p>
          <w:p>
            <w:pPr>
              <w:ind w:firstLine="480"/>
              <w:jc w:val="both"/>
            </w:pPr>
            <w:r>
              <w:rPr>
                <w:sz w:val="24"/>
              </w:rPr>
              <w:t>（</w:t>
            </w:r>
            <w:r>
              <w:rPr>
                <w:sz w:val="24"/>
              </w:rPr>
              <w:t>2）《中华人民共和国土地管理法》（2004）；</w:t>
            </w:r>
          </w:p>
          <w:p>
            <w:pPr>
              <w:ind w:firstLine="480"/>
              <w:jc w:val="both"/>
            </w:pPr>
            <w:r>
              <w:rPr>
                <w:sz w:val="24"/>
              </w:rPr>
              <w:t>（</w:t>
            </w:r>
            <w:r>
              <w:rPr>
                <w:sz w:val="24"/>
              </w:rPr>
              <w:t>3）《城市规划编制办法》（2006）；</w:t>
            </w:r>
          </w:p>
          <w:p>
            <w:pPr>
              <w:ind w:firstLine="480"/>
              <w:jc w:val="both"/>
            </w:pPr>
            <w:r>
              <w:rPr>
                <w:sz w:val="24"/>
              </w:rPr>
              <w:t>（</w:t>
            </w:r>
            <w:r>
              <w:rPr>
                <w:sz w:val="24"/>
              </w:rPr>
              <w:t>4）《城市用地分类与规划建设用地指标》（GB50137-2011）；</w:t>
            </w:r>
          </w:p>
          <w:p>
            <w:pPr>
              <w:ind w:firstLine="480"/>
              <w:jc w:val="both"/>
            </w:pPr>
            <w:r>
              <w:rPr>
                <w:sz w:val="24"/>
              </w:rPr>
              <w:t>（</w:t>
            </w:r>
            <w:r>
              <w:rPr>
                <w:sz w:val="24"/>
              </w:rPr>
              <w:t>5）《广东省控制性详细规划管理条例》（2004）；</w:t>
            </w:r>
          </w:p>
          <w:p>
            <w:pPr>
              <w:ind w:firstLine="480"/>
              <w:jc w:val="both"/>
            </w:pPr>
            <w:r>
              <w:rPr>
                <w:sz w:val="24"/>
              </w:rPr>
              <w:t>（</w:t>
            </w:r>
            <w:r>
              <w:rPr>
                <w:sz w:val="24"/>
              </w:rPr>
              <w:t>6）《广东省城市控制性详细规划制定指引》（试行）；</w:t>
            </w:r>
          </w:p>
          <w:p>
            <w:pPr>
              <w:ind w:firstLine="480"/>
              <w:jc w:val="both"/>
            </w:pPr>
            <w:r>
              <w:rPr>
                <w:sz w:val="24"/>
              </w:rPr>
              <w:t>（</w:t>
            </w:r>
            <w:r>
              <w:rPr>
                <w:sz w:val="24"/>
              </w:rPr>
              <w:t>7）国家、省、市等相关政策法规及相关技术管理规定。</w:t>
            </w:r>
          </w:p>
          <w:p>
            <w:pPr>
              <w:ind w:firstLine="482"/>
              <w:jc w:val="both"/>
            </w:pPr>
            <w:r>
              <w:rPr>
                <w:b/>
                <w:sz w:val="24"/>
              </w:rPr>
              <w:t>（五）项目工作内容</w:t>
            </w:r>
          </w:p>
          <w:p>
            <w:pPr>
              <w:ind w:firstLine="480"/>
              <w:jc w:val="both"/>
            </w:pPr>
            <w:r>
              <w:rPr>
                <w:sz w:val="24"/>
              </w:rPr>
              <w:t>重点针对广佛江珠城际江门境内设置的鹤山东站、滨江新区站、蓬江北站、蓬江站、</w:t>
            </w:r>
            <w:r>
              <w:rPr>
                <w:sz w:val="24"/>
              </w:rPr>
              <w:t>江会站</w:t>
            </w:r>
            <w:r>
              <w:rPr>
                <w:sz w:val="24"/>
              </w:rPr>
              <w:t>、江门站（仅东广场）</w:t>
            </w:r>
            <w:r>
              <w:rPr>
                <w:sz w:val="24"/>
              </w:rPr>
              <w:t>6个站点开展站点站城一体化开发研究，主要内容包括7大类，1</w:t>
            </w:r>
            <w:r>
              <w:rPr>
                <w:sz w:val="24"/>
              </w:rPr>
              <w:t>2</w:t>
            </w:r>
            <w:r>
              <w:rPr>
                <w:sz w:val="24"/>
              </w:rPr>
              <w:t>个子项目，其中：</w:t>
            </w:r>
          </w:p>
          <w:p>
            <w:pPr>
              <w:ind w:firstLine="480"/>
              <w:jc w:val="both"/>
            </w:pPr>
            <w:r>
              <w:rPr>
                <w:sz w:val="24"/>
              </w:rPr>
              <w:t>1、主体性工作的子项目包括：全线土地开发策略研究、地块开发策略研究、TOD机制和政策研究、TOD控制性详细规划、综合交通规划、地下空间专项规划、站城一体化城市设计、车站配套工程可行性研究等8个子项目；</w:t>
            </w:r>
          </w:p>
          <w:p>
            <w:pPr>
              <w:ind w:firstLine="480"/>
              <w:jc w:val="both"/>
            </w:pPr>
            <w:r>
              <w:rPr>
                <w:sz w:val="24"/>
              </w:rPr>
              <w:t>2、非主体性工作的子项目包括：业态策划定位和规模预测研究、全生命周期轨道投融资模式研究、产业资源导入和运营研究、土地利益平衡测算等4个子项目。</w:t>
            </w:r>
          </w:p>
          <w:p>
            <w:pPr>
              <w:ind w:firstLine="480"/>
              <w:jc w:val="both"/>
            </w:pPr>
            <w:r>
              <w:rPr>
                <w:sz w:val="24"/>
              </w:rPr>
              <w:t>各子项目具体要求如下：</w:t>
            </w:r>
          </w:p>
          <w:p>
            <w:pPr>
              <w:ind w:firstLine="482"/>
              <w:jc w:val="both"/>
            </w:pPr>
            <w:r>
              <w:rPr>
                <w:b/>
                <w:sz w:val="24"/>
              </w:rPr>
              <w:t>1、全线土地开发方案及实施路径研究。</w:t>
            </w:r>
          </w:p>
          <w:p>
            <w:pPr>
              <w:ind w:firstLine="482"/>
              <w:jc w:val="both"/>
            </w:pPr>
            <w:r>
              <w:rPr>
                <w:b/>
                <w:sz w:val="24"/>
              </w:rPr>
              <w:t>（</w:t>
            </w:r>
            <w:r>
              <w:rPr>
                <w:b/>
                <w:sz w:val="24"/>
              </w:rPr>
              <w:t>1）全线土地开发策略研究</w:t>
            </w:r>
          </w:p>
          <w:p>
            <w:pPr>
              <w:ind w:firstLine="480"/>
              <w:jc w:val="both"/>
            </w:pPr>
            <w:r>
              <w:rPr>
                <w:sz w:val="24"/>
              </w:rPr>
              <w:t>划定</w:t>
            </w:r>
            <w:r>
              <w:rPr>
                <w:sz w:val="24"/>
              </w:rPr>
              <w:t>TOD综合开发范围。梳理各个站点周边1</w:t>
            </w:r>
            <w:r>
              <w:rPr>
                <w:sz w:val="24"/>
              </w:rPr>
              <w:t>500</w:t>
            </w:r>
            <w:r>
              <w:rPr>
                <w:sz w:val="24"/>
              </w:rPr>
              <w:t>米范围内的现状建设情况和发展条件，明确开发潜力用地，划定</w:t>
            </w:r>
            <w:r>
              <w:rPr>
                <w:sz w:val="24"/>
              </w:rPr>
              <w:t>TOD综合开发用地范围。分析国土空间规划中沿线发展要求、各层级规划影响规划区用地布局结构与功能组织的重大因素，针对性地确定不同站点的发展方向及功能定位，对站点提出分类分级，阐述用地布局与功能组织的基本思路及规划策略，初步分析各场站综合开发规模及规划要求。</w:t>
            </w:r>
          </w:p>
          <w:p>
            <w:pPr>
              <w:ind w:firstLine="482"/>
              <w:jc w:val="both"/>
            </w:pPr>
            <w:r>
              <w:rPr>
                <w:b/>
                <w:sz w:val="24"/>
              </w:rPr>
              <w:t>（</w:t>
            </w:r>
            <w:r>
              <w:rPr>
                <w:b/>
                <w:sz w:val="24"/>
              </w:rPr>
              <w:t>2）业态策划定位和规模预测研究</w:t>
            </w:r>
          </w:p>
          <w:p>
            <w:pPr>
              <w:ind w:firstLine="480"/>
              <w:jc w:val="both"/>
            </w:pPr>
            <w:r>
              <w:rPr>
                <w:sz w:val="24"/>
              </w:rPr>
              <w:t>通过区域各类商业业态的市场分析，判定其发展方向和趋势，提出适合片区发展需求的各类商业、办公、酒店业态构成与项目定位。</w:t>
            </w:r>
          </w:p>
          <w:p>
            <w:pPr>
              <w:ind w:firstLine="482"/>
              <w:jc w:val="both"/>
            </w:pPr>
            <w:r>
              <w:rPr>
                <w:b/>
                <w:sz w:val="24"/>
              </w:rPr>
              <w:t>（</w:t>
            </w:r>
            <w:r>
              <w:rPr>
                <w:b/>
                <w:sz w:val="24"/>
              </w:rPr>
              <w:t>3）地块开发策略研究</w:t>
            </w:r>
          </w:p>
          <w:p>
            <w:pPr>
              <w:ind w:firstLine="480"/>
              <w:jc w:val="both"/>
            </w:pPr>
            <w:r>
              <w:rPr>
                <w:sz w:val="24"/>
              </w:rPr>
              <w:t>结合</w:t>
            </w:r>
            <w:r>
              <w:rPr>
                <w:sz w:val="24"/>
              </w:rPr>
              <w:t>开发条件，确定各个站点不同</w:t>
            </w:r>
            <w:r>
              <w:rPr>
                <w:sz w:val="24"/>
              </w:rPr>
              <w:t>地块</w:t>
            </w:r>
            <w:r>
              <w:rPr>
                <w:sz w:val="24"/>
              </w:rPr>
              <w:t>的实施模式和路径。</w:t>
            </w:r>
            <w:r>
              <w:rPr>
                <w:sz w:val="24"/>
              </w:rPr>
              <w:t>充分</w:t>
            </w:r>
            <w:r>
              <w:rPr>
                <w:sz w:val="24"/>
              </w:rPr>
              <w:t>分析</w:t>
            </w:r>
            <w:r>
              <w:rPr>
                <w:sz w:val="24"/>
              </w:rPr>
              <w:t>规划</w:t>
            </w:r>
            <w:r>
              <w:rPr>
                <w:sz w:val="24"/>
              </w:rPr>
              <w:t>范围内的现状</w:t>
            </w:r>
            <w:r>
              <w:rPr>
                <w:sz w:val="24"/>
              </w:rPr>
              <w:t>权属</w:t>
            </w:r>
            <w:r>
              <w:rPr>
                <w:sz w:val="24"/>
              </w:rPr>
              <w:t>、建设情况</w:t>
            </w:r>
            <w:r>
              <w:rPr>
                <w:sz w:val="24"/>
              </w:rPr>
              <w:t>，结合相关规划要求、明确现状改造范围内的搬迁</w:t>
            </w:r>
            <w:r>
              <w:rPr>
                <w:sz w:val="24"/>
              </w:rPr>
              <w:t>安置、原址改造</w:t>
            </w:r>
            <w:r>
              <w:rPr>
                <w:sz w:val="24"/>
              </w:rPr>
              <w:t>条件等因素，划定区内拆除重建、综合整治、功能改变、土地整备和现状保留等各类地块处置方式及范围，并通过利益平衡分析调校，最终形成可实施不同类型的改造单元。</w:t>
            </w:r>
          </w:p>
          <w:p>
            <w:pPr>
              <w:ind w:firstLine="482"/>
              <w:jc w:val="both"/>
            </w:pPr>
            <w:r>
              <w:rPr>
                <w:b/>
                <w:sz w:val="24"/>
              </w:rPr>
              <w:t>2、项目资金平衡方案研究</w:t>
            </w:r>
          </w:p>
          <w:p>
            <w:pPr>
              <w:ind w:firstLine="480"/>
              <w:jc w:val="both"/>
            </w:pPr>
            <w:r>
              <w:rPr>
                <w:sz w:val="24"/>
              </w:rPr>
              <w:t>站在轨道建设、运营全周期的层面，进行财务收资分析，明确各类资金需求。以此为基础，进行投融资模式的多方案比较，最终确定的轨道全生命周期的投融资模式，包括市区投资分摊原则、运营阶段资金分摊和补亏方案、资本金出资方案、债务融资安排等，从而反向确定轨道周边土地综合开发承担的资金，保障全线全周期整体资金平衡。</w:t>
            </w:r>
          </w:p>
          <w:p>
            <w:pPr>
              <w:ind w:firstLine="482"/>
              <w:jc w:val="both"/>
            </w:pPr>
            <w:r>
              <w:rPr>
                <w:b/>
                <w:sz w:val="24"/>
              </w:rPr>
              <w:t>（</w:t>
            </w:r>
            <w:r>
              <w:rPr>
                <w:b/>
                <w:sz w:val="24"/>
              </w:rPr>
              <w:t>4</w:t>
            </w:r>
            <w:r>
              <w:rPr>
                <w:b/>
                <w:sz w:val="24"/>
              </w:rPr>
              <w:t>）全生命周期轨道投融资模式研究</w:t>
            </w:r>
          </w:p>
          <w:p>
            <w:pPr>
              <w:ind w:firstLine="480"/>
              <w:jc w:val="both"/>
            </w:pPr>
            <w:r>
              <w:rPr>
                <w:sz w:val="24"/>
              </w:rPr>
              <w:t>基于现有轨道建设规划、工程可行性报告、投资估算、行车组织、客流预测，进行运营成本分析、运营收入分析、现金流预测、提出初步资金平衡方案。</w:t>
            </w:r>
          </w:p>
          <w:p>
            <w:pPr>
              <w:ind w:firstLine="480"/>
              <w:jc w:val="both"/>
            </w:pPr>
            <w:r>
              <w:rPr>
                <w:sz w:val="24"/>
              </w:rPr>
              <w:t>结合江门市内外部条件，以实现项目全生命周期财务收支平衡为目标，具体对比多种投融资模式的运作架构、操作流程、探索不同模式的优缺点。对建设投资分摊原则、运营阶段资金分摊和补亏方案、资本金出资、债务融资安排等内容进行研究，提出具体方案。</w:t>
            </w:r>
          </w:p>
          <w:p>
            <w:pPr>
              <w:ind w:firstLine="482"/>
              <w:jc w:val="both"/>
            </w:pPr>
            <w:r>
              <w:rPr>
                <w:b/>
                <w:sz w:val="24"/>
              </w:rPr>
              <w:t>3、产业资源导入和运营研究</w:t>
            </w:r>
          </w:p>
          <w:p>
            <w:pPr>
              <w:ind w:firstLine="482"/>
              <w:jc w:val="both"/>
            </w:pPr>
            <w:r>
              <w:rPr>
                <w:b/>
                <w:sz w:val="24"/>
              </w:rPr>
              <w:t>（</w:t>
            </w:r>
            <w:r>
              <w:rPr>
                <w:b/>
                <w:sz w:val="24"/>
              </w:rPr>
              <w:t>5）产业资源导入和运营研究</w:t>
            </w:r>
          </w:p>
          <w:p>
            <w:pPr>
              <w:ind w:firstLine="480"/>
              <w:jc w:val="both"/>
            </w:pPr>
            <w:r>
              <w:rPr>
                <w:sz w:val="24"/>
              </w:rPr>
              <w:t>一是导入方案。综合判断城市重点产业发展方向选择，明确产业项目类型，按产业门类开展细分领域个性化空间需求</w:t>
            </w:r>
            <w:r>
              <w:rPr>
                <w:sz w:val="24"/>
              </w:rPr>
              <w:t>,建立不同类型企业及机构的产业空间需求清单。与空间规划设计互为调校，细化沿线各功能区块，提出空间及设施建议，形成产业空间详细面积配比。</w:t>
            </w:r>
          </w:p>
          <w:p>
            <w:pPr>
              <w:ind w:firstLine="480"/>
              <w:jc w:val="both"/>
            </w:pPr>
            <w:r>
              <w:rPr>
                <w:sz w:val="24"/>
              </w:rPr>
              <w:t>二是产业准入评估机制。充分借鉴国内外同类先进园区的产业资源导入经验，探索实施</w:t>
            </w:r>
            <w:r>
              <w:rPr>
                <w:sz w:val="24"/>
              </w:rPr>
              <w:t>“政府主导、企业统筹”的多层次产业资源导入体系。结合市、区政府优势，开展政企合作模式，并提出广佛江珠沿线产业平台搭建方案建议，明确企业项目导入筛选流程设计。</w:t>
            </w:r>
          </w:p>
          <w:p>
            <w:pPr>
              <w:ind w:firstLine="480"/>
              <w:jc w:val="both"/>
            </w:pPr>
            <w:r>
              <w:rPr>
                <w:sz w:val="24"/>
              </w:rPr>
              <w:t>三是制定潜在导入机构及企业名录。根据精细化优势产业方向，寻找潜在企业名录，包括沿线现状企业名录和建议引入企业名录，判断与未来江门市产业发展的匹配关系，导入符合城市发展的产业载体及企业，腾挪不符合发展要求的企业。</w:t>
            </w:r>
          </w:p>
          <w:p>
            <w:pPr>
              <w:ind w:firstLine="480"/>
              <w:jc w:val="both"/>
            </w:pPr>
            <w:r>
              <w:rPr>
                <w:sz w:val="24"/>
              </w:rPr>
              <w:t>四是运营策略及运营模式。结合国内外轨道沿线产业带功能配套建设案例，对广佛江珠沿线产业服务平台进行综合研究，包括公共技术平台、孵化平台、文创科教平台等各类产业配套类型及规模。制定沿线未来产业运营整体策略，提出公司运营模式、企业孵化、科技金融、技术服务、人才配套服务体系的规划建议，包括科研、人才、贸易、金融便利化等。</w:t>
            </w:r>
          </w:p>
          <w:p>
            <w:pPr>
              <w:ind w:firstLine="482"/>
              <w:jc w:val="both"/>
            </w:pPr>
            <w:r>
              <w:rPr>
                <w:b/>
                <w:sz w:val="24"/>
              </w:rPr>
              <w:t>4、TOD机制和政策研究</w:t>
            </w:r>
          </w:p>
          <w:p>
            <w:pPr>
              <w:ind w:firstLine="482"/>
              <w:jc w:val="both"/>
            </w:pPr>
            <w:r>
              <w:rPr>
                <w:b/>
                <w:sz w:val="24"/>
              </w:rPr>
              <w:t>（</w:t>
            </w:r>
            <w:r>
              <w:rPr>
                <w:b/>
                <w:sz w:val="24"/>
              </w:rPr>
              <w:t>6</w:t>
            </w:r>
            <w:r>
              <w:rPr>
                <w:b/>
                <w:sz w:val="24"/>
              </w:rPr>
              <w:t>）</w:t>
            </w:r>
            <w:r>
              <w:rPr>
                <w:b/>
                <w:sz w:val="24"/>
              </w:rPr>
              <w:t>TOD机制和政策研究</w:t>
            </w:r>
          </w:p>
          <w:p>
            <w:pPr>
              <w:ind w:firstLine="480"/>
              <w:jc w:val="both"/>
            </w:pPr>
            <w:r>
              <w:rPr>
                <w:sz w:val="24"/>
              </w:rPr>
              <w:t>深入了解江门市片区开发各个部门的相关职责，提出广佛江珠江门段</w:t>
            </w:r>
            <w:r>
              <w:rPr>
                <w:sz w:val="24"/>
              </w:rPr>
              <w:t>TOD综合开发领导小组的</w:t>
            </w:r>
            <w:r>
              <w:rPr>
                <w:sz w:val="24"/>
              </w:rPr>
              <w:t>架构建议</w:t>
            </w:r>
            <w:r>
              <w:rPr>
                <w:sz w:val="24"/>
              </w:rPr>
              <w:t>，结合江门市实际情况和</w:t>
            </w:r>
            <w:r>
              <w:rPr>
                <w:sz w:val="24"/>
              </w:rPr>
              <w:t>TOD综合开发实际需求，</w:t>
            </w:r>
            <w:r>
              <w:rPr>
                <w:sz w:val="24"/>
              </w:rPr>
              <w:t>借鉴国内典型城市操作方法，提出《关于轨道交通综合开发的实施意见》建议稿，作为江门市开展</w:t>
            </w:r>
            <w:r>
              <w:rPr>
                <w:sz w:val="24"/>
              </w:rPr>
              <w:t>T</w:t>
            </w:r>
            <w:r>
              <w:rPr>
                <w:sz w:val="24"/>
              </w:rPr>
              <w:t>OD综合开发项目工作的</w:t>
            </w:r>
            <w:r>
              <w:rPr>
                <w:sz w:val="24"/>
              </w:rPr>
              <w:t>政策指引。具体包括总体目标、基本原则、工作机制、轨道站点综合开发基本管控要求、综合开发用地保障及供应机制等内容。</w:t>
            </w:r>
          </w:p>
          <w:p>
            <w:pPr>
              <w:ind w:firstLine="480"/>
              <w:jc w:val="both"/>
            </w:pPr>
            <w:r>
              <w:rPr>
                <w:sz w:val="24"/>
              </w:rPr>
              <w:t>5</w:t>
            </w:r>
            <w:r>
              <w:rPr>
                <w:sz w:val="24"/>
              </w:rPr>
              <w:t>、站点周边</w:t>
            </w:r>
            <w:r>
              <w:rPr>
                <w:sz w:val="24"/>
              </w:rPr>
              <w:t>TOD规划设计</w:t>
            </w:r>
          </w:p>
          <w:p>
            <w:pPr>
              <w:ind w:firstLine="482"/>
              <w:jc w:val="both"/>
            </w:pPr>
            <w:r>
              <w:rPr>
                <w:b/>
                <w:sz w:val="24"/>
              </w:rPr>
              <w:t>（</w:t>
            </w:r>
            <w:r>
              <w:rPr>
                <w:b/>
                <w:sz w:val="24"/>
              </w:rPr>
              <w:t>7</w:t>
            </w:r>
            <w:r>
              <w:rPr>
                <w:b/>
                <w:sz w:val="24"/>
              </w:rPr>
              <w:t>）</w:t>
            </w:r>
            <w:r>
              <w:rPr>
                <w:b/>
                <w:sz w:val="24"/>
              </w:rPr>
              <w:t>TOD控制性详细规划</w:t>
            </w:r>
          </w:p>
          <w:p>
            <w:pPr>
              <w:ind w:firstLine="480"/>
              <w:jc w:val="both"/>
            </w:pPr>
            <w:r>
              <w:rPr>
                <w:sz w:val="24"/>
              </w:rPr>
              <w:t>在</w:t>
            </w:r>
            <w:r>
              <w:rPr>
                <w:sz w:val="24"/>
              </w:rPr>
              <w:t>TOD总体策略研究指导下完成地区控制性详细规划修编工作。按照国家、省对控制详细规划编制内容要，对站点</w:t>
            </w:r>
            <w:r>
              <w:rPr>
                <w:sz w:val="24"/>
              </w:rPr>
              <w:t>3</w:t>
            </w:r>
            <w:r>
              <w:rPr>
                <w:sz w:val="24"/>
              </w:rPr>
              <w:t>平方公里范围内提出规划用地方案，并明确开发规模与强度、配套设施、道路交通、绿地系统、公共服务设施、市政设施等控制要素，建立刚性与弹性相结合的控制体系，保障统筹规划实施。</w:t>
            </w:r>
          </w:p>
          <w:p>
            <w:pPr>
              <w:ind w:firstLine="482"/>
              <w:jc w:val="both"/>
            </w:pPr>
            <w:r>
              <w:rPr>
                <w:b/>
                <w:sz w:val="24"/>
              </w:rPr>
              <w:t>（</w:t>
            </w:r>
            <w:r>
              <w:rPr>
                <w:b/>
                <w:sz w:val="24"/>
              </w:rPr>
              <w:t>8</w:t>
            </w:r>
            <w:r>
              <w:rPr>
                <w:b/>
                <w:sz w:val="24"/>
              </w:rPr>
              <w:t>）综合交通规划</w:t>
            </w:r>
          </w:p>
          <w:p>
            <w:pPr>
              <w:ind w:firstLine="482"/>
              <w:jc w:val="both"/>
            </w:pPr>
            <w:r>
              <w:rPr>
                <w:sz w:val="24"/>
              </w:rPr>
              <w:t>在统筹地形地貌、轨道敷设方式、城市区位、枢纽客流等因素基础上，提出枢纽总体布局、客流组织模式、出入口优化等，并以此为基础开展周边片区路网、土地利用、城市设计等工作。提出轨道站点</w:t>
            </w:r>
            <w:r>
              <w:rPr>
                <w:sz w:val="24"/>
              </w:rPr>
              <w:t>3</w:t>
            </w:r>
            <w:r>
              <w:rPr>
                <w:sz w:val="24"/>
              </w:rPr>
              <w:t>平方公里范围内周边道路交通、公共交通、慢行交通等的综合交通规划方案，通过切实可行的交通改善措施，包括规划范围对外出入的衔接与转换、规划区内公交网络优化、慢行交通网络完善等，落实周边区域以及规划区内部车行道路的连接及交通转换，加强规划区内部与外部交通系统的衔接，改善和疏解地区交通。</w:t>
            </w:r>
          </w:p>
          <w:p>
            <w:pPr>
              <w:ind w:firstLine="482"/>
              <w:jc w:val="both"/>
            </w:pPr>
            <w:r>
              <w:rPr>
                <w:b/>
                <w:sz w:val="24"/>
              </w:rPr>
              <w:t>（</w:t>
            </w:r>
            <w:r>
              <w:rPr>
                <w:b/>
                <w:sz w:val="24"/>
              </w:rPr>
              <w:t>9）土地利益平衡测算</w:t>
            </w:r>
          </w:p>
          <w:p>
            <w:pPr>
              <w:ind w:firstLine="480"/>
              <w:jc w:val="both"/>
            </w:pPr>
            <w:r>
              <w:rPr>
                <w:sz w:val="24"/>
              </w:rPr>
              <w:t>结合不同的投资模式，对搬迁安置、综合整治、拆除重建、物业返还等每种模式单元进行分析和详细的测算，</w:t>
            </w:r>
            <w:r>
              <w:rPr>
                <w:sz w:val="24"/>
              </w:rPr>
              <w:t>明确不同的不同开发的投资效果，提出最优的</w:t>
            </w:r>
            <w:r>
              <w:rPr>
                <w:sz w:val="24"/>
              </w:rPr>
              <w:t>TOD开发方式。并结合所有地块开发测算结果，计算每个站点总体开发利润。</w:t>
            </w:r>
          </w:p>
          <w:p>
            <w:pPr>
              <w:ind w:firstLine="482"/>
              <w:jc w:val="both"/>
            </w:pPr>
            <w:r>
              <w:rPr>
                <w:b/>
                <w:sz w:val="24"/>
              </w:rPr>
              <w:t>（</w:t>
            </w:r>
            <w:r>
              <w:rPr>
                <w:b/>
                <w:sz w:val="24"/>
              </w:rPr>
              <w:t>1</w:t>
            </w:r>
            <w:r>
              <w:rPr>
                <w:b/>
                <w:sz w:val="24"/>
              </w:rPr>
              <w:t>0</w:t>
            </w:r>
            <w:r>
              <w:rPr>
                <w:b/>
                <w:sz w:val="24"/>
              </w:rPr>
              <w:t>）地下空间专项规划</w:t>
            </w:r>
          </w:p>
          <w:p>
            <w:pPr>
              <w:ind w:firstLine="480"/>
              <w:jc w:val="both"/>
            </w:pPr>
            <w:r>
              <w:rPr>
                <w:sz w:val="24"/>
              </w:rPr>
              <w:t>在功能复合、高强度开发的站点</w:t>
            </w:r>
            <w:r>
              <w:rPr>
                <w:sz w:val="24"/>
              </w:rPr>
              <w:t>5</w:t>
            </w:r>
            <w:r>
              <w:rPr>
                <w:sz w:val="24"/>
              </w:rPr>
              <w:t>00</w:t>
            </w:r>
            <w:r>
              <w:rPr>
                <w:sz w:val="24"/>
              </w:rPr>
              <w:t>米范围内，对地下道路、轨道交通接驳、地下慢行系统、地下停车系统及地下配套服务设施等开展规划研究，明确地下通道与界面，衔接轨道站点与周边地下空间开发。在工程开发难度较大的地下空间，合理有序整合多且复杂的系统及空间，为枢纽核心区的高效开发建设及日常运营的提供有力的支撑。</w:t>
            </w:r>
          </w:p>
          <w:p>
            <w:pPr>
              <w:ind w:firstLine="480"/>
              <w:jc w:val="both"/>
            </w:pPr>
            <w:r>
              <w:rPr>
                <w:sz w:val="24"/>
              </w:rPr>
              <w:t>6、站点核心区站城一体化城市设计</w:t>
            </w:r>
          </w:p>
          <w:p>
            <w:pPr>
              <w:ind w:firstLine="480"/>
              <w:jc w:val="both"/>
            </w:pPr>
            <w:r>
              <w:rPr>
                <w:sz w:val="24"/>
              </w:rPr>
              <w:t>（</w:t>
            </w:r>
            <w:r>
              <w:rPr>
                <w:sz w:val="24"/>
              </w:rPr>
              <w:t>11）站城一体化城市设计</w:t>
            </w:r>
          </w:p>
          <w:p>
            <w:pPr>
              <w:ind w:firstLine="480"/>
              <w:jc w:val="both"/>
            </w:pPr>
            <w:r>
              <w:rPr>
                <w:sz w:val="24"/>
              </w:rPr>
              <w:t>对站点</w:t>
            </w:r>
            <w:r>
              <w:rPr>
                <w:sz w:val="24"/>
              </w:rPr>
              <w:t>500米范围内开展修建性详细规划深度的城市设计，明确主要轴线、节点、特色区域，塑造片区魅力特色和各类宜人的开放空间，打造符合枢纽新城气质的建筑风貌，提升城市形象与价值，并制定城市设计图则，形成地块开发的相应的控制要求。</w:t>
            </w:r>
          </w:p>
          <w:p>
            <w:pPr>
              <w:ind w:firstLine="480"/>
              <w:jc w:val="both"/>
            </w:pPr>
            <w:r>
              <w:rPr>
                <w:sz w:val="24"/>
              </w:rPr>
              <w:t>对于综合开发限制条件较多的蓬江北站、蓬江站、</w:t>
            </w:r>
            <w:r>
              <w:rPr>
                <w:sz w:val="24"/>
              </w:rPr>
              <w:t>江会站</w:t>
            </w:r>
            <w:r>
              <w:rPr>
                <w:sz w:val="24"/>
              </w:rPr>
              <w:t>等车站，可采取</w:t>
            </w:r>
            <w:r>
              <w:rPr>
                <w:sz w:val="24"/>
              </w:rPr>
              <w:t>TOD综合开发知  名专家咨询、方案征求意见等方式对方案进行优化。</w:t>
            </w:r>
          </w:p>
          <w:p>
            <w:pPr>
              <w:ind w:firstLine="482"/>
              <w:jc w:val="both"/>
            </w:pPr>
            <w:r>
              <w:rPr>
                <w:b/>
                <w:sz w:val="24"/>
              </w:rPr>
              <w:t>7、配套基础设施可行性研究</w:t>
            </w:r>
          </w:p>
          <w:p>
            <w:pPr>
              <w:ind w:firstLine="482"/>
              <w:jc w:val="both"/>
            </w:pPr>
            <w:r>
              <w:rPr>
                <w:b/>
                <w:sz w:val="24"/>
              </w:rPr>
              <w:t>（</w:t>
            </w:r>
            <w:r>
              <w:rPr>
                <w:b/>
                <w:sz w:val="24"/>
              </w:rPr>
              <w:t>1</w:t>
            </w:r>
            <w:r>
              <w:rPr>
                <w:b/>
                <w:sz w:val="24"/>
              </w:rPr>
              <w:t>2</w:t>
            </w:r>
            <w:r>
              <w:rPr>
                <w:b/>
                <w:sz w:val="24"/>
              </w:rPr>
              <w:t>）车站配套工程可行性研究</w:t>
            </w:r>
          </w:p>
          <w:p>
            <w:pPr>
              <w:ind w:firstLine="480"/>
              <w:jc w:val="both"/>
            </w:pPr>
            <w:r>
              <w:rPr>
                <w:sz w:val="24"/>
              </w:rPr>
              <w:t>结合控规方案，对站点集散道路以及</w:t>
            </w:r>
            <w:r>
              <w:rPr>
                <w:sz w:val="24"/>
              </w:rPr>
              <w:t>公交</w:t>
            </w:r>
            <w:r>
              <w:rPr>
                <w:sz w:val="24"/>
              </w:rPr>
              <w:t>接驳</w:t>
            </w:r>
            <w:r>
              <w:rPr>
                <w:sz w:val="24"/>
              </w:rPr>
              <w:t>与小汽车</w:t>
            </w:r>
            <w:r>
              <w:rPr>
                <w:sz w:val="24"/>
              </w:rPr>
              <w:t>停车场编制可行性研究报告，进一步论证在技术、经济、环境等方面的可行性。主要包括：现状及发展、交通分析及预测、建设方案和规模、环境影响分析与节能评价、投资估算和资金筹措、经济评价、实施方案、社会评价、研究结论和建议、附件、附图和附表等内容。</w:t>
            </w:r>
          </w:p>
          <w:p>
            <w:pPr>
              <w:ind w:firstLine="482"/>
              <w:jc w:val="both"/>
            </w:pPr>
            <w:r>
              <w:rPr>
                <w:b/>
                <w:sz w:val="24"/>
              </w:rPr>
              <w:t>（六）</w:t>
            </w:r>
            <w:r>
              <w:rPr>
                <w:b/>
                <w:sz w:val="24"/>
              </w:rPr>
              <w:t>工作进度</w:t>
            </w:r>
            <w:r>
              <w:rPr>
                <w:b/>
                <w:sz w:val="24"/>
              </w:rPr>
              <w:t>要求</w:t>
            </w:r>
          </w:p>
          <w:p>
            <w:pPr>
              <w:ind w:firstLine="480"/>
              <w:jc w:val="both"/>
            </w:pPr>
            <w:r>
              <w:rPr>
                <w:sz w:val="24"/>
              </w:rPr>
              <w:t>1、</w:t>
            </w:r>
            <w:r>
              <w:rPr>
                <w:sz w:val="24"/>
              </w:rPr>
              <w:t>合同签订生效后</w:t>
            </w:r>
            <w:r>
              <w:rPr>
                <w:sz w:val="24"/>
                <w:u w:val="single"/>
              </w:rPr>
              <w:t>18</w:t>
            </w:r>
            <w:r>
              <w:rPr>
                <w:sz w:val="24"/>
              </w:rPr>
              <w:t>个月内完成广佛江珠城际广州芳村至江门段项目江门境内站点综合开发及站城一体化规划设计工作并提交相应成果文件。因本项目城市设计、站点相关交通项目可研等需要根据广佛江珠城际广州芳村至江门段项目建设时序匹配，提交的相应成果须进行修改、完善延误，或因成果公示、提交部门或政府审议等程序及项目实施条件延误的，经采购人同意，完成时间可顺延。</w:t>
            </w:r>
          </w:p>
          <w:p>
            <w:pPr>
              <w:ind w:firstLine="480"/>
              <w:jc w:val="both"/>
            </w:pPr>
            <w:r>
              <w:rPr>
                <w:sz w:val="24"/>
              </w:rPr>
              <w:t>2、具体工作进度要求</w:t>
            </w:r>
          </w:p>
          <w:tbl>
            <w:tblPr>
              <w:tblBorders>
                <w:top w:val="none" w:color="000000" w:sz="4"/>
                <w:left w:val="none" w:color="000000" w:sz="4"/>
                <w:bottom w:val="none" w:color="000000" w:sz="4"/>
                <w:right w:val="none" w:color="000000" w:sz="4"/>
                <w:insideH w:val="none"/>
                <w:insideV w:val="none"/>
              </w:tblBorders>
            </w:tblPr>
            <w:tblGrid>
              <w:gridCol w:w="331"/>
              <w:gridCol w:w="530"/>
              <w:gridCol w:w="2349"/>
              <w:gridCol w:w="1146"/>
              <w:gridCol w:w="1221"/>
            </w:tblGrid>
            <w:tr>
              <w:tc>
                <w:tcPr>
                  <w:tcW w:type="dxa" w:w="33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530"/>
                  <w:tcBorders>
                    <w:top w:val="single" w:color="000000" w:sz="4"/>
                    <w:left w:val="single" w:color="000000" w:sz="4"/>
                    <w:bottom w:val="single" w:color="000000" w:sz="4"/>
                    <w:right w:val="single" w:color="000000" w:sz="4"/>
                  </w:tcBorders>
                  <w:vAlign w:val="top"/>
                </w:tcPr>
                <w:p>
                  <w:pPr>
                    <w:jc w:val="center"/>
                  </w:pPr>
                  <w:r>
                    <w:rPr>
                      <w:b/>
                      <w:sz w:val="24"/>
                    </w:rPr>
                    <w:t>工作</w:t>
                  </w:r>
                </w:p>
                <w:p>
                  <w:pPr>
                    <w:jc w:val="center"/>
                  </w:pPr>
                  <w:r>
                    <w:rPr>
                      <w:b/>
                      <w:sz w:val="24"/>
                    </w:rPr>
                    <w:t>阶段</w:t>
                  </w:r>
                </w:p>
              </w:tc>
              <w:tc>
                <w:tcPr>
                  <w:tcW w:type="dxa" w:w="2349"/>
                  <w:tcBorders>
                    <w:top w:val="single" w:color="000000" w:sz="4"/>
                    <w:left w:val="single" w:color="000000" w:sz="4"/>
                    <w:bottom w:val="single" w:color="000000" w:sz="4"/>
                    <w:right w:val="single" w:color="000000" w:sz="4"/>
                  </w:tcBorders>
                  <w:vAlign w:val="top"/>
                </w:tcPr>
                <w:p>
                  <w:pPr>
                    <w:jc w:val="center"/>
                  </w:pPr>
                  <w:r>
                    <w:rPr>
                      <w:b/>
                      <w:sz w:val="24"/>
                    </w:rPr>
                    <w:t>工作内容</w:t>
                  </w:r>
                </w:p>
              </w:tc>
              <w:tc>
                <w:tcPr>
                  <w:tcW w:type="dxa" w:w="1146"/>
                  <w:tcBorders>
                    <w:top w:val="single" w:color="000000" w:sz="4"/>
                    <w:left w:val="single" w:color="000000" w:sz="4"/>
                    <w:bottom w:val="single" w:color="000000" w:sz="4"/>
                    <w:right w:val="single" w:color="000000" w:sz="4"/>
                  </w:tcBorders>
                  <w:vAlign w:val="top"/>
                </w:tcPr>
                <w:p>
                  <w:pPr>
                    <w:jc w:val="center"/>
                  </w:pPr>
                  <w:r>
                    <w:rPr>
                      <w:b/>
                      <w:sz w:val="24"/>
                    </w:rPr>
                    <w:t>主要成果构成</w:t>
                  </w:r>
                </w:p>
              </w:tc>
              <w:tc>
                <w:tcPr>
                  <w:tcW w:type="dxa" w:w="1221"/>
                  <w:tcBorders>
                    <w:top w:val="single" w:color="000000" w:sz="4"/>
                    <w:left w:val="single" w:color="000000" w:sz="4"/>
                    <w:bottom w:val="single" w:color="000000" w:sz="4"/>
                    <w:right w:val="single" w:color="000000" w:sz="4"/>
                  </w:tcBorders>
                  <w:vAlign w:val="top"/>
                </w:tcPr>
                <w:p>
                  <w:pPr>
                    <w:jc w:val="center"/>
                  </w:pPr>
                  <w:r>
                    <w:rPr>
                      <w:b/>
                      <w:sz w:val="24"/>
                    </w:rPr>
                    <w:t>完成时间（以合同签订生效之日起）</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530"/>
                  <w:tcBorders>
                    <w:top w:val="none" w:color="000000" w:sz="4"/>
                    <w:left w:val="single" w:color="000000" w:sz="4"/>
                    <w:bottom w:val="single" w:color="000000" w:sz="4"/>
                    <w:right w:val="single" w:color="000000" w:sz="4"/>
                  </w:tcBorders>
                  <w:vAlign w:val="top"/>
                </w:tcPr>
                <w:p>
                  <w:pPr>
                    <w:jc w:val="center"/>
                  </w:pPr>
                  <w:r>
                    <w:rPr>
                      <w:sz w:val="24"/>
                    </w:rPr>
                    <w:t>阶段一</w:t>
                  </w:r>
                </w:p>
              </w:tc>
              <w:tc>
                <w:tcPr>
                  <w:tcW w:type="dxa" w:w="2349"/>
                  <w:tcBorders>
                    <w:top w:val="none" w:color="000000" w:sz="4"/>
                    <w:left w:val="single" w:color="000000" w:sz="4"/>
                    <w:bottom w:val="single" w:color="000000" w:sz="4"/>
                    <w:right w:val="single" w:color="000000" w:sz="4"/>
                  </w:tcBorders>
                  <w:vAlign w:val="top"/>
                </w:tcPr>
                <w:p>
                  <w:pPr>
                    <w:jc w:val="both"/>
                  </w:pPr>
                  <w:r>
                    <w:rPr>
                      <w:sz w:val="24"/>
                    </w:rPr>
                    <w:t>完成工作大纲</w:t>
                  </w:r>
                </w:p>
              </w:tc>
              <w:tc>
                <w:tcPr>
                  <w:tcW w:type="dxa" w:w="1146"/>
                  <w:tcBorders>
                    <w:top w:val="none" w:color="000000" w:sz="4"/>
                    <w:left w:val="single" w:color="000000" w:sz="4"/>
                    <w:bottom w:val="single" w:color="000000" w:sz="4"/>
                    <w:right w:val="single" w:color="000000" w:sz="4"/>
                  </w:tcBorders>
                  <w:vAlign w:val="top"/>
                </w:tcPr>
                <w:p>
                  <w:pPr>
                    <w:jc w:val="center"/>
                  </w:pPr>
                  <w:r>
                    <w:rPr>
                      <w:sz w:val="24"/>
                    </w:rPr>
                    <w:t>汇报</w:t>
                  </w:r>
                  <w:r>
                    <w:rPr>
                      <w:sz w:val="24"/>
                    </w:rPr>
                    <w:t>P</w:t>
                  </w:r>
                  <w:r>
                    <w:rPr>
                      <w:sz w:val="24"/>
                    </w:rPr>
                    <w:t>PT</w:t>
                  </w:r>
                  <w:r>
                    <w:rPr>
                      <w:sz w:val="24"/>
                    </w:rPr>
                    <w:t>或相关文本。</w:t>
                  </w:r>
                </w:p>
              </w:tc>
              <w:tc>
                <w:tcPr>
                  <w:tcW w:type="dxa" w:w="1221"/>
                  <w:tcBorders>
                    <w:top w:val="none" w:color="000000" w:sz="4"/>
                    <w:left w:val="single" w:color="000000" w:sz="4"/>
                    <w:bottom w:val="single" w:color="000000" w:sz="4"/>
                    <w:right w:val="single" w:color="000000" w:sz="4"/>
                  </w:tcBorders>
                  <w:vAlign w:val="top"/>
                </w:tcPr>
                <w:p>
                  <w:pPr>
                    <w:jc w:val="center"/>
                  </w:pPr>
                  <w:r>
                    <w:rPr>
                      <w:sz w:val="24"/>
                    </w:rPr>
                    <w:t>1</w:t>
                  </w:r>
                  <w:r>
                    <w:rPr>
                      <w:sz w:val="24"/>
                    </w:rPr>
                    <w:t>个</w:t>
                  </w:r>
                  <w:r>
                    <w:rPr>
                      <w:sz w:val="24"/>
                    </w:rPr>
                    <w:t>月</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530"/>
                  <w:tcBorders>
                    <w:top w:val="none" w:color="000000" w:sz="4"/>
                    <w:left w:val="single" w:color="000000" w:sz="4"/>
                    <w:bottom w:val="single" w:color="000000" w:sz="4"/>
                    <w:right w:val="single" w:color="000000" w:sz="4"/>
                  </w:tcBorders>
                  <w:vAlign w:val="top"/>
                </w:tcPr>
                <w:p>
                  <w:pPr>
                    <w:jc w:val="center"/>
                  </w:pPr>
                  <w:r>
                    <w:rPr>
                      <w:sz w:val="24"/>
                    </w:rPr>
                    <w:t>阶段二</w:t>
                  </w:r>
                </w:p>
              </w:tc>
              <w:tc>
                <w:tcPr>
                  <w:tcW w:type="dxa" w:w="2349"/>
                  <w:tcBorders>
                    <w:top w:val="none" w:color="000000" w:sz="4"/>
                    <w:left w:val="single" w:color="000000" w:sz="4"/>
                    <w:bottom w:val="single" w:color="000000" w:sz="4"/>
                    <w:right w:val="single" w:color="000000" w:sz="4"/>
                  </w:tcBorders>
                  <w:vAlign w:val="top"/>
                </w:tcPr>
                <w:p>
                  <w:pPr>
                    <w:jc w:val="both"/>
                  </w:pPr>
                  <w:r>
                    <w:rPr>
                      <w:sz w:val="24"/>
                    </w:rPr>
                    <w:t>完成全线土地开发策略研究、业态策划定位和规模预测研究、产业资源导入和运营研究、</w:t>
                  </w:r>
                  <w:r>
                    <w:rPr>
                      <w:sz w:val="24"/>
                    </w:rPr>
                    <w:t>TOD机制和政策研究4个子项目最终成果</w:t>
                  </w:r>
                </w:p>
              </w:tc>
              <w:tc>
                <w:tcPr>
                  <w:tcW w:type="dxa" w:w="1146"/>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221"/>
                  <w:tcBorders>
                    <w:top w:val="none" w:color="000000" w:sz="4"/>
                    <w:left w:val="single" w:color="000000" w:sz="4"/>
                    <w:bottom w:val="single" w:color="000000" w:sz="4"/>
                    <w:right w:val="single" w:color="000000" w:sz="4"/>
                  </w:tcBorders>
                  <w:vAlign w:val="top"/>
                </w:tcPr>
                <w:p>
                  <w:pPr>
                    <w:jc w:val="center"/>
                  </w:pPr>
                  <w:r>
                    <w:rPr>
                      <w:sz w:val="24"/>
                    </w:rPr>
                    <w:t>8</w:t>
                  </w:r>
                  <w:r>
                    <w:rPr>
                      <w:sz w:val="24"/>
                    </w:rPr>
                    <w:t>个月</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530"/>
                  <w:tcBorders>
                    <w:top w:val="none" w:color="000000" w:sz="4"/>
                    <w:left w:val="single" w:color="000000" w:sz="4"/>
                    <w:bottom w:val="single" w:color="000000" w:sz="4"/>
                    <w:right w:val="single" w:color="000000" w:sz="4"/>
                  </w:tcBorders>
                  <w:vAlign w:val="top"/>
                </w:tcPr>
                <w:p>
                  <w:pPr>
                    <w:jc w:val="center"/>
                  </w:pPr>
                  <w:r>
                    <w:rPr>
                      <w:sz w:val="24"/>
                    </w:rPr>
                    <w:t>阶段三</w:t>
                  </w:r>
                </w:p>
              </w:tc>
              <w:tc>
                <w:tcPr>
                  <w:tcW w:type="dxa" w:w="2349"/>
                  <w:tcBorders>
                    <w:top w:val="none" w:color="000000" w:sz="4"/>
                    <w:left w:val="single" w:color="000000" w:sz="4"/>
                    <w:bottom w:val="single" w:color="000000" w:sz="4"/>
                    <w:right w:val="single" w:color="000000" w:sz="4"/>
                  </w:tcBorders>
                  <w:vAlign w:val="top"/>
                </w:tcPr>
                <w:p>
                  <w:pPr>
                    <w:jc w:val="left"/>
                  </w:pPr>
                  <w:r>
                    <w:rPr>
                      <w:sz w:val="24"/>
                    </w:rPr>
                    <w:t>完成地块开发策略研究、全生命周期轨道投融资模式研究、土地利益平衡研究</w:t>
                  </w:r>
                  <w:r>
                    <w:rPr>
                      <w:sz w:val="24"/>
                    </w:rPr>
                    <w:t>3</w:t>
                  </w:r>
                  <w:r>
                    <w:rPr>
                      <w:sz w:val="24"/>
                    </w:rPr>
                    <w:t>个子项目最终成果</w:t>
                  </w:r>
                  <w:r>
                    <w:rPr>
                      <w:sz w:val="24"/>
                    </w:rPr>
                    <w:t>；</w:t>
                  </w:r>
                  <w:r>
                    <w:rPr>
                      <w:sz w:val="24"/>
                    </w:rPr>
                    <w:t>提交</w:t>
                  </w:r>
                  <w:r>
                    <w:rPr>
                      <w:sz w:val="24"/>
                    </w:rPr>
                    <w:t>TOD控制性详细规划、地下空间专项规划、综合交通规划、站城一体化城市设计、</w:t>
                  </w:r>
                  <w:r>
                    <w:rPr>
                      <w:sz w:val="24"/>
                    </w:rPr>
                    <w:t>车站配套工程</w:t>
                  </w:r>
                  <w:r>
                    <w:rPr>
                      <w:sz w:val="24"/>
                    </w:rPr>
                    <w:t>可行性研究</w:t>
                  </w:r>
                  <w:r>
                    <w:rPr>
                      <w:sz w:val="24"/>
                    </w:rPr>
                    <w:t>5个子项目的中期成果</w:t>
                  </w:r>
                </w:p>
              </w:tc>
              <w:tc>
                <w:tcPr>
                  <w:tcW w:type="dxa" w:w="1146"/>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221"/>
                  <w:tcBorders>
                    <w:top w:val="none" w:color="000000" w:sz="4"/>
                    <w:left w:val="single" w:color="000000" w:sz="4"/>
                    <w:bottom w:val="single" w:color="000000" w:sz="4"/>
                    <w:right w:val="single" w:color="000000" w:sz="4"/>
                  </w:tcBorders>
                  <w:vAlign w:val="top"/>
                </w:tcPr>
                <w:p>
                  <w:pPr>
                    <w:jc w:val="center"/>
                  </w:pPr>
                  <w:r>
                    <w:rPr>
                      <w:sz w:val="24"/>
                    </w:rPr>
                    <w:t>12</w:t>
                  </w:r>
                  <w:r>
                    <w:rPr>
                      <w:sz w:val="24"/>
                    </w:rPr>
                    <w:t>个月</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530"/>
                  <w:tcBorders>
                    <w:top w:val="none" w:color="000000" w:sz="4"/>
                    <w:left w:val="single" w:color="000000" w:sz="4"/>
                    <w:bottom w:val="single" w:color="000000" w:sz="4"/>
                    <w:right w:val="single" w:color="000000" w:sz="4"/>
                  </w:tcBorders>
                  <w:vAlign w:val="top"/>
                </w:tcPr>
                <w:p>
                  <w:pPr>
                    <w:jc w:val="center"/>
                  </w:pPr>
                  <w:r>
                    <w:rPr>
                      <w:sz w:val="24"/>
                    </w:rPr>
                    <w:t>阶段四</w:t>
                  </w:r>
                </w:p>
              </w:tc>
              <w:tc>
                <w:tcPr>
                  <w:tcW w:type="dxa" w:w="2349"/>
                  <w:tcBorders>
                    <w:top w:val="none" w:color="000000" w:sz="4"/>
                    <w:left w:val="single" w:color="000000" w:sz="4"/>
                    <w:bottom w:val="single" w:color="000000" w:sz="4"/>
                    <w:right w:val="single" w:color="000000" w:sz="4"/>
                  </w:tcBorders>
                  <w:vAlign w:val="top"/>
                </w:tcPr>
                <w:p>
                  <w:pPr>
                    <w:jc w:val="both"/>
                  </w:pPr>
                  <w:r>
                    <w:rPr>
                      <w:sz w:val="24"/>
                    </w:rPr>
                    <w:t>完成</w:t>
                  </w:r>
                  <w:r>
                    <w:rPr>
                      <w:sz w:val="24"/>
                    </w:rPr>
                    <w:t>TOD控制详细规划、</w:t>
                  </w:r>
                  <w:r>
                    <w:rPr>
                      <w:sz w:val="24"/>
                    </w:rPr>
                    <w:t>车站配套工程</w:t>
                  </w:r>
                  <w:r>
                    <w:rPr>
                      <w:sz w:val="24"/>
                    </w:rPr>
                    <w:t>可行性研究</w:t>
                  </w:r>
                  <w:r>
                    <w:rPr>
                      <w:sz w:val="24"/>
                    </w:rPr>
                    <w:t>2个</w:t>
                  </w:r>
                  <w:r>
                    <w:rPr>
                      <w:sz w:val="24"/>
                    </w:rPr>
                    <w:t>子项目</w:t>
                  </w:r>
                  <w:r>
                    <w:rPr>
                      <w:sz w:val="24"/>
                    </w:rPr>
                    <w:t>通过政府批复；</w:t>
                  </w:r>
                  <w:r>
                    <w:rPr>
                      <w:sz w:val="24"/>
                    </w:rPr>
                    <w:t>完成</w:t>
                  </w:r>
                  <w:r>
                    <w:rPr>
                      <w:sz w:val="24"/>
                    </w:rPr>
                    <w:t>地下空间专项规划、综合交通规划、站城一体化城市设计</w:t>
                  </w:r>
                  <w:r>
                    <w:rPr>
                      <w:sz w:val="24"/>
                    </w:rPr>
                    <w:t>3个</w:t>
                  </w:r>
                  <w:r>
                    <w:rPr>
                      <w:sz w:val="24"/>
                    </w:rPr>
                    <w:t>子项目最终成果</w:t>
                  </w:r>
                </w:p>
              </w:tc>
              <w:tc>
                <w:tcPr>
                  <w:tcW w:type="dxa" w:w="1146"/>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221"/>
                  <w:tcBorders>
                    <w:top w:val="none" w:color="000000" w:sz="4"/>
                    <w:left w:val="single" w:color="000000" w:sz="4"/>
                    <w:bottom w:val="single" w:color="000000" w:sz="4"/>
                    <w:right w:val="single" w:color="000000" w:sz="4"/>
                  </w:tcBorders>
                  <w:vAlign w:val="top"/>
                </w:tcPr>
                <w:p>
                  <w:pPr>
                    <w:jc w:val="center"/>
                  </w:pPr>
                  <w:r>
                    <w:rPr>
                      <w:sz w:val="24"/>
                    </w:rPr>
                    <w:t>18</w:t>
                  </w:r>
                  <w:r>
                    <w:rPr>
                      <w:sz w:val="24"/>
                    </w:rPr>
                    <w:t>个月</w:t>
                  </w:r>
                </w:p>
              </w:tc>
            </w:tr>
            <w:tr>
              <w:tc>
                <w:tcPr>
                  <w:tcW w:type="dxa" w:w="33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530"/>
                  <w:tcBorders>
                    <w:top w:val="none" w:color="000000" w:sz="4"/>
                    <w:left w:val="single" w:color="000000" w:sz="4"/>
                    <w:bottom w:val="single" w:color="000000" w:sz="4"/>
                    <w:right w:val="single" w:color="000000" w:sz="4"/>
                  </w:tcBorders>
                  <w:vAlign w:val="top"/>
                </w:tcPr>
                <w:p>
                  <w:pPr>
                    <w:jc w:val="center"/>
                  </w:pPr>
                  <w:r>
                    <w:rPr>
                      <w:sz w:val="24"/>
                    </w:rPr>
                    <w:t>阶段五</w:t>
                  </w:r>
                </w:p>
              </w:tc>
              <w:tc>
                <w:tcPr>
                  <w:tcW w:type="dxa" w:w="2349"/>
                  <w:tcBorders>
                    <w:top w:val="none" w:color="000000" w:sz="4"/>
                    <w:left w:val="single" w:color="000000" w:sz="4"/>
                    <w:bottom w:val="single" w:color="000000" w:sz="4"/>
                    <w:right w:val="single" w:color="000000" w:sz="4"/>
                  </w:tcBorders>
                  <w:vAlign w:val="top"/>
                </w:tcPr>
                <w:p>
                  <w:pPr>
                    <w:jc w:val="both"/>
                  </w:pPr>
                  <w:r>
                    <w:rPr>
                      <w:sz w:val="24"/>
                    </w:rPr>
                    <w:t>结合广佛江珠城际广州芳村至江门段项目建设的变化情况，对相应成果须进行修改的技术服务</w:t>
                  </w:r>
                </w:p>
              </w:tc>
              <w:tc>
                <w:tcPr>
                  <w:tcW w:type="dxa" w:w="1146"/>
                  <w:tcBorders>
                    <w:top w:val="none" w:color="000000" w:sz="4"/>
                    <w:left w:val="single" w:color="000000" w:sz="4"/>
                    <w:bottom w:val="single" w:color="000000" w:sz="4"/>
                    <w:right w:val="single" w:color="000000" w:sz="4"/>
                  </w:tcBorders>
                  <w:vAlign w:val="top"/>
                </w:tcPr>
                <w:p>
                  <w:pPr>
                    <w:jc w:val="both"/>
                  </w:pPr>
                  <w:r>
                    <w:rPr>
                      <w:sz w:val="24"/>
                    </w:rPr>
                    <w:t>相关修改图纸和文本</w:t>
                  </w:r>
                </w:p>
              </w:tc>
              <w:tc>
                <w:tcPr>
                  <w:tcW w:type="dxa" w:w="1221"/>
                  <w:tcBorders>
                    <w:top w:val="none" w:color="000000" w:sz="4"/>
                    <w:left w:val="single" w:color="000000" w:sz="4"/>
                    <w:bottom w:val="single" w:color="000000" w:sz="4"/>
                    <w:right w:val="single" w:color="000000" w:sz="4"/>
                  </w:tcBorders>
                  <w:vAlign w:val="top"/>
                </w:tcPr>
                <w:p>
                  <w:pPr>
                    <w:jc w:val="center"/>
                  </w:pPr>
                </w:p>
              </w:tc>
            </w:tr>
          </w:tbl>
          <w:p>
            <w:pPr>
              <w:ind w:firstLine="482"/>
              <w:jc w:val="both"/>
            </w:pPr>
            <w:r>
              <w:rPr>
                <w:b/>
                <w:sz w:val="24"/>
              </w:rPr>
              <w:t>注：上述完成时间节点是基于广佛江珠项目</w:t>
            </w:r>
            <w:r>
              <w:rPr>
                <w:b/>
                <w:sz w:val="24"/>
              </w:rPr>
              <w:t>2023年10月份动工的要求进行安排，若因上述项目原因开工时间延后，上述相应完成时间节点相应顺延。</w:t>
            </w:r>
          </w:p>
          <w:p>
            <w:pPr>
              <w:ind w:firstLine="482"/>
              <w:jc w:val="both"/>
            </w:pPr>
          </w:p>
          <w:p>
            <w:pPr>
              <w:ind w:firstLine="482"/>
              <w:jc w:val="both"/>
            </w:pPr>
            <w:r>
              <w:rPr>
                <w:b/>
                <w:sz w:val="24"/>
              </w:rPr>
              <w:t>（七）服务成果要求</w:t>
            </w:r>
          </w:p>
          <w:p>
            <w:pPr>
              <w:ind w:firstLine="480"/>
              <w:jc w:val="both"/>
            </w:pPr>
            <w:r>
              <w:rPr>
                <w:sz w:val="24"/>
              </w:rPr>
              <w:t>根据项目背景情况、研究目的、研究范围和规划年限、项目研究内容等，制定项目总成果报告及</w:t>
            </w:r>
            <w:r>
              <w:rPr>
                <w:sz w:val="24"/>
              </w:rPr>
              <w:t>1</w:t>
            </w:r>
            <w:r>
              <w:rPr>
                <w:sz w:val="24"/>
              </w:rPr>
              <w:t>2</w:t>
            </w:r>
            <w:r>
              <w:rPr>
                <w:sz w:val="24"/>
              </w:rPr>
              <w:t>个子项目成果，包括纸质报告</w:t>
            </w:r>
            <w:r>
              <w:rPr>
                <w:sz w:val="24"/>
              </w:rPr>
              <w:t>8份、电子版2份。采购人因评审或报批需要合理增加成果份数的，中标供应商应及时无偿提供。</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1.采购代理机构：本项目是指江门市深联招标有限公司，负责整个采购活动的组织，依法负责编制和发布招标文件，对招标文件拥有最终的解释权，不以任何身份出任评标委员会成员。</w:t>
      </w:r>
    </w:p>
    <w:p>
      <w:pPr>
        <w:ind w:firstLine="480"/>
      </w:pPr>
      <w:r>
        <w:rPr/>
        <w:t>2.采购人：本项目是指</w:t>
      </w:r>
      <w:r>
        <w:rPr/>
        <w:t>江门市发展和改革局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采购机构代理服务收费标准：收费标准参照国家计委“计价格（2002）1980号”及国家发改委“发改价格[2011]534号”文件规定的“服务类”费率标准，以中标金额作为收费的计算依据，按差额定率累进法计算收取。 代理服务费请划入以下账户： 户名：江门市深联招标有限公司； 开户行：中国银行江门城区支行； 账号：721157748639。</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黄兢文</w:t>
      </w:r>
    </w:p>
    <w:p>
      <w:pPr>
        <w:ind w:firstLine="480"/>
      </w:pPr>
      <w:r>
        <w:rPr/>
        <w:t>电话：</w:t>
      </w:r>
      <w:r>
        <w:rPr/>
        <w:t>0750-3503585</w:t>
      </w:r>
    </w:p>
    <w:p>
      <w:pPr>
        <w:ind w:firstLine="480"/>
      </w:pPr>
      <w:r>
        <w:rPr/>
        <w:t>传真：</w:t>
      </w:r>
      <w:r>
        <w:rPr/>
        <w:t>0750-3503587</w:t>
      </w:r>
    </w:p>
    <w:p>
      <w:pPr>
        <w:ind w:firstLine="480"/>
      </w:pPr>
      <w:r>
        <w:rPr/>
        <w:t>邮箱：</w:t>
      </w:r>
      <w:r>
        <w:rPr/>
        <w:t>307403473@qq.com</w:t>
      </w:r>
    </w:p>
    <w:p>
      <w:pPr>
        <w:ind w:firstLine="480"/>
      </w:pPr>
      <w:r>
        <w:rPr/>
        <w:t>地址：</w:t>
      </w:r>
      <w:r>
        <w:rPr/>
        <w:t>广东省江门市蓬江区华园路21号101</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佛江珠城际广州芳村至江门段项目江门境内站点综合开发及站城一体化规划设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江门市深联招标有限公司</w:t>
      </w:r>
      <w:r>
        <w:rPr/>
        <w:t>统一对外发布。</w:t>
      </w:r>
    </w:p>
    <w:p>
      <w:pPr>
        <w:ind w:firstLine="480"/>
      </w:pPr>
      <w:r>
        <w:rPr/>
        <w:t>（2）对</w:t>
      </w:r>
      <w:r>
        <w:rPr/>
        <w:t>江门市深联招标有限公司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采购包1（广佛江珠城际广州芳村至江门段项目江门境内站点综合开发及站城一体化规划设计项目）：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采购包1（广佛江珠城际广州芳村至江门段项目江门境内站点综合开发及站城一体化规划设计项目）：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或扫描件）。若分支机构投标的，应当取得总公司（总所）出具给分支机构的有效授权，并同时提供总公司（总所）的营业执照、总公司（总所）出具给分支机构的有效授权书及分支机构的营业执照复印件（或扫描件）。已取得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提供2022年1月至今任意1个月的依法缴纳税收和社会保障资金的相关材料复印件（或扫描件）；如依法免税或不需要缴纳社会保障资金的，应当提供相应证明文件复印件（或扫描件）。</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提供2021年度或2022年1月至今任意1个月的财务状况报告或银行出具的资信证明复印件（或扫描件）。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若供应商以联合体形式参加投标（响应）的，则为联合体所有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或扫描件））</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特定的资格要求1</w:t>
            </w:r>
          </w:p>
        </w:tc>
        <w:tc>
          <w:tcPr>
            <w:tcW w:type="dxa" w:w="4238"/>
          </w:tcPr>
          <w:p>
            <w:r>
              <w:rPr/>
              <w:t>供应商（若供应商以联合体形式参加投标（响应）的，则为联合体所有方）应当具有有效的城乡规划编制甲级资质。（提供有效的城乡规划编制资质证书复印件（或扫描件），若暂无城乡规划编制资质证书复印件（或扫描件），可由相应的国家自然资源部公告的城乡规划编制单位甲级资质认定名单的相关材料复印件（或扫描件）代替。根据自然资源部办公厅关于城乡规划编制单位甲级资质证书延期有关事宜的通知，有效期至2022年12月31日的城乡规划编制单位甲级资质证书，有效期延长至2023年12月31日。因此，城乡规划编制甲级资质证书的有效期为2022年12月31日的，视其有效期为2023年12月31日）</w:t>
            </w:r>
          </w:p>
        </w:tc>
      </w:tr>
      <w:tr>
        <w:tc>
          <w:tcPr>
            <w:tcW w:type="dxa" w:w="890"/>
          </w:tcPr>
          <w:p>
            <w:r>
              <w:rPr/>
              <w:t>9</w:t>
            </w:r>
          </w:p>
        </w:tc>
        <w:tc>
          <w:tcPr>
            <w:tcW w:type="dxa" w:w="3178"/>
          </w:tcPr>
          <w:p>
            <w:r>
              <w:rPr/>
              <w:t>投标形式</w:t>
            </w:r>
          </w:p>
        </w:tc>
        <w:tc>
          <w:tcPr>
            <w:tcW w:type="dxa" w:w="4238"/>
          </w:tcPr>
          <w:p>
            <w:r>
              <w:rPr/>
              <w:t>本采购包接受联合体投标（响应），联合体成员不得超过三家；若供应商以联合体形式参加投标（响应）的，参与本项目投标（响应）的联合体各成员必须签订联合体共同投标协议书，明确各方承担的工作内容和权利义务，且联合体中的牵头单位须承担的工作内容至少包含全线土地开发策略研究、地块开发策略研究、综合交通规划等3个子项目的工作内容（具体内容详见招标文件第二章“采购需求”中的“项目工作内容”）（若供应商以联合体形式参加投标（响应）的，需提供《联合体共同投标协议书》）</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采购包1（广佛江珠城际广州芳村至江门段项目江门境内站点综合开发及站城一体化规划设计项目）：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投标报价未超过对应采购包的预算金额或最高限价，且投标报价是固定唯一</w:t>
            </w:r>
          </w:p>
        </w:tc>
      </w:tr>
      <w:tr>
        <w:tc>
          <w:tcPr>
            <w:tcW w:type="dxa" w:w="890"/>
          </w:tcPr>
          <w:p>
            <w:r>
              <w:rPr/>
              <w:t>2</w:t>
            </w:r>
          </w:p>
        </w:tc>
        <w:tc>
          <w:tcPr>
            <w:tcW w:type="dxa" w:w="3178"/>
          </w:tcPr>
          <w:p>
            <w:r>
              <w:rPr/>
              <w:t>投标文件签署、盖章</w:t>
            </w:r>
          </w:p>
        </w:tc>
        <w:tc>
          <w:tcPr>
            <w:tcW w:type="dxa" w:w="4238"/>
          </w:tcPr>
          <w:p>
            <w:r>
              <w:rPr/>
              <w:t>投标文件已按照招标文件规定要求签署、盖章</w:t>
            </w:r>
          </w:p>
        </w:tc>
      </w:tr>
      <w:tr>
        <w:tc>
          <w:tcPr>
            <w:tcW w:type="dxa" w:w="890"/>
          </w:tcPr>
          <w:p>
            <w:r>
              <w:rPr/>
              <w:t>3</w:t>
            </w:r>
          </w:p>
        </w:tc>
        <w:tc>
          <w:tcPr>
            <w:tcW w:type="dxa" w:w="3178"/>
          </w:tcPr>
          <w:p>
            <w:r>
              <w:rPr/>
              <w:t>法定代表人证明书及法定代表人授权书</w:t>
            </w:r>
          </w:p>
        </w:tc>
        <w:tc>
          <w:tcPr>
            <w:tcW w:type="dxa" w:w="4238"/>
          </w:tcPr>
          <w:p>
            <w:r>
              <w:rPr/>
              <w:t>投标文件中已提交有效的法定代表人证明书及法定代表人授权书（如果法定代表人直接参加本项目投标及签署投标文件的，可不提供法定代表人授权书）</w:t>
            </w:r>
          </w:p>
        </w:tc>
      </w:tr>
      <w:tr>
        <w:tc>
          <w:tcPr>
            <w:tcW w:type="dxa" w:w="890"/>
          </w:tcPr>
          <w:p>
            <w:r>
              <w:rPr/>
              <w:t>4</w:t>
            </w:r>
          </w:p>
        </w:tc>
        <w:tc>
          <w:tcPr>
            <w:tcW w:type="dxa" w:w="3178"/>
          </w:tcPr>
          <w:p>
            <w:r>
              <w:rPr/>
              <w:t>投标有效期</w:t>
            </w:r>
          </w:p>
        </w:tc>
        <w:tc>
          <w:tcPr>
            <w:tcW w:type="dxa" w:w="4238"/>
          </w:tcPr>
          <w:p>
            <w:r>
              <w:rPr/>
              <w:t>投标有效期符合招标文件要求</w:t>
            </w:r>
          </w:p>
        </w:tc>
      </w:tr>
      <w:tr>
        <w:tc>
          <w:tcPr>
            <w:tcW w:type="dxa" w:w="890"/>
          </w:tcPr>
          <w:p>
            <w:r>
              <w:rPr/>
              <w:t>5</w:t>
            </w:r>
          </w:p>
        </w:tc>
        <w:tc>
          <w:tcPr>
            <w:tcW w:type="dxa" w:w="3178"/>
          </w:tcPr>
          <w:p>
            <w:r>
              <w:rPr/>
              <w:t>其他无效投标情形</w:t>
            </w:r>
          </w:p>
        </w:tc>
        <w:tc>
          <w:tcPr>
            <w:tcW w:type="dxa" w:w="4238"/>
          </w:tcPr>
          <w:p>
            <w:r>
              <w:rPr/>
              <w:t>投标文件中不存在招标文件或法规明确规定的其他无效投标情形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采购包1广佛江珠城际广州芳村至江门段项目江门境内站点综合开发及站城一体化规划设计项目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技术部分35.0分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项目理解与现状分析 (5.0分)</w:t>
            </w:r>
            <w:r>
              <w:rPr/>
              <w:t>，（等次分值选择：</w:t>
            </w:r>
            <w:r>
              <w:rPr/>
              <w:t>0.0;</w:t>
            </w:r>
            <w:r>
              <w:rPr/>
              <w:t>2.0;</w:t>
            </w:r>
            <w:r>
              <w:rPr/>
              <w:t>4.0;</w:t>
            </w:r>
            <w:r>
              <w:rPr/>
              <w:t>5.0;</w:t>
            </w:r>
            <w:r>
              <w:rPr/>
              <w:t>）</w:t>
            </w:r>
          </w:p>
        </w:tc>
        <w:tc>
          <w:tcPr>
            <w:tcW w:type="dxa" w:w="5076"/>
          </w:tcPr>
          <w:p>
            <w:pPr>
              <w:jc w:val="left"/>
            </w:pPr>
            <w:r>
              <w:rPr/>
              <w:t>根据投标人对本项目的项目理解与现状分析进行评审，包括对项目工作内容的理解是否深刻；相关规划的解读是否清晰；对现状条件，包括现状土地利用、土地权属等信息的掌握是否全面等。 1）工作内容清晰明确，规划解读到位，现状分析全面的，得5分； 2）工作内容较清晰明确，规划解读较到位，现状分析较全面的，得4分； 3）工作内容理解不清晰明确，规划解读不到位，现状分析不全面的，得2分； 4）未提供相关描述的不得分。</w:t>
            </w:r>
          </w:p>
        </w:tc>
      </w:tr>
      <w:tr>
        <w:tc>
          <w:tcPr>
            <w:tcW w:type="dxa" w:w="922"/>
            <w:gridSpan w:val="2"/>
            <w:vMerge/>
          </w:tcPr>
          <w:p/>
        </w:tc>
        <w:tc>
          <w:tcPr>
            <w:tcW w:type="dxa" w:w="2307"/>
          </w:tcPr>
          <w:p>
            <w:pPr>
              <w:jc w:val="left"/>
            </w:pPr>
            <w:r>
              <w:rPr/>
              <w:t>项目难点分析及应对措施 (5.0分)</w:t>
            </w:r>
            <w:r>
              <w:rPr/>
              <w:t>，（等次分值选择：</w:t>
            </w:r>
            <w:r>
              <w:rPr/>
              <w:t>0.0;</w:t>
            </w:r>
            <w:r>
              <w:rPr/>
              <w:t>2.0;</w:t>
            </w:r>
            <w:r>
              <w:rPr/>
              <w:t>4.0;</w:t>
            </w:r>
            <w:r>
              <w:rPr/>
              <w:t>5.0;</w:t>
            </w:r>
            <w:r>
              <w:rPr/>
              <w:t>）</w:t>
            </w:r>
          </w:p>
        </w:tc>
        <w:tc>
          <w:tcPr>
            <w:tcW w:type="dxa" w:w="5076"/>
          </w:tcPr>
          <w:p>
            <w:pPr>
              <w:jc w:val="left"/>
            </w:pPr>
            <w:r>
              <w:rPr/>
              <w:t>根据投标人的项目难点分析及应对措施进行评审，包括项目难点分析是否全面、合理，应对措施是否得当、具体等。 1）项目难点分析全面、合理，应对措施得当、具体，切合项目实际需要，能保障项目有效实施的，得5分； 2）项目难点分析较全面、较合理，应对措施较得当、较具体，较切合项目实际需要，较能保障项目有效实施的，得4分； 3）项目难点分析不全面、不合理，应对措施不得当、不具体，不切合项目实际需要，不能保障项目有效实施的，得2分； 4）未提供相关描述的不得分。</w:t>
            </w:r>
          </w:p>
        </w:tc>
      </w:tr>
      <w:tr>
        <w:tc>
          <w:tcPr>
            <w:tcW w:type="dxa" w:w="922"/>
            <w:gridSpan w:val="2"/>
            <w:vMerge/>
          </w:tcPr>
          <w:p/>
        </w:tc>
        <w:tc>
          <w:tcPr>
            <w:tcW w:type="dxa" w:w="2307"/>
          </w:tcPr>
          <w:p>
            <w:pPr>
              <w:jc w:val="left"/>
            </w:pPr>
            <w:r>
              <w:rPr/>
              <w:t>项目整体工作思路 (5.0分)</w:t>
            </w:r>
            <w:r>
              <w:rPr/>
              <w:t>，（等次分值选择：</w:t>
            </w:r>
            <w:r>
              <w:rPr/>
              <w:t>0.0;</w:t>
            </w:r>
            <w:r>
              <w:rPr/>
              <w:t>2.0;</w:t>
            </w:r>
            <w:r>
              <w:rPr/>
              <w:t>4.0;</w:t>
            </w:r>
            <w:r>
              <w:rPr/>
              <w:t>5.0;</w:t>
            </w:r>
            <w:r>
              <w:rPr/>
              <w:t>）</w:t>
            </w:r>
          </w:p>
        </w:tc>
        <w:tc>
          <w:tcPr>
            <w:tcW w:type="dxa" w:w="5076"/>
          </w:tcPr>
          <w:p>
            <w:pPr>
              <w:jc w:val="left"/>
            </w:pPr>
            <w:r>
              <w:rPr/>
              <w:t>根据投标人的项目整体工作思路是否准确、清晰、清晰、合理进行评审。 1）整体工作思路阐述准确、清晰、合理，切合项目实际需要，能有效指导项目组织实施的，得5分； 2）整体工作思路阐述较准确、较清晰、较合理，较切合项目实际需要，较能有效指导项目组织实施的，得4分； 3）整体工作思路阐述不准确、不清晰、不合理，不切合项目实际需要，不能有效指导项目组织实施的，得2分； 4）未提供相关描述的不得分。</w:t>
            </w:r>
          </w:p>
        </w:tc>
      </w:tr>
      <w:tr>
        <w:tc>
          <w:tcPr>
            <w:tcW w:type="dxa" w:w="922"/>
            <w:gridSpan w:val="2"/>
            <w:vMerge/>
          </w:tcPr>
          <w:p/>
        </w:tc>
        <w:tc>
          <w:tcPr>
            <w:tcW w:type="dxa" w:w="2307"/>
          </w:tcPr>
          <w:p>
            <w:pPr>
              <w:jc w:val="left"/>
            </w:pPr>
            <w:r>
              <w:rPr/>
              <w:t>项目管理及质量保障措施 (3.0分)</w:t>
            </w:r>
            <w:r>
              <w:rPr/>
              <w:t>，（等次分值选择：</w:t>
            </w:r>
            <w:r>
              <w:rPr/>
              <w:t>0.0;</w:t>
            </w:r>
            <w:r>
              <w:rPr/>
              <w:t>1.0;</w:t>
            </w:r>
            <w:r>
              <w:rPr/>
              <w:t>2.0;</w:t>
            </w:r>
            <w:r>
              <w:rPr/>
              <w:t>3.0;</w:t>
            </w:r>
            <w:r>
              <w:rPr/>
              <w:t>）</w:t>
            </w:r>
          </w:p>
        </w:tc>
        <w:tc>
          <w:tcPr>
            <w:tcW w:type="dxa" w:w="5076"/>
          </w:tcPr>
          <w:p>
            <w:pPr>
              <w:jc w:val="left"/>
            </w:pPr>
            <w:r>
              <w:rPr/>
              <w:t>根据投标人的项目管理及质量保障措施是否完善详尽合理、可行进行评审。 1）项目管理方案、质量管理制度、质量保障措施完善详尽合理、可行，切合项目实际需要，能保障项目有效实施的，得3分； 2）项目管理方案、质量管理制度、质量保障措施较完善详尽合理、较可行，较切合项目实际需要，较能保障项目有效实施的，得2分； 3）项目管理方案、质量管理制度、质量保障措施不完善详尽合理、不可行，不切合项目实际需要，不能保障项目有效实施的，得1分； 4）未提供相关描述的不得分。</w:t>
            </w:r>
          </w:p>
        </w:tc>
      </w:tr>
      <w:tr>
        <w:tc>
          <w:tcPr>
            <w:tcW w:type="dxa" w:w="922"/>
            <w:gridSpan w:val="2"/>
            <w:vMerge/>
          </w:tcPr>
          <w:p/>
        </w:tc>
        <w:tc>
          <w:tcPr>
            <w:tcW w:type="dxa" w:w="2307"/>
          </w:tcPr>
          <w:p>
            <w:pPr>
              <w:jc w:val="left"/>
            </w:pPr>
            <w:r>
              <w:rPr/>
              <w:t>进度计划及后续服务承诺 (2.0分)</w:t>
            </w:r>
            <w:r>
              <w:rPr/>
              <w:t>，（等次分值选择：</w:t>
            </w:r>
            <w:r>
              <w:rPr/>
              <w:t>0.0;</w:t>
            </w:r>
            <w:r>
              <w:rPr/>
              <w:t>0.5;</w:t>
            </w:r>
            <w:r>
              <w:rPr/>
              <w:t>1.0;</w:t>
            </w:r>
            <w:r>
              <w:rPr/>
              <w:t>2.0;</w:t>
            </w:r>
            <w:r>
              <w:rPr/>
              <w:t>）</w:t>
            </w:r>
          </w:p>
        </w:tc>
        <w:tc>
          <w:tcPr>
            <w:tcW w:type="dxa" w:w="5076"/>
          </w:tcPr>
          <w:p>
            <w:pPr>
              <w:jc w:val="left"/>
            </w:pPr>
            <w:r>
              <w:rPr/>
              <w:t>根据投标人进度计划以及后期服务措施是否详细、合理、可行、全面进行评审。 1）进度计划详细，提出有针对性的进度保障措施，后续服务承诺全面、可行性高的，得2分； 2）进度计划较详细，提出较有针对性的进度保障措施，后续服务承诺较为全面、可行性较高的，得1分； 3）进度计划不详细，提出的进度保障措施针对性不强，后续服务承诺不全面、可行性较低的，得0.5分； 4）未提供相关描述的不得分。</w:t>
            </w:r>
          </w:p>
        </w:tc>
      </w:tr>
      <w:tr>
        <w:tc>
          <w:tcPr>
            <w:tcW w:type="dxa" w:w="922"/>
            <w:gridSpan w:val="2"/>
            <w:vMerge/>
          </w:tcPr>
          <w:p/>
        </w:tc>
        <w:tc>
          <w:tcPr>
            <w:tcW w:type="dxa" w:w="2307"/>
          </w:tcPr>
          <w:p>
            <w:pPr>
              <w:jc w:val="left"/>
            </w:pPr>
            <w:r>
              <w:rPr/>
              <w:t>项目负责人情况 (10.0分)</w:t>
            </w:r>
          </w:p>
        </w:tc>
        <w:tc>
          <w:tcPr>
            <w:tcW w:type="dxa" w:w="5076"/>
          </w:tcPr>
          <w:p>
            <w:pPr>
              <w:jc w:val="left"/>
            </w:pPr>
            <w:r>
              <w:rPr/>
              <w:t>投标人拟派的项目负责人（仅限1人）同时具有规划类专业（指城市（乡）规划专业或交通运输规划专业，下同）正高级技术职称、规划类或交通类专业博士学位、注册城市（乡）规划师执业资格、咨询工程师（投资）资格（或注册咨询工程师（投资）资格）的，得10分；同时具有上述要求其中任三项得6分；同时具有上述要求其中任两项的得3分；仅具有其中任一项得1分；其他或没有的不得分。按得分较高的评审，不重复计分。本项最高得分为10分。 注：①需提供上述人员相应技术职称（资格）证书、学位证书、本单位2022年6月至今任意一个月的社保证明复印件（或扫描件），并加盖投标人单位公章。②评分时若出现无证明资料或评委无法凭所提供资料判断是否得分的情况，一律作不得分处理。投标人对其所提供资料的真实性负责，评标委员会有权对投标人提供的资料真实性进行核查。③若投标人以联合体形式参加投标的，以联合体中的牵头单位的上述人员作为评审依据。</w:t>
            </w:r>
          </w:p>
        </w:tc>
      </w:tr>
      <w:tr>
        <w:tc>
          <w:tcPr>
            <w:tcW w:type="dxa" w:w="922"/>
            <w:gridSpan w:val="2"/>
            <w:vMerge/>
          </w:tcPr>
          <w:p/>
        </w:tc>
        <w:tc>
          <w:tcPr>
            <w:tcW w:type="dxa" w:w="2307"/>
          </w:tcPr>
          <w:p>
            <w:pPr>
              <w:jc w:val="left"/>
            </w:pPr>
            <w:r>
              <w:rPr/>
              <w:t>项目主要技术人员（不含项目负责人）情况 (5.0分)</w:t>
            </w:r>
          </w:p>
        </w:tc>
        <w:tc>
          <w:tcPr>
            <w:tcW w:type="dxa" w:w="5076"/>
          </w:tcPr>
          <w:p>
            <w:pPr>
              <w:jc w:val="left"/>
            </w:pPr>
            <w:r>
              <w:rPr/>
              <w:t>投标人拟派项目主要技术人员（不含项目负责人）中，具有规划类专业（指城市（乡）规划专业或交通运输规划专业，下同）副高级及以上技术职称、注册城市（乡）规划师执业资格、咨询工程师（投资）资格（或注册咨询工程师（投资）资格），同时满足上述三项中任两项及以上条件的，每人得1分；其他或没有的不得分。本项最高得分为5分。 注：①需提供上述人员相应技术资格证书、本单位2022年6月至今任意一个月的社保证明复印件（或扫描件），并加盖投标人单位公章。②评分时若出现无证明资料或评委无法凭所提供资料判断是否得分的情况，一律作不得分处理。投标人对其所提供资料的真实性负责，评标委员会有权对投标人提供的资料真实性进行核查。③若投标人以联合体形式参加投标的，联合体中的任一方的人员均可作为评审依据。</w:t>
            </w:r>
          </w:p>
        </w:tc>
      </w:tr>
      <w:tr>
        <w:tc>
          <w:tcPr>
            <w:tcW w:type="dxa" w:w="922"/>
            <w:gridSpan w:val="2"/>
            <w:vMerge w:val="restart"/>
          </w:tcPr>
          <w:p>
            <w:pPr>
              <w:jc w:val="center"/>
            </w:pPr>
            <w:r>
              <w:rPr/>
              <w:t>商务部分</w:t>
            </w:r>
          </w:p>
        </w:tc>
        <w:tc>
          <w:tcPr>
            <w:tcW w:type="dxa" w:w="2307"/>
          </w:tcPr>
          <w:p>
            <w:pPr>
              <w:jc w:val="left"/>
            </w:pPr>
            <w:r>
              <w:rPr/>
              <w:t>投标人综合实力 (10.0分)</w:t>
            </w:r>
          </w:p>
        </w:tc>
        <w:tc>
          <w:tcPr>
            <w:tcW w:type="dxa" w:w="5076"/>
          </w:tcPr>
          <w:p>
            <w:pPr>
              <w:jc w:val="left"/>
            </w:pPr>
            <w:r>
              <w:rPr/>
              <w:t>根据投标人综合实力情况进行评审。 1）投标人获得省级及以上工程技术中心（含工程技术研究中心和工程技术创新中心，城乡规划或交通方向）称号的，得3分；地市级工程技术研究中心（城乡规划或交通方向）称号的，得1分。最高得3分。按得分较高的一项评审，不重复计分。 2）投标人同时具有工程咨询甲级资信（公路或市政公用工程或城市（乡）规划）和工程设计甲级资质（道路工程或公共交通工程）的，得4分。 3）投标人同时具有质量管理体系认证证书、环境管理体系认证证书、职业健康安全管理体系认证证书和知识产权管理体系认证证书的，得3分。 4）其他或没有的不得分。本项最高得分为10分。 注：①需提供有效的相应证书（或证明）复印件（或扫描件），并加盖投标人单位公章。②评分时若出现无证明资料或评委无法凭所提供资料判断是否得分的情况，一律作不得分处理。投标人对其所提供资料的真实性负责，评标委员会有权对投标人提供的资料真实性进行核查。③若投标人以联合体形式参加投标的，以联合体中的牵头单位的相应证书（或证明）作为评审依据。</w:t>
            </w:r>
          </w:p>
        </w:tc>
      </w:tr>
      <w:tr>
        <w:tc>
          <w:tcPr>
            <w:tcW w:type="dxa" w:w="922"/>
            <w:gridSpan w:val="2"/>
            <w:vMerge/>
          </w:tcPr>
          <w:p/>
        </w:tc>
        <w:tc>
          <w:tcPr>
            <w:tcW w:type="dxa" w:w="2307"/>
          </w:tcPr>
          <w:p>
            <w:pPr>
              <w:jc w:val="left"/>
            </w:pPr>
            <w:r>
              <w:rPr/>
              <w:t>相关项目业绩 (10.0分)</w:t>
            </w:r>
          </w:p>
        </w:tc>
        <w:tc>
          <w:tcPr>
            <w:tcW w:type="dxa" w:w="5076"/>
          </w:tcPr>
          <w:p>
            <w:pPr>
              <w:jc w:val="left"/>
            </w:pPr>
            <w:r>
              <w:rPr/>
              <w:t>投标人2018年1月1日至本项目开标之日（以合同签订日期为准，有两个或多个落款日期的，以落款时间在后的日期为准）的相关项目业绩： 1）具有综合规划、综合发展规划、城市综合交通规划（含五年规划）、轨道枢纽综合规划项目的，每项得1分。最高得3分。 2）具有轨道交通线路（含有轨电车）投融资项目的，每项得1分。最高得2分。 3）具有控制性详细规划项目的，每项得1分。最高得2分。 4）具有轨道站点（枢纽）TOD城市设计或轨道站点（枢纽）周边城市设计项目的，每项得1分。最高得2分。 5）具有交通模型构建或交通大数据平台类项目的，每项得1分。最高得1分。 6）其他或没有的不得分。本项最高得分为10分。 注：①需提供项目业绩合同关键页复印件（或扫描件）并加盖投标人单位公章；合同关键页须体现合同主体、合同范围、合同金额、合同盖章等关键内容，且项目名称中须体现上述相应项目类型中相关的任一关键词或文字表述。同一项目符合上述多项评审条件的，按本项得分较高的一项评审，不重复计分。②评分时若出现无证明资料或评委无法凭所提供资料判断是否得分的情况，一律作不得分处理。投标人对其所提供资料的真实性负责，评标委员会有权对投标人提供的资料真实性进行核查。③综合规划不包括地下空间、轨道线网或轨道建设规划、市政和管廊综合规划类型。④若投标人以联合体形式参加投标的，联合体中的任一方的项目业绩均可作为评审依据。</w:t>
            </w:r>
          </w:p>
        </w:tc>
      </w:tr>
      <w:tr>
        <w:tc>
          <w:tcPr>
            <w:tcW w:type="dxa" w:w="922"/>
            <w:gridSpan w:val="2"/>
            <w:vMerge/>
          </w:tcPr>
          <w:p/>
        </w:tc>
        <w:tc>
          <w:tcPr>
            <w:tcW w:type="dxa" w:w="2307"/>
          </w:tcPr>
          <w:p>
            <w:pPr>
              <w:jc w:val="left"/>
            </w:pPr>
            <w:r>
              <w:rPr/>
              <w:t>投标人获奖情况 (18.0分)</w:t>
            </w:r>
          </w:p>
        </w:tc>
        <w:tc>
          <w:tcPr>
            <w:tcW w:type="dxa" w:w="5076"/>
          </w:tcPr>
          <w:p>
            <w:pPr>
              <w:jc w:val="left"/>
            </w:pPr>
            <w:r>
              <w:rPr/>
              <w:t>投标人2018年1月1日至本项目开标之日[以获奖证书（或获奖证明）颁发（落款）日期为准]获得相关奖励（荣誉、表彰）情况： 1）承担的综合规划、综合发展规划、城市综合交通规划（含五年规划）、轨道枢纽综合规划项目获得全国优秀城乡规划设计奖的，每项得2分。最高得14分。 2)承担的综合规划、综合发展规划、城市综合交通（如城市道路、城市轨道、有轨电车、标准体系等）、轨道枢纽综合规划等类型项目获得全国优秀工程咨询成果奖的，每项得2分。最高得4分。 3）其他或没有的不得分。本项最高得分为18分。 注：①需提供获奖证书（或获奖证明）复印件（或扫描件），并加盖投标人单位公章。②评分时若出现无证明资料或评委无法凭所提供资料判断是否得分的情况，一律作不得分处理。投标人对其所提供资料的真实性负责，评标委员会有权对投标人提供的资料真实性进行核查。③项目名称中须体现上述相应项目类型中相关的任一关键词或文字表述。综合规划不包括地下空间、轨道线网或轨道建设规划、市政和管廊综合规划类型。④若投标人以联合体形式参加投标的，以联合体中的牵头单位的获奖情况作为评审依据。</w:t>
            </w:r>
          </w:p>
        </w:tc>
      </w:tr>
      <w:tr>
        <w:tc>
          <w:tcPr>
            <w:tcW w:type="dxa" w:w="922"/>
            <w:gridSpan w:val="2"/>
            <w:vMerge/>
          </w:tcPr>
          <w:p/>
        </w:tc>
        <w:tc>
          <w:tcPr>
            <w:tcW w:type="dxa" w:w="2307"/>
          </w:tcPr>
          <w:p>
            <w:pPr>
              <w:jc w:val="left"/>
            </w:pPr>
            <w:r>
              <w:rPr/>
              <w:t>投标人技术创新情况 (7.0分)</w:t>
            </w:r>
          </w:p>
        </w:tc>
        <w:tc>
          <w:tcPr>
            <w:tcW w:type="dxa" w:w="5076"/>
          </w:tcPr>
          <w:p>
            <w:pPr>
              <w:jc w:val="left"/>
            </w:pPr>
            <w:r>
              <w:rPr/>
              <w:t>根据投标人技术创新情况进行评审。 1）投标人具有国家部委、国家知识产权局或国家版权局颁发的城市规划、城市交通规划、交通数据（或流量）相关的发明专利的，每项得2分。最高得4分。 2）投标人2018年1月1日至本项目开标之日（以项目立项通知（或项目合同）签发（或签订）日期为准），作为牵头单位承接城市规划、城市交通、城市基础设施、公共服务平台等类型国家科研课题或者项目的，每项得1分。最高得3分。 3）其他或没有的不得分。本项最高得分为7分。 注：①需提供有效的相应证书（或证明）复印件（或扫描件），并加盖投标人单位公章。②专利的发明名称中须含“城市规划、城市交通规划、交通数据（或流量）”中相关的任一关键词或文字表述。③国家科研课题须为国家部委相关部门委托或招标的课题或项目，需提供相应课题（或项目）的项目立项通知（或项目合同）等相应的证明文件（文件内容须体现牵头单位名称）。④评分时若出现无证明资料或评委无法凭所提供资料判断是否得分的情况，一律作不得分处理。投标人对其所提供资料的真实性负责，评标委员会有权对投标人提供的资料真实性进行核查。⑤若投标人以联合体形式参加投标的，以联合体中的牵头单位的技术创新情况作为评审依据。</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4"/>
        </w:rPr>
        <w:t>甲方：</w:t>
      </w:r>
      <w:r>
        <w:rPr>
          <w:b/>
          <w:sz w:val="21"/>
          <w:u w:val="single"/>
        </w:rPr>
        <w:t xml:space="preserve">  </w:t>
      </w:r>
    </w:p>
    <w:p>
      <w:pPr>
        <w:jc w:val="both"/>
      </w:pPr>
      <w:r>
        <w:rPr>
          <w:sz w:val="24"/>
        </w:rPr>
        <w:t>电话：</w:t>
      </w:r>
      <w:r>
        <w:rPr>
          <w:sz w:val="21"/>
          <w:u w:val="single"/>
        </w:rPr>
        <w:t xml:space="preserve"> </w:t>
      </w:r>
      <w:r>
        <w:rPr>
          <w:b/>
          <w:sz w:val="21"/>
        </w:rPr>
        <w:t xml:space="preserve">  </w:t>
      </w:r>
      <w:r>
        <w:rPr>
          <w:sz w:val="24"/>
        </w:rPr>
        <w:t>传真</w:t>
      </w:r>
      <w:r>
        <w:rPr>
          <w:sz w:val="24"/>
        </w:rPr>
        <w:t>：</w:t>
      </w:r>
      <w:r>
        <w:rPr>
          <w:sz w:val="21"/>
          <w:u w:val="single"/>
        </w:rPr>
        <w:t xml:space="preserve"> </w:t>
      </w:r>
      <w:r>
        <w:rPr>
          <w:b/>
          <w:sz w:val="21"/>
        </w:rPr>
        <w:t xml:space="preserve"> </w:t>
      </w:r>
      <w:r>
        <w:rPr>
          <w:sz w:val="24"/>
        </w:rPr>
        <w:t>地址：</w:t>
      </w:r>
      <w:r>
        <w:rPr>
          <w:sz w:val="21"/>
          <w:u w:val="single"/>
        </w:rPr>
        <w:t xml:space="preserve"> </w:t>
      </w:r>
      <w:r>
        <w:rPr>
          <w:b/>
          <w:sz w:val="21"/>
        </w:rPr>
        <w:t xml:space="preserve">  </w:t>
      </w:r>
    </w:p>
    <w:p>
      <w:pPr>
        <w:jc w:val="both"/>
      </w:pPr>
      <w:r>
        <w:rPr>
          <w:b/>
          <w:sz w:val="24"/>
        </w:rPr>
        <w:t>乙方：</w:t>
      </w:r>
      <w:r>
        <w:rPr>
          <w:b/>
          <w:sz w:val="21"/>
          <w:u w:val="single"/>
        </w:rPr>
        <w:t xml:space="preserve"> </w:t>
      </w:r>
    </w:p>
    <w:p>
      <w:pPr>
        <w:jc w:val="both"/>
      </w:pPr>
      <w:r>
        <w:rPr>
          <w:sz w:val="24"/>
        </w:rPr>
        <w:t>电话：</w:t>
      </w:r>
      <w:r>
        <w:rPr>
          <w:sz w:val="21"/>
          <w:u w:val="single"/>
        </w:rPr>
        <w:t xml:space="preserve"> </w:t>
      </w:r>
      <w:r>
        <w:rPr>
          <w:b/>
          <w:sz w:val="21"/>
        </w:rPr>
        <w:t xml:space="preserve">  </w:t>
      </w:r>
      <w:r>
        <w:rPr>
          <w:sz w:val="24"/>
        </w:rPr>
        <w:t>传真：</w:t>
      </w:r>
      <w:r>
        <w:rPr>
          <w:b/>
          <w:sz w:val="21"/>
        </w:rPr>
        <w:t xml:space="preserve">  </w:t>
      </w:r>
      <w:r>
        <w:rPr>
          <w:sz w:val="24"/>
        </w:rPr>
        <w:t>地址：</w:t>
      </w:r>
      <w:r>
        <w:rPr>
          <w:sz w:val="21"/>
          <w:u w:val="single"/>
        </w:rPr>
        <w:t xml:space="preserve"> </w:t>
      </w:r>
      <w:r>
        <w:rPr>
          <w:b/>
          <w:sz w:val="21"/>
        </w:rPr>
        <w:t xml:space="preserve">  </w:t>
      </w:r>
    </w:p>
    <w:p>
      <w:pPr>
        <w:jc w:val="both"/>
      </w:pPr>
      <w:r>
        <w:rPr>
          <w:sz w:val="21"/>
        </w:rPr>
        <w:t xml:space="preserve"> </w:t>
      </w:r>
    </w:p>
    <w:p>
      <w:pPr>
        <w:ind w:firstLine="480"/>
        <w:jc w:val="both"/>
      </w:pPr>
      <w:r>
        <w:rPr>
          <w:sz w:val="24"/>
        </w:rPr>
        <w:t>根据</w:t>
      </w:r>
      <w:r>
        <w:rPr>
          <w:sz w:val="24"/>
          <w:u w:val="single"/>
        </w:rPr>
        <w:t>广佛江珠城际广州芳村至江门段项目江门境内站点综合开发及站城一体化规划设计项目</w:t>
      </w:r>
      <w:r>
        <w:rPr>
          <w:sz w:val="24"/>
        </w:rPr>
        <w:t xml:space="preserve"> </w:t>
      </w:r>
      <w:r>
        <w:rPr>
          <w:sz w:val="24"/>
        </w:rPr>
        <w:t>的采购结果，按照《中华人民共和国政府采购法》</w:t>
      </w:r>
      <w:r>
        <w:rPr>
          <w:sz w:val="24"/>
        </w:rPr>
        <w:t>、</w:t>
      </w:r>
      <w:r>
        <w:rPr>
          <w:sz w:val="24"/>
        </w:rPr>
        <w:t>《中华人民共和国民法典》</w:t>
      </w:r>
      <w:r>
        <w:rPr>
          <w:sz w:val="24"/>
        </w:rPr>
        <w:t>以及其他相关法律、行政法规的规定，就甲方与乙方协商一致，</w:t>
      </w:r>
      <w:r>
        <w:rPr>
          <w:sz w:val="24"/>
        </w:rPr>
        <w:t>本着平等互利和诚实信用的原则</w:t>
      </w:r>
      <w:r>
        <w:rPr>
          <w:sz w:val="24"/>
        </w:rPr>
        <w:t>，签订本合同。双方均应诚实信用地遵守并履行以下条款。</w:t>
      </w:r>
    </w:p>
    <w:p>
      <w:pPr>
        <w:ind w:firstLine="482"/>
        <w:jc w:val="both"/>
      </w:pPr>
      <w:r>
        <w:rPr>
          <w:b/>
          <w:sz w:val="24"/>
        </w:rPr>
        <w:t>第一条项目基本情况</w:t>
      </w:r>
    </w:p>
    <w:p>
      <w:pPr>
        <w:ind w:firstLine="480"/>
        <w:jc w:val="both"/>
      </w:pPr>
      <w:r>
        <w:rPr>
          <w:sz w:val="24"/>
        </w:rPr>
        <w:t>1.1项目名称：</w:t>
      </w:r>
      <w:r>
        <w:rPr>
          <w:sz w:val="24"/>
          <w:u w:val="single"/>
        </w:rPr>
        <w:t>广佛江珠城际广州芳村至江门段项目江门境内站点综合开发及站城一体化规划设计项目</w:t>
      </w:r>
    </w:p>
    <w:p>
      <w:pPr>
        <w:ind w:firstLine="480"/>
        <w:jc w:val="both"/>
      </w:pPr>
      <w:r>
        <w:rPr>
          <w:sz w:val="24"/>
          <w:u w:val="single"/>
        </w:rPr>
        <w:t>项目位于广佛江珠城际江门境内设置的鹤山东站、滨江新区站、蓬江北站、蓬江站、</w:t>
      </w:r>
      <w:r>
        <w:rPr>
          <w:sz w:val="24"/>
          <w:u w:val="single"/>
        </w:rPr>
        <w:t>江会站</w:t>
      </w:r>
      <w:r>
        <w:rPr>
          <w:sz w:val="24"/>
          <w:u w:val="single"/>
        </w:rPr>
        <w:t>、江门站（仅东广场）</w:t>
      </w:r>
      <w:r>
        <w:rPr>
          <w:sz w:val="24"/>
          <w:u w:val="single"/>
        </w:rPr>
        <w:t>6个站点开展站点站城一体化开发研究</w:t>
      </w:r>
      <w:r>
        <w:rPr>
          <w:sz w:val="24"/>
        </w:rPr>
        <w:t>。</w:t>
      </w:r>
    </w:p>
    <w:p>
      <w:pPr>
        <w:ind w:firstLine="480"/>
        <w:jc w:val="both"/>
      </w:pPr>
      <w:r>
        <w:rPr>
          <w:sz w:val="24"/>
        </w:rPr>
        <w:t>1.2项目类别为综合规划。</w:t>
      </w:r>
    </w:p>
    <w:p>
      <w:pPr>
        <w:ind w:firstLine="480"/>
        <w:jc w:val="both"/>
      </w:pPr>
      <w:r>
        <w:rPr>
          <w:sz w:val="24"/>
        </w:rPr>
        <w:t>1.3 项目范围</w:t>
      </w:r>
    </w:p>
    <w:p>
      <w:pPr>
        <w:ind w:firstLine="480"/>
        <w:jc w:val="both"/>
      </w:pPr>
      <w:r>
        <w:rPr>
          <w:sz w:val="24"/>
        </w:rPr>
        <w:t>1.3.1 总体层面</w:t>
      </w:r>
    </w:p>
    <w:p>
      <w:pPr>
        <w:ind w:firstLine="480"/>
        <w:jc w:val="both"/>
      </w:pPr>
      <w:r>
        <w:rPr>
          <w:sz w:val="24"/>
        </w:rPr>
        <w:t>针对轨道全线</w:t>
      </w:r>
      <w:r>
        <w:rPr>
          <w:sz w:val="24"/>
        </w:rPr>
        <w:t>6</w:t>
      </w:r>
      <w:r>
        <w:rPr>
          <w:sz w:val="24"/>
        </w:rPr>
        <w:t>站点半径</w:t>
      </w:r>
      <w:r>
        <w:rPr>
          <w:sz w:val="24"/>
        </w:rPr>
        <w:t>1500</w:t>
      </w:r>
      <w:r>
        <w:rPr>
          <w:sz w:val="24"/>
        </w:rPr>
        <w:t>米范围区域，</w:t>
      </w:r>
      <w:r>
        <w:rPr>
          <w:sz w:val="24"/>
        </w:rPr>
        <w:t>扣除站点周边现状保留建成区和生态保护区，</w:t>
      </w:r>
      <w:r>
        <w:rPr>
          <w:sz w:val="24"/>
        </w:rPr>
        <w:t>总计约</w:t>
      </w:r>
      <w:r>
        <w:rPr>
          <w:sz w:val="24"/>
        </w:rPr>
        <w:t>18</w:t>
      </w:r>
      <w:r>
        <w:rPr>
          <w:sz w:val="24"/>
        </w:rPr>
        <w:t>平方公里，在城市区域层面研究，强化轨道交通与城市发展片区开发、重大基础设施建设、重大产业项目和高价值功能要素引入等方面的结合与联动，融入城市发展，驱动区域一体化。具体内容包括全线土地开发策略研究、全生命周期轨道投融资模式研究、产业资源导入和运营研究、地块开发策略研究、</w:t>
      </w:r>
      <w:r>
        <w:rPr>
          <w:sz w:val="24"/>
        </w:rPr>
        <w:t>TOD机制和政策研究。</w:t>
      </w:r>
    </w:p>
    <w:p>
      <w:pPr>
        <w:ind w:firstLine="480"/>
        <w:jc w:val="both"/>
      </w:pPr>
      <w:r>
        <w:rPr>
          <w:sz w:val="24"/>
        </w:rPr>
        <w:t>1.3.</w:t>
      </w:r>
      <w:r>
        <w:rPr>
          <w:sz w:val="24"/>
        </w:rPr>
        <w:t>2</w:t>
      </w:r>
      <w:r>
        <w:rPr>
          <w:sz w:val="24"/>
        </w:rPr>
        <w:t xml:space="preserve"> </w:t>
      </w:r>
      <w:r>
        <w:rPr>
          <w:sz w:val="24"/>
        </w:rPr>
        <w:t>站点层面</w:t>
      </w:r>
    </w:p>
    <w:p>
      <w:pPr>
        <w:ind w:firstLine="480"/>
        <w:jc w:val="both"/>
      </w:pPr>
      <w:r>
        <w:rPr>
          <w:sz w:val="24"/>
        </w:rPr>
        <w:t>针对初步判断开发条件较好的鹤山东站、滨江站、蓬江北站、蓬江站、</w:t>
      </w:r>
      <w:r>
        <w:rPr>
          <w:sz w:val="24"/>
        </w:rPr>
        <w:t>江会站</w:t>
      </w:r>
      <w:r>
        <w:rPr>
          <w:sz w:val="24"/>
        </w:rPr>
        <w:t>、江门站</w:t>
      </w:r>
      <w:r>
        <w:rPr>
          <w:sz w:val="24"/>
        </w:rPr>
        <w:t>6站点，除江门站仅涉及东广场外，其他5个站点按1000米初步划定站点</w:t>
      </w:r>
      <w:r>
        <w:rPr>
          <w:sz w:val="24"/>
        </w:rPr>
        <w:t>规划</w:t>
      </w:r>
      <w:r>
        <w:rPr>
          <w:sz w:val="24"/>
        </w:rPr>
        <w:t>范围（每个站点按</w:t>
      </w:r>
      <w:r>
        <w:rPr>
          <w:sz w:val="24"/>
        </w:rPr>
        <w:t>3平方公里，则5个站点规划范围</w:t>
      </w:r>
      <w:r>
        <w:rPr>
          <w:sz w:val="24"/>
        </w:rPr>
        <w:t>15</w:t>
      </w:r>
      <w:r>
        <w:rPr>
          <w:sz w:val="24"/>
        </w:rPr>
        <w:t>平方公里。开展站点</w:t>
      </w:r>
      <w:r>
        <w:rPr>
          <w:sz w:val="24"/>
        </w:rPr>
        <w:t>TOD控制性详细规划、综合交通规划、土地利益平衡，并配合需求开展相关技术咨询工作。</w:t>
      </w:r>
    </w:p>
    <w:p>
      <w:pPr>
        <w:ind w:firstLine="480"/>
        <w:jc w:val="both"/>
      </w:pPr>
      <w:r>
        <w:rPr>
          <w:sz w:val="24"/>
        </w:rPr>
        <w:t>鹤山东站、滨江站、蓬江北站、蓬江站、</w:t>
      </w:r>
      <w:r>
        <w:rPr>
          <w:sz w:val="24"/>
        </w:rPr>
        <w:t>江会站</w:t>
      </w:r>
      <w:r>
        <w:rPr>
          <w:sz w:val="24"/>
        </w:rPr>
        <w:t>5个站点周边500米半径范围以及江门站东广场1</w:t>
      </w:r>
      <w:r>
        <w:rPr>
          <w:sz w:val="24"/>
        </w:rPr>
        <w:t>0</w:t>
      </w:r>
      <w:r>
        <w:rPr>
          <w:sz w:val="24"/>
        </w:rPr>
        <w:t>公顷的范围，开展站城一体化城市设计，将站点和周边开发一体化设计，明确连通的界面和空间尺度，除江门站外每个站点按</w:t>
      </w:r>
      <w:r>
        <w:rPr>
          <w:sz w:val="24"/>
        </w:rPr>
        <w:t>80公顷计算，总计范围410公顷。</w:t>
      </w:r>
    </w:p>
    <w:p>
      <w:pPr>
        <w:ind w:firstLine="480"/>
        <w:jc w:val="both"/>
      </w:pPr>
      <w:r>
        <w:rPr>
          <w:sz w:val="24"/>
        </w:rPr>
        <w:t>针对</w:t>
      </w:r>
      <w:r>
        <w:rPr>
          <w:sz w:val="24"/>
        </w:rPr>
        <w:t>江会站</w:t>
      </w:r>
      <w:r>
        <w:rPr>
          <w:sz w:val="24"/>
        </w:rPr>
        <w:t>、蓬江站和蓬江北站、江门北站东广场，在站点周边</w:t>
      </w:r>
      <w:r>
        <w:rPr>
          <w:sz w:val="24"/>
        </w:rPr>
        <w:t>500米半径范围，总计</w:t>
      </w:r>
      <w:r>
        <w:rPr>
          <w:sz w:val="24"/>
        </w:rPr>
        <w:t>400</w:t>
      </w:r>
      <w:r>
        <w:rPr>
          <w:sz w:val="24"/>
        </w:rPr>
        <w:t>公顷，开展地下空间专项规划。</w:t>
      </w:r>
    </w:p>
    <w:p>
      <w:pPr>
        <w:ind w:firstLine="482"/>
        <w:jc w:val="both"/>
      </w:pPr>
      <w:r>
        <w:rPr>
          <w:b/>
          <w:sz w:val="24"/>
        </w:rPr>
        <w:t>第二条</w:t>
      </w:r>
      <w:r>
        <w:rPr>
          <w:b/>
          <w:sz w:val="24"/>
        </w:rPr>
        <w:t>工作内容</w:t>
      </w:r>
    </w:p>
    <w:p>
      <w:pPr>
        <w:ind w:firstLine="480"/>
        <w:jc w:val="both"/>
      </w:pPr>
      <w:r>
        <w:rPr>
          <w:sz w:val="24"/>
        </w:rPr>
        <w:t>2.1工作内容主要包括全线土地开发策略研究、业态策划定位和规模预测研究、地块开发策略研究、全生命周期轨道投融资模式研究、产业资源导入和运营研究、TOD机制和政策研究、TOD控制性详细规划、地下空间专项规划、综合交通规划、土地利益平衡、站城一体化城市设计、</w:t>
      </w:r>
      <w:r>
        <w:rPr>
          <w:sz w:val="24"/>
        </w:rPr>
        <w:t>车站配套工程</w:t>
      </w:r>
      <w:r>
        <w:rPr>
          <w:sz w:val="24"/>
        </w:rPr>
        <w:t>可行性研究</w:t>
      </w:r>
      <w:r>
        <w:rPr>
          <w:sz w:val="24"/>
        </w:rPr>
        <w:t>12个子项目研究内容。</w:t>
      </w:r>
    </w:p>
    <w:p>
      <w:pPr>
        <w:ind w:firstLine="482"/>
        <w:jc w:val="both"/>
      </w:pPr>
      <w:r>
        <w:rPr>
          <w:b/>
          <w:sz w:val="24"/>
        </w:rPr>
        <w:t>第三条编制标准</w:t>
      </w:r>
    </w:p>
    <w:p>
      <w:pPr>
        <w:ind w:firstLine="480"/>
        <w:jc w:val="both"/>
      </w:pPr>
      <w:r>
        <w:rPr>
          <w:sz w:val="24"/>
        </w:rPr>
        <w:t>3.1乙方采用的主要技术标准为以下标准，并须符合现行生效的国家技术规程规范：</w:t>
      </w:r>
    </w:p>
    <w:p>
      <w:pPr>
        <w:ind w:firstLine="480"/>
        <w:jc w:val="both"/>
      </w:pPr>
      <w:r>
        <w:rPr>
          <w:sz w:val="24"/>
        </w:rPr>
        <w:t>（</w:t>
      </w:r>
      <w:r>
        <w:rPr>
          <w:sz w:val="24"/>
        </w:rPr>
        <w:t>1）《中华人民共和国城乡规划法》（2008）；</w:t>
      </w:r>
    </w:p>
    <w:p>
      <w:pPr>
        <w:ind w:firstLine="480"/>
        <w:jc w:val="both"/>
      </w:pPr>
      <w:r>
        <w:rPr>
          <w:sz w:val="24"/>
        </w:rPr>
        <w:t>（</w:t>
      </w:r>
      <w:r>
        <w:rPr>
          <w:sz w:val="24"/>
        </w:rPr>
        <w:t>2）《中华人民共和国土地管理法》（2004）；</w:t>
      </w:r>
    </w:p>
    <w:p>
      <w:pPr>
        <w:ind w:firstLine="480"/>
        <w:jc w:val="both"/>
      </w:pPr>
      <w:r>
        <w:rPr>
          <w:sz w:val="24"/>
        </w:rPr>
        <w:t>（</w:t>
      </w:r>
      <w:r>
        <w:rPr>
          <w:sz w:val="24"/>
        </w:rPr>
        <w:t>3）《城市规划编制办法》（2006）；</w:t>
      </w:r>
    </w:p>
    <w:p>
      <w:pPr>
        <w:ind w:firstLine="480"/>
        <w:jc w:val="both"/>
      </w:pPr>
      <w:r>
        <w:rPr>
          <w:sz w:val="24"/>
        </w:rPr>
        <w:t>（</w:t>
      </w:r>
      <w:r>
        <w:rPr>
          <w:sz w:val="24"/>
        </w:rPr>
        <w:t>4）《城市用地分类与规划建设用地指标》（GB50137-2011）；</w:t>
      </w:r>
    </w:p>
    <w:p>
      <w:pPr>
        <w:ind w:firstLine="480"/>
        <w:jc w:val="both"/>
      </w:pPr>
      <w:r>
        <w:rPr>
          <w:sz w:val="24"/>
        </w:rPr>
        <w:t>（</w:t>
      </w:r>
      <w:r>
        <w:rPr>
          <w:sz w:val="24"/>
        </w:rPr>
        <w:t>5）《广东省控制性详细规划管理条例》（2004）；</w:t>
      </w:r>
    </w:p>
    <w:p>
      <w:pPr>
        <w:ind w:firstLine="480"/>
        <w:jc w:val="both"/>
      </w:pPr>
      <w:r>
        <w:rPr>
          <w:sz w:val="24"/>
        </w:rPr>
        <w:t>（</w:t>
      </w:r>
      <w:r>
        <w:rPr>
          <w:sz w:val="24"/>
        </w:rPr>
        <w:t>6）《广东省城市控制性详细规划制定指引》（试行）；</w:t>
      </w:r>
    </w:p>
    <w:p>
      <w:pPr>
        <w:ind w:firstLine="480"/>
        <w:jc w:val="both"/>
      </w:pPr>
      <w:r>
        <w:rPr>
          <w:sz w:val="24"/>
        </w:rPr>
        <w:t>（</w:t>
      </w:r>
      <w:r>
        <w:rPr>
          <w:sz w:val="24"/>
        </w:rPr>
        <w:t>7）国家、省、市等相关政策法规及相关技术管理规定。</w:t>
      </w:r>
    </w:p>
    <w:p>
      <w:pPr>
        <w:ind w:firstLine="482"/>
        <w:jc w:val="both"/>
      </w:pPr>
      <w:r>
        <w:rPr>
          <w:b/>
          <w:sz w:val="24"/>
        </w:rPr>
        <w:t>第四条合同价款</w:t>
      </w:r>
    </w:p>
    <w:p>
      <w:pPr>
        <w:ind w:firstLine="480"/>
        <w:jc w:val="both"/>
      </w:pPr>
      <w:r>
        <w:rPr>
          <w:sz w:val="24"/>
        </w:rPr>
        <w:t>4.1本项目合同暂  定价款总计为人民币（大写）</w:t>
      </w:r>
      <w:r>
        <w:rPr>
          <w:sz w:val="24"/>
          <w:u w:val="single"/>
        </w:rPr>
        <w:t xml:space="preserve">            </w:t>
      </w:r>
      <w:r>
        <w:rPr>
          <w:sz w:val="24"/>
          <w:u w:val="single"/>
        </w:rPr>
        <w:t>整</w:t>
      </w:r>
      <w:r>
        <w:rPr>
          <w:sz w:val="24"/>
        </w:rPr>
        <w:t>，小写</w:t>
      </w:r>
      <w:r>
        <w:rPr>
          <w:sz w:val="24"/>
        </w:rPr>
        <w:t>¥</w:t>
      </w:r>
      <w:r>
        <w:rPr>
          <w:sz w:val="24"/>
          <w:u w:val="single"/>
        </w:rPr>
        <w:t xml:space="preserve">      </w:t>
      </w:r>
      <w:r>
        <w:rPr>
          <w:sz w:val="24"/>
          <w:u w:val="single"/>
        </w:rPr>
        <w:t>元</w:t>
      </w:r>
      <w:r>
        <w:rPr>
          <w:sz w:val="24"/>
        </w:rPr>
        <w:t>。该合同价款包括完成本项目所有工作的全部费用，包括但不限于：</w:t>
      </w:r>
      <w:r>
        <w:rPr>
          <w:sz w:val="24"/>
        </w:rPr>
        <w:t>项目的</w:t>
      </w:r>
      <w:r>
        <w:rPr>
          <w:sz w:val="24"/>
        </w:rPr>
        <w:t>基础资料收集、现场踏勘、</w:t>
      </w:r>
      <w:r>
        <w:rPr>
          <w:sz w:val="24"/>
        </w:rPr>
        <w:t>外出调研</w:t>
      </w:r>
      <w:r>
        <w:rPr>
          <w:sz w:val="24"/>
        </w:rPr>
        <w:t>、项目规划、设计和研究、</w:t>
      </w:r>
      <w:r>
        <w:rPr>
          <w:sz w:val="24"/>
        </w:rPr>
        <w:t>报送阶段成果和最终成果的文本</w:t>
      </w:r>
      <w:r>
        <w:rPr>
          <w:sz w:val="24"/>
        </w:rPr>
        <w:t>编制印刷，</w:t>
      </w:r>
      <w:r>
        <w:rPr>
          <w:sz w:val="24"/>
        </w:rPr>
        <w:t>技术</w:t>
      </w:r>
      <w:r>
        <w:rPr>
          <w:sz w:val="24"/>
        </w:rPr>
        <w:t>人员的劳务、差旅、交通、通讯、办公</w:t>
      </w:r>
      <w:r>
        <w:rPr>
          <w:sz w:val="24"/>
        </w:rPr>
        <w:t>费，</w:t>
      </w:r>
      <w:r>
        <w:rPr>
          <w:sz w:val="24"/>
        </w:rPr>
        <w:t>专家咨询、</w:t>
      </w:r>
      <w:r>
        <w:rPr>
          <w:sz w:val="24"/>
        </w:rPr>
        <w:t>技术</w:t>
      </w:r>
      <w:r>
        <w:rPr>
          <w:sz w:val="24"/>
        </w:rPr>
        <w:t>评审、会务</w:t>
      </w:r>
      <w:r>
        <w:rPr>
          <w:sz w:val="24"/>
        </w:rPr>
        <w:t>，税费</w:t>
      </w:r>
      <w:r>
        <w:rPr>
          <w:sz w:val="24"/>
        </w:rPr>
        <w:t>及验收等</w:t>
      </w:r>
      <w:r>
        <w:rPr>
          <w:sz w:val="24"/>
        </w:rPr>
        <w:t>完成本项目所有工作的全部费用。</w:t>
      </w:r>
    </w:p>
    <w:p>
      <w:pPr>
        <w:ind w:firstLine="482"/>
        <w:jc w:val="both"/>
      </w:pPr>
      <w:r>
        <w:rPr>
          <w:b/>
          <w:sz w:val="24"/>
        </w:rPr>
        <w:t>4.2 各子项目分项</w:t>
      </w:r>
      <w:r>
        <w:rPr>
          <w:b/>
          <w:sz w:val="24"/>
        </w:rPr>
        <w:t>价款</w:t>
      </w:r>
      <w:r>
        <w:rPr>
          <w:b/>
          <w:sz w:val="24"/>
        </w:rPr>
        <w:t>：</w:t>
      </w:r>
    </w:p>
    <w:p>
      <w:pPr>
        <w:ind w:firstLine="482"/>
        <w:jc w:val="both"/>
      </w:pPr>
      <w:r>
        <w:rPr>
          <w:b/>
          <w:sz w:val="21"/>
          <w:u w:val="single"/>
        </w:rPr>
        <w:t xml:space="preserve">                                                                       </w:t>
      </w:r>
    </w:p>
    <w:p>
      <w:pPr>
        <w:ind w:firstLine="482"/>
        <w:jc w:val="both"/>
      </w:pPr>
      <w:r>
        <w:rPr>
          <w:b/>
          <w:sz w:val="21"/>
          <w:u w:val="single"/>
        </w:rPr>
        <w:t xml:space="preserve">                                                                       </w:t>
      </w:r>
    </w:p>
    <w:p>
      <w:pPr>
        <w:ind w:firstLine="482"/>
        <w:jc w:val="both"/>
      </w:pPr>
      <w:r>
        <w:rPr>
          <w:b/>
          <w:sz w:val="21"/>
          <w:u w:val="single"/>
        </w:rPr>
        <w:t xml:space="preserve">                                                                       </w:t>
      </w:r>
    </w:p>
    <w:p>
      <w:pPr>
        <w:ind w:firstLine="482"/>
        <w:jc w:val="both"/>
      </w:pPr>
      <w:r>
        <w:rPr>
          <w:b/>
          <w:sz w:val="24"/>
        </w:rPr>
        <w:t>第五条合同履行期限</w:t>
      </w:r>
    </w:p>
    <w:p>
      <w:pPr>
        <w:ind w:firstLine="480"/>
        <w:jc w:val="both"/>
      </w:pPr>
      <w:r>
        <w:rPr>
          <w:sz w:val="24"/>
        </w:rPr>
        <w:t>5.1合同签订生效后</w:t>
      </w:r>
      <w:r>
        <w:rPr>
          <w:sz w:val="24"/>
          <w:u w:val="single"/>
        </w:rPr>
        <w:t>18</w:t>
      </w:r>
      <w:r>
        <w:rPr>
          <w:sz w:val="24"/>
        </w:rPr>
        <w:t>个月内完成广佛江珠城际广州芳村至江门段项目江门境内站点综合开发及站城一体化规划设计工作并提交相应成果文件。</w:t>
      </w:r>
      <w:r>
        <w:rPr>
          <w:sz w:val="24"/>
        </w:rPr>
        <w:t>因本项目城市设计、站点相关交通项目可研等需要根据广佛江珠城际广州芳村至江门段项目建设时序匹配，提交的相应成果须进行修改、完善延误，或因成果公示、提交部门或政府审议等程序及项目实施条件延误的，经采购人同意，完成时间可顺延。</w:t>
      </w:r>
    </w:p>
    <w:p>
      <w:pPr>
        <w:ind w:firstLine="480"/>
        <w:jc w:val="both"/>
      </w:pPr>
      <w:r>
        <w:rPr>
          <w:sz w:val="24"/>
        </w:rPr>
        <w:t>5.2乙方应在</w:t>
      </w:r>
      <w:r>
        <w:rPr>
          <w:sz w:val="24"/>
        </w:rPr>
        <w:t>本合同签订之日起</w:t>
      </w:r>
      <w:r>
        <w:rPr>
          <w:sz w:val="24"/>
        </w:rPr>
        <w:t>18个月内，完成本合同约定的全部工作内容，并协助甲方主合同同步进行报批。</w:t>
      </w:r>
    </w:p>
    <w:p>
      <w:pPr>
        <w:ind w:firstLine="480"/>
        <w:jc w:val="both"/>
      </w:pPr>
      <w:r>
        <w:rPr>
          <w:sz w:val="24"/>
        </w:rPr>
        <w:t>5.3若合同签订后因政府政策和工作安排、基础资料或规划条件变化等客观原因需要延长服务期限，经甲方同意后，可调整进度安排。</w:t>
      </w:r>
    </w:p>
    <w:p>
      <w:pPr>
        <w:ind w:firstLine="482"/>
        <w:jc w:val="both"/>
      </w:pPr>
      <w:r>
        <w:rPr>
          <w:b/>
          <w:sz w:val="24"/>
        </w:rPr>
        <w:t>第六条协助与通知义务</w:t>
      </w:r>
    </w:p>
    <w:p>
      <w:pPr>
        <w:ind w:firstLine="480"/>
        <w:jc w:val="both"/>
      </w:pPr>
      <w:r>
        <w:rPr>
          <w:sz w:val="24"/>
        </w:rPr>
        <w:t>6.1在规划编制过程中需与相关部门沟通的，甲方应及时配合乙方并提供必要支持。</w:t>
      </w:r>
    </w:p>
    <w:p>
      <w:pPr>
        <w:ind w:firstLine="480"/>
        <w:jc w:val="both"/>
      </w:pPr>
      <w:r>
        <w:rPr>
          <w:sz w:val="24"/>
        </w:rPr>
        <w:t>6.2甲方应指派专人负责与乙方联系，以及接受乙方就本项目的咨询；甲方变更联系人，应及时告知乙方。</w:t>
      </w:r>
    </w:p>
    <w:p>
      <w:pPr>
        <w:ind w:firstLine="480"/>
        <w:jc w:val="both"/>
      </w:pPr>
      <w:r>
        <w:rPr>
          <w:sz w:val="24"/>
        </w:rPr>
        <w:t>6.3乙方应配合甲方组织本项目各阶段成果的汇报、审查、研讨及咨询等工作，并负责解答相应的技术问题。</w:t>
      </w:r>
    </w:p>
    <w:p>
      <w:pPr>
        <w:ind w:firstLine="482"/>
        <w:jc w:val="both"/>
      </w:pPr>
      <w:r>
        <w:rPr>
          <w:b/>
          <w:sz w:val="24"/>
        </w:rPr>
        <w:t>第七条项目人员组成</w:t>
      </w:r>
    </w:p>
    <w:p>
      <w:pPr>
        <w:ind w:firstLine="480"/>
        <w:jc w:val="both"/>
      </w:pPr>
      <w:r>
        <w:rPr>
          <w:sz w:val="24"/>
        </w:rPr>
        <w:t>7.1甲方有权根据项目的工作内容和成果要求，对乙方项目组主要成员的构成提出要求。</w:t>
      </w:r>
    </w:p>
    <w:p>
      <w:pPr>
        <w:ind w:firstLine="482"/>
        <w:jc w:val="both"/>
      </w:pPr>
      <w:r>
        <w:rPr>
          <w:b/>
          <w:sz w:val="24"/>
        </w:rPr>
        <w:t>第八条</w:t>
      </w:r>
      <w:r>
        <w:rPr>
          <w:b/>
          <w:sz w:val="24"/>
        </w:rPr>
        <w:t>工作进度及阶段成果要求</w:t>
      </w:r>
    </w:p>
    <w:tbl>
      <w:tblPr>
        <w:tblW w:w="0" w:type="auto"/>
        <w:tblBorders>
          <w:top w:val="none" w:color="000000" w:sz="4"/>
          <w:left w:val="none" w:color="000000" w:sz="4"/>
          <w:bottom w:val="none" w:color="000000" w:sz="4"/>
          <w:right w:val="none" w:color="000000" w:sz="4"/>
          <w:insideH w:val="none"/>
          <w:insideV w:val="none"/>
        </w:tblBorders>
      </w:tblPr>
      <w:tblGrid>
        <w:gridCol w:w="491"/>
        <w:gridCol w:w="787"/>
        <w:gridCol w:w="3485"/>
        <w:gridCol w:w="1700"/>
        <w:gridCol w:w="1812"/>
      </w:tblGrid>
      <w:tr>
        <w:tc>
          <w:tcPr>
            <w:tcW w:type="dxa" w:w="49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787"/>
            <w:tcBorders>
              <w:top w:val="single" w:color="000000" w:sz="4"/>
              <w:left w:val="single" w:color="000000" w:sz="4"/>
              <w:bottom w:val="single" w:color="000000" w:sz="4"/>
              <w:right w:val="single" w:color="000000" w:sz="4"/>
            </w:tcBorders>
            <w:vAlign w:val="top"/>
          </w:tcPr>
          <w:p>
            <w:pPr>
              <w:jc w:val="center"/>
            </w:pPr>
            <w:r>
              <w:rPr>
                <w:b/>
                <w:sz w:val="24"/>
              </w:rPr>
              <w:t>工作</w:t>
            </w:r>
          </w:p>
          <w:p>
            <w:pPr>
              <w:jc w:val="center"/>
            </w:pPr>
            <w:r>
              <w:rPr>
                <w:b/>
                <w:sz w:val="24"/>
              </w:rPr>
              <w:t>阶段</w:t>
            </w:r>
          </w:p>
        </w:tc>
        <w:tc>
          <w:tcPr>
            <w:tcW w:type="dxa" w:w="3485"/>
            <w:tcBorders>
              <w:top w:val="single" w:color="000000" w:sz="4"/>
              <w:left w:val="single" w:color="000000" w:sz="4"/>
              <w:bottom w:val="single" w:color="000000" w:sz="4"/>
              <w:right w:val="single" w:color="000000" w:sz="4"/>
            </w:tcBorders>
            <w:vAlign w:val="top"/>
          </w:tcPr>
          <w:p>
            <w:pPr>
              <w:jc w:val="center"/>
            </w:pPr>
            <w:r>
              <w:rPr>
                <w:b/>
                <w:sz w:val="24"/>
              </w:rPr>
              <w:t>工作内容</w:t>
            </w:r>
          </w:p>
        </w:tc>
        <w:tc>
          <w:tcPr>
            <w:tcW w:type="dxa" w:w="1700"/>
            <w:tcBorders>
              <w:top w:val="single" w:color="000000" w:sz="4"/>
              <w:left w:val="single" w:color="000000" w:sz="4"/>
              <w:bottom w:val="single" w:color="000000" w:sz="4"/>
              <w:right w:val="single" w:color="000000" w:sz="4"/>
            </w:tcBorders>
            <w:vAlign w:val="top"/>
          </w:tcPr>
          <w:p>
            <w:pPr>
              <w:jc w:val="center"/>
            </w:pPr>
            <w:r>
              <w:rPr>
                <w:b/>
                <w:sz w:val="24"/>
              </w:rPr>
              <w:t>主要成果构成</w:t>
            </w:r>
          </w:p>
        </w:tc>
        <w:tc>
          <w:tcPr>
            <w:tcW w:type="dxa" w:w="1812"/>
            <w:tcBorders>
              <w:top w:val="single" w:color="000000" w:sz="4"/>
              <w:left w:val="single" w:color="000000" w:sz="4"/>
              <w:bottom w:val="single" w:color="000000" w:sz="4"/>
              <w:right w:val="single" w:color="000000" w:sz="4"/>
            </w:tcBorders>
            <w:vAlign w:val="top"/>
          </w:tcPr>
          <w:p>
            <w:pPr>
              <w:jc w:val="center"/>
            </w:pPr>
            <w:r>
              <w:rPr>
                <w:b/>
                <w:sz w:val="24"/>
              </w:rPr>
              <w:t>完成时间（以合同签订生效之日起）</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87"/>
            <w:tcBorders>
              <w:top w:val="none" w:color="000000" w:sz="4"/>
              <w:left w:val="single" w:color="000000" w:sz="4"/>
              <w:bottom w:val="single" w:color="000000" w:sz="4"/>
              <w:right w:val="single" w:color="000000" w:sz="4"/>
            </w:tcBorders>
            <w:vAlign w:val="top"/>
          </w:tcPr>
          <w:p>
            <w:pPr>
              <w:jc w:val="center"/>
            </w:pPr>
            <w:r>
              <w:rPr>
                <w:sz w:val="24"/>
              </w:rPr>
              <w:t>阶段一</w:t>
            </w:r>
          </w:p>
        </w:tc>
        <w:tc>
          <w:tcPr>
            <w:tcW w:type="dxa" w:w="3485"/>
            <w:tcBorders>
              <w:top w:val="none" w:color="000000" w:sz="4"/>
              <w:left w:val="single" w:color="000000" w:sz="4"/>
              <w:bottom w:val="single" w:color="000000" w:sz="4"/>
              <w:right w:val="single" w:color="000000" w:sz="4"/>
            </w:tcBorders>
            <w:vAlign w:val="top"/>
          </w:tcPr>
          <w:p>
            <w:pPr>
              <w:jc w:val="both"/>
            </w:pPr>
            <w:r>
              <w:rPr>
                <w:sz w:val="24"/>
              </w:rPr>
              <w:t>完成工作大纲</w:t>
            </w:r>
          </w:p>
        </w:tc>
        <w:tc>
          <w:tcPr>
            <w:tcW w:type="dxa" w:w="1700"/>
            <w:tcBorders>
              <w:top w:val="none" w:color="000000" w:sz="4"/>
              <w:left w:val="single" w:color="000000" w:sz="4"/>
              <w:bottom w:val="single" w:color="000000" w:sz="4"/>
              <w:right w:val="single" w:color="000000" w:sz="4"/>
            </w:tcBorders>
            <w:vAlign w:val="top"/>
          </w:tcPr>
          <w:p>
            <w:pPr>
              <w:jc w:val="center"/>
            </w:pPr>
            <w:r>
              <w:rPr>
                <w:sz w:val="24"/>
              </w:rPr>
              <w:t>汇报</w:t>
            </w:r>
            <w:r>
              <w:rPr>
                <w:sz w:val="24"/>
              </w:rPr>
              <w:t>P</w:t>
            </w:r>
            <w:r>
              <w:rPr>
                <w:sz w:val="24"/>
              </w:rPr>
              <w:t>PT</w:t>
            </w:r>
            <w:r>
              <w:rPr>
                <w:sz w:val="24"/>
              </w:rPr>
              <w:t>或相关文本。</w:t>
            </w:r>
          </w:p>
        </w:tc>
        <w:tc>
          <w:tcPr>
            <w:tcW w:type="dxa" w:w="1812"/>
            <w:tcBorders>
              <w:top w:val="none" w:color="000000" w:sz="4"/>
              <w:left w:val="single" w:color="000000" w:sz="4"/>
              <w:bottom w:val="single" w:color="000000" w:sz="4"/>
              <w:right w:val="single" w:color="000000" w:sz="4"/>
            </w:tcBorders>
            <w:vAlign w:val="top"/>
          </w:tcPr>
          <w:p>
            <w:pPr>
              <w:jc w:val="center"/>
            </w:pPr>
            <w:r>
              <w:rPr>
                <w:sz w:val="24"/>
              </w:rPr>
              <w:t>1</w:t>
            </w:r>
            <w:r>
              <w:rPr>
                <w:sz w:val="24"/>
              </w:rPr>
              <w:t>个</w:t>
            </w:r>
            <w:r>
              <w:rPr>
                <w:sz w:val="24"/>
              </w:rPr>
              <w:t>月</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87"/>
            <w:tcBorders>
              <w:top w:val="none" w:color="000000" w:sz="4"/>
              <w:left w:val="single" w:color="000000" w:sz="4"/>
              <w:bottom w:val="single" w:color="000000" w:sz="4"/>
              <w:right w:val="single" w:color="000000" w:sz="4"/>
            </w:tcBorders>
            <w:vAlign w:val="top"/>
          </w:tcPr>
          <w:p>
            <w:pPr>
              <w:jc w:val="center"/>
            </w:pPr>
            <w:r>
              <w:rPr>
                <w:sz w:val="24"/>
              </w:rPr>
              <w:t>阶段二</w:t>
            </w:r>
          </w:p>
        </w:tc>
        <w:tc>
          <w:tcPr>
            <w:tcW w:type="dxa" w:w="3485"/>
            <w:tcBorders>
              <w:top w:val="none" w:color="000000" w:sz="4"/>
              <w:left w:val="single" w:color="000000" w:sz="4"/>
              <w:bottom w:val="single" w:color="000000" w:sz="4"/>
              <w:right w:val="single" w:color="000000" w:sz="4"/>
            </w:tcBorders>
            <w:vAlign w:val="top"/>
          </w:tcPr>
          <w:p>
            <w:pPr>
              <w:jc w:val="both"/>
            </w:pPr>
            <w:r>
              <w:rPr>
                <w:sz w:val="24"/>
              </w:rPr>
              <w:t>完成全线土地开发策略研究、业态策划定位和规模预测研究、产业资源导入和运营研究、</w:t>
            </w:r>
            <w:r>
              <w:rPr>
                <w:sz w:val="24"/>
              </w:rPr>
              <w:t>TOD机制和政策研究4个子项目最终成果</w:t>
            </w:r>
          </w:p>
        </w:tc>
        <w:tc>
          <w:tcPr>
            <w:tcW w:type="dxa" w:w="1700"/>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812"/>
            <w:tcBorders>
              <w:top w:val="none" w:color="000000" w:sz="4"/>
              <w:left w:val="single" w:color="000000" w:sz="4"/>
              <w:bottom w:val="single" w:color="000000" w:sz="4"/>
              <w:right w:val="single" w:color="000000" w:sz="4"/>
            </w:tcBorders>
            <w:vAlign w:val="top"/>
          </w:tcPr>
          <w:p>
            <w:pPr>
              <w:jc w:val="center"/>
            </w:pPr>
            <w:r>
              <w:rPr>
                <w:sz w:val="24"/>
              </w:rPr>
              <w:t>8</w:t>
            </w:r>
            <w:r>
              <w:rPr>
                <w:sz w:val="24"/>
              </w:rPr>
              <w:t>个月</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87"/>
            <w:tcBorders>
              <w:top w:val="none" w:color="000000" w:sz="4"/>
              <w:left w:val="single" w:color="000000" w:sz="4"/>
              <w:bottom w:val="single" w:color="000000" w:sz="4"/>
              <w:right w:val="single" w:color="000000" w:sz="4"/>
            </w:tcBorders>
            <w:vAlign w:val="top"/>
          </w:tcPr>
          <w:p>
            <w:pPr>
              <w:jc w:val="center"/>
            </w:pPr>
            <w:r>
              <w:rPr>
                <w:sz w:val="24"/>
              </w:rPr>
              <w:t>阶段三</w:t>
            </w:r>
          </w:p>
        </w:tc>
        <w:tc>
          <w:tcPr>
            <w:tcW w:type="dxa" w:w="3485"/>
            <w:tcBorders>
              <w:top w:val="none" w:color="000000" w:sz="4"/>
              <w:left w:val="single" w:color="000000" w:sz="4"/>
              <w:bottom w:val="single" w:color="000000" w:sz="4"/>
              <w:right w:val="single" w:color="000000" w:sz="4"/>
            </w:tcBorders>
            <w:vAlign w:val="top"/>
          </w:tcPr>
          <w:p>
            <w:pPr>
              <w:jc w:val="left"/>
            </w:pPr>
            <w:r>
              <w:rPr>
                <w:sz w:val="24"/>
              </w:rPr>
              <w:t>完成地块开发策略研究、全生命周期轨道投融资模式研究、土地利益平衡研究</w:t>
            </w:r>
            <w:r>
              <w:rPr>
                <w:sz w:val="24"/>
              </w:rPr>
              <w:t>3</w:t>
            </w:r>
            <w:r>
              <w:rPr>
                <w:sz w:val="24"/>
              </w:rPr>
              <w:t>个子项目最终成果</w:t>
            </w:r>
            <w:r>
              <w:rPr>
                <w:sz w:val="24"/>
              </w:rPr>
              <w:t>；</w:t>
            </w:r>
            <w:r>
              <w:rPr>
                <w:sz w:val="24"/>
              </w:rPr>
              <w:t>提交</w:t>
            </w:r>
            <w:r>
              <w:rPr>
                <w:sz w:val="24"/>
              </w:rPr>
              <w:t>TOD控制性详细规划、地下空间专项规划、综合交通规划、站城一体化城市设计、</w:t>
            </w:r>
            <w:r>
              <w:rPr>
                <w:sz w:val="24"/>
              </w:rPr>
              <w:t>车站配套工程</w:t>
            </w:r>
            <w:r>
              <w:rPr>
                <w:sz w:val="24"/>
              </w:rPr>
              <w:t>可行性研究</w:t>
            </w:r>
            <w:r>
              <w:rPr>
                <w:sz w:val="24"/>
              </w:rPr>
              <w:t>5个子项目的中期成果</w:t>
            </w:r>
          </w:p>
        </w:tc>
        <w:tc>
          <w:tcPr>
            <w:tcW w:type="dxa" w:w="1700"/>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812"/>
            <w:tcBorders>
              <w:top w:val="none" w:color="000000" w:sz="4"/>
              <w:left w:val="single" w:color="000000" w:sz="4"/>
              <w:bottom w:val="single" w:color="000000" w:sz="4"/>
              <w:right w:val="single" w:color="000000" w:sz="4"/>
            </w:tcBorders>
            <w:vAlign w:val="top"/>
          </w:tcPr>
          <w:p>
            <w:pPr>
              <w:jc w:val="center"/>
            </w:pPr>
            <w:r>
              <w:rPr>
                <w:sz w:val="24"/>
              </w:rPr>
              <w:t>12</w:t>
            </w:r>
            <w:r>
              <w:rPr>
                <w:sz w:val="24"/>
              </w:rPr>
              <w:t>个月</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87"/>
            <w:tcBorders>
              <w:top w:val="none" w:color="000000" w:sz="4"/>
              <w:left w:val="single" w:color="000000" w:sz="4"/>
              <w:bottom w:val="single" w:color="000000" w:sz="4"/>
              <w:right w:val="single" w:color="000000" w:sz="4"/>
            </w:tcBorders>
            <w:vAlign w:val="top"/>
          </w:tcPr>
          <w:p>
            <w:pPr>
              <w:jc w:val="center"/>
            </w:pPr>
            <w:r>
              <w:rPr>
                <w:sz w:val="24"/>
              </w:rPr>
              <w:t>阶段四</w:t>
            </w:r>
          </w:p>
        </w:tc>
        <w:tc>
          <w:tcPr>
            <w:tcW w:type="dxa" w:w="3485"/>
            <w:tcBorders>
              <w:top w:val="none" w:color="000000" w:sz="4"/>
              <w:left w:val="single" w:color="000000" w:sz="4"/>
              <w:bottom w:val="single" w:color="000000" w:sz="4"/>
              <w:right w:val="single" w:color="000000" w:sz="4"/>
            </w:tcBorders>
            <w:vAlign w:val="top"/>
          </w:tcPr>
          <w:p>
            <w:pPr>
              <w:jc w:val="both"/>
            </w:pPr>
            <w:r>
              <w:rPr>
                <w:sz w:val="24"/>
              </w:rPr>
              <w:t>完成</w:t>
            </w:r>
            <w:r>
              <w:rPr>
                <w:sz w:val="24"/>
              </w:rPr>
              <w:t>TOD控制详细规划、</w:t>
            </w:r>
            <w:r>
              <w:rPr>
                <w:sz w:val="24"/>
              </w:rPr>
              <w:t>车站配套工程</w:t>
            </w:r>
            <w:r>
              <w:rPr>
                <w:sz w:val="24"/>
              </w:rPr>
              <w:t>可行性研究</w:t>
            </w:r>
            <w:r>
              <w:rPr>
                <w:sz w:val="24"/>
              </w:rPr>
              <w:t>2个</w:t>
            </w:r>
            <w:r>
              <w:rPr>
                <w:sz w:val="24"/>
              </w:rPr>
              <w:t>子项目</w:t>
            </w:r>
            <w:r>
              <w:rPr>
                <w:sz w:val="24"/>
              </w:rPr>
              <w:t>通过政府批复；</w:t>
            </w:r>
            <w:r>
              <w:rPr>
                <w:sz w:val="24"/>
              </w:rPr>
              <w:t>完成</w:t>
            </w:r>
            <w:r>
              <w:rPr>
                <w:sz w:val="24"/>
              </w:rPr>
              <w:t>地下空间专项规划、综合交通规划、站城一体化城市设计</w:t>
            </w:r>
            <w:r>
              <w:rPr>
                <w:sz w:val="24"/>
              </w:rPr>
              <w:t>3个</w:t>
            </w:r>
            <w:r>
              <w:rPr>
                <w:sz w:val="24"/>
              </w:rPr>
              <w:t>子项目最终成果</w:t>
            </w:r>
          </w:p>
        </w:tc>
        <w:tc>
          <w:tcPr>
            <w:tcW w:type="dxa" w:w="1700"/>
            <w:tcBorders>
              <w:top w:val="none" w:color="000000" w:sz="4"/>
              <w:left w:val="single" w:color="000000" w:sz="4"/>
              <w:bottom w:val="single" w:color="000000" w:sz="4"/>
              <w:right w:val="single" w:color="000000" w:sz="4"/>
            </w:tcBorders>
            <w:vAlign w:val="top"/>
          </w:tcPr>
          <w:p>
            <w:pPr>
              <w:jc w:val="both"/>
            </w:pPr>
            <w:r>
              <w:rPr>
                <w:sz w:val="24"/>
              </w:rPr>
              <w:t>规划研究报告、图集、汇报</w:t>
            </w:r>
            <w:r>
              <w:rPr>
                <w:sz w:val="24"/>
              </w:rPr>
              <w:t>P</w:t>
            </w:r>
            <w:r>
              <w:rPr>
                <w:sz w:val="24"/>
              </w:rPr>
              <w:t>PT</w:t>
            </w:r>
            <w:r>
              <w:rPr>
                <w:sz w:val="24"/>
              </w:rPr>
              <w:t>或相关文本。</w:t>
            </w:r>
          </w:p>
        </w:tc>
        <w:tc>
          <w:tcPr>
            <w:tcW w:type="dxa" w:w="1812"/>
            <w:tcBorders>
              <w:top w:val="none" w:color="000000" w:sz="4"/>
              <w:left w:val="single" w:color="000000" w:sz="4"/>
              <w:bottom w:val="single" w:color="000000" w:sz="4"/>
              <w:right w:val="single" w:color="000000" w:sz="4"/>
            </w:tcBorders>
            <w:vAlign w:val="top"/>
          </w:tcPr>
          <w:p>
            <w:pPr>
              <w:jc w:val="center"/>
            </w:pPr>
            <w:r>
              <w:rPr>
                <w:sz w:val="24"/>
              </w:rPr>
              <w:t>18</w:t>
            </w:r>
            <w:r>
              <w:rPr>
                <w:sz w:val="24"/>
              </w:rPr>
              <w:t>个月</w:t>
            </w:r>
          </w:p>
        </w:tc>
      </w:tr>
      <w:tr>
        <w:tc>
          <w:tcPr>
            <w:tcW w:type="dxa" w:w="49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87"/>
            <w:tcBorders>
              <w:top w:val="none" w:color="000000" w:sz="4"/>
              <w:left w:val="single" w:color="000000" w:sz="4"/>
              <w:bottom w:val="single" w:color="000000" w:sz="4"/>
              <w:right w:val="single" w:color="000000" w:sz="4"/>
            </w:tcBorders>
            <w:vAlign w:val="top"/>
          </w:tcPr>
          <w:p>
            <w:pPr>
              <w:jc w:val="center"/>
            </w:pPr>
            <w:r>
              <w:rPr>
                <w:sz w:val="24"/>
              </w:rPr>
              <w:t>阶段五</w:t>
            </w:r>
          </w:p>
        </w:tc>
        <w:tc>
          <w:tcPr>
            <w:tcW w:type="dxa" w:w="3485"/>
            <w:tcBorders>
              <w:top w:val="none" w:color="000000" w:sz="4"/>
              <w:left w:val="single" w:color="000000" w:sz="4"/>
              <w:bottom w:val="single" w:color="000000" w:sz="4"/>
              <w:right w:val="single" w:color="000000" w:sz="4"/>
            </w:tcBorders>
            <w:vAlign w:val="top"/>
          </w:tcPr>
          <w:p>
            <w:pPr>
              <w:jc w:val="both"/>
            </w:pPr>
            <w:r>
              <w:rPr>
                <w:sz w:val="24"/>
              </w:rPr>
              <w:t>结合广佛江珠城际广州芳村至江门段项目建设的变化情况，对相应成果须进行修改的技术服务</w:t>
            </w:r>
          </w:p>
        </w:tc>
        <w:tc>
          <w:tcPr>
            <w:tcW w:type="dxa" w:w="1700"/>
            <w:tcBorders>
              <w:top w:val="none" w:color="000000" w:sz="4"/>
              <w:left w:val="single" w:color="000000" w:sz="4"/>
              <w:bottom w:val="single" w:color="000000" w:sz="4"/>
              <w:right w:val="single" w:color="000000" w:sz="4"/>
            </w:tcBorders>
            <w:vAlign w:val="top"/>
          </w:tcPr>
          <w:p>
            <w:pPr>
              <w:jc w:val="both"/>
            </w:pPr>
            <w:r>
              <w:rPr>
                <w:sz w:val="24"/>
              </w:rPr>
              <w:t>相关修改图纸和文本</w:t>
            </w:r>
          </w:p>
        </w:tc>
        <w:tc>
          <w:tcPr>
            <w:tcW w:type="dxa" w:w="1812"/>
            <w:tcBorders>
              <w:top w:val="none" w:color="000000" w:sz="4"/>
              <w:left w:val="single" w:color="000000" w:sz="4"/>
              <w:bottom w:val="single" w:color="000000" w:sz="4"/>
              <w:right w:val="single" w:color="000000" w:sz="4"/>
            </w:tcBorders>
            <w:vAlign w:val="top"/>
          </w:tcPr>
          <w:p>
            <w:pPr>
              <w:jc w:val="center"/>
            </w:pPr>
          </w:p>
        </w:tc>
      </w:tr>
    </w:tbl>
    <w:p>
      <w:pPr>
        <w:ind w:firstLine="480"/>
        <w:jc w:val="both"/>
      </w:pPr>
      <w:r>
        <w:rPr>
          <w:sz w:val="24"/>
        </w:rPr>
        <w:t>注：上述完成时间节点是基于广佛江珠项目</w:t>
      </w:r>
      <w:r>
        <w:rPr>
          <w:sz w:val="24"/>
        </w:rPr>
        <w:t>2023年10月份动工的要求进行安排，若因上述项目原因开工时间延后，上述相应完成时间节点相应顺延。</w:t>
      </w:r>
    </w:p>
    <w:p>
      <w:pPr>
        <w:jc w:val="both"/>
      </w:pPr>
    </w:p>
    <w:p>
      <w:pPr>
        <w:ind w:firstLine="482"/>
        <w:jc w:val="both"/>
      </w:pPr>
      <w:r>
        <w:rPr>
          <w:b/>
          <w:sz w:val="24"/>
        </w:rPr>
        <w:t>第九条合同价款支付</w:t>
      </w:r>
    </w:p>
    <w:p>
      <w:pPr>
        <w:ind w:firstLine="480"/>
        <w:jc w:val="both"/>
      </w:pPr>
      <w:r>
        <w:rPr>
          <w:sz w:val="24"/>
        </w:rPr>
        <w:t>9.1本合同价款按照下列形式分</w:t>
      </w:r>
      <w:r>
        <w:rPr>
          <w:sz w:val="24"/>
          <w:u w:val="single"/>
        </w:rPr>
        <w:t>5</w:t>
      </w:r>
      <w:r>
        <w:rPr>
          <w:sz w:val="24"/>
        </w:rPr>
        <w:t>期支付：</w:t>
      </w:r>
    </w:p>
    <w:p>
      <w:pPr>
        <w:ind w:firstLine="482"/>
        <w:jc w:val="center"/>
      </w:pPr>
      <w:r>
        <w:rPr>
          <w:b/>
          <w:sz w:val="24"/>
        </w:rPr>
        <w:t>付款进度安排</w:t>
      </w:r>
    </w:p>
    <w:tbl>
      <w:tblPr>
        <w:tblW w:w="0" w:type="auto"/>
        <w:tblBorders>
          <w:top w:val="none" w:color="000000" w:sz="4"/>
          <w:left w:val="none" w:color="000000" w:sz="4"/>
          <w:bottom w:val="none" w:color="000000" w:sz="4"/>
          <w:right w:val="none" w:color="000000" w:sz="4"/>
          <w:insideH w:val="none"/>
          <w:insideV w:val="none"/>
        </w:tblBorders>
      </w:tblPr>
      <w:tblGrid>
        <w:gridCol w:w="684"/>
        <w:gridCol w:w="671"/>
        <w:gridCol w:w="2211"/>
        <w:gridCol w:w="803"/>
        <w:gridCol w:w="2870"/>
        <w:gridCol w:w="1066"/>
      </w:tblGrid>
      <w:tr>
        <w:tc>
          <w:tcPr>
            <w:tcW w:type="dxa" w:w="684"/>
            <w:tcBorders>
              <w:top w:val="single" w:color="000000" w:sz="4"/>
              <w:left w:val="single" w:color="000000" w:sz="4"/>
              <w:bottom w:val="single" w:color="000000" w:sz="4"/>
              <w:right w:val="single" w:color="000000" w:sz="4"/>
            </w:tcBorders>
            <w:vAlign w:val="top"/>
          </w:tcPr>
          <w:p>
            <w:pPr>
              <w:jc w:val="center"/>
            </w:pPr>
            <w:r>
              <w:rPr>
                <w:b/>
                <w:sz w:val="24"/>
              </w:rPr>
              <w:t>付款分期</w:t>
            </w:r>
          </w:p>
        </w:tc>
        <w:tc>
          <w:tcPr>
            <w:tcW w:type="dxa" w:w="671"/>
            <w:tcBorders>
              <w:top w:val="single" w:color="000000" w:sz="4"/>
              <w:left w:val="single" w:color="000000" w:sz="4"/>
              <w:bottom w:val="single" w:color="000000" w:sz="4"/>
              <w:right w:val="single" w:color="000000" w:sz="4"/>
            </w:tcBorders>
            <w:vAlign w:val="top"/>
          </w:tcPr>
          <w:p>
            <w:pPr>
              <w:jc w:val="center"/>
            </w:pPr>
            <w:r>
              <w:rPr>
                <w:b/>
                <w:sz w:val="24"/>
              </w:rPr>
              <w:t>工作</w:t>
            </w:r>
          </w:p>
          <w:p>
            <w:pPr>
              <w:jc w:val="center"/>
            </w:pPr>
            <w:r>
              <w:rPr>
                <w:b/>
                <w:sz w:val="24"/>
              </w:rPr>
              <w:t>阶段</w:t>
            </w:r>
          </w:p>
        </w:tc>
        <w:tc>
          <w:tcPr>
            <w:tcW w:type="dxa" w:w="2211"/>
            <w:tcBorders>
              <w:top w:val="single" w:color="000000" w:sz="4"/>
              <w:left w:val="single" w:color="000000" w:sz="4"/>
              <w:bottom w:val="single" w:color="000000" w:sz="4"/>
              <w:right w:val="single" w:color="000000" w:sz="4"/>
            </w:tcBorders>
            <w:vAlign w:val="top"/>
          </w:tcPr>
          <w:p>
            <w:pPr>
              <w:jc w:val="center"/>
            </w:pPr>
            <w:r>
              <w:rPr>
                <w:b/>
                <w:sz w:val="24"/>
              </w:rPr>
              <w:t>付款方式</w:t>
            </w:r>
          </w:p>
        </w:tc>
        <w:tc>
          <w:tcPr>
            <w:tcW w:type="dxa" w:w="803"/>
            <w:tcBorders>
              <w:top w:val="single" w:color="000000" w:sz="4"/>
              <w:left w:val="single" w:color="000000" w:sz="4"/>
              <w:bottom w:val="single" w:color="000000" w:sz="4"/>
              <w:right w:val="single" w:color="000000" w:sz="4"/>
            </w:tcBorders>
            <w:vAlign w:val="top"/>
          </w:tcPr>
          <w:p>
            <w:pPr>
              <w:jc w:val="center"/>
            </w:pPr>
            <w:r>
              <w:rPr>
                <w:b/>
                <w:sz w:val="24"/>
              </w:rPr>
              <w:t>付款比例</w:t>
            </w:r>
          </w:p>
        </w:tc>
        <w:tc>
          <w:tcPr>
            <w:tcW w:type="dxa" w:w="2870"/>
            <w:tcBorders>
              <w:top w:val="single" w:color="000000" w:sz="4"/>
              <w:left w:val="single" w:color="000000" w:sz="4"/>
              <w:bottom w:val="single" w:color="000000" w:sz="4"/>
              <w:right w:val="single" w:color="000000" w:sz="4"/>
            </w:tcBorders>
            <w:vAlign w:val="top"/>
          </w:tcPr>
          <w:p>
            <w:pPr>
              <w:jc w:val="center"/>
            </w:pPr>
            <w:r>
              <w:rPr>
                <w:b/>
                <w:sz w:val="24"/>
              </w:rPr>
              <w:t>工作内容</w:t>
            </w:r>
          </w:p>
        </w:tc>
        <w:tc>
          <w:tcPr>
            <w:tcW w:type="dxa" w:w="1066"/>
            <w:tcBorders>
              <w:top w:val="single" w:color="000000" w:sz="4"/>
              <w:left w:val="single" w:color="000000" w:sz="4"/>
              <w:bottom w:val="single" w:color="000000" w:sz="4"/>
              <w:right w:val="single" w:color="000000" w:sz="4"/>
            </w:tcBorders>
            <w:vAlign w:val="top"/>
          </w:tcPr>
          <w:p>
            <w:pPr>
              <w:jc w:val="center"/>
            </w:pPr>
            <w:r>
              <w:rPr>
                <w:b/>
                <w:sz w:val="24"/>
              </w:rPr>
              <w:t>付款金额（元人民币）</w:t>
            </w: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1</w:t>
            </w:r>
          </w:p>
        </w:tc>
        <w:tc>
          <w:tcPr>
            <w:tcW w:type="dxa" w:w="671"/>
            <w:tcBorders>
              <w:top w:val="none" w:color="000000" w:sz="4"/>
              <w:left w:val="single" w:color="000000" w:sz="4"/>
              <w:bottom w:val="single" w:color="000000" w:sz="4"/>
              <w:right w:val="single" w:color="000000" w:sz="4"/>
            </w:tcBorders>
            <w:vAlign w:val="top"/>
          </w:tcPr>
          <w:p>
            <w:pPr>
              <w:jc w:val="center"/>
            </w:pPr>
            <w:r>
              <w:rPr>
                <w:sz w:val="24"/>
              </w:rPr>
              <w:t>第一期</w:t>
            </w:r>
          </w:p>
        </w:tc>
        <w:tc>
          <w:tcPr>
            <w:tcW w:type="dxa" w:w="2211"/>
            <w:tcBorders>
              <w:top w:val="none" w:color="000000" w:sz="4"/>
              <w:left w:val="single" w:color="000000" w:sz="4"/>
              <w:bottom w:val="single" w:color="000000" w:sz="4"/>
              <w:right w:val="single" w:color="000000" w:sz="4"/>
            </w:tcBorders>
            <w:vAlign w:val="top"/>
          </w:tcPr>
          <w:p>
            <w:pPr>
              <w:jc w:val="both"/>
            </w:pPr>
            <w:r>
              <w:rPr>
                <w:sz w:val="24"/>
              </w:rPr>
              <w:t>合同签订生效并提交工作大纲后的</w:t>
            </w:r>
            <w:r>
              <w:rPr>
                <w:sz w:val="24"/>
              </w:rPr>
              <w:t>60个日历日内</w:t>
            </w:r>
          </w:p>
        </w:tc>
        <w:tc>
          <w:tcPr>
            <w:tcW w:type="dxa" w:w="803"/>
            <w:tcBorders>
              <w:top w:val="none" w:color="000000" w:sz="4"/>
              <w:left w:val="single" w:color="000000" w:sz="4"/>
              <w:bottom w:val="single" w:color="000000" w:sz="4"/>
              <w:right w:val="single" w:color="000000" w:sz="4"/>
            </w:tcBorders>
            <w:vAlign w:val="top"/>
          </w:tcPr>
          <w:p>
            <w:pPr>
              <w:jc w:val="center"/>
            </w:pPr>
            <w:r>
              <w:rPr>
                <w:sz w:val="24"/>
              </w:rPr>
              <w:t>30％</w:t>
            </w:r>
          </w:p>
        </w:tc>
        <w:tc>
          <w:tcPr>
            <w:tcW w:type="dxa" w:w="2870"/>
            <w:tcBorders>
              <w:top w:val="none" w:color="000000" w:sz="4"/>
              <w:left w:val="single" w:color="000000" w:sz="4"/>
              <w:bottom w:val="single" w:color="000000" w:sz="4"/>
              <w:right w:val="single" w:color="000000" w:sz="4"/>
            </w:tcBorders>
            <w:vAlign w:val="top"/>
          </w:tcPr>
          <w:p>
            <w:pPr>
              <w:jc w:val="center"/>
            </w:pPr>
            <w:r>
              <w:rPr>
                <w:sz w:val="24"/>
              </w:rPr>
              <w:t>完成工作大纲</w:t>
            </w:r>
          </w:p>
        </w:tc>
        <w:tc>
          <w:tcPr>
            <w:tcW w:type="dxa" w:w="1066"/>
            <w:tcBorders>
              <w:top w:val="none" w:color="000000" w:sz="4"/>
              <w:left w:val="single" w:color="000000" w:sz="4"/>
              <w:bottom w:val="single" w:color="000000" w:sz="4"/>
              <w:right w:val="single" w:color="000000" w:sz="4"/>
            </w:tcBorders>
            <w:vAlign w:val="top"/>
          </w:tcPr>
          <w:p>
            <w:pPr>
              <w:jc w:val="center"/>
            </w:pP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2</w:t>
            </w:r>
          </w:p>
        </w:tc>
        <w:tc>
          <w:tcPr>
            <w:tcW w:type="dxa" w:w="671"/>
            <w:tcBorders>
              <w:top w:val="none" w:color="000000" w:sz="4"/>
              <w:left w:val="single" w:color="000000" w:sz="4"/>
              <w:bottom w:val="single" w:color="000000" w:sz="4"/>
              <w:right w:val="single" w:color="000000" w:sz="4"/>
            </w:tcBorders>
            <w:vAlign w:val="top"/>
          </w:tcPr>
          <w:p>
            <w:pPr>
              <w:jc w:val="center"/>
            </w:pPr>
            <w:r>
              <w:rPr>
                <w:sz w:val="24"/>
              </w:rPr>
              <w:t>第二期</w:t>
            </w:r>
          </w:p>
        </w:tc>
        <w:tc>
          <w:tcPr>
            <w:tcW w:type="dxa" w:w="2211"/>
            <w:tcBorders>
              <w:top w:val="none" w:color="000000" w:sz="4"/>
              <w:left w:val="single" w:color="000000" w:sz="4"/>
              <w:bottom w:val="single" w:color="000000" w:sz="4"/>
              <w:right w:val="single" w:color="000000" w:sz="4"/>
            </w:tcBorders>
            <w:vAlign w:val="top"/>
          </w:tcPr>
          <w:p>
            <w:pPr>
              <w:jc w:val="both"/>
            </w:pPr>
            <w:r>
              <w:rPr>
                <w:sz w:val="24"/>
              </w:rPr>
              <w:t>按要求</w:t>
            </w:r>
            <w:r>
              <w:rPr>
                <w:sz w:val="24"/>
              </w:rPr>
              <w:t>完成全线土地开发策略研究、业态策划定位和规模预测研究、产业资源导入和运营研究、</w:t>
            </w:r>
            <w:r>
              <w:rPr>
                <w:sz w:val="24"/>
              </w:rPr>
              <w:t>TOD机制和政策研究4个子项目最终成果并经采购人或政府主管部门审批同意或专家评审通过后的60个日历日内</w:t>
            </w:r>
          </w:p>
        </w:tc>
        <w:tc>
          <w:tcPr>
            <w:tcW w:type="dxa" w:w="803"/>
            <w:tcBorders>
              <w:top w:val="none" w:color="000000" w:sz="4"/>
              <w:left w:val="single" w:color="000000" w:sz="4"/>
              <w:bottom w:val="single" w:color="000000" w:sz="4"/>
              <w:right w:val="single" w:color="000000" w:sz="4"/>
            </w:tcBorders>
            <w:vAlign w:val="top"/>
          </w:tcPr>
          <w:p>
            <w:pPr>
              <w:jc w:val="center"/>
            </w:pPr>
            <w:r>
              <w:rPr>
                <w:sz w:val="24"/>
              </w:rPr>
              <w:t>20％</w:t>
            </w:r>
          </w:p>
        </w:tc>
        <w:tc>
          <w:tcPr>
            <w:tcW w:type="dxa" w:w="2870"/>
            <w:tcBorders>
              <w:top w:val="none" w:color="000000" w:sz="4"/>
              <w:left w:val="single" w:color="000000" w:sz="4"/>
              <w:bottom w:val="single" w:color="000000" w:sz="4"/>
              <w:right w:val="single" w:color="000000" w:sz="4"/>
            </w:tcBorders>
            <w:vAlign w:val="top"/>
          </w:tcPr>
          <w:p>
            <w:pPr>
              <w:jc w:val="both"/>
            </w:pPr>
            <w:r>
              <w:rPr>
                <w:sz w:val="24"/>
              </w:rPr>
              <w:t>完成全线土地开发策略研究、业态策划定位和规模预测研究、产业资源导入和运营研究、</w:t>
            </w:r>
            <w:r>
              <w:rPr>
                <w:sz w:val="24"/>
              </w:rPr>
              <w:t>TOD机制和政策研究4个子项目最终成果</w:t>
            </w:r>
          </w:p>
        </w:tc>
        <w:tc>
          <w:tcPr>
            <w:tcW w:type="dxa" w:w="1066"/>
            <w:tcBorders>
              <w:top w:val="none" w:color="000000" w:sz="4"/>
              <w:left w:val="single" w:color="000000" w:sz="4"/>
              <w:bottom w:val="single" w:color="000000" w:sz="4"/>
              <w:right w:val="single" w:color="000000" w:sz="4"/>
            </w:tcBorders>
            <w:vAlign w:val="top"/>
          </w:tcPr>
          <w:p>
            <w:pPr>
              <w:jc w:val="center"/>
            </w:pP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671"/>
            <w:tcBorders>
              <w:top w:val="none" w:color="000000" w:sz="4"/>
              <w:left w:val="single" w:color="000000" w:sz="4"/>
              <w:bottom w:val="single" w:color="000000" w:sz="4"/>
              <w:right w:val="single" w:color="000000" w:sz="4"/>
            </w:tcBorders>
            <w:vAlign w:val="top"/>
          </w:tcPr>
          <w:p>
            <w:pPr>
              <w:jc w:val="center"/>
            </w:pPr>
            <w:r>
              <w:rPr>
                <w:sz w:val="24"/>
              </w:rPr>
              <w:t>第三期</w:t>
            </w:r>
          </w:p>
        </w:tc>
        <w:tc>
          <w:tcPr>
            <w:tcW w:type="dxa" w:w="2211"/>
            <w:tcBorders>
              <w:top w:val="none" w:color="000000" w:sz="4"/>
              <w:left w:val="single" w:color="000000" w:sz="4"/>
              <w:bottom w:val="single" w:color="000000" w:sz="4"/>
              <w:right w:val="single" w:color="000000" w:sz="4"/>
            </w:tcBorders>
            <w:vAlign w:val="top"/>
          </w:tcPr>
          <w:p>
            <w:pPr>
              <w:jc w:val="both"/>
            </w:pPr>
            <w:r>
              <w:rPr>
                <w:sz w:val="24"/>
              </w:rPr>
              <w:t>按要求完成地块开发策略研究、全生命周期轨道投融资模式研究、土地利益平衡研究</w:t>
            </w:r>
            <w:r>
              <w:rPr>
                <w:sz w:val="24"/>
              </w:rPr>
              <w:t>3</w:t>
            </w:r>
            <w:r>
              <w:rPr>
                <w:sz w:val="24"/>
              </w:rPr>
              <w:t>个子项目</w:t>
            </w:r>
            <w:r>
              <w:rPr>
                <w:sz w:val="24"/>
              </w:rPr>
              <w:t>最终成果并经采购人或政府主管部门审批同意或专家评审通过</w:t>
            </w:r>
            <w:r>
              <w:rPr>
                <w:sz w:val="24"/>
              </w:rPr>
              <w:t>，并提交</w:t>
            </w:r>
            <w:r>
              <w:rPr>
                <w:sz w:val="24"/>
              </w:rPr>
              <w:t>TOD控制性详细规划、地下空间专项规划、综合交通规划、站城一体化城市设计、</w:t>
            </w:r>
            <w:r>
              <w:rPr>
                <w:sz w:val="24"/>
              </w:rPr>
              <w:t>车站配套工程</w:t>
            </w:r>
            <w:r>
              <w:rPr>
                <w:sz w:val="24"/>
              </w:rPr>
              <w:t>可行性研究</w:t>
            </w:r>
            <w:r>
              <w:rPr>
                <w:sz w:val="24"/>
              </w:rPr>
              <w:t>5个子项目的中期成果后的</w:t>
            </w:r>
            <w:r>
              <w:rPr>
                <w:sz w:val="24"/>
              </w:rPr>
              <w:t>60个日历日内</w:t>
            </w:r>
          </w:p>
        </w:tc>
        <w:tc>
          <w:tcPr>
            <w:tcW w:type="dxa" w:w="803"/>
            <w:tcBorders>
              <w:top w:val="none" w:color="000000" w:sz="4"/>
              <w:left w:val="single" w:color="000000" w:sz="4"/>
              <w:bottom w:val="single" w:color="000000" w:sz="4"/>
              <w:right w:val="single" w:color="000000" w:sz="4"/>
            </w:tcBorders>
            <w:vAlign w:val="top"/>
          </w:tcPr>
          <w:p>
            <w:pPr>
              <w:jc w:val="center"/>
            </w:pPr>
            <w:r>
              <w:rPr>
                <w:sz w:val="24"/>
              </w:rPr>
              <w:t>30％</w:t>
            </w:r>
          </w:p>
        </w:tc>
        <w:tc>
          <w:tcPr>
            <w:tcW w:type="dxa" w:w="2870"/>
            <w:tcBorders>
              <w:top w:val="none" w:color="000000" w:sz="4"/>
              <w:left w:val="single" w:color="000000" w:sz="4"/>
              <w:bottom w:val="single" w:color="000000" w:sz="4"/>
              <w:right w:val="single" w:color="000000" w:sz="4"/>
            </w:tcBorders>
            <w:vAlign w:val="top"/>
          </w:tcPr>
          <w:p>
            <w:pPr>
              <w:jc w:val="left"/>
            </w:pPr>
            <w:r>
              <w:rPr>
                <w:sz w:val="24"/>
              </w:rPr>
              <w:t>完成地块开发策略研究、全生命周期轨道投融资模式研究、土地利益平衡研究</w:t>
            </w:r>
            <w:r>
              <w:rPr>
                <w:sz w:val="24"/>
              </w:rPr>
              <w:t>3</w:t>
            </w:r>
            <w:r>
              <w:rPr>
                <w:sz w:val="24"/>
              </w:rPr>
              <w:t>个子项目</w:t>
            </w:r>
            <w:r>
              <w:rPr>
                <w:sz w:val="24"/>
              </w:rPr>
              <w:t>最终成果，</w:t>
            </w:r>
            <w:r>
              <w:rPr>
                <w:sz w:val="24"/>
              </w:rPr>
              <w:t>提交</w:t>
            </w:r>
            <w:r>
              <w:rPr>
                <w:sz w:val="24"/>
              </w:rPr>
              <w:t>TOD控制性详细规划、地下空间专项规划、综合交通规划、站城一体化城市设计、</w:t>
            </w:r>
            <w:r>
              <w:rPr>
                <w:sz w:val="24"/>
              </w:rPr>
              <w:t>车站配套工程</w:t>
            </w:r>
            <w:r>
              <w:rPr>
                <w:sz w:val="24"/>
              </w:rPr>
              <w:t>可行性研究</w:t>
            </w:r>
            <w:r>
              <w:rPr>
                <w:sz w:val="24"/>
              </w:rPr>
              <w:t>5个子项目的中期成果</w:t>
            </w:r>
          </w:p>
        </w:tc>
        <w:tc>
          <w:tcPr>
            <w:tcW w:type="dxa" w:w="1066"/>
            <w:tcBorders>
              <w:top w:val="none" w:color="000000" w:sz="4"/>
              <w:left w:val="single" w:color="000000" w:sz="4"/>
              <w:bottom w:val="single" w:color="000000" w:sz="4"/>
              <w:right w:val="single" w:color="000000" w:sz="4"/>
            </w:tcBorders>
            <w:vAlign w:val="top"/>
          </w:tcPr>
          <w:p>
            <w:pPr>
              <w:jc w:val="center"/>
            </w:pP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4</w:t>
            </w:r>
          </w:p>
        </w:tc>
        <w:tc>
          <w:tcPr>
            <w:tcW w:type="dxa" w:w="671"/>
            <w:tcBorders>
              <w:top w:val="none" w:color="000000" w:sz="4"/>
              <w:left w:val="single" w:color="000000" w:sz="4"/>
              <w:bottom w:val="single" w:color="000000" w:sz="4"/>
              <w:right w:val="single" w:color="000000" w:sz="4"/>
            </w:tcBorders>
            <w:vAlign w:val="top"/>
          </w:tcPr>
          <w:p>
            <w:pPr>
              <w:jc w:val="center"/>
            </w:pPr>
            <w:r>
              <w:rPr>
                <w:sz w:val="24"/>
              </w:rPr>
              <w:t>第四期</w:t>
            </w:r>
          </w:p>
        </w:tc>
        <w:tc>
          <w:tcPr>
            <w:tcW w:type="dxa" w:w="2211"/>
            <w:tcBorders>
              <w:top w:val="none" w:color="000000" w:sz="4"/>
              <w:left w:val="single" w:color="000000" w:sz="4"/>
              <w:bottom w:val="single" w:color="000000" w:sz="4"/>
              <w:right w:val="single" w:color="000000" w:sz="4"/>
            </w:tcBorders>
            <w:vAlign w:val="top"/>
          </w:tcPr>
          <w:p>
            <w:pPr>
              <w:jc w:val="both"/>
            </w:pPr>
            <w:r>
              <w:rPr>
                <w:sz w:val="24"/>
              </w:rPr>
              <w:t>按要求</w:t>
            </w:r>
            <w:r>
              <w:rPr>
                <w:sz w:val="24"/>
              </w:rPr>
              <w:t>完成</w:t>
            </w:r>
            <w:r>
              <w:rPr>
                <w:sz w:val="24"/>
              </w:rPr>
              <w:t>TOD控制详细规划、</w:t>
            </w:r>
            <w:r>
              <w:rPr>
                <w:sz w:val="24"/>
              </w:rPr>
              <w:t>车站配套工程</w:t>
            </w:r>
            <w:r>
              <w:rPr>
                <w:sz w:val="24"/>
              </w:rPr>
              <w:t>可行性研究</w:t>
            </w:r>
            <w:r>
              <w:rPr>
                <w:sz w:val="24"/>
              </w:rPr>
              <w:t>2个子项目</w:t>
            </w:r>
            <w:r>
              <w:rPr>
                <w:sz w:val="24"/>
              </w:rPr>
              <w:t>通过政府批复，</w:t>
            </w:r>
            <w:r>
              <w:rPr>
                <w:sz w:val="24"/>
              </w:rPr>
              <w:t>完成</w:t>
            </w:r>
            <w:r>
              <w:rPr>
                <w:sz w:val="24"/>
              </w:rPr>
              <w:t>地下空间专项规划、综合交通规划、站城一体化城市设计</w:t>
            </w:r>
            <w:r>
              <w:rPr>
                <w:sz w:val="24"/>
              </w:rPr>
              <w:t>3</w:t>
            </w:r>
            <w:r>
              <w:rPr>
                <w:sz w:val="24"/>
              </w:rPr>
              <w:t>个子项目</w:t>
            </w:r>
            <w:r>
              <w:rPr>
                <w:sz w:val="24"/>
              </w:rPr>
              <w:t>最终成果并经采购人或政府主管部门审批同意或专家评审通过后的</w:t>
            </w:r>
            <w:r>
              <w:rPr>
                <w:sz w:val="24"/>
              </w:rPr>
              <w:t>60个日历日内</w:t>
            </w:r>
          </w:p>
        </w:tc>
        <w:tc>
          <w:tcPr>
            <w:tcW w:type="dxa" w:w="803"/>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2870"/>
            <w:tcBorders>
              <w:top w:val="none" w:color="000000" w:sz="4"/>
              <w:left w:val="single" w:color="000000" w:sz="4"/>
              <w:bottom w:val="single" w:color="000000" w:sz="4"/>
              <w:right w:val="single" w:color="000000" w:sz="4"/>
            </w:tcBorders>
            <w:vAlign w:val="top"/>
          </w:tcPr>
          <w:p>
            <w:pPr>
              <w:jc w:val="both"/>
            </w:pPr>
            <w:r>
              <w:rPr>
                <w:sz w:val="24"/>
              </w:rPr>
              <w:t>完成</w:t>
            </w:r>
            <w:r>
              <w:rPr>
                <w:sz w:val="24"/>
              </w:rPr>
              <w:t>TOD控制详细规划、</w:t>
            </w:r>
            <w:r>
              <w:rPr>
                <w:sz w:val="24"/>
              </w:rPr>
              <w:t>车站配套工程</w:t>
            </w:r>
            <w:r>
              <w:rPr>
                <w:sz w:val="24"/>
              </w:rPr>
              <w:t>可行性研究</w:t>
            </w:r>
            <w:r>
              <w:rPr>
                <w:sz w:val="24"/>
              </w:rPr>
              <w:t>2个子项目通过政府批复；完成地下空间专项规划、综合交通规划、站城一体化城市设计3个子项目最终成果</w:t>
            </w:r>
          </w:p>
        </w:tc>
        <w:tc>
          <w:tcPr>
            <w:tcW w:type="dxa" w:w="1066"/>
            <w:tcBorders>
              <w:top w:val="none" w:color="000000" w:sz="4"/>
              <w:left w:val="single" w:color="000000" w:sz="4"/>
              <w:bottom w:val="single" w:color="000000" w:sz="4"/>
              <w:right w:val="single" w:color="000000" w:sz="4"/>
            </w:tcBorders>
            <w:vAlign w:val="top"/>
          </w:tcPr>
          <w:p>
            <w:pPr>
              <w:jc w:val="center"/>
            </w:pP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5</w:t>
            </w:r>
          </w:p>
        </w:tc>
        <w:tc>
          <w:tcPr>
            <w:tcW w:type="dxa" w:w="671"/>
            <w:tcBorders>
              <w:top w:val="none" w:color="000000" w:sz="4"/>
              <w:left w:val="single" w:color="000000" w:sz="4"/>
              <w:bottom w:val="single" w:color="000000" w:sz="4"/>
              <w:right w:val="single" w:color="000000" w:sz="4"/>
            </w:tcBorders>
            <w:vAlign w:val="top"/>
          </w:tcPr>
          <w:p>
            <w:pPr>
              <w:jc w:val="center"/>
            </w:pPr>
            <w:r>
              <w:rPr>
                <w:sz w:val="24"/>
              </w:rPr>
              <w:t>第五期</w:t>
            </w:r>
          </w:p>
        </w:tc>
        <w:tc>
          <w:tcPr>
            <w:tcW w:type="dxa" w:w="2211"/>
            <w:tcBorders>
              <w:top w:val="none" w:color="000000" w:sz="4"/>
              <w:left w:val="single" w:color="000000" w:sz="4"/>
              <w:bottom w:val="single" w:color="000000" w:sz="4"/>
              <w:right w:val="single" w:color="000000" w:sz="4"/>
            </w:tcBorders>
            <w:vAlign w:val="top"/>
          </w:tcPr>
          <w:p>
            <w:pPr>
              <w:jc w:val="both"/>
            </w:pPr>
            <w:r>
              <w:rPr>
                <w:sz w:val="24"/>
              </w:rPr>
              <w:t>项目最终成果经采购人或政府主管部门审批同意或专家评审通过并</w:t>
            </w:r>
            <w:r>
              <w:rPr>
                <w:sz w:val="24"/>
              </w:rPr>
              <w:t>按要求提供</w:t>
            </w:r>
            <w:r>
              <w:rPr>
                <w:sz w:val="24"/>
              </w:rPr>
              <w:t>项目相关后续技术服务且后续技术服务达</w:t>
            </w:r>
            <w:r>
              <w:rPr>
                <w:sz w:val="24"/>
              </w:rPr>
              <w:t>1年后</w:t>
            </w:r>
            <w:r>
              <w:rPr>
                <w:sz w:val="24"/>
              </w:rPr>
              <w:t>的</w:t>
            </w:r>
            <w:r>
              <w:rPr>
                <w:sz w:val="24"/>
              </w:rPr>
              <w:t>60个日历日内</w:t>
            </w:r>
          </w:p>
        </w:tc>
        <w:tc>
          <w:tcPr>
            <w:tcW w:type="dxa" w:w="803"/>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2870"/>
            <w:tcBorders>
              <w:top w:val="none" w:color="000000" w:sz="4"/>
              <w:left w:val="single" w:color="000000" w:sz="4"/>
              <w:bottom w:val="single" w:color="000000" w:sz="4"/>
              <w:right w:val="single" w:color="000000" w:sz="4"/>
            </w:tcBorders>
            <w:vAlign w:val="top"/>
          </w:tcPr>
          <w:p>
            <w:pPr>
              <w:jc w:val="center"/>
            </w:pPr>
            <w:r>
              <w:rPr>
                <w:sz w:val="24"/>
              </w:rPr>
              <w:t>结合广佛江珠城际广州芳村至江门段项目建设的变化情况，对相应成果须进行修改的技术服务</w:t>
            </w:r>
          </w:p>
        </w:tc>
        <w:tc>
          <w:tcPr>
            <w:tcW w:type="dxa" w:w="1066"/>
            <w:tcBorders>
              <w:top w:val="none" w:color="000000" w:sz="4"/>
              <w:left w:val="single" w:color="000000" w:sz="4"/>
              <w:bottom w:val="single" w:color="000000" w:sz="4"/>
              <w:right w:val="single" w:color="000000" w:sz="4"/>
            </w:tcBorders>
            <w:vAlign w:val="top"/>
          </w:tcPr>
          <w:p>
            <w:pPr>
              <w:jc w:val="center"/>
            </w:pPr>
          </w:p>
        </w:tc>
      </w:tr>
    </w:tbl>
    <w:p>
      <w:pPr>
        <w:ind w:firstLine="480"/>
        <w:jc w:val="both"/>
      </w:pPr>
      <w:r>
        <w:rPr>
          <w:sz w:val="24"/>
        </w:rPr>
        <w:t>备注：甲方根据乙方实际完成进度，配合项目阶段性工作确认文件（详见附件，格式由合同双方拟定）的签章。</w:t>
      </w:r>
    </w:p>
    <w:p>
      <w:pPr>
        <w:ind w:firstLine="482"/>
        <w:jc w:val="both"/>
      </w:pPr>
      <w:r>
        <w:rPr>
          <w:b/>
          <w:sz w:val="24"/>
        </w:rPr>
        <w:t>第十条成果要求</w:t>
      </w:r>
    </w:p>
    <w:p>
      <w:pPr>
        <w:ind w:firstLine="480"/>
        <w:jc w:val="both"/>
      </w:pPr>
      <w:r>
        <w:rPr>
          <w:sz w:val="24"/>
        </w:rPr>
        <w:t>10.1本项目最终成果包括全线土地开发策略研究、业态策划定位和规模预测研究、地块开发策略研究、全生命周期轨道投融资模式研究、产业资源导入和运营研究、TOD机制和政策研究、TOD控制性详细规划、地下空间专项规划、综合交通规划、土地利益平衡、站城一体化城市设计、</w:t>
      </w:r>
      <w:r>
        <w:rPr>
          <w:sz w:val="24"/>
        </w:rPr>
        <w:t>车站配套工程</w:t>
      </w:r>
      <w:r>
        <w:rPr>
          <w:sz w:val="24"/>
        </w:rPr>
        <w:t>可行性研究</w:t>
      </w:r>
      <w:r>
        <w:rPr>
          <w:sz w:val="24"/>
        </w:rPr>
        <w:t>12个子项目技术报告及相关图纸、汇报系统。</w:t>
      </w:r>
    </w:p>
    <w:p>
      <w:pPr>
        <w:ind w:firstLine="480"/>
        <w:jc w:val="both"/>
      </w:pPr>
      <w:r>
        <w:rPr>
          <w:sz w:val="24"/>
        </w:rPr>
        <w:t>10.2最终成果交付要求如下：</w:t>
      </w:r>
    </w:p>
    <w:p>
      <w:pPr>
        <w:ind w:firstLine="480"/>
        <w:jc w:val="both"/>
      </w:pPr>
      <w:r>
        <w:rPr>
          <w:sz w:val="24"/>
        </w:rPr>
        <w:t>（</w:t>
      </w:r>
      <w:r>
        <w:rPr>
          <w:sz w:val="24"/>
        </w:rPr>
        <w:t>1）成果深度要求：编制深度应达到控制性详细规划深度，可指导下层次规划编制或工程设计。</w:t>
      </w:r>
    </w:p>
    <w:p>
      <w:pPr>
        <w:ind w:firstLine="480"/>
        <w:jc w:val="both"/>
      </w:pPr>
      <w:r>
        <w:rPr>
          <w:sz w:val="24"/>
        </w:rPr>
        <w:t>（</w:t>
      </w:r>
      <w:r>
        <w:rPr>
          <w:sz w:val="24"/>
        </w:rPr>
        <w:t>2）成果形式和构成：项目总成果报告及1</w:t>
      </w:r>
      <w:r>
        <w:rPr>
          <w:sz w:val="24"/>
        </w:rPr>
        <w:t>2</w:t>
      </w:r>
      <w:r>
        <w:rPr>
          <w:sz w:val="24"/>
        </w:rPr>
        <w:t>个子项目成果文件，包括纸质报告</w:t>
      </w:r>
      <w:r>
        <w:rPr>
          <w:sz w:val="24"/>
        </w:rPr>
        <w:t>8份、电子版2份。。甲方因评审或报批需要合理增加成果份数的，乙方应及时无偿提供。</w:t>
      </w:r>
    </w:p>
    <w:p>
      <w:pPr>
        <w:ind w:firstLine="482"/>
        <w:jc w:val="both"/>
      </w:pPr>
      <w:r>
        <w:rPr>
          <w:b/>
          <w:sz w:val="24"/>
        </w:rPr>
        <w:t>第十一条成果验收</w:t>
      </w:r>
    </w:p>
    <w:p>
      <w:pPr>
        <w:ind w:firstLine="480"/>
        <w:jc w:val="both"/>
      </w:pPr>
      <w:r>
        <w:rPr>
          <w:sz w:val="24"/>
        </w:rPr>
        <w:t>11.1在合同履行过程中，必要时甲乙双方可以协商调整项目最终成果。甲方如需乙方增加交付成果的数量，应由双方协商解决。</w:t>
      </w:r>
    </w:p>
    <w:p>
      <w:pPr>
        <w:ind w:firstLine="480"/>
        <w:jc w:val="both"/>
      </w:pPr>
      <w:r>
        <w:rPr>
          <w:sz w:val="24"/>
        </w:rPr>
        <w:t>11.2成果验收合格的标准为：获得甲方或政府主管部门审查同意或者由甲方组织专家评审通过，乙方根据合同相关条款要求，提供完善的项目成果，以国家、省和市现行相关规范为验收标准。</w:t>
      </w:r>
    </w:p>
    <w:p>
      <w:pPr>
        <w:ind w:firstLine="480"/>
        <w:jc w:val="both"/>
      </w:pPr>
      <w:r>
        <w:rPr>
          <w:sz w:val="24"/>
        </w:rPr>
        <w:t>11.3 组织验收：由甲方组织验收，以专家评审或者内部审查形式，乙方根据采购人需要进行汇报并提交验收材料。</w:t>
      </w:r>
    </w:p>
    <w:p>
      <w:pPr>
        <w:ind w:firstLine="482"/>
        <w:jc w:val="both"/>
      </w:pPr>
      <w:r>
        <w:rPr>
          <w:b/>
          <w:sz w:val="24"/>
        </w:rPr>
        <w:t>第十二条权利和义务</w:t>
      </w:r>
    </w:p>
    <w:p>
      <w:pPr>
        <w:ind w:firstLine="480"/>
        <w:jc w:val="both"/>
      </w:pPr>
      <w:r>
        <w:rPr>
          <w:sz w:val="24"/>
        </w:rPr>
        <w:t>12.1甲方有权要求乙方按照合同约定内容交付项目成果。</w:t>
      </w:r>
    </w:p>
    <w:p>
      <w:pPr>
        <w:ind w:firstLine="480"/>
        <w:jc w:val="both"/>
      </w:pPr>
      <w:r>
        <w:rPr>
          <w:sz w:val="24"/>
        </w:rPr>
        <w:t>12.2乙方应按本合同约定的工作进度和质量标准向甲方交付成果。乙方应对其提交的成果质量负责。</w:t>
      </w:r>
    </w:p>
    <w:p>
      <w:pPr>
        <w:ind w:firstLine="480"/>
        <w:jc w:val="both"/>
      </w:pPr>
      <w:r>
        <w:rPr>
          <w:sz w:val="24"/>
        </w:rPr>
        <w:t>12.3乙方应保证本合同成果合法，不得损害任何第三人合法权益，包括但不限于第三人著作权、专利权、商标权等知识产权和其他合法权利。如发生第三人以知识产权侵权为由与甲方发生纠纷，乙方应当自行处理相关纠纷，并承担由此给甲方造成的损失。</w:t>
      </w:r>
    </w:p>
    <w:p>
      <w:pPr>
        <w:ind w:firstLine="482"/>
        <w:jc w:val="both"/>
      </w:pPr>
      <w:r>
        <w:rPr>
          <w:b/>
          <w:sz w:val="24"/>
        </w:rPr>
        <w:t>第十三条</w:t>
      </w:r>
      <w:r>
        <w:rPr>
          <w:b/>
          <w:sz w:val="24"/>
        </w:rPr>
        <w:t>成果权属</w:t>
      </w:r>
    </w:p>
    <w:p>
      <w:pPr>
        <w:ind w:firstLine="480"/>
        <w:jc w:val="both"/>
      </w:pPr>
      <w:r>
        <w:rPr>
          <w:sz w:val="24"/>
        </w:rPr>
        <w:t>13.1双方确定在本合同有效期内，甲方利用乙方的技术咨询工作成果完成的新的技术成果及知识产权归属甲方所有；乙方利用甲方提供的技术资料和工作条件完成的新的技术成果及知识产权归属双方所有。</w:t>
      </w:r>
    </w:p>
    <w:p>
      <w:pPr>
        <w:ind w:firstLine="480"/>
        <w:jc w:val="both"/>
      </w:pPr>
      <w:r>
        <w:rPr>
          <w:sz w:val="24"/>
        </w:rPr>
        <w:t>13.2乙方享有下列相关权利：利用本合同相关成果用于学术研究、撰写科研论文、参加规划评优（奖）、职称评定和宣传本单位工作成就、第三方侵权时主动维权等。</w:t>
      </w:r>
    </w:p>
    <w:p>
      <w:pPr>
        <w:ind w:firstLine="482"/>
        <w:jc w:val="both"/>
      </w:pPr>
      <w:r>
        <w:rPr>
          <w:b/>
          <w:sz w:val="24"/>
        </w:rPr>
        <w:t>第十四条保密条款</w:t>
      </w:r>
    </w:p>
    <w:p>
      <w:pPr>
        <w:ind w:firstLine="480"/>
        <w:jc w:val="both"/>
      </w:pPr>
      <w:r>
        <w:rPr>
          <w:sz w:val="24"/>
        </w:rPr>
        <w:t>14.1甲乙双方应遵守国家的有关保密规定，妥善保管对方提供的资料，保守对方的各项秘密，并保护对方的知识产权。</w:t>
      </w:r>
    </w:p>
    <w:p>
      <w:pPr>
        <w:ind w:firstLine="480"/>
        <w:jc w:val="both"/>
      </w:pPr>
      <w:r>
        <w:rPr>
          <w:sz w:val="24"/>
        </w:rPr>
        <w:t>14.2乙方须以保密方式处理双方直接或间接提供的任何资料，未经甲方同意，不得公开或向第三方透露任何有关项目的内容、成果，否则相关后果由乙方承担。</w:t>
      </w:r>
    </w:p>
    <w:p>
      <w:pPr>
        <w:ind w:firstLine="482"/>
        <w:jc w:val="both"/>
      </w:pPr>
      <w:r>
        <w:rPr>
          <w:b/>
          <w:sz w:val="24"/>
        </w:rPr>
        <w:t>第十五条合同违约责任</w:t>
      </w:r>
    </w:p>
    <w:p>
      <w:pPr>
        <w:ind w:firstLine="480"/>
        <w:jc w:val="both"/>
      </w:pPr>
      <w:r>
        <w:rPr>
          <w:sz w:val="24"/>
        </w:rPr>
        <w:t>15.1甲方违约责任</w:t>
      </w:r>
    </w:p>
    <w:p>
      <w:pPr>
        <w:ind w:firstLine="480"/>
        <w:jc w:val="both"/>
      </w:pPr>
      <w:r>
        <w:rPr>
          <w:sz w:val="24"/>
        </w:rPr>
        <w:t>乙方已完成阶段任务并提交完备的请款材料后，甲方未按本合同约定支付合同价款的，乙方有权要求甲方支付该阶段合同价款每日</w:t>
      </w:r>
      <w:r>
        <w:rPr>
          <w:sz w:val="24"/>
        </w:rPr>
        <w:t>0.5‰的逾期违约金，逾期违约金总额不超过合同总价款的10%，且乙方提交成果的时间相应顺延。逾期达到或超过30天以上时，乙方有权通知甲方解除合同。</w:t>
      </w:r>
    </w:p>
    <w:p>
      <w:pPr>
        <w:ind w:firstLine="480"/>
        <w:jc w:val="both"/>
      </w:pPr>
      <w:r>
        <w:rPr>
          <w:sz w:val="24"/>
        </w:rPr>
        <w:t>15.2乙方违约责任</w:t>
      </w:r>
    </w:p>
    <w:p>
      <w:pPr>
        <w:ind w:firstLine="480"/>
        <w:jc w:val="both"/>
      </w:pPr>
      <w:r>
        <w:rPr>
          <w:sz w:val="24"/>
        </w:rPr>
        <w:t>（</w:t>
      </w:r>
      <w:r>
        <w:rPr>
          <w:sz w:val="24"/>
        </w:rPr>
        <w:t>1）由于乙方工作的错误或遗漏造成本项目成果质量有瑕疵的，乙方应负责及时采取有效补救措施，并支付合同总价款10%的违约金。</w:t>
      </w:r>
    </w:p>
    <w:p>
      <w:pPr>
        <w:ind w:firstLine="480"/>
        <w:jc w:val="both"/>
      </w:pPr>
      <w:r>
        <w:rPr>
          <w:sz w:val="24"/>
        </w:rPr>
        <w:t>（</w:t>
      </w:r>
      <w:r>
        <w:rPr>
          <w:sz w:val="24"/>
        </w:rPr>
        <w:t>2）乙方未经甲方同意，擅自修改已经提交验收的成果文件的，给甲方造成重大损失的，应赔偿甲方合同总价款10 %的违约金。</w:t>
      </w:r>
    </w:p>
    <w:p>
      <w:pPr>
        <w:ind w:firstLine="480"/>
        <w:jc w:val="both"/>
      </w:pPr>
      <w:r>
        <w:rPr>
          <w:sz w:val="24"/>
        </w:rPr>
        <w:t>（</w:t>
      </w:r>
      <w:r>
        <w:rPr>
          <w:sz w:val="24"/>
        </w:rPr>
        <w:t>3）本合同履行期间，乙方未能按合同约定的日期（含协商延缓的日期）提交成果的，甲方有权要求乙方支付该阶段合同价款每日0.5‰的逾期违约金，逾期违约金总额不超过合同总价款的10%且甲方付款期限相应顺延。乙方累计逾期达到或超过30天以上时，甲方有权解除合同，拒绝支付剩余合同款且乙方应按合同金额的</w:t>
      </w:r>
      <w:r>
        <w:rPr>
          <w:sz w:val="24"/>
        </w:rPr>
        <w:t>10</w:t>
      </w:r>
      <w:r>
        <w:rPr>
          <w:sz w:val="24"/>
        </w:rPr>
        <w:t>%向甲方支付违约金。</w:t>
      </w:r>
    </w:p>
    <w:p>
      <w:pPr>
        <w:ind w:firstLine="480"/>
        <w:jc w:val="both"/>
      </w:pPr>
      <w:r>
        <w:rPr>
          <w:sz w:val="24"/>
        </w:rPr>
        <w:t>（</w:t>
      </w:r>
      <w:r>
        <w:rPr>
          <w:sz w:val="24"/>
        </w:rPr>
        <w:t>4）未经甲方同意，乙方擅自变更项目组主要成员，甲方有权责成乙方采取补救措施或调整项目组主要成员构成。</w:t>
      </w:r>
    </w:p>
    <w:p>
      <w:pPr>
        <w:ind w:firstLine="482"/>
        <w:jc w:val="both"/>
      </w:pPr>
      <w:r>
        <w:rPr>
          <w:b/>
          <w:sz w:val="24"/>
        </w:rPr>
        <w:t>第十六条合同解除和终止</w:t>
      </w:r>
    </w:p>
    <w:p>
      <w:pPr>
        <w:ind w:firstLine="480"/>
        <w:jc w:val="both"/>
      </w:pPr>
      <w:r>
        <w:rPr>
          <w:sz w:val="24"/>
        </w:rPr>
        <w:t>16.1本合同履行过程中出现不可抗力、项目终止的情形，合同双方中任何一方可以书面通知对方解除合同。</w:t>
      </w:r>
    </w:p>
    <w:p>
      <w:pPr>
        <w:ind w:firstLine="480"/>
        <w:jc w:val="both"/>
      </w:pPr>
      <w:r>
        <w:rPr>
          <w:sz w:val="24"/>
        </w:rPr>
        <w:t>16.2甲方应按乙方已经完成的工作量向乙方支付费用，乙方同时应将已完成的阶段性成果移交甲方。甲方根据履约过程中乙方实际完成的工作进度，配合项目阶段性工作确认文件的签章。</w:t>
      </w:r>
    </w:p>
    <w:p>
      <w:pPr>
        <w:ind w:firstLine="482"/>
        <w:jc w:val="both"/>
      </w:pPr>
      <w:r>
        <w:rPr>
          <w:b/>
          <w:sz w:val="24"/>
        </w:rPr>
        <w:t>第十七条</w:t>
      </w:r>
      <w:r>
        <w:rPr>
          <w:b/>
          <w:sz w:val="24"/>
        </w:rPr>
        <w:t>争议解决</w:t>
      </w:r>
    </w:p>
    <w:p>
      <w:pPr>
        <w:ind w:firstLine="480"/>
      </w:pPr>
      <w:r>
        <w:rPr>
          <w:sz w:val="24"/>
        </w:rPr>
        <w:t>17.1 本合同一切事宜适用中华人民共和国法律，并排除冲突法规则的适用。</w:t>
      </w:r>
    </w:p>
    <w:p>
      <w:pPr>
        <w:ind w:firstLine="480"/>
        <w:jc w:val="both"/>
      </w:pPr>
      <w:r>
        <w:rPr>
          <w:sz w:val="24"/>
        </w:rPr>
        <w:t>17.2 本合同履行期间，双方发生的争议，由双方当事人协商解决。协商不成的，向甲方所在地有管辖权人民法院提起诉讼。</w:t>
      </w:r>
    </w:p>
    <w:p>
      <w:pPr>
        <w:ind w:firstLine="482"/>
        <w:jc w:val="both"/>
      </w:pPr>
      <w:r>
        <w:rPr>
          <w:b/>
          <w:sz w:val="24"/>
        </w:rPr>
        <w:t>第十八条</w:t>
      </w:r>
      <w:r>
        <w:rPr>
          <w:b/>
          <w:sz w:val="24"/>
        </w:rPr>
        <w:t>不可抗力</w:t>
      </w:r>
    </w:p>
    <w:p>
      <w:pPr>
        <w:ind w:firstLine="480"/>
        <w:jc w:val="both"/>
      </w:pPr>
      <w:r>
        <w:rPr>
          <w:sz w:val="24"/>
        </w:rPr>
        <w:t>18.1</w:t>
      </w: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第十九条</w:t>
      </w:r>
      <w:r>
        <w:rPr>
          <w:b/>
          <w:sz w:val="24"/>
        </w:rPr>
        <w:t>税费</w:t>
      </w:r>
    </w:p>
    <w:p>
      <w:pPr>
        <w:ind w:firstLine="480"/>
        <w:jc w:val="both"/>
      </w:pPr>
      <w:r>
        <w:rPr>
          <w:sz w:val="24"/>
        </w:rPr>
        <w:t>在中国境内、外发生的与本合同执行有关的一切税费均由乙方负担。</w:t>
      </w:r>
    </w:p>
    <w:p>
      <w:pPr>
        <w:ind w:firstLine="482"/>
        <w:jc w:val="both"/>
      </w:pPr>
      <w:r>
        <w:rPr>
          <w:b/>
          <w:sz w:val="24"/>
        </w:rPr>
        <w:t>第二</w:t>
      </w:r>
      <w:r>
        <w:rPr>
          <w:b/>
          <w:sz w:val="24"/>
        </w:rPr>
        <w:t>十</w:t>
      </w:r>
      <w:r>
        <w:rPr>
          <w:b/>
          <w:sz w:val="24"/>
        </w:rPr>
        <w:t>条</w:t>
      </w:r>
      <w:r>
        <w:rPr>
          <w:b/>
          <w:sz w:val="24"/>
        </w:rPr>
        <w:t>其它</w:t>
      </w:r>
      <w:r>
        <w:rPr>
          <w:b/>
          <w:sz w:val="24"/>
        </w:rPr>
        <w:t>条款</w:t>
      </w:r>
    </w:p>
    <w:p>
      <w:pPr>
        <w:ind w:firstLine="480"/>
        <w:jc w:val="both"/>
      </w:pPr>
      <w:r>
        <w:rPr>
          <w:sz w:val="24"/>
        </w:rPr>
        <w:t>20.1</w:t>
      </w:r>
      <w:r>
        <w:rPr>
          <w:sz w:val="24"/>
        </w:rPr>
        <w:t>本合同所有附件、招标文件、投标文件、中标通知书均为合同的有效组成部分，与本合同具有同等法律效力。</w:t>
      </w:r>
    </w:p>
    <w:p>
      <w:pPr>
        <w:ind w:firstLine="480"/>
        <w:jc w:val="both"/>
      </w:pPr>
      <w:r>
        <w:rPr>
          <w:sz w:val="24"/>
        </w:rPr>
        <w:t>20.2</w:t>
      </w:r>
      <w:r>
        <w:rPr>
          <w:sz w:val="24"/>
        </w:rPr>
        <w:t>在执行本合同的过程中，所有经双方签署确认的文件（包括会议纪要、补充协议、往来信函）即成为本合同的有效组成部分。</w:t>
      </w:r>
    </w:p>
    <w:p>
      <w:pPr>
        <w:ind w:firstLine="480"/>
        <w:jc w:val="both"/>
      </w:pPr>
      <w:r>
        <w:rPr>
          <w:sz w:val="24"/>
        </w:rPr>
        <w:t>20.3</w:t>
      </w:r>
      <w:r>
        <w:rPr>
          <w:sz w:val="24"/>
        </w:rPr>
        <w:t>如一方地址、电话、传真号码有变更，应在变更当日内书面通知对方，否则，应承担相应责任。</w:t>
      </w:r>
    </w:p>
    <w:p>
      <w:pPr>
        <w:ind w:firstLine="480"/>
        <w:jc w:val="both"/>
      </w:pPr>
      <w:r>
        <w:rPr>
          <w:sz w:val="24"/>
        </w:rPr>
        <w:t>20.4</w:t>
      </w:r>
      <w:r>
        <w:rPr>
          <w:sz w:val="24"/>
        </w:rPr>
        <w:t>除甲方事先书面同意</w:t>
      </w:r>
      <w:r>
        <w:rPr>
          <w:sz w:val="24"/>
        </w:rPr>
        <w:t>或招标文件有约定</w:t>
      </w:r>
      <w:r>
        <w:rPr>
          <w:sz w:val="24"/>
        </w:rPr>
        <w:t>外，乙方不得部分或全部转让其应履行的合同项下的义务。</w:t>
      </w:r>
    </w:p>
    <w:p>
      <w:pPr>
        <w:ind w:firstLine="482"/>
        <w:jc w:val="both"/>
      </w:pPr>
      <w:r>
        <w:rPr>
          <w:b/>
          <w:sz w:val="24"/>
        </w:rPr>
        <w:t>第二十一条</w:t>
      </w:r>
      <w:r>
        <w:rPr>
          <w:b/>
          <w:sz w:val="24"/>
        </w:rPr>
        <w:t>合同生效</w:t>
      </w:r>
    </w:p>
    <w:p>
      <w:pPr>
        <w:ind w:firstLine="480"/>
        <w:jc w:val="both"/>
      </w:pPr>
      <w:r>
        <w:rPr>
          <w:sz w:val="24"/>
        </w:rPr>
        <w:t>21.1</w:t>
      </w:r>
      <w:r>
        <w:rPr>
          <w:sz w:val="24"/>
        </w:rPr>
        <w:t>本合同在甲乙双方法人代表或其授权代表签字盖章</w:t>
      </w:r>
      <w:r>
        <w:rPr>
          <w:sz w:val="24"/>
        </w:rPr>
        <w:t>（公章或合同专用章）</w:t>
      </w:r>
      <w:r>
        <w:rPr>
          <w:sz w:val="24"/>
        </w:rPr>
        <w:t>后生效</w:t>
      </w:r>
      <w:r>
        <w:rPr>
          <w:sz w:val="24"/>
        </w:rPr>
        <w:t>。</w:t>
      </w:r>
    </w:p>
    <w:p>
      <w:pPr>
        <w:ind w:firstLine="480"/>
        <w:jc w:val="both"/>
      </w:pPr>
      <w:r>
        <w:rPr>
          <w:sz w:val="24"/>
        </w:rPr>
        <w:t>21.2本合同一式捌份，甲方执肆份，乙方执肆份。</w:t>
      </w:r>
    </w:p>
    <w:p>
      <w:pPr>
        <w:ind w:firstLine="480"/>
        <w:jc w:val="both"/>
      </w:pPr>
      <w:r>
        <w:rPr>
          <w:sz w:val="24"/>
        </w:rPr>
        <w:t>（以下无正文）</w:t>
      </w:r>
    </w:p>
    <w:p>
      <w:pPr>
        <w:ind w:firstLine="480"/>
        <w:jc w:val="both"/>
      </w:pPr>
    </w:p>
    <w:p>
      <w:pPr>
        <w:ind w:firstLine="480"/>
        <w:jc w:val="both"/>
      </w:pPr>
    </w:p>
    <w:p>
      <w:pPr>
        <w:ind w:firstLine="482"/>
        <w:jc w:val="both"/>
      </w:pPr>
      <w:r>
        <w:rPr>
          <w:b/>
          <w:sz w:val="24"/>
        </w:rPr>
        <w:t>甲方（盖章）：</w:t>
      </w:r>
      <w:r>
        <w:rPr>
          <w:b/>
          <w:sz w:val="24"/>
        </w:rPr>
        <w:t xml:space="preserve">              </w:t>
      </w:r>
      <w:r>
        <w:rPr>
          <w:b/>
          <w:sz w:val="24"/>
        </w:rPr>
        <w:t>乙方（盖章）：</w:t>
      </w:r>
    </w:p>
    <w:p>
      <w:pPr>
        <w:ind w:firstLine="482"/>
        <w:jc w:val="both"/>
      </w:pPr>
      <w:r>
        <w:rPr>
          <w:b/>
          <w:sz w:val="24"/>
        </w:rPr>
        <w:t>代表：</w:t>
      </w:r>
      <w:r>
        <w:rPr>
          <w:b/>
          <w:sz w:val="24"/>
        </w:rPr>
        <w:t xml:space="preserve">              </w:t>
      </w:r>
      <w:r>
        <w:rPr>
          <w:b/>
          <w:sz w:val="21"/>
        </w:rPr>
        <w:t xml:space="preserve"> </w:t>
      </w:r>
      <w:r>
        <w:rPr>
          <w:b/>
          <w:sz w:val="24"/>
        </w:rPr>
        <w:t xml:space="preserve">       </w:t>
      </w:r>
      <w:r>
        <w:rPr>
          <w:b/>
          <w:sz w:val="24"/>
        </w:rPr>
        <w:t>代表：</w:t>
      </w:r>
    </w:p>
    <w:p>
      <w:pPr>
        <w:ind w:firstLine="480"/>
        <w:jc w:val="both"/>
      </w:pPr>
      <w:r>
        <w:rPr>
          <w:sz w:val="24"/>
        </w:rPr>
        <w:t>开户名称：</w:t>
      </w:r>
    </w:p>
    <w:p>
      <w:pPr>
        <w:ind w:firstLine="480"/>
        <w:jc w:val="both"/>
      </w:pPr>
      <w:r>
        <w:rPr>
          <w:sz w:val="24"/>
        </w:rPr>
        <w:t>银行帐号：</w:t>
      </w:r>
    </w:p>
    <w:p>
      <w:pPr>
        <w:ind w:firstLine="480"/>
        <w:jc w:val="both"/>
      </w:pPr>
      <w:r>
        <w:rPr>
          <w:sz w:val="24"/>
        </w:rPr>
        <w:t>开户行：</w:t>
      </w:r>
    </w:p>
    <w:p>
      <w:pPr>
        <w:ind w:firstLine="480"/>
        <w:jc w:val="both"/>
      </w:pPr>
      <w:r>
        <w:rPr>
          <w:sz w:val="24"/>
        </w:rPr>
        <w:t>签订地点：</w:t>
      </w:r>
    </w:p>
    <w:p>
      <w:pPr>
        <w:ind w:firstLine="480"/>
        <w:jc w:val="both"/>
      </w:pPr>
      <w:r>
        <w:rPr>
          <w:sz w:val="24"/>
        </w:rPr>
        <w:t>签订日期：　　　年　　月　　日</w:t>
      </w:r>
      <w:r>
        <w:rPr>
          <w:sz w:val="24"/>
        </w:rPr>
        <w:t>签订日期：　　　年　　月　　日</w:t>
      </w:r>
    </w:p>
    <w:p>
      <w:pPr>
        <w:ind w:firstLine="482"/>
        <w:jc w:val="both"/>
      </w:pPr>
    </w:p>
    <w:p>
      <w:pPr>
        <w:ind w:firstLine="482"/>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440701-2022-04868</w:t>
      </w:r>
    </w:p>
    <w:p>
      <w:pPr>
        <w:jc w:val="center"/>
      </w:pPr>
      <w:r>
        <w:rPr>
          <w:b/>
          <w:sz w:val="24"/>
        </w:rPr>
        <w:t>采购项目编号：</w:t>
      </w:r>
      <w:r>
        <w:rPr>
          <w:b/>
          <w:sz w:val="24"/>
        </w:rPr>
        <w:t>440701-2022-04868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江门市深联招标有限公司</w:t>
      </w:r>
    </w:p>
    <w:p>
      <w:pPr>
        <w:ind w:firstLine="480"/>
      </w:pPr>
      <w:r>
        <w:rPr/>
        <w:t>你方组织的</w:t>
      </w:r>
      <w:r>
        <w:rPr>
          <w:u w:val="single"/>
        </w:rPr>
        <w:t>“</w:t>
      </w:r>
      <w:r>
        <w:rPr>
          <w:u w:val="single"/>
        </w:rPr>
        <w:t>广佛江珠城际广州芳村至江门段项目江门境内站点综合开发及站城一体化规划设计项目</w:t>
      </w:r>
      <w:r>
        <w:rPr>
          <w:u w:val="single"/>
        </w:rPr>
        <w:t>”</w:t>
      </w:r>
      <w:r>
        <w:rPr/>
        <w:t>项目的招标[采购项目编号为：</w:t>
      </w:r>
      <w:r>
        <w:rPr>
          <w:u w:val="single"/>
        </w:rPr>
        <w:t>440701-2022-04868</w:t>
      </w:r>
      <w:r>
        <w:rPr/>
        <w:t>]，我方愿参与投标。</w:t>
      </w:r>
    </w:p>
    <w:p>
      <w:pPr>
        <w:ind w:firstLine="480"/>
      </w:pPr>
      <w:r>
        <w:rPr/>
        <w:t>我方确认收到贵方提供的</w:t>
      </w:r>
      <w:r>
        <w:rPr>
          <w:u w:val="single"/>
        </w:rPr>
        <w:t>“</w:t>
      </w:r>
      <w:r>
        <w:rPr>
          <w:u w:val="single"/>
        </w:rPr>
        <w:t>广佛江珠城际广州芳村至江门段项目江门境内站点综合开发及站城一体化规划设计项目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江门市深联招标有限公司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广佛江珠城际广州芳村至江门段项目江门境内站点综合开发及站城一体化规划设计项目</w:t>
      </w:r>
      <w:r>
        <w:rPr/>
        <w:t>”项目采购[采购项目编号为</w:t>
      </w:r>
      <w:r>
        <w:rPr/>
        <w:t>440701-2022-04868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江门市发展和改革局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江门市深联招标有限公司</w:t>
      </w:r>
    </w:p>
    <w:p>
      <w:pPr>
        <w:ind w:firstLine="480"/>
      </w:pPr>
      <w:r>
        <w:rPr/>
        <w:t>如果我方在贵采购代理机构组织的</w:t>
      </w:r>
      <w:r>
        <w:rPr/>
        <w:t>广佛江珠城际广州芳村至江门段项目江门境内站点综合开发及站城一体化规划设计项目</w:t>
      </w:r>
      <w:r>
        <w:rPr/>
        <w:t>招标中获中标（采购项目编号：</w:t>
      </w:r>
      <w:r>
        <w:rPr/>
        <w:t>440701-2022-04868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江门市深联招标有限公司</w:t>
      </w:r>
    </w:p>
    <w:p>
      <w:pPr>
        <w:ind w:firstLine="480"/>
      </w:pPr>
      <w:r>
        <w:rPr/>
        <w:t>我单位已登记并准备参与“</w:t>
      </w:r>
      <w:r>
        <w:rPr/>
        <w:t>广佛江珠城际广州芳村至江门段项目江门境内站点综合开发及站城一体化规划设计项目</w:t>
      </w:r>
      <w:r>
        <w:rPr/>
        <w:t>”项目（采购项目编号：</w:t>
      </w:r>
      <w:r>
        <w:rPr/>
        <w:t>440701-2022-04868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