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default" w:eastAsia="方正小标宋简体" w:cs="Times New Roman"/>
          <w:kern w:val="0"/>
          <w:sz w:val="44"/>
          <w:lang w:eastAsia="zh-CN"/>
        </w:rPr>
      </w:pPr>
      <w:r>
        <w:rPr>
          <w:rFonts w:hint="eastAsia" w:eastAsia="方正小标宋简体" w:cs="Times New Roman"/>
          <w:kern w:val="0"/>
          <w:sz w:val="44"/>
          <w:lang w:eastAsia="zh-CN"/>
        </w:rPr>
        <w:t>种畜禽生产经营许可</w:t>
      </w:r>
      <w:r>
        <w:rPr>
          <w:rFonts w:hint="default" w:ascii="Times New Roman" w:hAnsi="Times New Roman" w:eastAsia="方正小标宋简体" w:cs="Times New Roman"/>
          <w:kern w:val="0"/>
          <w:sz w:val="44"/>
        </w:rPr>
        <w:t>告知承诺书</w:t>
      </w:r>
      <w:r>
        <w:rPr>
          <w:rFonts w:hint="eastAsia" w:eastAsia="方正小标宋简体" w:cs="Times New Roman"/>
          <w:kern w:val="0"/>
          <w:sz w:val="44"/>
          <w:lang w:eastAsia="zh-CN"/>
        </w:rPr>
        <w:t>（样本）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cs="Times New Roman"/>
          <w:sz w:val="32"/>
          <w:lang w:eastAsia="zh-CN"/>
        </w:rPr>
      </w:pPr>
      <w:r>
        <w:rPr>
          <w:rFonts w:hint="eastAsia" w:cs="Times New Roman"/>
          <w:sz w:val="32"/>
          <w:lang w:eastAsia="zh-CN"/>
        </w:rPr>
        <w:t>（</w:t>
      </w:r>
      <w:r>
        <w:rPr>
          <w:rFonts w:hint="eastAsia" w:cs="Times New Roman"/>
          <w:sz w:val="32"/>
          <w:u w:val="single"/>
          <w:lang w:val="en-US" w:eastAsia="zh-CN"/>
        </w:rPr>
        <w:t xml:space="preserve">            </w:t>
      </w:r>
      <w:r>
        <w:rPr>
          <w:rFonts w:hint="eastAsia" w:cs="Times New Roman"/>
          <w:sz w:val="32"/>
          <w:u w:val="none"/>
          <w:lang w:val="en-US" w:eastAsia="zh-CN"/>
        </w:rPr>
        <w:t>场生产经营许可</w:t>
      </w:r>
      <w:r>
        <w:rPr>
          <w:rFonts w:hint="eastAsia" w:cs="Times New Roman"/>
          <w:sz w:val="32"/>
          <w:lang w:eastAsia="zh-CN"/>
        </w:rPr>
        <w:t>）</w:t>
      </w:r>
    </w:p>
    <w:p>
      <w:pPr>
        <w:jc w:val="center"/>
        <w:rPr>
          <w:rFonts w:hint="eastAsia" w:cs="Times New Roman"/>
          <w:sz w:val="32"/>
          <w:lang w:eastAsia="zh-CN"/>
        </w:rPr>
      </w:pPr>
    </w:p>
    <w:p>
      <w:pPr>
        <w:wordWrap w:val="0"/>
        <w:jc w:val="right"/>
        <w:rPr>
          <w:rFonts w:hint="eastAsia" w:cs="Times New Roman"/>
          <w:sz w:val="28"/>
          <w:szCs w:val="28"/>
          <w:lang w:eastAsia="zh-CN"/>
        </w:rPr>
      </w:pPr>
      <w:r>
        <w:rPr>
          <w:rFonts w:hint="eastAsia" w:cs="Times New Roman"/>
          <w:sz w:val="28"/>
          <w:szCs w:val="28"/>
          <w:lang w:eastAsia="zh-CN"/>
        </w:rPr>
        <w:t>粤（）</w:t>
      </w:r>
      <w:r>
        <w:rPr>
          <w:rFonts w:hint="eastAsia" w:cs="Times New Roman"/>
          <w:sz w:val="28"/>
          <w:szCs w:val="28"/>
          <w:u w:val="single"/>
          <w:lang w:val="en-US" w:eastAsia="zh-CN"/>
        </w:rPr>
        <w:t xml:space="preserve">   </w:t>
      </w:r>
      <w:r>
        <w:rPr>
          <w:rFonts w:hint="eastAsia" w:cs="Times New Roman"/>
          <w:sz w:val="28"/>
          <w:szCs w:val="28"/>
          <w:u w:val="none"/>
          <w:lang w:val="en-US" w:eastAsia="zh-CN"/>
        </w:rPr>
        <w:t>年（）号</w:t>
      </w:r>
    </w:p>
    <w:p>
      <w:pPr>
        <w:jc w:val="both"/>
        <w:rPr>
          <w:rFonts w:hint="default" w:ascii="Times New Roman" w:hAnsi="Times New Roman" w:eastAsia="仿宋_GB2312" w:cs="Times New Roman"/>
          <w:sz w:val="32"/>
        </w:rPr>
      </w:pPr>
    </w:p>
    <w:p>
      <w:pPr>
        <w:widowControl/>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r>
        <w:rPr>
          <w:rFonts w:hint="eastAsia" w:cs="Times New Roman"/>
          <w:kern w:val="0"/>
          <w:sz w:val="28"/>
          <w:u w:val="single"/>
          <w:lang w:val="en-US" w:eastAsia="zh-CN"/>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r>
        <w:rPr>
          <w:rFonts w:hint="eastAsia" w:cs="Times New Roman"/>
          <w:kern w:val="0"/>
          <w:sz w:val="28"/>
          <w:u w:val="none"/>
          <w:lang w:val="en-US" w:eastAsia="zh-CN"/>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r>
        <w:rPr>
          <w:rFonts w:hint="default" w:ascii="Times New Roman" w:hAnsi="Times New Roman" w:eastAsia="仿宋_GB2312" w:cs="Times New Roman"/>
          <w:kern w:val="0"/>
          <w:sz w:val="28"/>
          <w:u w:val="single"/>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r>
        <w:rPr>
          <w:rFonts w:hint="eastAsia" w:cs="Times New Roman"/>
          <w:kern w:val="0"/>
          <w:sz w:val="28"/>
          <w:u w:val="single"/>
          <w:lang w:val="en-US" w:eastAsia="zh-CN"/>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eastAsia" w:cs="Times New Roman"/>
          <w:kern w:val="0"/>
          <w:sz w:val="28"/>
          <w:u w:val="single"/>
          <w:lang w:val="en-US" w:eastAsia="zh-CN"/>
        </w:rPr>
        <w:t xml:space="preserve">    </w:t>
      </w:r>
      <w:r>
        <w:rPr>
          <w:rFonts w:hint="eastAsia" w:cs="Times New Roman"/>
          <w:kern w:val="0"/>
          <w:sz w:val="28"/>
          <w:u w:val="none"/>
          <w:lang w:val="en-US" w:eastAsia="zh-CN"/>
        </w:rPr>
        <w:t xml:space="preserve">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r>
        <w:rPr>
          <w:rFonts w:hint="default" w:ascii="Times New Roman" w:hAnsi="Times New Roman" w:eastAsia="仿宋_GB2312" w:cs="Times New Roman"/>
          <w:kern w:val="0"/>
          <w:sz w:val="28"/>
          <w:u w:val="single"/>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u w:val="single"/>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p>
    <w:p>
      <w:pPr>
        <w:widowControl/>
        <w:snapToGrid w:val="0"/>
        <w:spacing w:line="560" w:lineRule="exact"/>
        <w:ind w:firstLine="560" w:firstLineChars="200"/>
        <w:rPr>
          <w:rFonts w:hint="default" w:ascii="Times New Roman" w:hAnsi="Times New Roman" w:eastAsia="黑体" w:cs="Times New Roman"/>
          <w:kern w:val="0"/>
          <w:sz w:val="28"/>
          <w:u w:val="none"/>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xml:space="preserve">       </w:t>
      </w:r>
      <w:r>
        <w:rPr>
          <w:rFonts w:hint="eastAsia" w:eastAsia="黑体" w:cs="Times New Roman"/>
          <w:kern w:val="0"/>
          <w:sz w:val="28"/>
          <w:u w:val="single"/>
          <w:lang w:val="en-US" w:eastAsia="zh-CN"/>
        </w:rPr>
        <w:t xml:space="preserve">  </w:t>
      </w:r>
      <w:r>
        <w:rPr>
          <w:rFonts w:hint="default" w:ascii="Times New Roman" w:hAnsi="Times New Roman" w:eastAsia="黑体" w:cs="Times New Roman"/>
          <w:kern w:val="0"/>
          <w:sz w:val="28"/>
          <w:u w:val="single"/>
        </w:rPr>
        <w:t xml:space="preserve">     </w:t>
      </w:r>
      <w:r>
        <w:rPr>
          <w:rFonts w:hint="eastAsia" w:eastAsia="黑体" w:cs="Times New Roman"/>
          <w:kern w:val="0"/>
          <w:sz w:val="28"/>
          <w:u w:val="single"/>
          <w:lang w:val="en-US" w:eastAsia="zh-CN"/>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r>
        <w:rPr>
          <w:rFonts w:hint="default" w:ascii="Times New Roman" w:hAnsi="Times New Roman" w:eastAsia="仿宋_GB2312" w:cs="Times New Roman"/>
          <w:kern w:val="0"/>
          <w:sz w:val="28"/>
          <w:u w:val="single"/>
        </w:rPr>
        <w:t xml:space="preserve">    </w:t>
      </w:r>
      <w:r>
        <w:rPr>
          <w:rFonts w:hint="eastAsia" w:cs="Times New Roman"/>
          <w:kern w:val="0"/>
          <w:sz w:val="28"/>
          <w:u w:val="none"/>
          <w:lang w:val="en-US" w:eastAsia="zh-CN"/>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p>
    <w:p>
      <w:pPr>
        <w:widowControl/>
        <w:snapToGrid w:val="0"/>
        <w:spacing w:line="560" w:lineRule="exact"/>
        <w:ind w:firstLine="560" w:firstLineChars="200"/>
        <w:rPr>
          <w:rFonts w:hint="default" w:ascii="Times New Roman" w:hAnsi="Times New Roman" w:eastAsia="仿宋_GB2312" w:cs="Times New Roman"/>
          <w:kern w:val="0"/>
          <w:sz w:val="28"/>
          <w:u w:val="single"/>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xml:space="preserve">                 </w:t>
      </w:r>
      <w:r>
        <w:rPr>
          <w:rFonts w:hint="eastAsia" w:cs="Times New Roman"/>
          <w:kern w:val="0"/>
          <w:sz w:val="28"/>
          <w:u w:val="single"/>
          <w:lang w:val="en-US" w:eastAsia="zh-CN"/>
        </w:rPr>
        <w:t xml:space="preserve">       </w:t>
      </w:r>
    </w:p>
    <w:p>
      <w:pPr>
        <w:widowControl/>
        <w:snapToGrid w:val="0"/>
        <w:spacing w:line="560" w:lineRule="exact"/>
        <w:ind w:firstLine="560" w:firstLineChars="200"/>
        <w:rPr>
          <w:rFonts w:hint="eastAsia" w:eastAsia="宋体" w:cs="Times New Roman"/>
          <w:kern w:val="0"/>
          <w:sz w:val="28"/>
          <w:lang w:val="en-US" w:eastAsia="zh-CN"/>
        </w:rPr>
      </w:pPr>
      <w:r>
        <w:rPr>
          <w:rFonts w:hint="eastAsia" w:eastAsia="宋体" w:cs="Times New Roman"/>
          <w:kern w:val="0"/>
          <w:sz w:val="28"/>
          <w:lang w:val="en-US" w:eastAsia="zh-CN"/>
        </w:rPr>
        <w:t xml:space="preserve">  </w:t>
      </w:r>
    </w:p>
    <w:p>
      <w:pPr>
        <w:widowControl/>
        <w:snapToGrid w:val="0"/>
        <w:spacing w:line="560" w:lineRule="exact"/>
        <w:ind w:firstLine="560" w:firstLineChars="200"/>
        <w:rPr>
          <w:rFonts w:hint="eastAsia" w:eastAsia="宋体" w:cs="Times New Roman"/>
          <w:kern w:val="0"/>
          <w:sz w:val="28"/>
          <w:lang w:val="en-US" w:eastAsia="zh-CN"/>
        </w:rPr>
      </w:pPr>
    </w:p>
    <w:p>
      <w:pPr>
        <w:widowControl/>
        <w:snapToGrid w:val="0"/>
        <w:spacing w:line="560" w:lineRule="exact"/>
        <w:ind w:firstLine="560" w:firstLineChars="200"/>
        <w:rPr>
          <w:rFonts w:hint="eastAsia" w:eastAsia="宋体" w:cs="Times New Roman"/>
          <w:kern w:val="0"/>
          <w:sz w:val="28"/>
          <w:lang w:val="en-US" w:eastAsia="zh-CN"/>
        </w:rPr>
      </w:pPr>
    </w:p>
    <w:p>
      <w:pPr>
        <w:widowControl/>
        <w:snapToGrid w:val="0"/>
        <w:spacing w:line="560" w:lineRule="exact"/>
        <w:ind w:firstLine="1400" w:firstLineChars="5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8"/>
        </w:rPr>
        <w:t>行政审批机关：</w:t>
      </w:r>
      <w:r>
        <w:rPr>
          <w:rFonts w:hint="eastAsia" w:eastAsia="黑体" w:cs="Times New Roman"/>
          <w:kern w:val="0"/>
          <w:sz w:val="28"/>
          <w:lang w:val="en-US" w:eastAsia="zh-CN"/>
        </w:rPr>
        <w:t xml:space="preserve">        XXX农业农村局</w:t>
      </w:r>
    </w:p>
    <w:p>
      <w:pPr>
        <w:widowControl/>
        <w:jc w:val="left"/>
        <w:rPr>
          <w:rFonts w:hint="default" w:ascii="Times New Roman" w:hAnsi="Times New Roman" w:eastAsia="黑体" w:cs="Times New Roman"/>
          <w:kern w:val="0"/>
          <w:sz w:val="32"/>
        </w:rPr>
      </w:pPr>
    </w:p>
    <w:p>
      <w:pPr>
        <w:widowControl/>
        <w:jc w:val="center"/>
        <w:rPr>
          <w:rFonts w:hint="default" w:ascii="Times New Roman" w:hAnsi="Times New Roman" w:eastAsia="黑体" w:cs="Times New Roman"/>
          <w:kern w:val="0"/>
          <w:sz w:val="32"/>
        </w:rPr>
      </w:pPr>
    </w:p>
    <w:p>
      <w:pPr>
        <w:widowControl/>
        <w:jc w:val="center"/>
        <w:rPr>
          <w:rFonts w:hint="default" w:ascii="Times New Roman" w:hAnsi="Times New Roman" w:eastAsia="黑体" w:cs="Times New Roman"/>
          <w:kern w:val="0"/>
          <w:sz w:val="44"/>
          <w:szCs w:val="44"/>
        </w:rPr>
      </w:pPr>
      <w:r>
        <w:rPr>
          <w:rFonts w:hint="default" w:ascii="Times New Roman" w:hAnsi="Times New Roman" w:eastAsia="黑体" w:cs="Times New Roman"/>
          <w:kern w:val="0"/>
          <w:sz w:val="44"/>
          <w:szCs w:val="44"/>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w:t>
      </w:r>
      <w:r>
        <w:rPr>
          <w:rFonts w:hint="eastAsia" w:cs="Times New Roman"/>
          <w:kern w:val="0"/>
          <w:sz w:val="28"/>
          <w:lang w:eastAsia="zh-CN"/>
        </w:rPr>
        <w:t>广东省农业农村厅关于全面实行种畜禽生产经营许可告知承诺制工作的通知</w:t>
      </w:r>
      <w:r>
        <w:rPr>
          <w:rFonts w:hint="default" w:ascii="Times New Roman" w:hAnsi="Times New Roman" w:eastAsia="仿宋_GB2312" w:cs="Times New Roman"/>
          <w:kern w:val="0"/>
          <w:sz w:val="28"/>
        </w:rPr>
        <w:t>》，本行政审批机关就行政审批事项告知如下：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numPr>
          <w:ilvl w:val="0"/>
          <w:numId w:val="0"/>
        </w:numPr>
        <w:kinsoku/>
        <w:wordWrap/>
        <w:overflowPunct/>
        <w:topLinePunct w:val="0"/>
        <w:autoSpaceDE/>
        <w:autoSpaceDN/>
        <w:bidi w:val="0"/>
        <w:adjustRightInd/>
        <w:spacing w:before="0" w:beforeLines="0" w:after="0" w:afterLines="0" w:line="560" w:lineRule="exact"/>
        <w:ind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一）《中华人民共和国畜牧法》第二条：在中华人民共和国境内从事畜禽的遗传资源保护利用、繁育、饲养、经营、运输等活动，适用本法。本法所称畜禽，是指列入依照本法第十一条规定公布的畜禽遗传资源目录的畜禽。蜂、蚕的资源保护利用和生产经营，适用本法有关规定。</w:t>
      </w:r>
    </w:p>
    <w:p>
      <w:pPr>
        <w:keepNext w:val="0"/>
        <w:keepLines w:val="0"/>
        <w:pageBreakBefore w:val="0"/>
        <w:numPr>
          <w:ilvl w:val="0"/>
          <w:numId w:val="0"/>
        </w:numPr>
        <w:kinsoku/>
        <w:wordWrap/>
        <w:overflowPunct/>
        <w:topLinePunct w:val="0"/>
        <w:autoSpaceDE/>
        <w:autoSpaceDN/>
        <w:bidi w:val="0"/>
        <w:adjustRightInd/>
        <w:spacing w:before="0" w:beforeLines="0" w:after="0" w:afterLines="0" w:line="560" w:lineRule="exact"/>
        <w:ind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第二十二条：从事种畜禽生产经营或者生产商品代仔畜、雏禽的单位、个人，应当取得种畜禽生产经营许可证。申请人持种畜禽生产经营许可证依法办理工商登记，取得营业执照后，方可从事生产经营活动。</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第二十四条：申请取得生产家畜卵子、冷冻精液、胚胎等遗传材料的生产经营许可证，应当向省级人民政府畜牧兽医行政主管部门提出申请。受理申请的畜牧兽医行政主管部门应当自收到申请之日起三十个工作日内完成审核，并报国务院畜牧兽医行政主管部门审批；国务院畜牧兽医行政主管部门应当自收到申请之日起六十个工作日内依法决定是否发给生产经营许可证。其他种畜禽的生产经营许可证由县级以上地方人民政府畜牧兽医行政主管部门审核发放，具体审核发放办法由省级人民政府规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二）《家畜遗传材料生产许可办法》（农业部令2010年第5号公布，2015年第3号修订）第三条：从事家畜遗传材料生产的单位和个人，应当依照本办法取得省级人民政府畜牧兽医行政主管部门核发的《种畜禽生产经营许可证》。</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val="en-US" w:eastAsia="zh-CN"/>
        </w:rPr>
      </w:pPr>
      <w:r>
        <w:rPr>
          <w:rFonts w:hint="eastAsia" w:cs="Times New Roman"/>
          <w:kern w:val="0"/>
          <w:sz w:val="28"/>
          <w:lang w:val="en-US" w:eastAsia="zh-CN"/>
        </w:rPr>
        <w:t>（三）《广东省农业农村厅种畜禽生产经营许可证发放和畜禽养殖备案办法》（粤农农规[2019]10号）第八条：原种、祖代种禽场和原种畜场、种畜扩繁场的种畜禽生产经营许可证，由地级以上市农业农村行政主管部门审核决定并发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val="en-US" w:eastAsia="zh-CN"/>
        </w:rPr>
      </w:pPr>
      <w:r>
        <w:rPr>
          <w:rFonts w:hint="eastAsia" w:cs="Times New Roman"/>
          <w:kern w:val="0"/>
          <w:sz w:val="28"/>
          <w:lang w:val="en-US" w:eastAsia="zh-CN"/>
        </w:rPr>
        <w:t>第九条：商品代仔畜生产场、商品代雏禽生产场（含父母代种禽场、禽蛋孵化场）的种畜禽生产经营许可证，由县级农业农村行政主管部门审核决定并发放。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val="en-US" w:eastAsia="zh-CN"/>
        </w:rPr>
      </w:pPr>
      <w:r>
        <w:rPr>
          <w:rFonts w:hint="eastAsia" w:cs="Times New Roman"/>
          <w:kern w:val="0"/>
          <w:sz w:val="28"/>
          <w:lang w:val="en-US" w:eastAsia="zh-CN"/>
        </w:rPr>
        <w:t>第十二条：种蜂生产经营单位和个人的种畜禽生产经营许可证发放适用本章规定，由地级以上市农业农村行政主管部门审核决定。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（一）生产经营的种畜禽必须是通过国家畜禽遗传资源委员会审定或者鉴定的品种、配套系，或者是经批准引进的境外品种、配套系；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（二）有与生产经营规模相适应的畜牧兽医技术人员；</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（三）有与生产经营规模相适应的繁育设施设备；</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（四）具备法律、行政法规和国务院畜牧兽医行政主管部门规定的种畜禽防疫条件；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（五）有完善的质量管理和育种记录制度；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（六）</w:t>
      </w:r>
      <w:r>
        <w:rPr>
          <w:rFonts w:hint="eastAsia" w:cs="Times New Roman"/>
          <w:kern w:val="0"/>
          <w:sz w:val="28"/>
          <w:lang w:eastAsia="zh-CN"/>
        </w:rPr>
        <w:t>具有与所申请</w:t>
      </w:r>
      <w:r>
        <w:rPr>
          <w:rFonts w:hint="eastAsia" w:cs="Times New Roman"/>
          <w:kern w:val="0"/>
          <w:sz w:val="28"/>
          <w:u w:val="single"/>
          <w:lang w:val="en-US" w:eastAsia="zh-CN"/>
        </w:rPr>
        <w:t xml:space="preserve">  (种畜禽场类别)   </w:t>
      </w:r>
      <w:r>
        <w:rPr>
          <w:rFonts w:hint="eastAsia" w:cs="Times New Roman"/>
          <w:kern w:val="0"/>
          <w:sz w:val="28"/>
          <w:lang w:eastAsia="zh-CN"/>
        </w:rPr>
        <w:t>场相符的各类条件，具体标准对照广东省农业农村厅《关于印发</w:t>
      </w:r>
      <w:r>
        <w:rPr>
          <w:rFonts w:hint="eastAsia" w:cs="Times New Roman"/>
          <w:kern w:val="0"/>
          <w:sz w:val="28"/>
          <w:lang w:val="en-US" w:eastAsia="zh-CN"/>
        </w:rPr>
        <w:t>&lt;广东省种畜禽生产经营许可证审核标准&gt;的通知</w:t>
      </w:r>
      <w:r>
        <w:rPr>
          <w:rFonts w:hint="eastAsia" w:cs="Times New Roman"/>
          <w:kern w:val="0"/>
          <w:sz w:val="28"/>
          <w:lang w:eastAsia="zh-CN"/>
        </w:rPr>
        <w:t>》</w:t>
      </w:r>
      <w:r>
        <w:rPr>
          <w:rFonts w:hint="eastAsia" w:cs="Times New Roman"/>
          <w:kern w:val="0"/>
          <w:sz w:val="28"/>
          <w:lang w:val="en-US" w:eastAsia="zh-CN"/>
        </w:rPr>
        <w:t>(粤农农函﹝2021﹞87号)中</w:t>
      </w:r>
      <w:r>
        <w:rPr>
          <w:rFonts w:hint="eastAsia" w:cs="Times New Roman"/>
          <w:kern w:val="0"/>
          <w:sz w:val="28"/>
          <w:lang w:eastAsia="zh-CN"/>
        </w:rPr>
        <w:t>所对应</w:t>
      </w:r>
      <w:r>
        <w:rPr>
          <w:rFonts w:hint="eastAsia" w:cs="Times New Roman"/>
          <w:kern w:val="0"/>
          <w:sz w:val="28"/>
          <w:u w:val="single"/>
          <w:lang w:val="en-US" w:eastAsia="zh-CN"/>
        </w:rPr>
        <w:t xml:space="preserve">  (种畜禽场类别)  </w:t>
      </w:r>
      <w:r>
        <w:rPr>
          <w:rFonts w:hint="eastAsia" w:cs="Times New Roman"/>
          <w:kern w:val="0"/>
          <w:sz w:val="28"/>
          <w:lang w:eastAsia="zh-CN"/>
        </w:rPr>
        <w:t>场现场审核验收表验收标准。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（一）种畜禽生产经营许可证申请表；</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（二）种畜禽品种来源材料（复印件）；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val="en-US" w:eastAsia="zh-CN"/>
        </w:rPr>
      </w:pPr>
      <w:r>
        <w:rPr>
          <w:rFonts w:hint="eastAsia" w:cs="Times New Roman"/>
          <w:kern w:val="0"/>
          <w:sz w:val="28"/>
          <w:lang w:eastAsia="zh-CN"/>
        </w:rPr>
        <w:t>（三）质量管理和育种记录制度；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（四）种畜禽场平面图、污粪处理利用图；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（五）畜牧兽医技术人员学历材料或资格材料（复印件）；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eastAsia" w:cs="Times New Roman"/>
          <w:kern w:val="0"/>
          <w:sz w:val="28"/>
          <w:lang w:eastAsia="zh-CN"/>
        </w:rPr>
      </w:pPr>
      <w:r>
        <w:rPr>
          <w:rFonts w:hint="eastAsia" w:cs="Times New Roman"/>
          <w:kern w:val="0"/>
          <w:sz w:val="28"/>
          <w:lang w:eastAsia="zh-CN"/>
        </w:rPr>
        <w:t>（六）动物防疫条件合格证（复印件）。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eastAsia" w:cs="Times New Roman"/>
          <w:color w:val="000000"/>
          <w:kern w:val="0"/>
          <w:sz w:val="28"/>
          <w:lang w:eastAsia="zh-CN"/>
        </w:rPr>
        <w:t>（</w:t>
      </w:r>
      <w:r>
        <w:rPr>
          <w:rFonts w:hint="eastAsia" w:cs="Times New Roman"/>
          <w:color w:val="000000"/>
          <w:kern w:val="0"/>
          <w:sz w:val="28"/>
          <w:lang w:val="en-US" w:eastAsia="zh-CN"/>
        </w:rPr>
        <w:t>1</w:t>
      </w:r>
      <w:r>
        <w:rPr>
          <w:rFonts w:hint="eastAsia" w:cs="Times New Roman"/>
          <w:color w:val="000000"/>
          <w:kern w:val="0"/>
          <w:sz w:val="28"/>
          <w:lang w:eastAsia="zh-CN"/>
        </w:rPr>
        <w:t>）</w:t>
      </w: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r>
        <w:rPr>
          <w:rFonts w:hint="eastAsia" w:cs="Times New Roman"/>
          <w:color w:val="000000"/>
          <w:kern w:val="0"/>
          <w:sz w:val="28"/>
          <w:lang w:eastAsia="zh-CN"/>
        </w:rPr>
        <w:t>；</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eastAsia" w:cs="Times New Roman"/>
          <w:color w:val="000000"/>
          <w:kern w:val="0"/>
          <w:sz w:val="28"/>
          <w:lang w:eastAsia="zh-CN"/>
        </w:rPr>
        <w:t>（</w:t>
      </w:r>
      <w:r>
        <w:rPr>
          <w:rFonts w:hint="eastAsia" w:cs="Times New Roman"/>
          <w:color w:val="000000"/>
          <w:kern w:val="0"/>
          <w:sz w:val="28"/>
          <w:lang w:val="en-US" w:eastAsia="zh-CN"/>
        </w:rPr>
        <w:t>2</w:t>
      </w:r>
      <w:r>
        <w:rPr>
          <w:rFonts w:hint="eastAsia" w:cs="Times New Roman"/>
          <w:color w:val="000000"/>
          <w:kern w:val="0"/>
          <w:sz w:val="28"/>
          <w:lang w:eastAsia="zh-CN"/>
        </w:rPr>
        <w:t>）</w:t>
      </w: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r>
        <w:rPr>
          <w:rFonts w:hint="eastAsia" w:cs="Times New Roman"/>
          <w:color w:val="000000"/>
          <w:kern w:val="0"/>
          <w:sz w:val="28"/>
          <w:lang w:eastAsia="zh-CN"/>
        </w:rPr>
        <w:t>、</w:t>
      </w: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eastAsia="仿宋_GB2312"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eastAsia="仿宋_GB2312"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eastAsia="仿宋_GB2312"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eastAsia="仿宋_GB2312"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w:t>
      </w:r>
      <w:bookmarkStart w:id="0" w:name="_GoBack"/>
      <w:bookmarkEnd w:id="0"/>
      <w:r>
        <w:rPr>
          <w:rFonts w:hint="default" w:ascii="Times New Roman" w:hAnsi="Times New Roman" w:eastAsia="仿宋_GB2312" w:cs="Times New Roman"/>
          <w:kern w:val="0"/>
          <w:sz w:val="28"/>
        </w:rPr>
        <w:t>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both"/>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44"/>
          <w:szCs w:val="44"/>
        </w:rPr>
      </w:pPr>
      <w:r>
        <w:rPr>
          <w:rFonts w:hint="default" w:ascii="Times New Roman" w:hAnsi="Times New Roman" w:eastAsia="黑体" w:cs="Times New Roman"/>
          <w:color w:val="000000"/>
          <w:kern w:val="0"/>
          <w:sz w:val="44"/>
          <w:szCs w:val="44"/>
        </w:rPr>
        <w:t>申请人的承诺</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280"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70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560" w:leftChars="0" w:right="0" w:rightChars="0" w:hanging="560"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jc w:val="right"/>
        <w:textAlignment w:val="auto"/>
        <w:outlineLvl w:val="9"/>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sectPr>
      <w:pgSz w:w="11906" w:h="16838"/>
      <w:pgMar w:top="2041" w:right="1531" w:bottom="2041" w:left="1531"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D33B5"/>
    <w:rsid w:val="191B6207"/>
    <w:rsid w:val="25FC26AF"/>
    <w:rsid w:val="689D10DD"/>
    <w:rsid w:val="6CAF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360" w:lineRule="auto"/>
      <w:ind w:left="100" w:firstLine="380"/>
    </w:pPr>
    <w:rPr>
      <w:rFonts w:hint="eastAsia" w:ascii="Times New Roman" w:hAnsi="Times New Roman" w:eastAsia="宋体"/>
    </w:rPr>
  </w:style>
  <w:style w:type="paragraph" w:customStyle="1" w:styleId="5">
    <w:name w:val="List Paragraph"/>
    <w:basedOn w:val="1"/>
    <w:qFormat/>
    <w:uiPriority w:val="0"/>
    <w:pPr>
      <w:ind w:firstLine="420" w:firstLineChars="200"/>
    </w:pPr>
    <w:rPr>
      <w:rFonts w:hint="eastAsi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NYNCT</cp:lastModifiedBy>
  <dcterms:modified xsi:type="dcterms:W3CDTF">2021-11-05T03:20:40Z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