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公文小标宋" w:eastAsia="方正小标宋_GBK" w:cs="方正公文小标宋"/>
          <w:sz w:val="44"/>
          <w:szCs w:val="44"/>
          <w:highlight w:val="none"/>
          <w:shd w:val="clear" w:color="auto" w:fill="FFFFFF"/>
        </w:rPr>
      </w:pPr>
      <w:r>
        <w:rPr>
          <w:rFonts w:hint="eastAsia" w:ascii="方正小标宋_GBK" w:hAnsi="方正公文小标宋" w:eastAsia="方正小标宋_GBK" w:cs="方正公文小标宋"/>
          <w:sz w:val="44"/>
          <w:szCs w:val="44"/>
          <w:highlight w:val="none"/>
          <w:shd w:val="clear" w:color="auto" w:fill="FFFFFF"/>
        </w:rPr>
        <w:t>关于良之隆·2023第十一届中国食材电商节江门展区设计方案及搭建项目的评审方案</w:t>
      </w:r>
    </w:p>
    <w:p>
      <w:pPr>
        <w:keepNext w:val="0"/>
        <w:keepLines w:val="0"/>
        <w:pageBreakBefore w:val="0"/>
        <w:widowControl w:val="0"/>
        <w:kinsoku/>
        <w:wordWrap/>
        <w:overflowPunct/>
        <w:topLinePunct w:val="0"/>
        <w:autoSpaceDE/>
        <w:autoSpaceDN/>
        <w:bidi w:val="0"/>
        <w:adjustRightInd/>
        <w:snapToGrid/>
        <w:spacing w:before="313" w:beforeLines="100"/>
        <w:ind w:firstLine="643" w:firstLineChars="20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一、评审小组</w:t>
      </w:r>
    </w:p>
    <w:p>
      <w:pPr>
        <w:tabs>
          <w:tab w:val="left" w:pos="714"/>
        </w:tabs>
        <w:spacing w:line="360" w:lineRule="auto"/>
        <w:ind w:firstLine="627" w:firstLineChars="196"/>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采购需求科室组织由局相关业务科室专业人员组成 3 名或以上（以单数为准）的评审小组对供应商提交的响应文件进行评审。</w:t>
      </w:r>
    </w:p>
    <w:p>
      <w:pPr>
        <w:tabs>
          <w:tab w:val="left" w:pos="714"/>
        </w:tabs>
        <w:spacing w:line="360" w:lineRule="auto"/>
        <w:ind w:firstLine="630" w:firstLineChars="196"/>
        <w:rPr>
          <w:rFonts w:ascii="仿宋_GB2312" w:eastAsia="仿宋_GB2312"/>
          <w:b/>
          <w:sz w:val="32"/>
          <w:szCs w:val="32"/>
          <w:highlight w:val="none"/>
        </w:rPr>
      </w:pPr>
      <w:r>
        <w:rPr>
          <w:rFonts w:hint="eastAsia" w:ascii="仿宋_GB2312" w:eastAsia="仿宋_GB2312"/>
          <w:b/>
          <w:sz w:val="32"/>
          <w:szCs w:val="32"/>
          <w:highlight w:val="none"/>
        </w:rPr>
        <w:t>二、评审方法</w:t>
      </w:r>
    </w:p>
    <w:p>
      <w:pPr>
        <w:pStyle w:val="6"/>
        <w:tabs>
          <w:tab w:val="left" w:pos="540"/>
          <w:tab w:val="left" w:pos="720"/>
        </w:tabs>
        <w:adjustRightInd w:val="0"/>
        <w:snapToGrid w:val="0"/>
        <w:spacing w:line="360" w:lineRule="auto"/>
        <w:ind w:left="2" w:leftChars="1"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投标家数达到</w:t>
      </w:r>
      <w:r>
        <w:rPr>
          <w:rFonts w:hint="eastAsia" w:ascii="仿宋_GB2312" w:hAnsi="仿宋_GB2312" w:eastAsia="仿宋_GB2312" w:cs="仿宋_GB2312"/>
          <w:sz w:val="32"/>
          <w:szCs w:val="32"/>
          <w:highlight w:val="none"/>
          <w:lang w:val="en-US" w:eastAsia="zh-CN"/>
        </w:rPr>
        <w:t>3家（包含及以上）即可开标评审。</w:t>
      </w:r>
    </w:p>
    <w:p>
      <w:pPr>
        <w:pStyle w:val="6"/>
        <w:tabs>
          <w:tab w:val="left" w:pos="540"/>
          <w:tab w:val="left" w:pos="720"/>
        </w:tabs>
        <w:adjustRightInd w:val="0"/>
        <w:snapToGrid w:val="0"/>
        <w:spacing w:line="360" w:lineRule="auto"/>
        <w:ind w:left="2" w:leftChars="1"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评审小组对供应商提交的响应文件进行公开唱标（评审过程中只有两家符合资格条件的可以继续进行），给予不少二次的报价，通过综合评分标准评审，评审小组出具评审报告，报分管业务局领导确认，综合评分最高的成为成交供应商。</w:t>
      </w:r>
    </w:p>
    <w:p>
      <w:pPr>
        <w:pStyle w:val="6"/>
        <w:tabs>
          <w:tab w:val="left" w:pos="540"/>
          <w:tab w:val="left" w:pos="720"/>
        </w:tabs>
        <w:adjustRightInd w:val="0"/>
        <w:snapToGrid w:val="0"/>
        <w:spacing w:line="360" w:lineRule="auto"/>
        <w:ind w:left="2" w:leftChars="1"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评审小组对各供应商材料进行资格性审查和评审，评审采用综合评分法，即对通过资格审核的供应商的各项评审因素、价格进行评审、比较，并量化打分，最后根据各项得分之和，计算出综合得分，以得分最高的单位为项目承担方(综合得分相同，以价格评估得分高的优先，结果报局党组审批)。</w:t>
      </w:r>
    </w:p>
    <w:p>
      <w:pPr>
        <w:tabs>
          <w:tab w:val="left" w:pos="714"/>
        </w:tabs>
        <w:spacing w:line="360" w:lineRule="auto"/>
        <w:ind w:firstLine="630" w:firstLineChars="196"/>
        <w:rPr>
          <w:rFonts w:ascii="仿宋_GB2312" w:eastAsia="仿宋_GB2312"/>
          <w:b/>
          <w:sz w:val="32"/>
          <w:szCs w:val="32"/>
          <w:highlight w:val="none"/>
        </w:rPr>
      </w:pPr>
      <w:r>
        <w:rPr>
          <w:rFonts w:hint="eastAsia" w:ascii="仿宋_GB2312" w:eastAsia="仿宋_GB2312"/>
          <w:b/>
          <w:sz w:val="32"/>
          <w:szCs w:val="32"/>
          <w:highlight w:val="none"/>
        </w:rPr>
        <w:t>三、评审步骤</w:t>
      </w:r>
    </w:p>
    <w:p>
      <w:pPr>
        <w:pStyle w:val="2"/>
        <w:adjustRightInd w:val="0"/>
        <w:snapToGrid w:val="0"/>
        <w:ind w:firstLine="627" w:firstLineChars="196"/>
        <w:rPr>
          <w:rFonts w:ascii="仿宋_GB2312" w:hAnsi="仿宋" w:eastAsia="仿宋_GB2312"/>
          <w:sz w:val="32"/>
          <w:szCs w:val="32"/>
          <w:highlight w:val="none"/>
        </w:rPr>
      </w:pPr>
      <w:r>
        <w:rPr>
          <w:rFonts w:hint="eastAsia" w:ascii="仿宋_GB2312" w:hAnsi="仿宋" w:eastAsia="仿宋_GB2312"/>
          <w:sz w:val="32"/>
          <w:szCs w:val="32"/>
          <w:highlight w:val="none"/>
        </w:rPr>
        <w:t xml:space="preserve">评审小组对申报资料的评审分为初审、比较与评价： </w:t>
      </w:r>
    </w:p>
    <w:p>
      <w:pPr>
        <w:pStyle w:val="2"/>
        <w:adjustRightInd w:val="0"/>
        <w:snapToGrid w:val="0"/>
        <w:ind w:firstLine="560"/>
        <w:rPr>
          <w:rFonts w:ascii="仿宋_GB2312" w:hAnsi="仿宋" w:eastAsia="仿宋_GB2312"/>
          <w:sz w:val="32"/>
          <w:szCs w:val="32"/>
          <w:highlight w:val="none"/>
        </w:rPr>
      </w:pPr>
      <w:r>
        <w:rPr>
          <w:rFonts w:hint="eastAsia" w:ascii="仿宋_GB2312" w:hAnsi="仿宋" w:eastAsia="仿宋_GB2312"/>
          <w:sz w:val="32"/>
          <w:szCs w:val="32"/>
          <w:highlight w:val="none"/>
        </w:rPr>
        <w:t>（一）初审</w:t>
      </w:r>
    </w:p>
    <w:p>
      <w:pPr>
        <w:pStyle w:val="2"/>
        <w:adjustRightInd w:val="0"/>
        <w:snapToGrid w:val="0"/>
        <w:ind w:firstLine="560"/>
        <w:rPr>
          <w:rFonts w:ascii="仿宋_GB2312" w:hAnsi="仿宋" w:eastAsia="仿宋_GB2312"/>
          <w:sz w:val="32"/>
          <w:szCs w:val="32"/>
          <w:highlight w:val="none"/>
        </w:rPr>
      </w:pPr>
      <w:r>
        <w:rPr>
          <w:rFonts w:hint="eastAsia" w:ascii="仿宋_GB2312" w:hAnsi="仿宋" w:eastAsia="仿宋_GB2312"/>
          <w:sz w:val="32"/>
          <w:szCs w:val="32"/>
          <w:highlight w:val="none"/>
        </w:rPr>
        <w:t>资格性检查（见</w:t>
      </w:r>
      <w:r>
        <w:rPr>
          <w:rFonts w:hint="eastAsia" w:ascii="仿宋_GB2312" w:hAnsi="仿宋" w:eastAsia="仿宋_GB2312"/>
          <w:sz w:val="32"/>
          <w:szCs w:val="32"/>
          <w:highlight w:val="none"/>
          <w:lang w:eastAsia="zh-CN"/>
        </w:rPr>
        <w:t>附件</w:t>
      </w:r>
      <w:r>
        <w:rPr>
          <w:rFonts w:hint="eastAsia" w:ascii="仿宋_GB2312" w:hAnsi="仿宋" w:eastAsia="仿宋_GB2312"/>
          <w:sz w:val="32"/>
          <w:szCs w:val="32"/>
          <w:highlight w:val="none"/>
        </w:rPr>
        <w:t>1），审查内容详见资格性审查表，只有通过初审才能进入评审环节。</w:t>
      </w:r>
    </w:p>
    <w:p>
      <w:pPr>
        <w:pStyle w:val="2"/>
        <w:numPr>
          <w:ilvl w:val="0"/>
          <w:numId w:val="1"/>
        </w:numPr>
        <w:adjustRightInd w:val="0"/>
        <w:snapToGrid w:val="0"/>
        <w:rPr>
          <w:rFonts w:ascii="仿宋_GB2312" w:hAnsi="仿宋" w:eastAsia="仿宋_GB2312"/>
          <w:sz w:val="32"/>
          <w:szCs w:val="32"/>
          <w:highlight w:val="none"/>
        </w:rPr>
      </w:pPr>
      <w:r>
        <w:rPr>
          <w:rFonts w:hint="eastAsia" w:ascii="仿宋_GB2312" w:hAnsi="仿宋" w:eastAsia="仿宋_GB2312"/>
          <w:sz w:val="32"/>
          <w:szCs w:val="32"/>
          <w:highlight w:val="none"/>
        </w:rPr>
        <w:t>比较与评价</w:t>
      </w:r>
    </w:p>
    <w:p>
      <w:pPr>
        <w:pStyle w:val="2"/>
        <w:tabs>
          <w:tab w:val="left" w:pos="920"/>
          <w:tab w:val="left" w:pos="1080"/>
        </w:tabs>
        <w:adjustRightInd w:val="0"/>
        <w:snapToGrid w:val="0"/>
        <w:ind w:left="561" w:leftChars="267" w:firstLine="160" w:firstLineChars="50"/>
        <w:rPr>
          <w:rFonts w:ascii="仿宋_GB2312" w:hAnsi="仿宋" w:eastAsia="仿宋_GB2312"/>
          <w:sz w:val="32"/>
          <w:szCs w:val="32"/>
          <w:highlight w:val="none"/>
        </w:rPr>
      </w:pPr>
      <w:r>
        <w:rPr>
          <w:rFonts w:hint="eastAsia" w:ascii="仿宋_GB2312" w:hAnsi="仿宋" w:eastAsia="仿宋_GB2312"/>
          <w:sz w:val="32"/>
          <w:szCs w:val="32"/>
          <w:highlight w:val="none"/>
        </w:rPr>
        <w:t>1、评价</w:t>
      </w:r>
    </w:p>
    <w:p>
      <w:pPr>
        <w:pStyle w:val="2"/>
        <w:tabs>
          <w:tab w:val="left" w:pos="1080"/>
        </w:tabs>
        <w:adjustRightInd w:val="0"/>
        <w:snapToGrid w:val="0"/>
        <w:ind w:firstLine="640" w:firstLineChars="200"/>
        <w:rPr>
          <w:rFonts w:ascii="仿宋_GB2312" w:hAnsi="仿宋" w:eastAsia="仿宋_GB2312"/>
          <w:sz w:val="32"/>
          <w:szCs w:val="32"/>
          <w:highlight w:val="none"/>
        </w:rPr>
      </w:pPr>
      <w:r>
        <w:rPr>
          <w:rFonts w:hint="eastAsia" w:ascii="仿宋_GB2312" w:hAnsi="仿宋" w:eastAsia="仿宋_GB2312"/>
          <w:kern w:val="0"/>
          <w:sz w:val="32"/>
          <w:szCs w:val="32"/>
          <w:highlight w:val="none"/>
        </w:rPr>
        <w:t>评审小组对通过资格审查的供应商，对照各项评审因素</w:t>
      </w:r>
      <w:r>
        <w:rPr>
          <w:rFonts w:hint="eastAsia" w:ascii="仿宋_GB2312" w:hAnsi="宋体" w:eastAsia="仿宋_GB2312"/>
          <w:sz w:val="32"/>
          <w:szCs w:val="32"/>
          <w:highlight w:val="none"/>
        </w:rPr>
        <w:t>进行评审和比较，并量化打分</w:t>
      </w:r>
      <w:r>
        <w:rPr>
          <w:rFonts w:hint="eastAsia" w:ascii="仿宋_GB2312" w:hAnsi="仿宋" w:eastAsia="仿宋_GB2312"/>
          <w:sz w:val="32"/>
          <w:szCs w:val="32"/>
          <w:highlight w:val="none"/>
        </w:rPr>
        <w:t>（详</w:t>
      </w:r>
      <w:r>
        <w:rPr>
          <w:rFonts w:hint="eastAsia" w:ascii="仿宋_GB2312" w:hAnsi="宋体" w:eastAsia="仿宋_GB2312"/>
          <w:sz w:val="32"/>
          <w:szCs w:val="32"/>
          <w:highlight w:val="none"/>
        </w:rPr>
        <w:t>见</w:t>
      </w:r>
      <w:r>
        <w:rPr>
          <w:rFonts w:hint="eastAsia" w:ascii="仿宋_GB2312" w:hAnsi="宋体" w:eastAsia="仿宋_GB2312"/>
          <w:sz w:val="32"/>
          <w:szCs w:val="32"/>
          <w:highlight w:val="none"/>
          <w:lang w:eastAsia="zh-CN"/>
        </w:rPr>
        <w:t>附件</w:t>
      </w:r>
      <w:r>
        <w:rPr>
          <w:rFonts w:hint="eastAsia" w:ascii="仿宋_GB2312" w:hAnsi="宋体" w:eastAsia="仿宋_GB2312"/>
          <w:sz w:val="32"/>
          <w:szCs w:val="32"/>
          <w:highlight w:val="none"/>
        </w:rPr>
        <w:t>2）。</w:t>
      </w:r>
    </w:p>
    <w:p>
      <w:pPr>
        <w:pStyle w:val="2"/>
        <w:tabs>
          <w:tab w:val="left" w:pos="900"/>
          <w:tab w:val="left" w:pos="1080"/>
        </w:tabs>
        <w:adjustRightInd w:val="0"/>
        <w:snapToGrid w:val="0"/>
        <w:ind w:left="561" w:leftChars="267" w:firstLine="160" w:firstLineChars="50"/>
        <w:rPr>
          <w:rFonts w:ascii="仿宋_GB2312" w:hAnsi="仿宋" w:eastAsia="仿宋_GB2312"/>
          <w:sz w:val="32"/>
          <w:szCs w:val="32"/>
          <w:highlight w:val="none"/>
        </w:rPr>
      </w:pPr>
      <w:r>
        <w:rPr>
          <w:rFonts w:hint="eastAsia" w:ascii="仿宋_GB2312" w:hAnsi="仿宋" w:eastAsia="仿宋_GB2312"/>
          <w:sz w:val="32"/>
          <w:szCs w:val="32"/>
          <w:highlight w:val="none"/>
        </w:rPr>
        <w:t>2、价格评估</w:t>
      </w:r>
    </w:p>
    <w:p>
      <w:pPr>
        <w:pStyle w:val="2"/>
        <w:adjustRightInd w:val="0"/>
        <w:snapToGrid w:val="0"/>
        <w:ind w:left="0" w:leftChars="0"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价格评估得分采用低价优先法计算，即通过</w:t>
      </w:r>
      <w:r>
        <w:rPr>
          <w:rFonts w:hint="eastAsia" w:ascii="仿宋_GB2312" w:hAnsi="仿宋" w:eastAsia="仿宋_GB2312"/>
          <w:kern w:val="0"/>
          <w:sz w:val="32"/>
          <w:szCs w:val="32"/>
          <w:highlight w:val="none"/>
        </w:rPr>
        <w:t>资格审查</w:t>
      </w:r>
      <w:r>
        <w:rPr>
          <w:rFonts w:hint="eastAsia" w:ascii="仿宋_GB2312" w:hAnsi="仿宋" w:eastAsia="仿宋_GB2312"/>
          <w:sz w:val="32"/>
          <w:szCs w:val="32"/>
          <w:highlight w:val="none"/>
        </w:rPr>
        <w:t>且价格最低者的评审价为评审基准价，其价格评估得分为30分；其他供应商的价格评估得分按</w:t>
      </w:r>
      <w:r>
        <w:rPr>
          <w:rFonts w:hint="eastAsia" w:ascii="仿宋_GB2312" w:hAnsi="仿宋" w:eastAsia="仿宋_GB2312"/>
          <w:sz w:val="32"/>
          <w:szCs w:val="32"/>
          <w:highlight w:val="none"/>
          <w:lang w:eastAsia="zh-CN"/>
        </w:rPr>
        <w:t>附件</w:t>
      </w:r>
      <w:r>
        <w:rPr>
          <w:rFonts w:hint="eastAsia" w:ascii="仿宋_GB2312" w:hAnsi="仿宋" w:eastAsia="仿宋_GB2312"/>
          <w:sz w:val="32"/>
          <w:szCs w:val="32"/>
          <w:highlight w:val="none"/>
        </w:rPr>
        <w:t>2计算。</w:t>
      </w:r>
    </w:p>
    <w:p>
      <w:pPr>
        <w:pStyle w:val="2"/>
        <w:adjustRightInd w:val="0"/>
        <w:snapToGrid w:val="0"/>
        <w:ind w:firstLine="560"/>
        <w:rPr>
          <w:rFonts w:ascii="仿宋_GB2312" w:hAnsi="仿宋" w:eastAsia="仿宋_GB2312"/>
          <w:sz w:val="32"/>
          <w:szCs w:val="32"/>
          <w:highlight w:val="none"/>
        </w:rPr>
      </w:pPr>
      <w:r>
        <w:rPr>
          <w:rFonts w:hint="eastAsia" w:ascii="仿宋_GB2312" w:hAnsi="仿宋" w:eastAsia="仿宋_GB2312"/>
          <w:sz w:val="32"/>
          <w:szCs w:val="32"/>
          <w:highlight w:val="none"/>
        </w:rPr>
        <w:t>3.综合比较与评价</w:t>
      </w:r>
    </w:p>
    <w:p>
      <w:pPr>
        <w:pStyle w:val="2"/>
        <w:adjustRightInd w:val="0"/>
        <w:snapToGrid w:val="0"/>
        <w:ind w:firstLine="579" w:firstLineChars="181"/>
        <w:rPr>
          <w:rFonts w:ascii="仿宋_GB2312" w:hAnsi="仿宋" w:eastAsia="仿宋_GB2312"/>
          <w:sz w:val="32"/>
          <w:szCs w:val="32"/>
          <w:highlight w:val="none"/>
        </w:rPr>
      </w:pPr>
      <w:r>
        <w:rPr>
          <w:rFonts w:hint="eastAsia" w:ascii="仿宋_GB2312" w:hAnsi="宋体" w:eastAsia="仿宋_GB2312"/>
          <w:sz w:val="32"/>
          <w:szCs w:val="32"/>
          <w:highlight w:val="none"/>
        </w:rPr>
        <w:t>将各供应商的各项评价得分和价格评估得分相加，计算得出该</w:t>
      </w:r>
      <w:r>
        <w:rPr>
          <w:rFonts w:hint="eastAsia" w:ascii="仿宋_GB2312" w:hAnsi="仿宋" w:eastAsia="仿宋_GB2312"/>
          <w:sz w:val="32"/>
          <w:szCs w:val="32"/>
          <w:highlight w:val="none"/>
        </w:rPr>
        <w:t>供应商</w:t>
      </w:r>
      <w:r>
        <w:rPr>
          <w:rFonts w:hint="eastAsia" w:ascii="仿宋_GB2312" w:hAnsi="宋体" w:eastAsia="仿宋_GB2312"/>
          <w:sz w:val="32"/>
          <w:szCs w:val="32"/>
          <w:highlight w:val="none"/>
        </w:rPr>
        <w:t>的综合评价得分。</w:t>
      </w:r>
    </w:p>
    <w:p>
      <w:pPr>
        <w:pStyle w:val="2"/>
        <w:adjustRightInd w:val="0"/>
        <w:snapToGrid w:val="0"/>
        <w:ind w:firstLine="643" w:firstLineChars="200"/>
        <w:rPr>
          <w:rFonts w:ascii="仿宋_GB2312" w:hAnsi="仿宋" w:eastAsia="仿宋_GB2312"/>
          <w:b/>
          <w:sz w:val="32"/>
          <w:szCs w:val="32"/>
          <w:highlight w:val="none"/>
        </w:rPr>
      </w:pPr>
      <w:r>
        <w:rPr>
          <w:rFonts w:hint="eastAsia" w:ascii="仿宋_GB2312" w:hAnsi="仿宋" w:eastAsia="仿宋_GB2312"/>
          <w:b/>
          <w:sz w:val="32"/>
          <w:szCs w:val="32"/>
          <w:highlight w:val="none"/>
        </w:rPr>
        <w:t>四、确定承担单位</w:t>
      </w:r>
    </w:p>
    <w:p>
      <w:pPr>
        <w:pStyle w:val="2"/>
        <w:adjustRightInd w:val="0"/>
        <w:snapToGrid w:val="0"/>
        <w:ind w:firstLine="640" w:firstLineChars="200"/>
        <w:rPr>
          <w:rFonts w:hint="eastAsia" w:ascii="仿宋_GB2312" w:hAnsi="仿宋" w:eastAsia="仿宋_GB2312"/>
          <w:kern w:val="0"/>
          <w:sz w:val="32"/>
          <w:szCs w:val="32"/>
          <w:highlight w:val="none"/>
        </w:rPr>
      </w:pPr>
      <w:r>
        <w:rPr>
          <w:rFonts w:hint="eastAsia" w:ascii="仿宋_GB2312" w:hAnsi="仿宋" w:eastAsia="仿宋_GB2312"/>
          <w:kern w:val="0"/>
          <w:sz w:val="32"/>
          <w:szCs w:val="32"/>
          <w:highlight w:val="none"/>
        </w:rPr>
        <w:t>评审小组按综合评价得分由高到低进行排序，确定排名第一的供应商为项目承担单位。</w:t>
      </w:r>
    </w:p>
    <w:p>
      <w:pPr>
        <w:pStyle w:val="2"/>
        <w:adjustRightInd w:val="0"/>
        <w:snapToGrid w:val="0"/>
        <w:ind w:firstLine="640" w:firstLineChars="200"/>
        <w:rPr>
          <w:rFonts w:hint="eastAsia" w:ascii="仿宋_GB2312" w:hAnsi="仿宋" w:eastAsia="仿宋_GB2312"/>
          <w:kern w:val="0"/>
          <w:sz w:val="32"/>
          <w:szCs w:val="32"/>
          <w:highlight w:val="none"/>
        </w:rPr>
      </w:pPr>
    </w:p>
    <w:p>
      <w:pPr>
        <w:pStyle w:val="2"/>
        <w:adjustRightInd w:val="0"/>
        <w:snapToGrid w:val="0"/>
        <w:ind w:firstLine="640" w:firstLineChars="200"/>
        <w:rPr>
          <w:rFonts w:hint="eastAsia" w:ascii="仿宋_GB2312" w:hAnsi="仿宋" w:eastAsia="仿宋_GB2312"/>
          <w:kern w:val="0"/>
          <w:sz w:val="32"/>
          <w:szCs w:val="32"/>
          <w:highlight w:val="none"/>
        </w:rPr>
      </w:pPr>
    </w:p>
    <w:p>
      <w:pPr>
        <w:pStyle w:val="2"/>
        <w:adjustRightInd w:val="0"/>
        <w:snapToGrid w:val="0"/>
        <w:ind w:firstLine="640" w:firstLineChars="200"/>
        <w:rPr>
          <w:rFonts w:hint="eastAsia" w:ascii="仿宋_GB2312" w:hAnsi="仿宋" w:eastAsia="仿宋_GB2312"/>
          <w:kern w:val="0"/>
          <w:sz w:val="32"/>
          <w:szCs w:val="32"/>
          <w:highlight w:val="none"/>
        </w:rPr>
      </w:pPr>
    </w:p>
    <w:p>
      <w:pPr>
        <w:pStyle w:val="2"/>
        <w:adjustRightInd w:val="0"/>
        <w:snapToGrid w:val="0"/>
        <w:ind w:firstLine="640" w:firstLineChars="200"/>
        <w:rPr>
          <w:rFonts w:hint="eastAsia" w:ascii="仿宋_GB2312" w:hAnsi="仿宋" w:eastAsia="仿宋_GB2312"/>
          <w:kern w:val="0"/>
          <w:sz w:val="32"/>
          <w:szCs w:val="32"/>
          <w:highlight w:val="none"/>
        </w:rPr>
      </w:pPr>
    </w:p>
    <w:p>
      <w:pPr>
        <w:pStyle w:val="2"/>
        <w:adjustRightInd w:val="0"/>
        <w:snapToGrid w:val="0"/>
        <w:ind w:left="0" w:leftChars="0" w:firstLine="0" w:firstLineChars="0"/>
        <w:rPr>
          <w:rFonts w:hint="eastAsia" w:ascii="仿宋_GB2312" w:hAnsi="仿宋" w:eastAsia="仿宋_GB2312"/>
          <w:kern w:val="0"/>
          <w:sz w:val="32"/>
          <w:szCs w:val="32"/>
          <w:highlight w:val="none"/>
        </w:rPr>
      </w:pPr>
    </w:p>
    <w:p>
      <w:pPr>
        <w:widowControl/>
        <w:jc w:val="left"/>
        <w:rPr>
          <w:rFonts w:ascii="仿宋_GB2312" w:hAnsi="仿宋" w:eastAsia="仿宋_GB2312"/>
          <w:kern w:val="0"/>
          <w:sz w:val="32"/>
          <w:szCs w:val="32"/>
          <w:highlight w:val="none"/>
        </w:rPr>
      </w:pPr>
      <w:r>
        <w:rPr>
          <w:rFonts w:hint="eastAsia" w:ascii="仿宋_GB2312" w:hAnsi="仿宋" w:eastAsia="仿宋_GB2312"/>
          <w:b/>
          <w:bCs/>
          <w:sz w:val="32"/>
          <w:szCs w:val="32"/>
          <w:highlight w:val="none"/>
        </w:rPr>
        <w:t>附件</w:t>
      </w:r>
      <w:r>
        <w:rPr>
          <w:rFonts w:hint="eastAsia" w:ascii="仿宋_GB2312" w:hAnsi="仿宋" w:eastAsia="仿宋_GB2312"/>
          <w:b/>
          <w:bCs/>
          <w:sz w:val="32"/>
          <w:szCs w:val="32"/>
          <w:highlight w:val="none"/>
          <w:lang w:val="en-US" w:eastAsia="zh-CN"/>
        </w:rPr>
        <w:t>1</w:t>
      </w:r>
      <w:r>
        <w:rPr>
          <w:rFonts w:hint="eastAsia" w:ascii="仿宋_GB2312" w:hAnsi="仿宋" w:eastAsia="仿宋_GB2312"/>
          <w:b/>
          <w:bCs/>
          <w:sz w:val="32"/>
          <w:szCs w:val="32"/>
          <w:highlight w:val="none"/>
        </w:rPr>
        <w:t>：</w:t>
      </w:r>
    </w:p>
    <w:p>
      <w:pPr>
        <w:spacing w:line="360" w:lineRule="auto"/>
        <w:jc w:val="center"/>
        <w:rPr>
          <w:rFonts w:ascii="仿宋_GB2312" w:hAnsi="仿宋" w:eastAsia="仿宋_GB2312"/>
          <w:b/>
          <w:kern w:val="0"/>
          <w:sz w:val="32"/>
          <w:szCs w:val="32"/>
          <w:highlight w:val="none"/>
        </w:rPr>
      </w:pPr>
      <w:r>
        <w:rPr>
          <w:rFonts w:hint="eastAsia" w:ascii="仿宋_GB2312" w:hAnsi="仿宋" w:eastAsia="仿宋_GB2312"/>
          <w:b/>
          <w:kern w:val="0"/>
          <w:sz w:val="32"/>
          <w:szCs w:val="32"/>
          <w:highlight w:val="none"/>
        </w:rPr>
        <w:t>表1：资格性审查表</w:t>
      </w:r>
    </w:p>
    <w:tbl>
      <w:tblPr>
        <w:tblStyle w:val="4"/>
        <w:tblW w:w="84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500"/>
        <w:gridCol w:w="3663"/>
        <w:gridCol w:w="1"/>
        <w:gridCol w:w="1153"/>
        <w:gridCol w:w="1"/>
        <w:gridCol w:w="1148"/>
        <w:gridCol w:w="1"/>
        <w:gridCol w:w="1134"/>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204" w:hRule="atLeast"/>
        </w:trPr>
        <w:tc>
          <w:tcPr>
            <w:tcW w:w="497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8"/>
                <w:szCs w:val="28"/>
                <w:highlight w:val="none"/>
              </w:rPr>
            </w:pPr>
            <w:r>
              <w:rPr>
                <w:rFonts w:hint="eastAsia" w:ascii="仿宋_GB2312" w:hAnsi="宋体" w:eastAsia="仿宋_GB2312"/>
                <w:b/>
                <w:bCs/>
                <w:sz w:val="28"/>
                <w:szCs w:val="28"/>
                <w:highlight w:val="none"/>
              </w:rPr>
              <w:t>评审内容</w:t>
            </w:r>
          </w:p>
        </w:tc>
        <w:tc>
          <w:tcPr>
            <w:tcW w:w="11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8"/>
                <w:szCs w:val="28"/>
                <w:highlight w:val="none"/>
              </w:rPr>
            </w:pPr>
            <w:r>
              <w:rPr>
                <w:rFonts w:hint="eastAsia" w:ascii="仿宋_GB2312" w:hAnsi="仿宋" w:eastAsia="仿宋_GB2312"/>
                <w:b/>
                <w:bCs/>
                <w:sz w:val="28"/>
                <w:szCs w:val="28"/>
                <w:highlight w:val="none"/>
              </w:rPr>
              <w:t>供应商</w:t>
            </w:r>
            <w:r>
              <w:rPr>
                <w:rFonts w:hint="eastAsia" w:ascii="仿宋_GB2312" w:hAnsi="宋体" w:eastAsia="仿宋_GB2312"/>
                <w:b/>
                <w:bCs/>
                <w:sz w:val="28"/>
                <w:szCs w:val="28"/>
                <w:highlight w:val="none"/>
              </w:rPr>
              <w:t>A</w:t>
            </w:r>
          </w:p>
        </w:tc>
        <w:tc>
          <w:tcPr>
            <w:tcW w:w="114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b/>
                <w:bCs/>
                <w:sz w:val="28"/>
                <w:szCs w:val="28"/>
                <w:highlight w:val="none"/>
              </w:rPr>
            </w:pPr>
            <w:r>
              <w:rPr>
                <w:rFonts w:hint="eastAsia" w:ascii="仿宋_GB2312" w:hAnsi="仿宋" w:eastAsia="仿宋_GB2312"/>
                <w:b/>
                <w:bCs/>
                <w:sz w:val="28"/>
                <w:szCs w:val="28"/>
                <w:highlight w:val="none"/>
              </w:rPr>
              <w:t>供应商</w:t>
            </w:r>
            <w:r>
              <w:rPr>
                <w:rFonts w:ascii="仿宋_GB2312" w:hAnsi="宋体" w:eastAsia="仿宋_GB2312"/>
                <w:b/>
                <w:bCs/>
                <w:sz w:val="28"/>
                <w:szCs w:val="28"/>
                <w:highlight w:val="none"/>
              </w:rPr>
              <w:t>B</w:t>
            </w: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b/>
                <w:bCs/>
                <w:sz w:val="28"/>
                <w:szCs w:val="28"/>
                <w:highlight w:val="none"/>
                <w:lang w:eastAsia="zh-CN"/>
              </w:rPr>
            </w:pPr>
            <w:r>
              <w:rPr>
                <w:rFonts w:hint="eastAsia" w:ascii="仿宋_GB2312" w:hAnsi="仿宋" w:eastAsia="仿宋_GB2312"/>
                <w:b/>
                <w:bCs/>
                <w:sz w:val="28"/>
                <w:szCs w:val="28"/>
                <w:highlight w:val="none"/>
                <w:lang w:eastAsia="zh-CN"/>
              </w:rPr>
              <w:t>供应商</w:t>
            </w:r>
          </w:p>
          <w:p>
            <w:pPr>
              <w:adjustRightInd w:val="0"/>
              <w:snapToGrid w:val="0"/>
              <w:jc w:val="center"/>
              <w:rPr>
                <w:rFonts w:hint="default" w:ascii="仿宋_GB2312" w:hAnsi="仿宋" w:eastAsia="仿宋_GB2312"/>
                <w:b/>
                <w:bCs/>
                <w:sz w:val="28"/>
                <w:szCs w:val="28"/>
                <w:highlight w:val="none"/>
                <w:lang w:val="en-US" w:eastAsia="zh-CN"/>
              </w:rPr>
            </w:pPr>
            <w:r>
              <w:rPr>
                <w:rFonts w:hint="eastAsia" w:ascii="仿宋_GB2312" w:hAnsi="仿宋" w:eastAsia="仿宋_GB2312"/>
                <w:b/>
                <w:bCs/>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9" w:type="dxa"/>
            <w:vMerge w:val="restart"/>
            <w:tcBorders>
              <w:top w:val="single" w:color="auto" w:sz="4" w:space="0"/>
              <w:left w:val="single" w:color="auto" w:sz="4" w:space="0"/>
              <w:right w:val="single" w:color="auto" w:sz="4" w:space="0"/>
            </w:tcBorders>
            <w:noWrap w:val="0"/>
            <w:textDirection w:val="tbRlV"/>
            <w:vAlign w:val="center"/>
          </w:tcPr>
          <w:p>
            <w:pPr>
              <w:spacing w:line="360" w:lineRule="auto"/>
              <w:jc w:val="center"/>
              <w:rPr>
                <w:rFonts w:ascii="仿宋_GB2312" w:hAnsi="宋体" w:eastAsia="仿宋_GB2312"/>
                <w:sz w:val="28"/>
                <w:szCs w:val="28"/>
                <w:highlight w:val="none"/>
              </w:rPr>
            </w:pPr>
            <w:r>
              <w:rPr>
                <w:rFonts w:hint="eastAsia" w:ascii="仿宋_GB2312" w:hAnsi="宋体" w:eastAsia="仿宋_GB2312"/>
                <w:sz w:val="28"/>
                <w:szCs w:val="28"/>
                <w:highlight w:val="none"/>
              </w:rPr>
              <w:t>资格性审查</w:t>
            </w:r>
          </w:p>
          <w:p>
            <w:pPr>
              <w:adjustRightInd w:val="0"/>
              <w:snapToGrid w:val="0"/>
              <w:ind w:left="113" w:right="113"/>
              <w:jc w:val="center"/>
              <w:rPr>
                <w:rFonts w:ascii="宋体" w:cs="宋体"/>
                <w:sz w:val="28"/>
                <w:szCs w:val="28"/>
                <w:highlight w:val="none"/>
              </w:rPr>
            </w:pPr>
          </w:p>
        </w:tc>
        <w:tc>
          <w:tcPr>
            <w:tcW w:w="41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宋体" w:eastAsia="仿宋_GB2312"/>
                <w:sz w:val="28"/>
                <w:szCs w:val="28"/>
                <w:highlight w:val="none"/>
              </w:rPr>
            </w:pPr>
            <w:r>
              <w:rPr>
                <w:rFonts w:hint="eastAsia" w:ascii="仿宋_GB2312" w:hAnsi="宋体" w:eastAsia="仿宋_GB2312"/>
                <w:sz w:val="28"/>
                <w:szCs w:val="28"/>
                <w:highlight w:val="none"/>
              </w:rPr>
              <w:t>①营业执照或组织机构代码证</w:t>
            </w:r>
          </w:p>
        </w:tc>
        <w:tc>
          <w:tcPr>
            <w:tcW w:w="11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c>
          <w:tcPr>
            <w:tcW w:w="114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9" w:type="dxa"/>
            <w:vMerge w:val="continue"/>
            <w:tcBorders>
              <w:left w:val="single" w:color="auto" w:sz="4" w:space="0"/>
              <w:right w:val="single" w:color="auto" w:sz="4" w:space="0"/>
            </w:tcBorders>
            <w:noWrap w:val="0"/>
            <w:vAlign w:val="center"/>
          </w:tcPr>
          <w:p>
            <w:pPr>
              <w:widowControl/>
              <w:jc w:val="left"/>
              <w:rPr>
                <w:rFonts w:ascii="宋体" w:cs="宋体"/>
                <w:sz w:val="28"/>
                <w:szCs w:val="28"/>
                <w:highlight w:val="none"/>
              </w:rPr>
            </w:pPr>
          </w:p>
        </w:tc>
        <w:tc>
          <w:tcPr>
            <w:tcW w:w="500"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eastAsia" w:ascii="仿宋_GB2312" w:hAnsi="宋体" w:eastAsia="仿宋_GB2312"/>
                <w:sz w:val="28"/>
                <w:szCs w:val="28"/>
                <w:highlight w:val="none"/>
              </w:rPr>
            </w:pPr>
            <w:r>
              <w:rPr>
                <w:rFonts w:hint="eastAsia" w:ascii="仿宋_GB2312" w:hAnsi="宋体" w:eastAsia="仿宋_GB2312"/>
                <w:sz w:val="28"/>
                <w:szCs w:val="28"/>
                <w:highlight w:val="none"/>
              </w:rPr>
              <w:t>信用证明是否提供</w:t>
            </w:r>
          </w:p>
        </w:tc>
        <w:tc>
          <w:tcPr>
            <w:tcW w:w="3664" w:type="dxa"/>
            <w:gridSpan w:val="2"/>
            <w:tcBorders>
              <w:top w:val="single" w:color="auto" w:sz="4" w:space="0"/>
              <w:left w:val="single" w:color="auto" w:sz="4" w:space="0"/>
              <w:right w:val="single" w:color="auto" w:sz="4" w:space="0"/>
            </w:tcBorders>
            <w:noWrap w:val="0"/>
            <w:vAlign w:val="center"/>
          </w:tcPr>
          <w:p>
            <w:pPr>
              <w:adjustRightInd w:val="0"/>
              <w:snapToGrid w:val="0"/>
              <w:rPr>
                <w:rFonts w:hint="eastAsia" w:ascii="仿宋_GB2312" w:hAnsi="宋体" w:eastAsia="仿宋_GB2312"/>
                <w:sz w:val="28"/>
                <w:szCs w:val="28"/>
                <w:highlight w:val="none"/>
              </w:rPr>
            </w:pPr>
            <w:r>
              <w:rPr>
                <w:rFonts w:hint="eastAsia" w:ascii="仿宋_GB2312" w:hAnsi="宋体" w:eastAsia="仿宋_GB2312"/>
                <w:sz w:val="28"/>
                <w:szCs w:val="28"/>
                <w:highlight w:val="none"/>
              </w:rPr>
              <w:t>②未被列入“信用中国”网站（www.creditchina.gov.cn）“记录失信被执行人或重大税收违法案件当事人名单或政府采购严重违法失信行为”记录名单</w:t>
            </w:r>
          </w:p>
        </w:tc>
        <w:tc>
          <w:tcPr>
            <w:tcW w:w="11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c>
          <w:tcPr>
            <w:tcW w:w="114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9" w:type="dxa"/>
            <w:vMerge w:val="continue"/>
            <w:tcBorders>
              <w:left w:val="single" w:color="auto" w:sz="4" w:space="0"/>
              <w:right w:val="single" w:color="auto" w:sz="4" w:space="0"/>
            </w:tcBorders>
            <w:noWrap w:val="0"/>
            <w:vAlign w:val="center"/>
          </w:tcPr>
          <w:p>
            <w:pPr>
              <w:widowControl/>
              <w:jc w:val="left"/>
              <w:rPr>
                <w:rFonts w:ascii="宋体" w:cs="宋体"/>
                <w:sz w:val="28"/>
                <w:szCs w:val="28"/>
                <w:highlight w:val="none"/>
              </w:rPr>
            </w:pPr>
          </w:p>
        </w:tc>
        <w:tc>
          <w:tcPr>
            <w:tcW w:w="500" w:type="dxa"/>
            <w:vMerge w:val="continue"/>
            <w:tcBorders>
              <w:left w:val="single" w:color="auto" w:sz="4" w:space="0"/>
              <w:bottom w:val="single" w:color="auto" w:sz="4" w:space="0"/>
              <w:right w:val="single" w:color="auto" w:sz="4" w:space="0"/>
            </w:tcBorders>
            <w:noWrap w:val="0"/>
            <w:vAlign w:val="center"/>
          </w:tcPr>
          <w:p>
            <w:pPr>
              <w:adjustRightInd w:val="0"/>
              <w:snapToGrid w:val="0"/>
              <w:rPr>
                <w:rFonts w:hint="eastAsia" w:ascii="仿宋_GB2312" w:hAnsi="宋体" w:eastAsia="仿宋_GB2312"/>
                <w:sz w:val="28"/>
                <w:szCs w:val="28"/>
                <w:highlight w:val="none"/>
              </w:rPr>
            </w:pPr>
          </w:p>
        </w:tc>
        <w:tc>
          <w:tcPr>
            <w:tcW w:w="3664" w:type="dxa"/>
            <w:gridSpan w:val="2"/>
            <w:tcBorders>
              <w:left w:val="single" w:color="auto" w:sz="4" w:space="0"/>
              <w:bottom w:val="single" w:color="auto" w:sz="4" w:space="0"/>
              <w:right w:val="single" w:color="auto" w:sz="4" w:space="0"/>
            </w:tcBorders>
            <w:noWrap w:val="0"/>
            <w:vAlign w:val="center"/>
          </w:tcPr>
          <w:p>
            <w:pPr>
              <w:adjustRightInd w:val="0"/>
              <w:snapToGrid w:val="0"/>
              <w:rPr>
                <w:rFonts w:hint="eastAsia" w:ascii="仿宋_GB2312" w:hAnsi="宋体" w:eastAsia="仿宋_GB2312"/>
                <w:sz w:val="28"/>
                <w:szCs w:val="28"/>
                <w:highlight w:val="none"/>
              </w:rPr>
            </w:pPr>
            <w:r>
              <w:rPr>
                <w:rFonts w:hint="eastAsia" w:ascii="仿宋_GB2312" w:hAnsi="宋体" w:eastAsia="仿宋_GB2312"/>
                <w:sz w:val="28"/>
                <w:szCs w:val="28"/>
                <w:highlight w:val="none"/>
              </w:rPr>
              <w:t>③不处于中国政府采购网（www.ccgp.gov.cn）“政府采购严重违法失信行为信息记录”中的禁止参加政府采购活动期间</w:t>
            </w:r>
          </w:p>
        </w:tc>
        <w:tc>
          <w:tcPr>
            <w:tcW w:w="11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c>
          <w:tcPr>
            <w:tcW w:w="114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9" w:type="dxa"/>
            <w:vMerge w:val="continue"/>
            <w:tcBorders>
              <w:left w:val="single" w:color="auto" w:sz="4" w:space="0"/>
              <w:right w:val="single" w:color="auto" w:sz="4" w:space="0"/>
            </w:tcBorders>
            <w:noWrap w:val="0"/>
            <w:vAlign w:val="center"/>
          </w:tcPr>
          <w:p>
            <w:pPr>
              <w:widowControl/>
              <w:jc w:val="left"/>
              <w:rPr>
                <w:rFonts w:ascii="宋体" w:cs="宋体"/>
                <w:sz w:val="28"/>
                <w:szCs w:val="28"/>
                <w:highlight w:val="none"/>
              </w:rPr>
            </w:pPr>
          </w:p>
        </w:tc>
        <w:tc>
          <w:tcPr>
            <w:tcW w:w="41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rPr>
              <w:t>④项目总体不超出</w:t>
            </w:r>
            <w:r>
              <w:rPr>
                <w:rFonts w:hint="eastAsia" w:ascii="仿宋_GB2312" w:hAnsi="宋体" w:eastAsia="仿宋_GB2312"/>
                <w:sz w:val="28"/>
                <w:szCs w:val="28"/>
                <w:highlight w:val="none"/>
                <w:lang w:val="en-US" w:eastAsia="zh-CN"/>
              </w:rPr>
              <w:t>16.2</w:t>
            </w:r>
            <w:r>
              <w:rPr>
                <w:rFonts w:hint="eastAsia" w:ascii="仿宋_GB2312" w:hAnsi="宋体" w:eastAsia="仿宋_GB2312"/>
                <w:sz w:val="28"/>
                <w:szCs w:val="28"/>
                <w:highlight w:val="none"/>
              </w:rPr>
              <w:t>万元</w:t>
            </w:r>
            <w:r>
              <w:rPr>
                <w:rFonts w:hint="eastAsia" w:ascii="仿宋_GB2312" w:hAnsi="宋体" w:eastAsia="仿宋_GB2312"/>
                <w:sz w:val="28"/>
                <w:szCs w:val="28"/>
                <w:highlight w:val="none"/>
                <w:lang w:eastAsia="zh-CN"/>
              </w:rPr>
              <w:t>（含税）</w:t>
            </w:r>
          </w:p>
        </w:tc>
        <w:tc>
          <w:tcPr>
            <w:tcW w:w="11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c>
          <w:tcPr>
            <w:tcW w:w="114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09" w:type="dxa"/>
            <w:vMerge w:val="continue"/>
            <w:tcBorders>
              <w:left w:val="single" w:color="auto" w:sz="4" w:space="0"/>
              <w:right w:val="single" w:color="auto" w:sz="4" w:space="0"/>
            </w:tcBorders>
            <w:noWrap w:val="0"/>
            <w:vAlign w:val="center"/>
          </w:tcPr>
          <w:p>
            <w:pPr>
              <w:widowControl/>
              <w:jc w:val="left"/>
              <w:rPr>
                <w:rFonts w:ascii="宋体" w:cs="宋体"/>
                <w:sz w:val="28"/>
                <w:szCs w:val="28"/>
                <w:highlight w:val="none"/>
              </w:rPr>
            </w:pPr>
          </w:p>
        </w:tc>
        <w:tc>
          <w:tcPr>
            <w:tcW w:w="4164" w:type="dxa"/>
            <w:gridSpan w:val="3"/>
            <w:tcBorders>
              <w:top w:val="single" w:color="auto" w:sz="4" w:space="0"/>
              <w:left w:val="single" w:color="auto" w:sz="4" w:space="0"/>
              <w:right w:val="single" w:color="auto" w:sz="4" w:space="0"/>
            </w:tcBorders>
            <w:noWrap w:val="0"/>
            <w:vAlign w:val="center"/>
          </w:tcPr>
          <w:p>
            <w:pPr>
              <w:adjustRightInd w:val="0"/>
              <w:snapToGrid w:val="0"/>
              <w:rPr>
                <w:rFonts w:hint="eastAsia" w:ascii="仿宋_GB2312" w:hAnsi="宋体" w:eastAsia="仿宋_GB2312"/>
                <w:sz w:val="28"/>
                <w:szCs w:val="28"/>
                <w:highlight w:val="none"/>
              </w:rPr>
            </w:pPr>
            <w:r>
              <w:rPr>
                <w:rFonts w:hint="eastAsia" w:ascii="仿宋_GB2312" w:hAnsi="宋体" w:eastAsia="仿宋_GB2312"/>
                <w:sz w:val="28"/>
                <w:szCs w:val="28"/>
                <w:highlight w:val="none"/>
              </w:rPr>
              <w:t>⑤</w:t>
            </w:r>
            <w:r>
              <w:rPr>
                <w:rFonts w:hint="eastAsia" w:ascii="仿宋_GB2312" w:hAnsi="仿宋" w:eastAsia="仿宋_GB2312"/>
                <w:sz w:val="28"/>
                <w:szCs w:val="28"/>
                <w:highlight w:val="none"/>
              </w:rPr>
              <w:t>供应商</w:t>
            </w:r>
            <w:r>
              <w:rPr>
                <w:rFonts w:hint="eastAsia" w:ascii="仿宋_GB2312" w:hAnsi="宋体" w:eastAsia="仿宋_GB2312"/>
                <w:sz w:val="28"/>
                <w:szCs w:val="28"/>
                <w:highlight w:val="none"/>
              </w:rPr>
              <w:t>非联合体</w:t>
            </w:r>
          </w:p>
        </w:tc>
        <w:tc>
          <w:tcPr>
            <w:tcW w:w="1154" w:type="dxa"/>
            <w:gridSpan w:val="2"/>
            <w:tcBorders>
              <w:top w:val="single" w:color="auto" w:sz="4" w:space="0"/>
              <w:left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c>
          <w:tcPr>
            <w:tcW w:w="114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09" w:type="dxa"/>
            <w:vMerge w:val="continue"/>
            <w:tcBorders>
              <w:left w:val="single" w:color="auto" w:sz="4" w:space="0"/>
              <w:right w:val="single" w:color="auto" w:sz="4" w:space="0"/>
            </w:tcBorders>
            <w:noWrap w:val="0"/>
            <w:vAlign w:val="center"/>
          </w:tcPr>
          <w:p>
            <w:pPr>
              <w:widowControl/>
              <w:jc w:val="left"/>
              <w:rPr>
                <w:rFonts w:ascii="宋体" w:cs="宋体"/>
                <w:sz w:val="28"/>
                <w:szCs w:val="28"/>
                <w:highlight w:val="none"/>
              </w:rPr>
            </w:pPr>
          </w:p>
        </w:tc>
        <w:tc>
          <w:tcPr>
            <w:tcW w:w="4164" w:type="dxa"/>
            <w:gridSpan w:val="3"/>
            <w:tcBorders>
              <w:top w:val="single" w:color="auto" w:sz="4" w:space="0"/>
              <w:left w:val="single" w:color="auto" w:sz="4" w:space="0"/>
              <w:right w:val="single" w:color="auto" w:sz="4" w:space="0"/>
            </w:tcBorders>
            <w:noWrap w:val="0"/>
            <w:vAlign w:val="center"/>
          </w:tcPr>
          <w:p>
            <w:pPr>
              <w:adjustRightInd w:val="0"/>
              <w:snapToGrid w:val="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rPr>
              <w:t>⑥有符合要求的固定办公场所及合法稳定的收入来源</w:t>
            </w:r>
          </w:p>
        </w:tc>
        <w:tc>
          <w:tcPr>
            <w:tcW w:w="1154" w:type="dxa"/>
            <w:gridSpan w:val="2"/>
            <w:tcBorders>
              <w:top w:val="single" w:color="auto" w:sz="4" w:space="0"/>
              <w:left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c>
          <w:tcPr>
            <w:tcW w:w="114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679" w:hRule="atLeast"/>
        </w:trPr>
        <w:tc>
          <w:tcPr>
            <w:tcW w:w="497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r>
              <w:rPr>
                <w:rFonts w:hint="eastAsia" w:ascii="仿宋_GB2312" w:hAnsi="宋体" w:eastAsia="仿宋_GB2312"/>
                <w:sz w:val="28"/>
                <w:szCs w:val="28"/>
                <w:highlight w:val="none"/>
              </w:rPr>
              <w:t>结论</w:t>
            </w:r>
          </w:p>
        </w:tc>
        <w:tc>
          <w:tcPr>
            <w:tcW w:w="11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c>
          <w:tcPr>
            <w:tcW w:w="114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28"/>
                <w:szCs w:val="28"/>
                <w:highlight w:val="none"/>
              </w:rPr>
            </w:pPr>
          </w:p>
        </w:tc>
      </w:tr>
    </w:tbl>
    <w:p>
      <w:pPr>
        <w:rPr>
          <w:rFonts w:ascii="方正楷体_GBK" w:hAnsi="宋体" w:eastAsia="方正楷体_GBK"/>
          <w:sz w:val="28"/>
          <w:szCs w:val="28"/>
          <w:highlight w:val="none"/>
        </w:rPr>
      </w:pPr>
      <w:r>
        <w:rPr>
          <w:rFonts w:hint="eastAsia" w:ascii="方正楷体_GBK" w:hAnsi="宋体" w:eastAsia="方正楷体_GBK"/>
          <w:sz w:val="28"/>
          <w:szCs w:val="28"/>
          <w:highlight w:val="none"/>
        </w:rPr>
        <w:t>填表说明：材料有提供或者符合的打“√”，否则打“×”。结论填写“合格”或者“不合格”。</w:t>
      </w:r>
    </w:p>
    <w:p>
      <w:pPr>
        <w:rPr>
          <w:rFonts w:ascii="仿宋_GB2312" w:hAnsi="宋体" w:eastAsia="仿宋_GB2312"/>
          <w:sz w:val="32"/>
          <w:szCs w:val="32"/>
          <w:highlight w:val="none"/>
        </w:rPr>
      </w:pPr>
    </w:p>
    <w:p>
      <w:pPr>
        <w:pStyle w:val="2"/>
        <w:adjustRightInd w:val="0"/>
        <w:snapToGrid w:val="0"/>
        <w:ind w:firstLine="640" w:firstLineChars="200"/>
        <w:rPr>
          <w:rFonts w:hint="eastAsia" w:ascii="仿宋_GB2312" w:hAnsi="仿宋" w:eastAsia="仿宋_GB2312"/>
          <w:kern w:val="0"/>
          <w:sz w:val="32"/>
          <w:szCs w:val="32"/>
          <w:highlight w:val="none"/>
        </w:rPr>
      </w:pPr>
    </w:p>
    <w:p>
      <w:pPr>
        <w:pStyle w:val="2"/>
        <w:adjustRightInd w:val="0"/>
        <w:snapToGrid w:val="0"/>
        <w:ind w:firstLine="640" w:firstLineChars="200"/>
        <w:rPr>
          <w:rFonts w:hint="eastAsia" w:ascii="仿宋_GB2312" w:hAnsi="仿宋" w:eastAsia="仿宋_GB2312"/>
          <w:kern w:val="0"/>
          <w:sz w:val="32"/>
          <w:szCs w:val="32"/>
          <w:highlight w:val="none"/>
        </w:rPr>
      </w:pPr>
    </w:p>
    <w:p>
      <w:pPr>
        <w:numPr>
          <w:ilvl w:val="0"/>
          <w:numId w:val="0"/>
        </w:numPr>
        <w:jc w:val="left"/>
        <w:rPr>
          <w:rFonts w:hint="eastAsia" w:ascii="仿宋_GB2312" w:hAnsi="仿宋_GB2312" w:eastAsia="仿宋_GB2312" w:cs="仿宋_GB2312"/>
          <w:b/>
          <w:bCs/>
          <w:sz w:val="24"/>
          <w:szCs w:val="24"/>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ind w:left="210" w:leftChars="0"/>
        <w:jc w:val="center"/>
        <w:textAlignment w:val="auto"/>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评分标准</w:t>
      </w:r>
    </w:p>
    <w:tbl>
      <w:tblPr>
        <w:tblStyle w:val="4"/>
        <w:tblW w:w="9414"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4"/>
        <w:gridCol w:w="770"/>
        <w:gridCol w:w="1050"/>
        <w:gridCol w:w="5850"/>
        <w:gridCol w:w="105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color w:val="auto"/>
                <w:sz w:val="24"/>
                <w:szCs w:val="24"/>
              </w:rPr>
            </w:pPr>
            <w:r>
              <w:rPr>
                <w:rFonts w:hint="eastAsia" w:ascii="微软雅黑" w:hAnsi="微软雅黑" w:eastAsia="微软雅黑" w:cs="微软雅黑"/>
                <w:i w:val="0"/>
                <w:caps w:val="0"/>
                <w:color w:val="auto"/>
                <w:spacing w:val="0"/>
                <w:sz w:val="24"/>
                <w:szCs w:val="24"/>
              </w:rPr>
              <w:t>序号</w:t>
            </w:r>
          </w:p>
        </w:tc>
        <w:tc>
          <w:tcPr>
            <w:tcW w:w="1820"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color w:val="auto"/>
                <w:sz w:val="24"/>
                <w:szCs w:val="24"/>
              </w:rPr>
            </w:pPr>
            <w:r>
              <w:rPr>
                <w:rFonts w:hint="eastAsia" w:ascii="微软雅黑" w:hAnsi="微软雅黑" w:eastAsia="微软雅黑" w:cs="微软雅黑"/>
                <w:i w:val="0"/>
                <w:caps w:val="0"/>
                <w:color w:val="auto"/>
                <w:spacing w:val="0"/>
                <w:sz w:val="24"/>
                <w:szCs w:val="24"/>
              </w:rPr>
              <w:t>评分内容</w:t>
            </w:r>
          </w:p>
        </w:tc>
        <w:tc>
          <w:tcPr>
            <w:tcW w:w="58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color w:val="auto"/>
                <w:sz w:val="24"/>
                <w:szCs w:val="24"/>
              </w:rPr>
            </w:pPr>
            <w:r>
              <w:rPr>
                <w:rFonts w:hint="eastAsia" w:ascii="微软雅黑" w:hAnsi="微软雅黑" w:eastAsia="微软雅黑" w:cs="微软雅黑"/>
                <w:i w:val="0"/>
                <w:caps w:val="0"/>
                <w:color w:val="auto"/>
                <w:spacing w:val="0"/>
                <w:sz w:val="24"/>
                <w:szCs w:val="24"/>
              </w:rPr>
              <w:t>评分细则</w:t>
            </w: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color w:val="auto"/>
                <w:sz w:val="24"/>
                <w:szCs w:val="24"/>
              </w:rPr>
            </w:pPr>
            <w:r>
              <w:rPr>
                <w:rFonts w:hint="eastAsia" w:ascii="微软雅黑" w:hAnsi="微软雅黑" w:eastAsia="微软雅黑" w:cs="微软雅黑"/>
                <w:i w:val="0"/>
                <w:caps w:val="0"/>
                <w:color w:val="auto"/>
                <w:spacing w:val="0"/>
                <w:sz w:val="24"/>
                <w:szCs w:val="24"/>
              </w:rPr>
              <w:t>分值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1</w:t>
            </w:r>
          </w:p>
        </w:tc>
        <w:tc>
          <w:tcPr>
            <w:tcW w:w="770" w:type="dxa"/>
            <w:vMerge w:val="restart"/>
            <w:tcBorders>
              <w:top w:val="single" w:color="000000" w:sz="8" w:space="0"/>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rPr>
              <w:t>商务部分</w:t>
            </w:r>
          </w:p>
        </w:tc>
        <w:tc>
          <w:tcPr>
            <w:tcW w:w="1050" w:type="dxa"/>
            <w:vMerge w:val="restart"/>
            <w:tcBorders>
              <w:top w:val="single" w:color="000000" w:sz="8" w:space="0"/>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项目团队组建方案</w:t>
            </w:r>
          </w:p>
        </w:tc>
        <w:tc>
          <w:tcPr>
            <w:tcW w:w="58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color w:val="auto"/>
                <w:spacing w:val="10"/>
                <w:sz w:val="24"/>
                <w:szCs w:val="24"/>
                <w:highlight w:val="none"/>
                <w:lang w:val="zh-CN"/>
              </w:rPr>
              <w:t>本项目拟派项目负责人获得经国家认可的会展策划师一级证书，得</w:t>
            </w:r>
            <w:r>
              <w:rPr>
                <w:rFonts w:hint="eastAsia" w:ascii="微软雅黑" w:hAnsi="微软雅黑" w:eastAsia="微软雅黑" w:cs="微软雅黑"/>
                <w:b w:val="0"/>
                <w:bCs w:val="0"/>
                <w:color w:val="auto"/>
                <w:spacing w:val="10"/>
                <w:sz w:val="24"/>
                <w:szCs w:val="24"/>
                <w:highlight w:val="none"/>
                <w:lang w:val="en-US" w:eastAsia="zh-CN"/>
              </w:rPr>
              <w:t>3</w:t>
            </w:r>
            <w:r>
              <w:rPr>
                <w:rFonts w:hint="eastAsia" w:ascii="微软雅黑" w:hAnsi="微软雅黑" w:eastAsia="微软雅黑" w:cs="微软雅黑"/>
                <w:b w:val="0"/>
                <w:bCs w:val="0"/>
                <w:color w:val="auto"/>
                <w:spacing w:val="10"/>
                <w:sz w:val="24"/>
                <w:szCs w:val="24"/>
                <w:highlight w:val="none"/>
                <w:lang w:val="zh-CN"/>
              </w:rPr>
              <w:t>分；获得经国家认可的会展策划师二级证书，得</w:t>
            </w:r>
            <w:r>
              <w:rPr>
                <w:rFonts w:hint="eastAsia" w:ascii="微软雅黑" w:hAnsi="微软雅黑" w:eastAsia="微软雅黑" w:cs="微软雅黑"/>
                <w:b w:val="0"/>
                <w:bCs w:val="0"/>
                <w:color w:val="auto"/>
                <w:spacing w:val="10"/>
                <w:sz w:val="24"/>
                <w:szCs w:val="24"/>
                <w:highlight w:val="none"/>
                <w:lang w:val="en-US" w:eastAsia="zh-CN"/>
              </w:rPr>
              <w:t>2</w:t>
            </w:r>
            <w:r>
              <w:rPr>
                <w:rFonts w:hint="eastAsia" w:ascii="微软雅黑" w:hAnsi="微软雅黑" w:eastAsia="微软雅黑" w:cs="微软雅黑"/>
                <w:b w:val="0"/>
                <w:bCs w:val="0"/>
                <w:color w:val="auto"/>
                <w:spacing w:val="10"/>
                <w:sz w:val="24"/>
                <w:szCs w:val="24"/>
                <w:highlight w:val="none"/>
                <w:lang w:val="zh-CN"/>
              </w:rPr>
              <w:t>分；获得经国家认可的会展策划师三级证书，得</w:t>
            </w:r>
            <w:r>
              <w:rPr>
                <w:rFonts w:hint="eastAsia" w:ascii="微软雅黑" w:hAnsi="微软雅黑" w:eastAsia="微软雅黑" w:cs="微软雅黑"/>
                <w:b w:val="0"/>
                <w:bCs w:val="0"/>
                <w:color w:val="auto"/>
                <w:spacing w:val="10"/>
                <w:sz w:val="24"/>
                <w:szCs w:val="24"/>
                <w:highlight w:val="none"/>
                <w:lang w:val="en-US" w:eastAsia="zh-CN"/>
              </w:rPr>
              <w:t>1</w:t>
            </w:r>
            <w:r>
              <w:rPr>
                <w:rFonts w:hint="eastAsia" w:ascii="微软雅黑" w:hAnsi="微软雅黑" w:eastAsia="微软雅黑" w:cs="微软雅黑"/>
                <w:b w:val="0"/>
                <w:bCs w:val="0"/>
                <w:color w:val="auto"/>
                <w:spacing w:val="10"/>
                <w:sz w:val="24"/>
                <w:szCs w:val="24"/>
                <w:highlight w:val="none"/>
                <w:lang w:val="zh-CN"/>
              </w:rPr>
              <w:t>分；未提供不得分。</w:t>
            </w: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2</w:t>
            </w:r>
          </w:p>
        </w:tc>
        <w:tc>
          <w:tcPr>
            <w:tcW w:w="770" w:type="dxa"/>
            <w:vMerge w:val="continue"/>
            <w:tcBorders>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p>
        </w:tc>
        <w:tc>
          <w:tcPr>
            <w:tcW w:w="1050" w:type="dxa"/>
            <w:vMerge w:val="continue"/>
            <w:tcBorders>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p>
        </w:tc>
        <w:tc>
          <w:tcPr>
            <w:tcW w:w="58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项目服务团队人员配置具有明确工作分工，符合本项目采购要求所需的工作能力，综合能力好的得</w:t>
            </w:r>
            <w:r>
              <w:rPr>
                <w:rFonts w:hint="eastAsia" w:ascii="微软雅黑" w:hAnsi="微软雅黑" w:eastAsia="微软雅黑" w:cs="微软雅黑"/>
                <w:b w:val="0"/>
                <w:bCs w:val="0"/>
                <w:i w:val="0"/>
                <w:caps w:val="0"/>
                <w:color w:val="auto"/>
                <w:spacing w:val="0"/>
                <w:sz w:val="24"/>
                <w:szCs w:val="24"/>
                <w:lang w:val="en-US" w:eastAsia="zh-CN"/>
              </w:rPr>
              <w:t>5</w:t>
            </w:r>
            <w:r>
              <w:rPr>
                <w:rFonts w:hint="eastAsia" w:ascii="微软雅黑" w:hAnsi="微软雅黑" w:eastAsia="微软雅黑" w:cs="微软雅黑"/>
                <w:b w:val="0"/>
                <w:bCs w:val="0"/>
                <w:i w:val="0"/>
                <w:caps w:val="0"/>
                <w:color w:val="auto"/>
                <w:spacing w:val="0"/>
                <w:sz w:val="24"/>
                <w:szCs w:val="24"/>
              </w:rPr>
              <w:t>分；综合能力较好的，得</w:t>
            </w:r>
            <w:r>
              <w:rPr>
                <w:rFonts w:hint="eastAsia" w:ascii="微软雅黑" w:hAnsi="微软雅黑" w:eastAsia="微软雅黑" w:cs="微软雅黑"/>
                <w:b w:val="0"/>
                <w:bCs w:val="0"/>
                <w:i w:val="0"/>
                <w:caps w:val="0"/>
                <w:color w:val="auto"/>
                <w:spacing w:val="0"/>
                <w:sz w:val="24"/>
                <w:szCs w:val="24"/>
                <w:lang w:val="en-US" w:eastAsia="zh-CN"/>
              </w:rPr>
              <w:t>2</w:t>
            </w:r>
            <w:r>
              <w:rPr>
                <w:rFonts w:hint="eastAsia" w:ascii="微软雅黑" w:hAnsi="微软雅黑" w:eastAsia="微软雅黑" w:cs="微软雅黑"/>
                <w:b w:val="0"/>
                <w:bCs w:val="0"/>
                <w:i w:val="0"/>
                <w:caps w:val="0"/>
                <w:color w:val="auto"/>
                <w:spacing w:val="0"/>
                <w:sz w:val="24"/>
                <w:szCs w:val="24"/>
              </w:rPr>
              <w:t>分；综合能力一般的，得</w:t>
            </w:r>
            <w:r>
              <w:rPr>
                <w:rFonts w:hint="eastAsia" w:ascii="微软雅黑" w:hAnsi="微软雅黑" w:eastAsia="微软雅黑" w:cs="微软雅黑"/>
                <w:b w:val="0"/>
                <w:bCs w:val="0"/>
                <w:i w:val="0"/>
                <w:caps w:val="0"/>
                <w:color w:val="auto"/>
                <w:spacing w:val="0"/>
                <w:sz w:val="24"/>
                <w:szCs w:val="24"/>
                <w:lang w:val="en-US" w:eastAsia="zh-CN"/>
              </w:rPr>
              <w:t>1</w:t>
            </w:r>
            <w:r>
              <w:rPr>
                <w:rFonts w:hint="eastAsia" w:ascii="微软雅黑" w:hAnsi="微软雅黑" w:eastAsia="微软雅黑" w:cs="微软雅黑"/>
                <w:b w:val="0"/>
                <w:bCs w:val="0"/>
                <w:i w:val="0"/>
                <w:caps w:val="0"/>
                <w:color w:val="auto"/>
                <w:spacing w:val="0"/>
                <w:sz w:val="24"/>
                <w:szCs w:val="24"/>
              </w:rPr>
              <w:t>分。</w:t>
            </w: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3</w:t>
            </w:r>
          </w:p>
        </w:tc>
        <w:tc>
          <w:tcPr>
            <w:tcW w:w="770" w:type="dxa"/>
            <w:vMerge w:val="continue"/>
            <w:tcBorders>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同类项目业绩</w:t>
            </w:r>
          </w:p>
        </w:tc>
        <w:tc>
          <w:tcPr>
            <w:tcW w:w="58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spacing w:line="360" w:lineRule="auto"/>
              <w:ind w:firstLine="0" w:firstLineChars="0"/>
              <w:jc w:val="left"/>
              <w:rPr>
                <w:rFonts w:hint="eastAsia" w:ascii="微软雅黑" w:hAnsi="微软雅黑" w:eastAsia="微软雅黑" w:cs="微软雅黑"/>
                <w:b w:val="0"/>
                <w:bCs w:val="0"/>
                <w:i w:val="0"/>
                <w:caps w:val="0"/>
                <w:color w:val="auto"/>
                <w:spacing w:val="0"/>
                <w:kern w:val="0"/>
                <w:sz w:val="24"/>
                <w:szCs w:val="24"/>
                <w:lang w:val="zh-CN" w:eastAsia="zh-CN" w:bidi="ar"/>
              </w:rPr>
            </w:pPr>
            <w:r>
              <w:rPr>
                <w:rFonts w:hint="eastAsia" w:ascii="微软雅黑" w:hAnsi="微软雅黑" w:eastAsia="微软雅黑" w:cs="微软雅黑"/>
                <w:b w:val="0"/>
                <w:bCs w:val="0"/>
                <w:i w:val="0"/>
                <w:caps w:val="0"/>
                <w:color w:val="auto"/>
                <w:spacing w:val="0"/>
                <w:kern w:val="0"/>
                <w:sz w:val="24"/>
                <w:szCs w:val="24"/>
                <w:lang w:val="zh-CN" w:eastAsia="zh-CN" w:bidi="ar"/>
              </w:rPr>
              <w:t>提供2019年1月1日至今的同类展会布展项目资料，每提供一项得</w:t>
            </w:r>
            <w:r>
              <w:rPr>
                <w:rFonts w:hint="eastAsia" w:ascii="微软雅黑" w:hAnsi="微软雅黑" w:eastAsia="微软雅黑" w:cs="微软雅黑"/>
                <w:b w:val="0"/>
                <w:bCs w:val="0"/>
                <w:i w:val="0"/>
                <w:caps w:val="0"/>
                <w:color w:val="auto"/>
                <w:spacing w:val="0"/>
                <w:kern w:val="0"/>
                <w:sz w:val="24"/>
                <w:szCs w:val="24"/>
                <w:lang w:val="en-US" w:eastAsia="zh-CN" w:bidi="ar"/>
              </w:rPr>
              <w:t>2</w:t>
            </w:r>
            <w:r>
              <w:rPr>
                <w:rFonts w:hint="eastAsia" w:ascii="微软雅黑" w:hAnsi="微软雅黑" w:eastAsia="微软雅黑" w:cs="微软雅黑"/>
                <w:b w:val="0"/>
                <w:bCs w:val="0"/>
                <w:i w:val="0"/>
                <w:caps w:val="0"/>
                <w:color w:val="auto"/>
                <w:spacing w:val="0"/>
                <w:kern w:val="0"/>
                <w:sz w:val="24"/>
                <w:szCs w:val="24"/>
                <w:lang w:val="zh-CN" w:eastAsia="zh-CN" w:bidi="ar"/>
              </w:rPr>
              <w:t>分，最高得</w:t>
            </w:r>
            <w:r>
              <w:rPr>
                <w:rFonts w:hint="eastAsia" w:ascii="微软雅黑" w:hAnsi="微软雅黑" w:eastAsia="微软雅黑" w:cs="微软雅黑"/>
                <w:b w:val="0"/>
                <w:bCs w:val="0"/>
                <w:i w:val="0"/>
                <w:caps w:val="0"/>
                <w:color w:val="auto"/>
                <w:spacing w:val="0"/>
                <w:kern w:val="0"/>
                <w:sz w:val="24"/>
                <w:szCs w:val="24"/>
                <w:lang w:val="en-US" w:eastAsia="zh-CN" w:bidi="ar"/>
              </w:rPr>
              <w:t>8</w:t>
            </w:r>
            <w:r>
              <w:rPr>
                <w:rFonts w:hint="eastAsia" w:ascii="微软雅黑" w:hAnsi="微软雅黑" w:eastAsia="微软雅黑" w:cs="微软雅黑"/>
                <w:b w:val="0"/>
                <w:bCs w:val="0"/>
                <w:i w:val="0"/>
                <w:caps w:val="0"/>
                <w:color w:val="auto"/>
                <w:spacing w:val="0"/>
                <w:kern w:val="0"/>
                <w:sz w:val="24"/>
                <w:szCs w:val="24"/>
                <w:lang w:val="zh-CN" w:eastAsia="zh-CN" w:bidi="ar"/>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i w:val="0"/>
                <w:caps w:val="0"/>
                <w:color w:val="auto"/>
                <w:spacing w:val="0"/>
                <w:kern w:val="0"/>
                <w:sz w:val="24"/>
                <w:szCs w:val="24"/>
                <w:lang w:val="zh-CN" w:eastAsia="zh-CN" w:bidi="ar"/>
              </w:rPr>
              <w:t>须提供合同关键页（封面页、内容页、合同金额页、盖章页）复印件。</w:t>
            </w: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4</w:t>
            </w:r>
          </w:p>
        </w:tc>
        <w:tc>
          <w:tcPr>
            <w:tcW w:w="770" w:type="dxa"/>
            <w:vMerge w:val="continue"/>
            <w:tcBorders>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lang w:val="en-US" w:eastAsia="zh-CN"/>
              </w:rPr>
              <w:t>体系认证</w:t>
            </w:r>
          </w:p>
        </w:tc>
        <w:tc>
          <w:tcPr>
            <w:tcW w:w="58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供应商拥有体系认证证书。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color w:val="auto"/>
                <w:sz w:val="24"/>
                <w:szCs w:val="24"/>
                <w:lang w:val="en-US" w:eastAsia="zh-CN"/>
              </w:rPr>
              <w:t>（1）</w:t>
            </w:r>
            <w:r>
              <w:rPr>
                <w:rFonts w:hint="eastAsia" w:ascii="微软雅黑" w:hAnsi="微软雅黑" w:eastAsia="微软雅黑" w:cs="微软雅黑"/>
                <w:b w:val="0"/>
                <w:bCs w:val="0"/>
                <w:color w:val="auto"/>
                <w:sz w:val="24"/>
                <w:szCs w:val="24"/>
              </w:rPr>
              <w:t>质量管理体系认证证书（2）职业健康安全管理体系认证证书（3）环境管理体系认证证书</w:t>
            </w:r>
            <w:r>
              <w:rPr>
                <w:rFonts w:hint="eastAsia" w:ascii="微软雅黑" w:hAnsi="微软雅黑" w:eastAsia="微软雅黑" w:cs="微软雅黑"/>
                <w:b w:val="0"/>
                <w:bCs w:val="0"/>
                <w:color w:val="auto"/>
                <w:sz w:val="24"/>
                <w:szCs w:val="24"/>
                <w:lang w:val="en-US" w:eastAsia="zh-CN"/>
              </w:rPr>
              <w:t>每提供一个1分，最高得分3分，提供不全不得分。</w:t>
            </w:r>
            <w:r>
              <w:rPr>
                <w:rFonts w:hint="eastAsia" w:ascii="微软雅黑" w:hAnsi="微软雅黑" w:eastAsia="微软雅黑" w:cs="微软雅黑"/>
                <w:b w:val="0"/>
                <w:bCs w:val="0"/>
                <w:color w:val="auto"/>
                <w:sz w:val="24"/>
                <w:szCs w:val="24"/>
              </w:rPr>
              <w:t>（提供复印件加盖公章,且证书须在有效期内）</w:t>
            </w: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lang w:val="en-US" w:eastAsia="zh-CN"/>
              </w:rPr>
              <w:t>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5</w:t>
            </w:r>
          </w:p>
        </w:tc>
        <w:tc>
          <w:tcPr>
            <w:tcW w:w="770" w:type="dxa"/>
            <w:vMerge w:val="restart"/>
            <w:tcBorders>
              <w:top w:val="single" w:color="000000" w:sz="8" w:space="0"/>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color w:val="auto"/>
                <w:sz w:val="24"/>
                <w:szCs w:val="24"/>
              </w:rPr>
            </w:pPr>
            <w:r>
              <w:rPr>
                <w:rFonts w:hint="eastAsia" w:ascii="微软雅黑" w:hAnsi="微软雅黑" w:eastAsia="微软雅黑" w:cs="微软雅黑"/>
                <w:i w:val="0"/>
                <w:caps w:val="0"/>
                <w:color w:val="auto"/>
                <w:spacing w:val="0"/>
                <w:sz w:val="24"/>
                <w:szCs w:val="24"/>
              </w:rPr>
              <w:t>技术部分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color w:val="auto"/>
                <w:sz w:val="24"/>
                <w:szCs w:val="24"/>
              </w:rPr>
              <w:t>设</w:t>
            </w:r>
            <w:r>
              <w:rPr>
                <w:rFonts w:hint="eastAsia" w:ascii="微软雅黑" w:hAnsi="微软雅黑" w:eastAsia="微软雅黑" w:cs="微软雅黑"/>
                <w:b w:val="0"/>
                <w:bCs w:val="0"/>
                <w:color w:val="auto"/>
                <w:sz w:val="24"/>
                <w:szCs w:val="24"/>
                <w:lang w:val="en-US" w:eastAsia="zh-CN"/>
              </w:rPr>
              <w:t xml:space="preserve"> </w:t>
            </w:r>
            <w:r>
              <w:rPr>
                <w:rFonts w:hint="eastAsia" w:ascii="微软雅黑" w:hAnsi="微软雅黑" w:eastAsia="微软雅黑" w:cs="微软雅黑"/>
                <w:b w:val="0"/>
                <w:bCs w:val="0"/>
                <w:color w:val="auto"/>
                <w:sz w:val="24"/>
                <w:szCs w:val="24"/>
              </w:rPr>
              <w:t>计</w:t>
            </w:r>
            <w:r>
              <w:rPr>
                <w:rFonts w:hint="eastAsia" w:ascii="微软雅黑" w:hAnsi="微软雅黑" w:eastAsia="微软雅黑" w:cs="微软雅黑"/>
                <w:b w:val="0"/>
                <w:bCs w:val="0"/>
                <w:color w:val="auto"/>
                <w:sz w:val="24"/>
                <w:szCs w:val="24"/>
                <w:lang w:val="en-US" w:eastAsia="zh-CN"/>
              </w:rPr>
              <w:t xml:space="preserve"> </w:t>
            </w:r>
            <w:r>
              <w:rPr>
                <w:rFonts w:hint="eastAsia" w:ascii="微软雅黑" w:hAnsi="微软雅黑" w:eastAsia="微软雅黑" w:cs="微软雅黑"/>
                <w:b w:val="0"/>
                <w:bCs w:val="0"/>
                <w:color w:val="auto"/>
                <w:sz w:val="24"/>
                <w:szCs w:val="24"/>
              </w:rPr>
              <w:t>方</w:t>
            </w:r>
            <w:r>
              <w:rPr>
                <w:rFonts w:hint="eastAsia" w:ascii="微软雅黑" w:hAnsi="微软雅黑" w:eastAsia="微软雅黑" w:cs="微软雅黑"/>
                <w:b w:val="0"/>
                <w:bCs w:val="0"/>
                <w:color w:val="auto"/>
                <w:sz w:val="24"/>
                <w:szCs w:val="24"/>
                <w:lang w:val="en-US" w:eastAsia="zh-CN"/>
              </w:rPr>
              <w:t xml:space="preserve"> </w:t>
            </w:r>
            <w:r>
              <w:rPr>
                <w:rFonts w:hint="eastAsia" w:ascii="微软雅黑" w:hAnsi="微软雅黑" w:eastAsia="微软雅黑" w:cs="微软雅黑"/>
                <w:b w:val="0"/>
                <w:bCs w:val="0"/>
                <w:color w:val="auto"/>
                <w:sz w:val="24"/>
                <w:szCs w:val="24"/>
              </w:rPr>
              <w:t>案</w:t>
            </w:r>
          </w:p>
        </w:tc>
        <w:tc>
          <w:tcPr>
            <w:tcW w:w="58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color w:val="auto"/>
                <w:sz w:val="24"/>
                <w:szCs w:val="24"/>
              </w:rPr>
              <w:t>供应商针对本项目展示</w:t>
            </w:r>
            <w:r>
              <w:rPr>
                <w:rFonts w:hint="eastAsia" w:ascii="微软雅黑" w:hAnsi="微软雅黑" w:eastAsia="微软雅黑" w:cs="微软雅黑"/>
                <w:b w:val="0"/>
                <w:bCs w:val="0"/>
                <w:color w:val="auto"/>
                <w:sz w:val="24"/>
                <w:szCs w:val="24"/>
                <w:lang w:eastAsia="zh-CN"/>
              </w:rPr>
              <w:t>的</w:t>
            </w:r>
            <w:r>
              <w:rPr>
                <w:rFonts w:hint="eastAsia" w:ascii="微软雅黑" w:hAnsi="微软雅黑" w:eastAsia="微软雅黑" w:cs="微软雅黑"/>
                <w:b w:val="0"/>
                <w:bCs w:val="0"/>
                <w:color w:val="auto"/>
                <w:sz w:val="24"/>
                <w:szCs w:val="24"/>
              </w:rPr>
              <w:t>主线为</w:t>
            </w:r>
            <w:r>
              <w:rPr>
                <w:rFonts w:hint="eastAsia" w:ascii="微软雅黑" w:hAnsi="微软雅黑" w:eastAsia="微软雅黑" w:cs="微软雅黑"/>
                <w:b w:val="0"/>
                <w:bCs w:val="0"/>
                <w:color w:val="auto"/>
                <w:sz w:val="24"/>
                <w:szCs w:val="24"/>
                <w:lang w:eastAsia="zh-CN"/>
              </w:rPr>
              <w:t>采购</w:t>
            </w:r>
            <w:r>
              <w:rPr>
                <w:rFonts w:hint="eastAsia" w:ascii="微软雅黑" w:hAnsi="微软雅黑" w:eastAsia="微软雅黑" w:cs="微软雅黑"/>
                <w:b w:val="0"/>
                <w:bCs w:val="0"/>
                <w:color w:val="auto"/>
                <w:sz w:val="24"/>
                <w:szCs w:val="24"/>
              </w:rPr>
              <w:t>人提供展馆设计</w:t>
            </w:r>
            <w:r>
              <w:rPr>
                <w:rFonts w:hint="eastAsia" w:ascii="微软雅黑" w:hAnsi="微软雅黑" w:eastAsia="微软雅黑" w:cs="微软雅黑"/>
                <w:b w:val="0"/>
                <w:bCs w:val="0"/>
                <w:color w:val="auto"/>
                <w:sz w:val="24"/>
                <w:szCs w:val="24"/>
                <w:lang w:eastAsia="zh-CN"/>
              </w:rPr>
              <w:t>的</w:t>
            </w:r>
            <w:r>
              <w:rPr>
                <w:rFonts w:hint="eastAsia" w:ascii="微软雅黑" w:hAnsi="微软雅黑" w:eastAsia="微软雅黑" w:cs="微软雅黑"/>
                <w:b w:val="0"/>
                <w:bCs w:val="0"/>
                <w:color w:val="auto"/>
                <w:sz w:val="24"/>
                <w:szCs w:val="24"/>
              </w:rPr>
              <w:t>方案突出主题、内容清晰连贯，设计创意强、视觉效果独特、</w:t>
            </w:r>
            <w:r>
              <w:rPr>
                <w:rFonts w:hint="eastAsia" w:ascii="微软雅黑" w:hAnsi="微软雅黑" w:eastAsia="微软雅黑" w:cs="微软雅黑"/>
                <w:b w:val="0"/>
                <w:bCs w:val="0"/>
                <w:color w:val="auto"/>
                <w:sz w:val="24"/>
                <w:szCs w:val="24"/>
                <w:lang w:val="en-US" w:eastAsia="zh-CN"/>
              </w:rPr>
              <w:t>江门市</w:t>
            </w:r>
            <w:r>
              <w:rPr>
                <w:rFonts w:hint="eastAsia" w:ascii="微软雅黑" w:hAnsi="微软雅黑" w:eastAsia="微软雅黑" w:cs="微软雅黑"/>
                <w:b w:val="0"/>
                <w:bCs w:val="0"/>
                <w:color w:val="auto"/>
                <w:sz w:val="24"/>
                <w:szCs w:val="24"/>
              </w:rPr>
              <w:t>为代表的</w:t>
            </w:r>
            <w:r>
              <w:rPr>
                <w:rFonts w:hint="eastAsia" w:ascii="微软雅黑" w:hAnsi="微软雅黑" w:eastAsia="微软雅黑" w:cs="微软雅黑"/>
                <w:b w:val="0"/>
                <w:bCs w:val="0"/>
                <w:color w:val="auto"/>
                <w:sz w:val="24"/>
                <w:szCs w:val="24"/>
                <w:lang w:val="en-US" w:eastAsia="zh-CN"/>
              </w:rPr>
              <w:t>预制菜</w:t>
            </w:r>
            <w:r>
              <w:rPr>
                <w:rFonts w:hint="eastAsia" w:ascii="微软雅黑" w:hAnsi="微软雅黑" w:eastAsia="微软雅黑" w:cs="微软雅黑"/>
                <w:b w:val="0"/>
                <w:bCs w:val="0"/>
                <w:color w:val="auto"/>
                <w:sz w:val="24"/>
                <w:szCs w:val="24"/>
              </w:rPr>
              <w:t>特点突出、全面，详实</w:t>
            </w:r>
            <w:r>
              <w:rPr>
                <w:rFonts w:hint="eastAsia" w:ascii="微软雅黑" w:hAnsi="微软雅黑" w:eastAsia="微软雅黑" w:cs="微软雅黑"/>
                <w:b w:val="0"/>
                <w:bCs w:val="0"/>
                <w:color w:val="auto"/>
                <w:sz w:val="24"/>
                <w:szCs w:val="24"/>
                <w:lang w:eastAsia="zh-CN"/>
              </w:rPr>
              <w:t>，搭建材料以木质为主</w:t>
            </w:r>
            <w:r>
              <w:rPr>
                <w:rFonts w:hint="eastAsia" w:ascii="微软雅黑" w:hAnsi="微软雅黑" w:eastAsia="微软雅黑" w:cs="微软雅黑"/>
                <w:b w:val="0"/>
                <w:bCs w:val="0"/>
                <w:color w:val="auto"/>
                <w:sz w:val="24"/>
                <w:szCs w:val="24"/>
              </w:rPr>
              <w:t>得</w:t>
            </w:r>
            <w:r>
              <w:rPr>
                <w:rFonts w:hint="eastAsia" w:ascii="微软雅黑" w:hAnsi="微软雅黑" w:eastAsia="微软雅黑" w:cs="微软雅黑"/>
                <w:b w:val="0"/>
                <w:bCs w:val="0"/>
                <w:color w:val="auto"/>
                <w:sz w:val="24"/>
                <w:szCs w:val="24"/>
                <w:lang w:val="en-US" w:eastAsia="zh-CN"/>
              </w:rPr>
              <w:t>15</w:t>
            </w:r>
            <w:r>
              <w:rPr>
                <w:rFonts w:hint="eastAsia" w:ascii="微软雅黑" w:hAnsi="微软雅黑" w:eastAsia="微软雅黑" w:cs="微软雅黑"/>
                <w:b w:val="0"/>
                <w:bCs w:val="0"/>
                <w:color w:val="auto"/>
                <w:sz w:val="24"/>
                <w:szCs w:val="24"/>
              </w:rPr>
              <w:t>分；方案符合主题、展示内容清晰连贯、设计创意较强、视觉效果较独特、</w:t>
            </w:r>
            <w:r>
              <w:rPr>
                <w:rFonts w:hint="eastAsia" w:ascii="微软雅黑" w:hAnsi="微软雅黑" w:eastAsia="微软雅黑" w:cs="微软雅黑"/>
                <w:b w:val="0"/>
                <w:bCs w:val="0"/>
                <w:color w:val="auto"/>
                <w:sz w:val="24"/>
                <w:szCs w:val="24"/>
                <w:lang w:val="en-US" w:eastAsia="zh-CN"/>
              </w:rPr>
              <w:t>江门市</w:t>
            </w:r>
            <w:r>
              <w:rPr>
                <w:rFonts w:hint="eastAsia" w:ascii="微软雅黑" w:hAnsi="微软雅黑" w:eastAsia="微软雅黑" w:cs="微软雅黑"/>
                <w:b w:val="0"/>
                <w:bCs w:val="0"/>
                <w:color w:val="auto"/>
                <w:sz w:val="24"/>
                <w:szCs w:val="24"/>
              </w:rPr>
              <w:t>为代表的</w:t>
            </w:r>
            <w:r>
              <w:rPr>
                <w:rFonts w:hint="eastAsia" w:ascii="微软雅黑" w:hAnsi="微软雅黑" w:eastAsia="微软雅黑" w:cs="微软雅黑"/>
                <w:b w:val="0"/>
                <w:bCs w:val="0"/>
                <w:color w:val="auto"/>
                <w:sz w:val="24"/>
                <w:szCs w:val="24"/>
                <w:lang w:val="en-US" w:eastAsia="zh-CN"/>
              </w:rPr>
              <w:t>预制菜</w:t>
            </w:r>
            <w:r>
              <w:rPr>
                <w:rFonts w:hint="eastAsia" w:ascii="微软雅黑" w:hAnsi="微软雅黑" w:eastAsia="微软雅黑" w:cs="微软雅黑"/>
                <w:b w:val="0"/>
                <w:bCs w:val="0"/>
                <w:color w:val="auto"/>
                <w:sz w:val="24"/>
                <w:szCs w:val="24"/>
              </w:rPr>
              <w:t>特点针对性一般，得</w:t>
            </w:r>
            <w:r>
              <w:rPr>
                <w:rFonts w:hint="eastAsia" w:ascii="微软雅黑" w:hAnsi="微软雅黑" w:eastAsia="微软雅黑" w:cs="微软雅黑"/>
                <w:b w:val="0"/>
                <w:bCs w:val="0"/>
                <w:color w:val="auto"/>
                <w:sz w:val="24"/>
                <w:szCs w:val="24"/>
                <w:lang w:val="en-US" w:eastAsia="zh-CN"/>
              </w:rPr>
              <w:t>8</w:t>
            </w:r>
            <w:r>
              <w:rPr>
                <w:rFonts w:hint="eastAsia" w:ascii="微软雅黑" w:hAnsi="微软雅黑" w:eastAsia="微软雅黑" w:cs="微软雅黑"/>
                <w:b w:val="0"/>
                <w:bCs w:val="0"/>
                <w:color w:val="auto"/>
                <w:sz w:val="24"/>
                <w:szCs w:val="24"/>
              </w:rPr>
              <w:t>分；方案符合主题,视觉效果较独特，具备</w:t>
            </w:r>
            <w:r>
              <w:rPr>
                <w:rFonts w:hint="eastAsia" w:ascii="微软雅黑" w:hAnsi="微软雅黑" w:eastAsia="微软雅黑" w:cs="微软雅黑"/>
                <w:b w:val="0"/>
                <w:bCs w:val="0"/>
                <w:color w:val="auto"/>
                <w:sz w:val="24"/>
                <w:szCs w:val="24"/>
                <w:lang w:val="en-US" w:eastAsia="zh-CN"/>
              </w:rPr>
              <w:t>江门</w:t>
            </w:r>
            <w:r>
              <w:rPr>
                <w:rFonts w:hint="eastAsia" w:ascii="微软雅黑" w:hAnsi="微软雅黑" w:eastAsia="微软雅黑" w:cs="微软雅黑"/>
                <w:b w:val="0"/>
                <w:bCs w:val="0"/>
                <w:color w:val="auto"/>
                <w:sz w:val="24"/>
                <w:szCs w:val="24"/>
              </w:rPr>
              <w:t>市为代表的</w:t>
            </w:r>
            <w:r>
              <w:rPr>
                <w:rFonts w:hint="eastAsia" w:ascii="微软雅黑" w:hAnsi="微软雅黑" w:eastAsia="微软雅黑" w:cs="微软雅黑"/>
                <w:b w:val="0"/>
                <w:bCs w:val="0"/>
                <w:color w:val="auto"/>
                <w:sz w:val="24"/>
                <w:szCs w:val="24"/>
                <w:lang w:val="en-US" w:eastAsia="zh-CN"/>
              </w:rPr>
              <w:t>预制菜</w:t>
            </w:r>
            <w:r>
              <w:rPr>
                <w:rFonts w:hint="eastAsia" w:ascii="微软雅黑" w:hAnsi="微软雅黑" w:eastAsia="微软雅黑" w:cs="微软雅黑"/>
                <w:b w:val="0"/>
                <w:bCs w:val="0"/>
                <w:color w:val="auto"/>
                <w:sz w:val="24"/>
                <w:szCs w:val="24"/>
              </w:rPr>
              <w:t>特点一般，得</w:t>
            </w:r>
            <w:r>
              <w:rPr>
                <w:rFonts w:hint="eastAsia" w:ascii="微软雅黑" w:hAnsi="微软雅黑" w:eastAsia="微软雅黑" w:cs="微软雅黑"/>
                <w:b w:val="0"/>
                <w:bCs w:val="0"/>
                <w:color w:val="auto"/>
                <w:sz w:val="24"/>
                <w:szCs w:val="24"/>
                <w:lang w:val="en-US" w:eastAsia="zh-CN"/>
              </w:rPr>
              <w:t>4</w:t>
            </w:r>
            <w:bookmarkStart w:id="0" w:name="_GoBack"/>
            <w:bookmarkEnd w:id="0"/>
            <w:r>
              <w:rPr>
                <w:rFonts w:hint="eastAsia" w:ascii="微软雅黑" w:hAnsi="微软雅黑" w:eastAsia="微软雅黑" w:cs="微软雅黑"/>
                <w:b w:val="0"/>
                <w:bCs w:val="0"/>
                <w:color w:val="auto"/>
                <w:sz w:val="24"/>
                <w:szCs w:val="24"/>
              </w:rPr>
              <w:t>分（注：</w:t>
            </w:r>
            <w:r>
              <w:rPr>
                <w:rFonts w:hint="eastAsia" w:ascii="微软雅黑" w:hAnsi="微软雅黑" w:eastAsia="微软雅黑" w:cs="微软雅黑"/>
                <w:b w:val="0"/>
                <w:bCs w:val="0"/>
                <w:color w:val="auto"/>
                <w:sz w:val="24"/>
                <w:szCs w:val="24"/>
                <w:lang w:eastAsia="zh-CN"/>
              </w:rPr>
              <w:t>供应商</w:t>
            </w:r>
            <w:r>
              <w:rPr>
                <w:rFonts w:hint="eastAsia" w:ascii="微软雅黑" w:hAnsi="微软雅黑" w:eastAsia="微软雅黑" w:cs="微软雅黑"/>
                <w:b w:val="0"/>
                <w:bCs w:val="0"/>
                <w:color w:val="auto"/>
                <w:sz w:val="24"/>
                <w:szCs w:val="24"/>
              </w:rPr>
              <w:t>需提供场地设计方案效果图及文字说明，未提供或者提供不齐全的不得分）</w:t>
            </w: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lang w:val="en-US" w:eastAsia="zh-CN"/>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6</w:t>
            </w:r>
          </w:p>
        </w:tc>
        <w:tc>
          <w:tcPr>
            <w:tcW w:w="770" w:type="dxa"/>
            <w:vMerge w:val="continue"/>
            <w:tcBorders>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color w:val="auto"/>
                <w:sz w:val="24"/>
                <w:szCs w:val="24"/>
              </w:rPr>
              <w:t>服务方案</w:t>
            </w:r>
          </w:p>
        </w:tc>
        <w:tc>
          <w:tcPr>
            <w:tcW w:w="58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color w:val="auto"/>
                <w:sz w:val="24"/>
                <w:szCs w:val="24"/>
              </w:rPr>
              <w:t>供应商针对该项目制定明确、详细、规范、全面的服务方案，方案描述清晰、可行，可操作性强得</w:t>
            </w:r>
            <w:r>
              <w:rPr>
                <w:rFonts w:hint="eastAsia" w:ascii="微软雅黑" w:hAnsi="微软雅黑" w:eastAsia="微软雅黑" w:cs="微软雅黑"/>
                <w:b w:val="0"/>
                <w:bCs w:val="0"/>
                <w:color w:val="auto"/>
                <w:sz w:val="24"/>
                <w:szCs w:val="24"/>
                <w:lang w:val="en-US" w:eastAsia="zh-CN"/>
              </w:rPr>
              <w:t>9</w:t>
            </w:r>
            <w:r>
              <w:rPr>
                <w:rFonts w:hint="eastAsia" w:ascii="微软雅黑" w:hAnsi="微软雅黑" w:eastAsia="微软雅黑" w:cs="微软雅黑"/>
                <w:b w:val="0"/>
                <w:bCs w:val="0"/>
                <w:color w:val="auto"/>
                <w:sz w:val="24"/>
                <w:szCs w:val="24"/>
              </w:rPr>
              <w:t>分；方案描述基本可行，操作性一般得</w:t>
            </w:r>
            <w:r>
              <w:rPr>
                <w:rFonts w:hint="eastAsia" w:ascii="微软雅黑" w:hAnsi="微软雅黑" w:eastAsia="微软雅黑" w:cs="微软雅黑"/>
                <w:b w:val="0"/>
                <w:bCs w:val="0"/>
                <w:color w:val="auto"/>
                <w:sz w:val="24"/>
                <w:szCs w:val="24"/>
                <w:lang w:val="en-US" w:eastAsia="zh-CN"/>
              </w:rPr>
              <w:t>5</w:t>
            </w:r>
            <w:r>
              <w:rPr>
                <w:rFonts w:hint="eastAsia" w:ascii="微软雅黑" w:hAnsi="微软雅黑" w:eastAsia="微软雅黑" w:cs="微软雅黑"/>
                <w:b w:val="0"/>
                <w:bCs w:val="0"/>
                <w:color w:val="auto"/>
                <w:sz w:val="24"/>
                <w:szCs w:val="24"/>
              </w:rPr>
              <w:t>分；方案描述不完整，方案内容有缺陷得</w:t>
            </w:r>
            <w:r>
              <w:rPr>
                <w:rFonts w:hint="eastAsia" w:ascii="微软雅黑" w:hAnsi="微软雅黑" w:eastAsia="微软雅黑" w:cs="微软雅黑"/>
                <w:b w:val="0"/>
                <w:bCs w:val="0"/>
                <w:color w:val="auto"/>
                <w:sz w:val="24"/>
                <w:szCs w:val="24"/>
                <w:lang w:val="en-US" w:eastAsia="zh-CN"/>
              </w:rPr>
              <w:t>2</w:t>
            </w:r>
            <w:r>
              <w:rPr>
                <w:rFonts w:hint="eastAsia" w:ascii="微软雅黑" w:hAnsi="微软雅黑" w:eastAsia="微软雅黑" w:cs="微软雅黑"/>
                <w:b w:val="0"/>
                <w:bCs w:val="0"/>
                <w:color w:val="auto"/>
                <w:sz w:val="24"/>
                <w:szCs w:val="24"/>
              </w:rPr>
              <w:t>分；未提供不得分。</w:t>
            </w: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7</w:t>
            </w:r>
          </w:p>
        </w:tc>
        <w:tc>
          <w:tcPr>
            <w:tcW w:w="770" w:type="dxa"/>
            <w:vMerge w:val="continue"/>
            <w:tcBorders>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color w:val="auto"/>
                <w:sz w:val="24"/>
                <w:szCs w:val="24"/>
              </w:rPr>
              <w:t>人员配置</w:t>
            </w:r>
          </w:p>
        </w:tc>
        <w:tc>
          <w:tcPr>
            <w:tcW w:w="58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color w:val="auto"/>
                <w:sz w:val="24"/>
                <w:szCs w:val="24"/>
              </w:rPr>
              <w:t>供应商针对项目服务需求制定人员配置：项目经理投入、主要技术人员配备合理，人员配置的人数、岗位、职责完全满足项目需求得</w:t>
            </w:r>
            <w:r>
              <w:rPr>
                <w:rFonts w:hint="eastAsia" w:ascii="微软雅黑" w:hAnsi="微软雅黑" w:eastAsia="微软雅黑" w:cs="微软雅黑"/>
                <w:b w:val="0"/>
                <w:bCs w:val="0"/>
                <w:color w:val="auto"/>
                <w:sz w:val="24"/>
                <w:szCs w:val="24"/>
                <w:lang w:val="en-US" w:eastAsia="zh-CN"/>
              </w:rPr>
              <w:t>7</w:t>
            </w:r>
            <w:r>
              <w:rPr>
                <w:rFonts w:hint="eastAsia" w:ascii="微软雅黑" w:hAnsi="微软雅黑" w:eastAsia="微软雅黑" w:cs="微软雅黑"/>
                <w:b w:val="0"/>
                <w:bCs w:val="0"/>
                <w:color w:val="auto"/>
                <w:sz w:val="24"/>
                <w:szCs w:val="24"/>
              </w:rPr>
              <w:t>分</w:t>
            </w: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rPr>
              <w:t>基本满足项目需求得</w:t>
            </w:r>
            <w:r>
              <w:rPr>
                <w:rFonts w:hint="eastAsia" w:ascii="微软雅黑" w:hAnsi="微软雅黑" w:eastAsia="微软雅黑" w:cs="微软雅黑"/>
                <w:b w:val="0"/>
                <w:bCs w:val="0"/>
                <w:color w:val="auto"/>
                <w:sz w:val="24"/>
                <w:szCs w:val="24"/>
                <w:lang w:val="en-US" w:eastAsia="zh-CN"/>
              </w:rPr>
              <w:t>5</w:t>
            </w:r>
            <w:r>
              <w:rPr>
                <w:rFonts w:hint="eastAsia" w:ascii="微软雅黑" w:hAnsi="微软雅黑" w:eastAsia="微软雅黑" w:cs="微软雅黑"/>
                <w:b w:val="0"/>
                <w:bCs w:val="0"/>
                <w:color w:val="auto"/>
                <w:sz w:val="24"/>
                <w:szCs w:val="24"/>
              </w:rPr>
              <w:t>分</w:t>
            </w: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rPr>
              <w:t>不完全满足项目需求得2分</w:t>
            </w:r>
            <w:r>
              <w:rPr>
                <w:rFonts w:hint="eastAsia" w:ascii="微软雅黑" w:hAnsi="微软雅黑" w:eastAsia="微软雅黑" w:cs="微软雅黑"/>
                <w:b w:val="0"/>
                <w:bCs w:val="0"/>
                <w:color w:val="auto"/>
                <w:sz w:val="24"/>
                <w:szCs w:val="24"/>
                <w:lang w:eastAsia="zh-CN"/>
              </w:rPr>
              <w:t>；</w:t>
            </w:r>
            <w:r>
              <w:rPr>
                <w:rFonts w:hint="eastAsia" w:ascii="微软雅黑" w:hAnsi="微软雅黑" w:eastAsia="微软雅黑" w:cs="微软雅黑"/>
                <w:b w:val="0"/>
                <w:bCs w:val="0"/>
                <w:color w:val="auto"/>
                <w:sz w:val="24"/>
                <w:szCs w:val="24"/>
              </w:rPr>
              <w:t>未提供不得分。</w:t>
            </w: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lang w:val="en-US" w:eastAsia="zh-CN"/>
              </w:rPr>
              <w:t>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8</w:t>
            </w:r>
          </w:p>
        </w:tc>
        <w:tc>
          <w:tcPr>
            <w:tcW w:w="770" w:type="dxa"/>
            <w:vMerge w:val="continue"/>
            <w:tcBorders>
              <w:left w:val="nil"/>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color w:val="auto"/>
                <w:sz w:val="24"/>
                <w:szCs w:val="24"/>
              </w:rPr>
              <w:t>应急预案</w:t>
            </w:r>
          </w:p>
        </w:tc>
        <w:tc>
          <w:tcPr>
            <w:tcW w:w="58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color w:val="auto"/>
                <w:sz w:val="24"/>
                <w:szCs w:val="24"/>
              </w:rPr>
              <w:t>供应商提供的应急预案科学合理，完全满足项目整体需求，针对各种危险、意外因素和其他特殊情况考虑周全，处置方法针对性强得</w:t>
            </w:r>
            <w:r>
              <w:rPr>
                <w:rFonts w:hint="eastAsia" w:ascii="微软雅黑" w:hAnsi="微软雅黑" w:eastAsia="微软雅黑" w:cs="微软雅黑"/>
                <w:b w:val="0"/>
                <w:bCs w:val="0"/>
                <w:color w:val="auto"/>
                <w:sz w:val="24"/>
                <w:szCs w:val="24"/>
                <w:lang w:val="en-US" w:eastAsia="zh-CN"/>
              </w:rPr>
              <w:t>12</w:t>
            </w:r>
            <w:r>
              <w:rPr>
                <w:rFonts w:hint="eastAsia" w:ascii="微软雅黑" w:hAnsi="微软雅黑" w:eastAsia="微软雅黑" w:cs="微软雅黑"/>
                <w:b w:val="0"/>
                <w:bCs w:val="0"/>
                <w:color w:val="auto"/>
                <w:sz w:val="24"/>
                <w:szCs w:val="24"/>
              </w:rPr>
              <w:t>分；基本满足项目整体需求，处置方法针对性较强得</w:t>
            </w:r>
            <w:r>
              <w:rPr>
                <w:rFonts w:hint="eastAsia" w:ascii="微软雅黑" w:hAnsi="微软雅黑" w:eastAsia="微软雅黑" w:cs="微软雅黑"/>
                <w:b w:val="0"/>
                <w:bCs w:val="0"/>
                <w:color w:val="auto"/>
                <w:sz w:val="24"/>
                <w:szCs w:val="24"/>
                <w:lang w:val="en-US" w:eastAsia="zh-CN"/>
              </w:rPr>
              <w:t>6</w:t>
            </w:r>
            <w:r>
              <w:rPr>
                <w:rFonts w:hint="eastAsia" w:ascii="微软雅黑" w:hAnsi="微软雅黑" w:eastAsia="微软雅黑" w:cs="微软雅黑"/>
                <w:b w:val="0"/>
                <w:bCs w:val="0"/>
                <w:color w:val="auto"/>
                <w:sz w:val="24"/>
                <w:szCs w:val="24"/>
              </w:rPr>
              <w:t>分；不符合项目需求，处置方法没有针对性的得2分；未提供不得分。</w:t>
            </w: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lang w:val="en-US" w:eastAsia="zh-CN"/>
              </w:rPr>
              <w:t>12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9</w:t>
            </w:r>
          </w:p>
        </w:tc>
        <w:tc>
          <w:tcPr>
            <w:tcW w:w="770" w:type="dxa"/>
            <w:vMerge w:val="continue"/>
            <w:tcBorders>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color w:val="auto"/>
                <w:sz w:val="24"/>
                <w:szCs w:val="24"/>
              </w:rPr>
              <w:t>服务质量承诺及保证措施</w:t>
            </w:r>
          </w:p>
        </w:tc>
        <w:tc>
          <w:tcPr>
            <w:tcW w:w="58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color w:val="auto"/>
                <w:sz w:val="24"/>
                <w:szCs w:val="24"/>
              </w:rPr>
              <w:t>供应商提供完整且有针对性的服务质量保证措施，出具承诺函。服务质量承诺及保证措施完整详细，针对性强，能够完全保障项目服务质量得</w:t>
            </w:r>
            <w:r>
              <w:rPr>
                <w:rFonts w:hint="eastAsia" w:ascii="微软雅黑" w:hAnsi="微软雅黑" w:eastAsia="微软雅黑" w:cs="微软雅黑"/>
                <w:b w:val="0"/>
                <w:bCs w:val="0"/>
                <w:color w:val="auto"/>
                <w:sz w:val="24"/>
                <w:szCs w:val="24"/>
                <w:lang w:val="en-US" w:eastAsia="zh-CN"/>
              </w:rPr>
              <w:t>8</w:t>
            </w:r>
            <w:r>
              <w:rPr>
                <w:rFonts w:hint="eastAsia" w:ascii="微软雅黑" w:hAnsi="微软雅黑" w:eastAsia="微软雅黑" w:cs="微软雅黑"/>
                <w:b w:val="0"/>
                <w:bCs w:val="0"/>
                <w:color w:val="auto"/>
                <w:sz w:val="24"/>
                <w:szCs w:val="24"/>
              </w:rPr>
              <w:t>分；服务质量承诺及保证措施基本完整详细，针对性一般，基本保障项目服务质量得5分，服务质量承诺及保证措施有缺陷，不具备针对性，无法保障项目服务质量得2分，未提供不得分。</w:t>
            </w: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lang w:val="en-US" w:eastAsia="zh-CN"/>
              </w:rPr>
              <w:t>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lang w:val="en-US" w:eastAsia="zh-CN"/>
              </w:rPr>
              <w:t>10</w:t>
            </w:r>
          </w:p>
        </w:tc>
        <w:tc>
          <w:tcPr>
            <w:tcW w:w="1820" w:type="dxa"/>
            <w:gridSpan w:val="2"/>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价格</w:t>
            </w:r>
          </w:p>
        </w:tc>
        <w:tc>
          <w:tcPr>
            <w:tcW w:w="58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以最低的有效报价为评标基准报价，其价格为满分</w:t>
            </w:r>
            <w:r>
              <w:rPr>
                <w:rFonts w:hint="eastAsia" w:ascii="微软雅黑" w:hAnsi="微软雅黑" w:eastAsia="微软雅黑" w:cs="微软雅黑"/>
                <w:b w:val="0"/>
                <w:bCs w:val="0"/>
                <w:i w:val="0"/>
                <w:caps w:val="0"/>
                <w:color w:val="auto"/>
                <w:spacing w:val="0"/>
                <w:sz w:val="24"/>
                <w:szCs w:val="24"/>
                <w:lang w:val="en-US" w:eastAsia="zh-CN"/>
              </w:rPr>
              <w:t>3</w:t>
            </w:r>
            <w:r>
              <w:rPr>
                <w:rFonts w:hint="eastAsia" w:ascii="微软雅黑" w:hAnsi="微软雅黑" w:eastAsia="微软雅黑" w:cs="微软雅黑"/>
                <w:b w:val="0"/>
                <w:bCs w:val="0"/>
                <w:i w:val="0"/>
                <w:caps w:val="0"/>
                <w:color w:val="auto"/>
                <w:spacing w:val="0"/>
                <w:sz w:val="24"/>
                <w:szCs w:val="24"/>
              </w:rPr>
              <w:t>0分。其他投标人的价格分统一按照下列公式计算：投标报价得分=（评标基准价/投标报价）×</w:t>
            </w:r>
            <w:r>
              <w:rPr>
                <w:rFonts w:hint="eastAsia" w:ascii="微软雅黑" w:hAnsi="微软雅黑" w:eastAsia="微软雅黑" w:cs="微软雅黑"/>
                <w:b w:val="0"/>
                <w:bCs w:val="0"/>
                <w:i w:val="0"/>
                <w:caps w:val="0"/>
                <w:color w:val="auto"/>
                <w:spacing w:val="0"/>
                <w:sz w:val="24"/>
                <w:szCs w:val="24"/>
                <w:lang w:val="en-US" w:eastAsia="zh-CN"/>
              </w:rPr>
              <w:t>30</w:t>
            </w:r>
            <w:r>
              <w:rPr>
                <w:rFonts w:hint="eastAsia" w:ascii="微软雅黑" w:hAnsi="微软雅黑" w:eastAsia="微软雅黑" w:cs="微软雅黑"/>
                <w:b w:val="0"/>
                <w:bCs w:val="0"/>
                <w:i w:val="0"/>
                <w:caps w:val="0"/>
                <w:color w:val="auto"/>
                <w:spacing w:val="0"/>
                <w:sz w:val="24"/>
                <w:szCs w:val="24"/>
              </w:rPr>
              <w:t>。</w:t>
            </w: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lang w:val="en-US" w:eastAsia="zh-CN"/>
              </w:rPr>
              <w:t>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364" w:type="dxa"/>
            <w:gridSpan w:val="4"/>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lang w:eastAsia="zh-CN"/>
              </w:rPr>
            </w:pPr>
            <w:r>
              <w:rPr>
                <w:rFonts w:hint="eastAsia" w:ascii="微软雅黑" w:hAnsi="微软雅黑" w:eastAsia="微软雅黑" w:cs="微软雅黑"/>
                <w:i w:val="0"/>
                <w:caps w:val="0"/>
                <w:color w:val="auto"/>
                <w:spacing w:val="0"/>
                <w:sz w:val="24"/>
                <w:szCs w:val="24"/>
                <w:lang w:eastAsia="zh-CN"/>
              </w:rPr>
              <w:t>合计</w:t>
            </w:r>
          </w:p>
        </w:tc>
        <w:tc>
          <w:tcPr>
            <w:tcW w:w="105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lang w:val="en-US" w:eastAsia="zh-CN"/>
              </w:rPr>
              <w:t>100</w:t>
            </w:r>
          </w:p>
        </w:tc>
      </w:tr>
    </w:tbl>
    <w:p>
      <w:pPr>
        <w:numPr>
          <w:ilvl w:val="0"/>
          <w:numId w:val="0"/>
        </w:numPr>
        <w:pBdr>
          <w:top w:val="none" w:color="auto" w:sz="0" w:space="0"/>
          <w:left w:val="none" w:color="auto" w:sz="0" w:space="0"/>
          <w:bottom w:val="none" w:color="auto" w:sz="0" w:space="0"/>
          <w:right w:val="none" w:color="auto" w:sz="0" w:space="0"/>
        </w:pBdr>
        <w:ind w:leftChars="0"/>
        <w:jc w:val="left"/>
        <w:rPr>
          <w:rFonts w:hint="eastAsia" w:ascii="微软雅黑" w:hAnsi="微软雅黑" w:eastAsia="微软雅黑" w:cs="微软雅黑"/>
          <w:sz w:val="24"/>
          <w:szCs w:val="24"/>
          <w:lang w:val="en-US" w:eastAsia="zh-CN"/>
        </w:rPr>
      </w:pPr>
    </w:p>
    <w:p>
      <w:pPr>
        <w:numPr>
          <w:ilvl w:val="0"/>
          <w:numId w:val="0"/>
        </w:numPr>
        <w:pBdr>
          <w:top w:val="none" w:color="auto" w:sz="0" w:space="0"/>
          <w:left w:val="none" w:color="auto" w:sz="0" w:space="0"/>
          <w:bottom w:val="none" w:color="auto" w:sz="0" w:space="0"/>
          <w:right w:val="none" w:color="auto" w:sz="0" w:space="0"/>
        </w:pBdr>
        <w:ind w:leftChars="0"/>
        <w:jc w:val="left"/>
        <w:rPr>
          <w:rFonts w:hint="eastAsia" w:ascii="微软雅黑" w:hAnsi="微软雅黑" w:eastAsia="微软雅黑" w:cs="微软雅黑"/>
          <w:sz w:val="24"/>
          <w:szCs w:val="24"/>
          <w:lang w:val="en-US" w:eastAsia="zh-CN"/>
        </w:rPr>
      </w:pPr>
    </w:p>
    <w:p>
      <w:pPr>
        <w:numPr>
          <w:ilvl w:val="0"/>
          <w:numId w:val="0"/>
        </w:numPr>
        <w:ind w:leftChars="0"/>
        <w:jc w:val="left"/>
        <w:rPr>
          <w:rFonts w:hint="eastAsia" w:ascii="微软雅黑" w:hAnsi="微软雅黑" w:eastAsia="微软雅黑" w:cs="微软雅黑"/>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00"/>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公文小标宋">
    <w:altName w:val="方正小标宋_GBK"/>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27196"/>
    <w:multiLevelType w:val="multilevel"/>
    <w:tmpl w:val="57727196"/>
    <w:lvl w:ilvl="0" w:tentative="0">
      <w:start w:val="2"/>
      <w:numFmt w:val="japaneseCounting"/>
      <w:lvlText w:val="（%1）"/>
      <w:lvlJc w:val="left"/>
      <w:pPr>
        <w:ind w:left="1640" w:hanging="10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OGUwYzRmOTY0MzM5OTNlMDVhMTAxODU3NGY0ZWIifQ=="/>
  </w:docVars>
  <w:rsids>
    <w:rsidRoot w:val="10CE2C4C"/>
    <w:rsid w:val="016A55EC"/>
    <w:rsid w:val="02FD2237"/>
    <w:rsid w:val="04CF0C57"/>
    <w:rsid w:val="092E6746"/>
    <w:rsid w:val="09AC4124"/>
    <w:rsid w:val="0F581DD2"/>
    <w:rsid w:val="0F6C1ADF"/>
    <w:rsid w:val="10CE2C4C"/>
    <w:rsid w:val="16827EAE"/>
    <w:rsid w:val="19D73291"/>
    <w:rsid w:val="1A2A3794"/>
    <w:rsid w:val="1ED5325C"/>
    <w:rsid w:val="2052046C"/>
    <w:rsid w:val="23E34C9B"/>
    <w:rsid w:val="2A752B21"/>
    <w:rsid w:val="2AAF20EA"/>
    <w:rsid w:val="3176299E"/>
    <w:rsid w:val="32D60BB1"/>
    <w:rsid w:val="32FB2E25"/>
    <w:rsid w:val="361C7227"/>
    <w:rsid w:val="3628485F"/>
    <w:rsid w:val="3DB5580B"/>
    <w:rsid w:val="42CB2F31"/>
    <w:rsid w:val="431D0ECB"/>
    <w:rsid w:val="49796116"/>
    <w:rsid w:val="4B370CE5"/>
    <w:rsid w:val="4E464D3D"/>
    <w:rsid w:val="4F330A2A"/>
    <w:rsid w:val="50C11611"/>
    <w:rsid w:val="54A2474F"/>
    <w:rsid w:val="5A6905BB"/>
    <w:rsid w:val="60BF7F09"/>
    <w:rsid w:val="670E1397"/>
    <w:rsid w:val="6ED6108A"/>
    <w:rsid w:val="6FC1536C"/>
    <w:rsid w:val="71255CEB"/>
    <w:rsid w:val="72AA1EA5"/>
    <w:rsid w:val="753F6E6E"/>
    <w:rsid w:val="781C6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纯文本1"/>
    <w:basedOn w:val="1"/>
    <w:qFormat/>
    <w:uiPriority w:val="0"/>
    <w:pPr>
      <w:jc w:val="left"/>
    </w:pPr>
    <w:rPr>
      <w:rFonts w:ascii="宋体" w:hAnsi="宋体" w:eastAsia="等线"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江门市农业农村局</Company>
  <Pages>6</Pages>
  <Words>2051</Words>
  <Characters>2109</Characters>
  <Lines>0</Lines>
  <Paragraphs>0</Paragraphs>
  <TotalTime>3</TotalTime>
  <ScaleCrop>false</ScaleCrop>
  <LinksUpToDate>false</LinksUpToDate>
  <CharactersWithSpaces>2115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2022-07-05T03:20:00Z</dcterms:created>
  <dc:creator>Cherny</dc:creator>
  <cp:lastModifiedBy>Cherny</cp:lastModifiedBy>
  <cp:lastPrinted>2023-02-02T09:08:00Z</cp:lastPrinted>
  <dcterms:modified xsi:type="dcterms:W3CDTF">2023-02-03T00:59:16Z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7A1DDCC7E9E0443793087459DD6AD620</vt:lpwstr>
  </property>
</Properties>
</file>