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江门市台山公路局温泉养护中心关于国省道公路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安全隐患整治及路产修复采购交安设施</w:t>
      </w:r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询价函</w:t>
      </w:r>
    </w:p>
    <w:p>
      <w:pPr>
        <w:spacing w:line="560" w:lineRule="exact"/>
        <w:jc w:val="center"/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询价函编号：Y</w:t>
      </w:r>
      <w:r>
        <w:rPr>
          <w:rFonts w:hint="eastAsia"/>
          <w:u w:val="single"/>
        </w:rPr>
        <w:t>202</w:t>
      </w:r>
      <w:r>
        <w:rPr>
          <w:rFonts w:hint="eastAsia"/>
          <w:u w:val="single"/>
          <w:lang w:val="en-US" w:eastAsia="zh-CN"/>
        </w:rPr>
        <w:t>30321-1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我养护中心为高标准做好管养线路国、省道公路安全隐患整治和公路路产损坏修复的工作，在沿线公路设置交通标志及其它交安设施。现诚邀符合资质的意向单位参与比选，</w:t>
      </w:r>
      <w:r>
        <w:rPr>
          <w:rFonts w:hint="eastAsia" w:ascii="仿宋" w:hAnsi="仿宋" w:eastAsia="仿宋"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  <w:lang w:eastAsia="zh-CN"/>
        </w:rPr>
        <w:t>交安设施</w:t>
      </w:r>
      <w:r>
        <w:rPr>
          <w:rFonts w:hint="eastAsia" w:ascii="仿宋" w:hAnsi="仿宋" w:eastAsia="仿宋"/>
          <w:sz w:val="28"/>
          <w:szCs w:val="28"/>
        </w:rPr>
        <w:t>总价估算金额约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（以上费用包含税费及运输费，具体以实际结算）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  <w:r>
        <w:rPr>
          <w:rFonts w:hint="eastAsia" w:ascii="仿宋" w:hAnsi="仿宋" w:eastAsia="仿宋"/>
          <w:sz w:val="28"/>
          <w:szCs w:val="28"/>
          <w:lang w:eastAsia="zh-CN"/>
        </w:rPr>
        <w:t>及最高限价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□800*3mm交通标志板，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714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□1000*3mm交通标志板，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948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○800*3mm交通标志板，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714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○1000*3mm交通标志板，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950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△900*3mm交通标志板，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824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△1100*3mm交通标志板，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1084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△900+□900*400*3mm交通标志板，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1166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;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△1100+□1100*400*3mm交通标志板，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1501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正八边形800*3mm交通标志板，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714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;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2□600*400*3mm交通标志板，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455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;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Φ300mm太阳能黄闪灯，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750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;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太阳能爆闪灯，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750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;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4320*310*85*3mm标准型波形护栏，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220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4320*310*85*3mm加强型波形护栏，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265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普通路侧波型护栏端头，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L3080*1000mm道路护栏，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120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;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Φ114*3*1200mm道口标柱，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250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Φ160*3*1200mm示警桩，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350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;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Φ600*800mm塑料防撞桶，</w:t>
      </w:r>
      <w:r>
        <w:rPr>
          <w:rFonts w:hint="eastAsia" w:ascii="仿宋" w:hAnsi="仿宋" w:eastAsia="仿宋"/>
          <w:color w:val="auto"/>
          <w:sz w:val="28"/>
          <w:szCs w:val="28"/>
        </w:rPr>
        <w:t>单价不得超过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/>
          <w:color w:val="auto"/>
          <w:sz w:val="28"/>
          <w:szCs w:val="28"/>
        </w:rPr>
        <w:t>元/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个；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Φ800凸面镜，单价不得超过180元/个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报价超过的为无效报价，费用包括税费、运输费、</w:t>
      </w:r>
      <w:r>
        <w:rPr>
          <w:rFonts w:hint="eastAsia" w:ascii="仿宋" w:hAnsi="仿宋" w:eastAsia="仿宋"/>
          <w:sz w:val="28"/>
          <w:szCs w:val="28"/>
          <w:lang w:eastAsia="zh-CN"/>
        </w:rPr>
        <w:t>装</w:t>
      </w:r>
      <w:r>
        <w:rPr>
          <w:rFonts w:hint="eastAsia" w:ascii="仿宋" w:hAnsi="仿宋" w:eastAsia="仿宋"/>
          <w:sz w:val="28"/>
          <w:szCs w:val="28"/>
        </w:rPr>
        <w:t>卸费，具体以实际数量结算。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收货地点：江门市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台山公路局温泉养护中心材料储备仓库或</w:t>
      </w:r>
      <w:r>
        <w:rPr>
          <w:rFonts w:hint="eastAsia" w:ascii="仿宋" w:hAnsi="仿宋" w:eastAsia="仿宋"/>
          <w:sz w:val="28"/>
          <w:szCs w:val="28"/>
          <w:lang w:eastAsia="zh-CN"/>
        </w:rPr>
        <w:t>指定的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我养护中心</w:t>
      </w:r>
      <w:r>
        <w:rPr>
          <w:rFonts w:hint="eastAsia" w:ascii="仿宋" w:hAnsi="仿宋" w:eastAsia="仿宋"/>
          <w:sz w:val="28"/>
          <w:szCs w:val="28"/>
          <w:lang w:eastAsia="zh-CN"/>
        </w:rPr>
        <w:t>辖区内国省道周边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供应商必须具有本次所采购材料(商品)的经营许可证，没有不良记录。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color w:val="101FE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1.报名时间：</w:t>
      </w: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28"/>
          <w:szCs w:val="28"/>
        </w:rPr>
        <w:t>日至202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28"/>
          <w:szCs w:val="28"/>
        </w:rPr>
        <w:t>日15:00时止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（北京时间）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numPr>
          <w:ilvl w:val="0"/>
          <w:numId w:val="0"/>
        </w:numPr>
        <w:wordWrap/>
        <w:spacing w:line="360" w:lineRule="auto"/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报名地点：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江门市台山公路局温泉养护中心（台山市三合镇温泉开发区）。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报名方式：现场递交报名材料或邮寄。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报名材料：单位法人资格证明文件（如营业执照或经营许可证等）。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5.商务标书要求：提供报价单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注明单价并盖章，不可更改表格格式和顺序。以上报价材料统一密封，封面加盖骑缝章。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六、确定成交供应商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采购方将综合考虑供应商的报价、经营范围、进行</w:t>
      </w:r>
      <w:r>
        <w:rPr>
          <w:rFonts w:hint="eastAsia" w:ascii="仿宋" w:hAnsi="仿宋" w:eastAsia="仿宋"/>
          <w:sz w:val="28"/>
          <w:szCs w:val="28"/>
          <w:lang w:eastAsia="zh-CN"/>
        </w:rPr>
        <w:t>择优</w:t>
      </w:r>
      <w:r>
        <w:rPr>
          <w:rFonts w:hint="eastAsia" w:ascii="仿宋" w:hAnsi="仿宋" w:eastAsia="仿宋"/>
          <w:sz w:val="28"/>
          <w:szCs w:val="28"/>
        </w:rPr>
        <w:t>选取。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.同等条件下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以服务条件及合理价低原则</w:t>
      </w:r>
      <w:r>
        <w:rPr>
          <w:rFonts w:hint="eastAsia" w:ascii="仿宋" w:hAnsi="仿宋" w:eastAsia="仿宋"/>
          <w:sz w:val="28"/>
          <w:szCs w:val="28"/>
        </w:rPr>
        <w:t>确认成交供应商。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844470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江门市台山公路局温泉养护中心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询价函编号：Y202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30321-1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             联系电话：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     年   月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19"/>
        <w:gridCol w:w="98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□800*3mm交通标志板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□1000*3mm 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○800*3mm交通标志板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○1000*3mm交通标志板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△900*3mm 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△1100*3mm交通标志板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△900+□900*400*3mm交通标志板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△1100+□1100*400*3mm 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正八边形800*3mm交通标志板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2□600*400*3mm交通标志板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Φ300mm太阳能黄闪灯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太阳能爆闪灯463*138*196mm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4320*310*85*3mm标准型波形护栏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4320*310*85*3mm加强型波形护栏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普通路侧波型护栏端头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L3080*1000mm护栏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Φ114*3*1200mm道口标柱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Φ160*3*1200mm示警桩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Φ600*800mm塑料防撞桶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31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Φ800mm凸面镜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备注：1.报价为含税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运费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卸费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单价。</w:t>
            </w:r>
          </w:p>
          <w:p>
            <w:pPr>
              <w:spacing w:line="360" w:lineRule="auto"/>
              <w:ind w:firstLine="840" w:firstLineChars="3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交通标志须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GB5768.2-2022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标准要求。</w:t>
            </w:r>
          </w:p>
        </w:tc>
      </w:tr>
    </w:tbl>
    <w:p>
      <w:pPr>
        <w:wordWrap w:val="0"/>
        <w:spacing w:line="360" w:lineRule="auto"/>
        <w:ind w:right="560"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5F1CE30-3B99-4D20-8FE3-CD95735A78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7CDD877-8194-4799-96F4-A1559210B86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abstractNum w:abstractNumId="1">
    <w:nsid w:val="606249F0"/>
    <w:multiLevelType w:val="multilevel"/>
    <w:tmpl w:val="606249F0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NWViNzA2MTk2MGU3ZDIzNzRjZTU4MDQxZjhmNDYifQ=="/>
  </w:docVars>
  <w:rsids>
    <w:rsidRoot w:val="002F2D06"/>
    <w:rsid w:val="000335EA"/>
    <w:rsid w:val="0006374C"/>
    <w:rsid w:val="00114454"/>
    <w:rsid w:val="001449CA"/>
    <w:rsid w:val="0016215C"/>
    <w:rsid w:val="001963FF"/>
    <w:rsid w:val="001A72E3"/>
    <w:rsid w:val="001C1242"/>
    <w:rsid w:val="0020065A"/>
    <w:rsid w:val="00233666"/>
    <w:rsid w:val="002471DA"/>
    <w:rsid w:val="002F04FE"/>
    <w:rsid w:val="002F2D06"/>
    <w:rsid w:val="00300E67"/>
    <w:rsid w:val="00327E29"/>
    <w:rsid w:val="003B5111"/>
    <w:rsid w:val="003D2B2D"/>
    <w:rsid w:val="003F2FA2"/>
    <w:rsid w:val="0043267F"/>
    <w:rsid w:val="00454C23"/>
    <w:rsid w:val="00474A52"/>
    <w:rsid w:val="00496F63"/>
    <w:rsid w:val="004E394F"/>
    <w:rsid w:val="004F251B"/>
    <w:rsid w:val="00543A7A"/>
    <w:rsid w:val="00583054"/>
    <w:rsid w:val="0058646E"/>
    <w:rsid w:val="005960E8"/>
    <w:rsid w:val="005A604E"/>
    <w:rsid w:val="005E2F29"/>
    <w:rsid w:val="00607EAF"/>
    <w:rsid w:val="00623ED3"/>
    <w:rsid w:val="00653D16"/>
    <w:rsid w:val="00672B52"/>
    <w:rsid w:val="006A54E5"/>
    <w:rsid w:val="006C07C7"/>
    <w:rsid w:val="006D491F"/>
    <w:rsid w:val="006F6871"/>
    <w:rsid w:val="0076476A"/>
    <w:rsid w:val="007933F4"/>
    <w:rsid w:val="007B3BF7"/>
    <w:rsid w:val="007F3309"/>
    <w:rsid w:val="00812788"/>
    <w:rsid w:val="00875900"/>
    <w:rsid w:val="00887D85"/>
    <w:rsid w:val="00897F2B"/>
    <w:rsid w:val="00911EE6"/>
    <w:rsid w:val="00913BD5"/>
    <w:rsid w:val="00917063"/>
    <w:rsid w:val="0094265B"/>
    <w:rsid w:val="009B4B4D"/>
    <w:rsid w:val="009B7422"/>
    <w:rsid w:val="00A14CA9"/>
    <w:rsid w:val="00A94C9B"/>
    <w:rsid w:val="00AC040D"/>
    <w:rsid w:val="00AC4302"/>
    <w:rsid w:val="00B21F11"/>
    <w:rsid w:val="00B873AD"/>
    <w:rsid w:val="00BA115D"/>
    <w:rsid w:val="00C9072F"/>
    <w:rsid w:val="00CA4E56"/>
    <w:rsid w:val="00CE0741"/>
    <w:rsid w:val="00D05F5F"/>
    <w:rsid w:val="00D12B17"/>
    <w:rsid w:val="00D203CC"/>
    <w:rsid w:val="00D603BC"/>
    <w:rsid w:val="00DE6F59"/>
    <w:rsid w:val="00E12170"/>
    <w:rsid w:val="00E52914"/>
    <w:rsid w:val="00E5579A"/>
    <w:rsid w:val="00E66629"/>
    <w:rsid w:val="00E914F5"/>
    <w:rsid w:val="00EB179F"/>
    <w:rsid w:val="00F372EB"/>
    <w:rsid w:val="00F430A6"/>
    <w:rsid w:val="00F6360E"/>
    <w:rsid w:val="00FF4333"/>
    <w:rsid w:val="0162697C"/>
    <w:rsid w:val="01E373AB"/>
    <w:rsid w:val="01F732D4"/>
    <w:rsid w:val="028C43B3"/>
    <w:rsid w:val="043A5387"/>
    <w:rsid w:val="07801893"/>
    <w:rsid w:val="08DB7790"/>
    <w:rsid w:val="0A5F6988"/>
    <w:rsid w:val="0A99714F"/>
    <w:rsid w:val="0D7D191E"/>
    <w:rsid w:val="0DE9659E"/>
    <w:rsid w:val="0F232C2D"/>
    <w:rsid w:val="10545A22"/>
    <w:rsid w:val="105570A4"/>
    <w:rsid w:val="1083107D"/>
    <w:rsid w:val="1337209B"/>
    <w:rsid w:val="142F1251"/>
    <w:rsid w:val="15F0514C"/>
    <w:rsid w:val="182E2CC8"/>
    <w:rsid w:val="1D455816"/>
    <w:rsid w:val="1D765C90"/>
    <w:rsid w:val="1F784B5D"/>
    <w:rsid w:val="21571350"/>
    <w:rsid w:val="22643283"/>
    <w:rsid w:val="237F470C"/>
    <w:rsid w:val="23FB184B"/>
    <w:rsid w:val="25004F43"/>
    <w:rsid w:val="263461F9"/>
    <w:rsid w:val="270B2978"/>
    <w:rsid w:val="27641502"/>
    <w:rsid w:val="28F55E9C"/>
    <w:rsid w:val="298B3ED2"/>
    <w:rsid w:val="2D270DB0"/>
    <w:rsid w:val="2E6047A0"/>
    <w:rsid w:val="2F273E7E"/>
    <w:rsid w:val="307F3F36"/>
    <w:rsid w:val="32DE4299"/>
    <w:rsid w:val="33316486"/>
    <w:rsid w:val="3412121F"/>
    <w:rsid w:val="351A0346"/>
    <w:rsid w:val="3520732D"/>
    <w:rsid w:val="37526B7E"/>
    <w:rsid w:val="377A54BF"/>
    <w:rsid w:val="37D5513E"/>
    <w:rsid w:val="37DD7591"/>
    <w:rsid w:val="399B79A0"/>
    <w:rsid w:val="3E2310F6"/>
    <w:rsid w:val="40F307BE"/>
    <w:rsid w:val="41423F32"/>
    <w:rsid w:val="41C070E5"/>
    <w:rsid w:val="429F7177"/>
    <w:rsid w:val="459953B3"/>
    <w:rsid w:val="461C1222"/>
    <w:rsid w:val="46386C71"/>
    <w:rsid w:val="46AC1BE6"/>
    <w:rsid w:val="481000D8"/>
    <w:rsid w:val="4AF32B8D"/>
    <w:rsid w:val="4B5B2B9A"/>
    <w:rsid w:val="4B8402B1"/>
    <w:rsid w:val="4D745A9A"/>
    <w:rsid w:val="4F436574"/>
    <w:rsid w:val="4F487C4C"/>
    <w:rsid w:val="4FE76D2B"/>
    <w:rsid w:val="519675CE"/>
    <w:rsid w:val="547E2B59"/>
    <w:rsid w:val="57C55E8A"/>
    <w:rsid w:val="59FE6D52"/>
    <w:rsid w:val="5A954032"/>
    <w:rsid w:val="5AE76118"/>
    <w:rsid w:val="5B495134"/>
    <w:rsid w:val="5B5A6076"/>
    <w:rsid w:val="5CEA349B"/>
    <w:rsid w:val="5D5F4617"/>
    <w:rsid w:val="5E68756F"/>
    <w:rsid w:val="615E35D8"/>
    <w:rsid w:val="61B218C7"/>
    <w:rsid w:val="63884465"/>
    <w:rsid w:val="65901886"/>
    <w:rsid w:val="662D69E6"/>
    <w:rsid w:val="66C2376F"/>
    <w:rsid w:val="67E23B54"/>
    <w:rsid w:val="680613B6"/>
    <w:rsid w:val="68A1569B"/>
    <w:rsid w:val="68C64435"/>
    <w:rsid w:val="6A522922"/>
    <w:rsid w:val="6AA21037"/>
    <w:rsid w:val="6AA335F1"/>
    <w:rsid w:val="6ABA73A5"/>
    <w:rsid w:val="6B584B9D"/>
    <w:rsid w:val="6BD86F3C"/>
    <w:rsid w:val="6D2B108C"/>
    <w:rsid w:val="6DC42A14"/>
    <w:rsid w:val="6E9078FA"/>
    <w:rsid w:val="6F60676D"/>
    <w:rsid w:val="71502254"/>
    <w:rsid w:val="71BC1CC4"/>
    <w:rsid w:val="7463525A"/>
    <w:rsid w:val="757E5B1E"/>
    <w:rsid w:val="76F93840"/>
    <w:rsid w:val="771306F8"/>
    <w:rsid w:val="79DB3543"/>
    <w:rsid w:val="7C266648"/>
    <w:rsid w:val="7F493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5</Pages>
  <Words>1265</Words>
  <Characters>1730</Characters>
  <Lines>7</Lines>
  <Paragraphs>2</Paragraphs>
  <TotalTime>0</TotalTime>
  <ScaleCrop>false</ScaleCrop>
  <LinksUpToDate>false</LinksUpToDate>
  <CharactersWithSpaces>1776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温泉养护中心收文员</cp:lastModifiedBy>
  <cp:lastPrinted>2023-03-20T08:06:00Z</cp:lastPrinted>
  <dcterms:modified xsi:type="dcterms:W3CDTF">2023-03-21T06:52:13Z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011F4A4068C645F29C721846C86AD5FF</vt:lpwstr>
  </property>
</Properties>
</file>