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color w:val="000000" w:themeColor="text1"/>
          <w:sz w:val="44"/>
          <w:szCs w:val="44"/>
          <w:shd w:val="clear" w:color="auto" w:fill="FFFFFF"/>
          <w:lang w:bidi="ar"/>
          <w14:textFill>
            <w14:solidFill>
              <w14:schemeClr w14:val="tx1"/>
            </w14:solidFill>
          </w14:textFill>
        </w:rPr>
      </w:pPr>
      <w:r>
        <w:rPr>
          <w:rFonts w:hint="eastAsia" w:ascii="宋体" w:hAnsi="宋体" w:eastAsia="宋体" w:cs="宋体"/>
          <w:b/>
          <w:color w:val="000000" w:themeColor="text1"/>
          <w:sz w:val="44"/>
          <w:szCs w:val="44"/>
          <w:shd w:val="clear" w:color="auto" w:fill="FFFFFF"/>
          <w:lang w:bidi="ar"/>
          <w14:textFill>
            <w14:solidFill>
              <w14:schemeClr w14:val="tx1"/>
            </w14:solidFill>
          </w14:textFill>
        </w:rPr>
        <w:t>江门市创建国家食品安全示范城市宣传</w:t>
      </w:r>
    </w:p>
    <w:p>
      <w:pPr>
        <w:spacing w:line="56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lang w:bidi="ar"/>
          <w14:textFill>
            <w14:solidFill>
              <w14:schemeClr w14:val="tx1"/>
            </w14:solidFill>
          </w14:textFill>
        </w:rPr>
        <w:t>项目合同（草拟稿）</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6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bookmarkStart w:id="0" w:name="_GoBack"/>
      <w:bookmarkEnd w:id="0"/>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60" w:lineRule="exact"/>
        <w:rPr>
          <w:rFonts w:ascii="仿宋" w:hAnsi="仿宋" w:eastAsia="仿宋" w:cs="仿宋"/>
          <w:color w:val="666666"/>
          <w:sz w:val="28"/>
          <w:szCs w:val="28"/>
          <w:shd w:val="clear" w:color="auto" w:fill="FFFFFF"/>
        </w:rPr>
      </w:pPr>
    </w:p>
    <w:p>
      <w:pPr>
        <w:widowControl/>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创建国家食品安全示范城市宣传项目”（项目编号：XXXXXXXXX）（以下简称项目）的采购公告、项目采购结果公告的要求，按照《中华人民共和国政府采购法》及其实施条例等相关法律法规的规定，经双方协商，本着平等互利和诚实信用的原则，一致同意签订本合同如下：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widowControl/>
        <w:numPr>
          <w:ilvl w:val="255"/>
          <w:numId w:val="0"/>
        </w:numPr>
        <w:spacing w:line="480" w:lineRule="exact"/>
        <w:ind w:firstLine="560" w:firstLineChars="200"/>
        <w:rPr>
          <w:rFonts w:ascii="仿宋" w:hAnsi="仿宋" w:eastAsia="仿宋" w:cs="仿宋"/>
          <w:kern w:val="0"/>
          <w:sz w:val="28"/>
          <w:szCs w:val="28"/>
        </w:rPr>
      </w:pPr>
      <w:r>
        <w:rPr>
          <w:rFonts w:hint="eastAsia" w:ascii="仿宋" w:hAnsi="仿宋" w:eastAsia="仿宋" w:cs="仿宋"/>
          <w:sz w:val="28"/>
          <w:szCs w:val="28"/>
        </w:rPr>
        <w:t>甲方委托乙方通过举办一系列江门市创建国家食品安全示范城市观摩活动，邀请人大代表、政协委员、市民群众以及媒体，深入各县（市、区）食品源头产地、生产企业产品展厅、实验室、研发中心、生产车间、食品流通餐饮等一线，通过实地走访等，展现食品产业发展及食品安全工作的经验、成效，推</w:t>
      </w:r>
      <w:r>
        <w:rPr>
          <w:rFonts w:ascii="仿宋" w:hAnsi="仿宋" w:eastAsia="仿宋" w:cs="仿宋"/>
          <w:sz w:val="28"/>
          <w:szCs w:val="28"/>
        </w:rPr>
        <w:t>动构建食品安全与食品产业发展相互促进的良好环境。</w:t>
      </w:r>
      <w:r>
        <w:rPr>
          <w:rFonts w:hint="eastAsia" w:ascii="仿宋" w:hAnsi="仿宋" w:eastAsia="仿宋" w:cs="仿宋"/>
          <w:sz w:val="28"/>
          <w:szCs w:val="28"/>
        </w:rPr>
        <w:t>在7个县（市、区）组织3场观摩活动，每场活动前往不少于2个参观地点，每场活动人员控制在40人以内，活动配备6人以上团队，负责文字、图片、视频等宣传以及活动服务保障，</w:t>
      </w:r>
      <w:r>
        <w:rPr>
          <w:rFonts w:ascii="仿宋" w:hAnsi="仿宋" w:eastAsia="仿宋" w:cs="仿宋"/>
          <w:sz w:val="28"/>
          <w:szCs w:val="28"/>
        </w:rPr>
        <w:t>相关</w:t>
      </w:r>
      <w:r>
        <w:rPr>
          <w:rFonts w:hint="eastAsia" w:ascii="仿宋" w:hAnsi="仿宋" w:eastAsia="仿宋" w:cs="仿宋"/>
          <w:sz w:val="28"/>
          <w:szCs w:val="28"/>
        </w:rPr>
        <w:t>宣传内容</w:t>
      </w:r>
      <w:r>
        <w:rPr>
          <w:rFonts w:ascii="仿宋" w:hAnsi="仿宋" w:eastAsia="仿宋" w:cs="仿宋"/>
          <w:sz w:val="28"/>
          <w:szCs w:val="28"/>
        </w:rPr>
        <w:t>将在</w:t>
      </w:r>
      <w:r>
        <w:rPr>
          <w:rFonts w:hint="eastAsia" w:ascii="仿宋" w:hAnsi="仿宋" w:eastAsia="仿宋" w:cs="仿宋"/>
          <w:sz w:val="28"/>
          <w:szCs w:val="28"/>
        </w:rPr>
        <w:t>市级以上媒体宣传（包含但不限于</w:t>
      </w:r>
      <w:r>
        <w:rPr>
          <w:rFonts w:ascii="仿宋" w:hAnsi="仿宋" w:eastAsia="仿宋" w:cs="仿宋"/>
          <w:sz w:val="28"/>
          <w:szCs w:val="28"/>
        </w:rPr>
        <w:t>纸媒、微信公众号、视频号等全媒体平台推送</w:t>
      </w:r>
      <w:r>
        <w:rPr>
          <w:rFonts w:hint="eastAsia" w:ascii="仿宋" w:hAnsi="仿宋" w:eastAsia="仿宋" w:cs="仿宋"/>
          <w:sz w:val="28"/>
          <w:szCs w:val="28"/>
        </w:rPr>
        <w:t>）</w:t>
      </w:r>
      <w:r>
        <w:rPr>
          <w:rFonts w:ascii="仿宋" w:hAnsi="仿宋" w:eastAsia="仿宋" w:cs="仿宋"/>
          <w:sz w:val="28"/>
          <w:szCs w:val="28"/>
        </w:rPr>
        <w:t>，每场活动至少</w:t>
      </w:r>
      <w:r>
        <w:rPr>
          <w:rFonts w:hint="eastAsia" w:ascii="仿宋" w:hAnsi="仿宋" w:eastAsia="仿宋" w:cs="仿宋"/>
          <w:sz w:val="28"/>
          <w:szCs w:val="28"/>
        </w:rPr>
        <w:t>刊发</w:t>
      </w:r>
      <w:r>
        <w:rPr>
          <w:rFonts w:ascii="仿宋" w:hAnsi="仿宋" w:eastAsia="仿宋" w:cs="仿宋"/>
          <w:sz w:val="28"/>
          <w:szCs w:val="28"/>
        </w:rPr>
        <w:t>1条新闻稿</w:t>
      </w:r>
      <w:r>
        <w:rPr>
          <w:rFonts w:hint="eastAsia" w:ascii="仿宋" w:hAnsi="仿宋" w:eastAsia="仿宋" w:cs="仿宋"/>
          <w:sz w:val="28"/>
          <w:szCs w:val="28"/>
        </w:rPr>
        <w:t>（每条约800字以内）</w:t>
      </w:r>
      <w:r>
        <w:rPr>
          <w:rFonts w:ascii="仿宋" w:hAnsi="仿宋" w:eastAsia="仿宋" w:cs="仿宋"/>
          <w:sz w:val="28"/>
          <w:szCs w:val="28"/>
        </w:rPr>
        <w:t>及1条vlog</w:t>
      </w:r>
      <w:r>
        <w:rPr>
          <w:rFonts w:hint="eastAsia" w:ascii="仿宋" w:hAnsi="仿宋" w:eastAsia="仿宋" w:cs="仿宋"/>
          <w:sz w:val="28"/>
          <w:szCs w:val="28"/>
        </w:rPr>
        <w:t>（每条时长约60秒）</w:t>
      </w:r>
      <w:r>
        <w:rPr>
          <w:rFonts w:ascii="仿宋" w:hAnsi="仿宋" w:eastAsia="仿宋" w:cs="仿宋"/>
          <w:sz w:val="28"/>
          <w:szCs w:val="28"/>
        </w:rPr>
        <w:t>。</w:t>
      </w:r>
      <w:r>
        <w:rPr>
          <w:rFonts w:hint="eastAsia" w:ascii="仿宋" w:hAnsi="仿宋" w:eastAsia="仿宋" w:cs="仿宋"/>
          <w:sz w:val="28"/>
          <w:szCs w:val="28"/>
        </w:rPr>
        <w:t>其中包括微信推文不少于5条（含活动预热推文、总结），短视频7条，3次活动执行费用（含车辆租赁、人员对接、横幅等支出），活动稿件刊登7次。</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ind w:firstLine="420"/>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numPr>
          <w:ilvl w:val="0"/>
          <w:numId w:val="1"/>
        </w:numPr>
        <w:spacing w:line="480" w:lineRule="exact"/>
        <w:ind w:firstLine="420"/>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numPr>
          <w:ilvl w:val="0"/>
          <w:numId w:val="1"/>
        </w:numPr>
        <w:spacing w:line="480" w:lineRule="exact"/>
        <w:ind w:firstLine="420"/>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10"/>
        <w:numPr>
          <w:ilvl w:val="255"/>
          <w:numId w:val="0"/>
        </w:numPr>
        <w:spacing w:line="480" w:lineRule="exact"/>
        <w:ind w:left="0"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10"/>
        <w:numPr>
          <w:ilvl w:val="255"/>
          <w:numId w:val="0"/>
        </w:numPr>
        <w:spacing w:line="480" w:lineRule="exact"/>
        <w:ind w:left="0" w:firstLine="608" w:firstLineChars="200"/>
      </w:pPr>
      <w:r>
        <w:rPr>
          <w:rFonts w:hint="eastAsia" w:ascii="仿宋" w:hAnsi="仿宋" w:eastAsia="仿宋" w:cs="仿宋"/>
          <w:szCs w:val="28"/>
        </w:rPr>
        <w:t>3. 甲方支付以乙方无违约为前提，若乙方违约，甲方有权在应付款中做相应扣除。</w:t>
      </w:r>
    </w:p>
    <w:p>
      <w:pPr>
        <w:numPr>
          <w:ilvl w:val="0"/>
          <w:numId w:val="1"/>
        </w:numPr>
        <w:spacing w:line="480" w:lineRule="exact"/>
        <w:ind w:firstLine="420"/>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乙方完成新闻稿撰写，相关内容对外发布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1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的，乙方应在甲方指定期限内采取弥补措施并再次提交给甲方验收；验收合格后由甲方和乙方共同签字确认并作为结算及甲方支付第二期款项的依据。若经甲方验收未通过的，</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numPr>
          <w:ilvl w:val="0"/>
          <w:numId w:val="4"/>
        </w:numPr>
        <w:adjustRightInd w:val="0"/>
        <w:snapToGrid w:val="0"/>
        <w:spacing w:line="480" w:lineRule="exact"/>
        <w:ind w:firstLine="560" w:firstLineChars="200"/>
        <w:rPr>
          <w:rFonts w:hint="eastAsia" w:ascii="仿宋" w:hAnsi="仿宋" w:eastAsia="仿宋" w:cs="仿宋"/>
          <w:sz w:val="28"/>
          <w:szCs w:val="28"/>
          <w:lang w:bidi="ar"/>
        </w:rPr>
      </w:pPr>
      <w:r>
        <w:rPr>
          <w:rFonts w:hint="eastAsia" w:ascii="仿宋" w:hAnsi="仿宋" w:eastAsia="仿宋" w:cs="仿宋"/>
          <w:color w:val="auto"/>
          <w:sz w:val="28"/>
          <w:szCs w:val="28"/>
          <w:lang w:bidi="ar"/>
        </w:rPr>
        <w:t>乙方承诺严格遵守国家关于保密（包括私隐）方面的所有法律法规，对涉及单位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 w:hAnsi="仿宋" w:eastAsia="仿宋" w:cs="仿宋"/>
          <w:sz w:val="28"/>
          <w:szCs w:val="28"/>
          <w:lang w:bidi="ar"/>
        </w:rPr>
        <w:t>包括但不限于律师费、诉讼费、赔偿款、交通费、调查费等；</w:t>
      </w:r>
    </w:p>
    <w:p>
      <w:pPr>
        <w:numPr>
          <w:ilvl w:val="0"/>
          <w:numId w:val="4"/>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当落实活动现场人员（包括但不限于活动组织人员、参加活动的现场观众等人员）的安全。从人员组织、维持人员活动秩序、告知参与活动人员在活动结束后尽快离开活动现场、为本项目活动投保公众责任险等方面，切实保障活动安全有序进行。若活动期间乙方未履行上述注意、保障安全义务或未投保公众责任险，发生安全事故导致甲方因第三方提出侵权之诉造成的任何损失（包括但不限于律师费、诉讼费、赔偿款、交通费、调查费等）由乙方承担。</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乙方有权要求甲方按照本合同约定支付相应款项</w:t>
      </w:r>
      <w:r>
        <w:rPr>
          <w:rFonts w:hint="eastAsia" w:ascii="仿宋" w:hAnsi="仿宋" w:eastAsia="仿宋" w:cs="仿宋"/>
          <w:sz w:val="28"/>
          <w:szCs w:val="28"/>
        </w:rPr>
        <w:t>。</w:t>
      </w:r>
    </w:p>
    <w:p>
      <w:pPr>
        <w:numPr>
          <w:ilvl w:val="0"/>
          <w:numId w:val="5"/>
        </w:num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numPr>
          <w:ilvl w:val="0"/>
          <w:numId w:val="6"/>
        </w:numPr>
        <w:tabs>
          <w:tab w:val="left" w:pos="720"/>
        </w:tabs>
        <w:adjustRightInd w:val="0"/>
        <w:spacing w:line="480" w:lineRule="exact"/>
        <w:ind w:firstLine="420"/>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numPr>
          <w:ilvl w:val="0"/>
          <w:numId w:val="6"/>
        </w:numPr>
        <w:tabs>
          <w:tab w:val="left" w:pos="720"/>
        </w:tabs>
        <w:adjustRightInd w:val="0"/>
        <w:spacing w:line="480" w:lineRule="exact"/>
        <w:ind w:firstLine="420"/>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numPr>
          <w:ilvl w:val="0"/>
          <w:numId w:val="6"/>
        </w:numPr>
        <w:tabs>
          <w:tab w:val="left" w:pos="720"/>
        </w:tabs>
        <w:adjustRightInd w:val="0"/>
        <w:spacing w:line="480" w:lineRule="exact"/>
        <w:ind w:firstLine="420"/>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numPr>
          <w:ilvl w:val="255"/>
          <w:numId w:val="0"/>
        </w:num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7"/>
        </w:numPr>
        <w:spacing w:line="480" w:lineRule="exact"/>
        <w:ind w:firstLine="420"/>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7"/>
        </w:numPr>
        <w:spacing w:line="480" w:lineRule="exact"/>
        <w:ind w:firstLine="420"/>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7"/>
        </w:numPr>
        <w:spacing w:line="480" w:lineRule="exact"/>
        <w:ind w:firstLine="420"/>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8"/>
        </w:numPr>
        <w:spacing w:line="480" w:lineRule="exact"/>
        <w:ind w:firstLine="420"/>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8"/>
        </w:numPr>
        <w:spacing w:line="480" w:lineRule="exact"/>
        <w:ind w:firstLine="420"/>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480" w:lineRule="exact"/>
        <w:ind w:firstLine="420"/>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480" w:lineRule="exact"/>
        <w:ind w:firstLine="420"/>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0"/>
        </w:numPr>
        <w:spacing w:line="480" w:lineRule="exact"/>
        <w:ind w:firstLine="420"/>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480" w:lineRule="exact"/>
        <w:ind w:firstLine="420"/>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numPr>
          <w:ilvl w:val="0"/>
          <w:numId w:val="10"/>
        </w:numPr>
        <w:spacing w:line="480" w:lineRule="exact"/>
        <w:ind w:firstLine="420"/>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10"/>
        <w:numPr>
          <w:ilvl w:val="0"/>
          <w:numId w:val="10"/>
        </w:numPr>
        <w:spacing w:line="480" w:lineRule="exact"/>
        <w:ind w:left="0"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0"/>
        <w:numPr>
          <w:ilvl w:val="0"/>
          <w:numId w:val="11"/>
        </w:numPr>
        <w:spacing w:line="480" w:lineRule="exact"/>
        <w:ind w:left="0" w:firstLine="608"/>
        <w:rPr>
          <w:rFonts w:ascii="仿宋" w:hAnsi="仿宋" w:eastAsia="仿宋" w:cs="仿宋"/>
          <w:szCs w:val="28"/>
        </w:rPr>
      </w:pPr>
      <w:r>
        <w:rPr>
          <w:rFonts w:hint="eastAsia" w:ascii="仿宋" w:hAnsi="仿宋" w:eastAsia="仿宋" w:cs="仿宋"/>
          <w:szCs w:val="28"/>
          <w:lang w:bidi="ar"/>
        </w:rPr>
        <w:t>江门市创建国家食品安全示范城市宣传项目采购公告</w:t>
      </w:r>
      <w:r>
        <w:rPr>
          <w:rFonts w:hint="eastAsia" w:ascii="仿宋" w:hAnsi="仿宋" w:eastAsia="仿宋" w:cs="仿宋"/>
          <w:szCs w:val="28"/>
        </w:rPr>
        <w:t>；</w:t>
      </w:r>
    </w:p>
    <w:p>
      <w:pPr>
        <w:pStyle w:val="10"/>
        <w:numPr>
          <w:ilvl w:val="0"/>
          <w:numId w:val="11"/>
        </w:numPr>
        <w:spacing w:line="480" w:lineRule="exact"/>
        <w:ind w:left="0"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0"/>
        <w:numPr>
          <w:ilvl w:val="0"/>
          <w:numId w:val="11"/>
        </w:numPr>
        <w:spacing w:line="480" w:lineRule="exact"/>
        <w:ind w:left="0"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10"/>
        <w:spacing w:line="560" w:lineRule="exact"/>
        <w:ind w:left="0" w:firstLine="0" w:firstLineChars="0"/>
        <w:rPr>
          <w:rFonts w:ascii="仿宋" w:hAnsi="仿宋" w:eastAsia="仿宋" w:cs="仿宋"/>
          <w:szCs w:val="28"/>
        </w:rPr>
      </w:pPr>
    </w:p>
    <w:p>
      <w:pPr>
        <w:pStyle w:val="10"/>
        <w:spacing w:line="560" w:lineRule="exact"/>
        <w:ind w:firstLine="608"/>
        <w:rPr>
          <w:rFonts w:ascii="仿宋" w:hAnsi="仿宋" w:eastAsia="仿宋" w:cs="仿宋"/>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imes New Roman Regular">
    <w:altName w:val="Arial Unicode MS"/>
    <w:panose1 w:val="00000000000000000000"/>
    <w:charset w:val="00"/>
    <w:family w:val="auto"/>
    <w:pitch w:val="default"/>
    <w:sig w:usb0="00000000" w:usb1="00000000"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201EA2"/>
    <w:rsid w:val="00290CDD"/>
    <w:rsid w:val="004A2DE1"/>
    <w:rsid w:val="004A3BF5"/>
    <w:rsid w:val="004C2119"/>
    <w:rsid w:val="00510F17"/>
    <w:rsid w:val="005969B3"/>
    <w:rsid w:val="006010FD"/>
    <w:rsid w:val="006202FE"/>
    <w:rsid w:val="00684C29"/>
    <w:rsid w:val="006A7F32"/>
    <w:rsid w:val="00715B62"/>
    <w:rsid w:val="00772CCD"/>
    <w:rsid w:val="007B7D3B"/>
    <w:rsid w:val="008060A4"/>
    <w:rsid w:val="00861501"/>
    <w:rsid w:val="008629F6"/>
    <w:rsid w:val="00867F79"/>
    <w:rsid w:val="00B52496"/>
    <w:rsid w:val="00CD0E6C"/>
    <w:rsid w:val="00CE1CBE"/>
    <w:rsid w:val="00D30BA7"/>
    <w:rsid w:val="00D538C5"/>
    <w:rsid w:val="00E57922"/>
    <w:rsid w:val="00E82D8C"/>
    <w:rsid w:val="00E86C04"/>
    <w:rsid w:val="00E952F4"/>
    <w:rsid w:val="00EB55B6"/>
    <w:rsid w:val="00FA3A92"/>
    <w:rsid w:val="00FC0857"/>
    <w:rsid w:val="00FC585E"/>
    <w:rsid w:val="05B73E89"/>
    <w:rsid w:val="09D77ACF"/>
    <w:rsid w:val="09DE0A66"/>
    <w:rsid w:val="0AF740DB"/>
    <w:rsid w:val="0BEA35C3"/>
    <w:rsid w:val="0DDF3CA5"/>
    <w:rsid w:val="0FB72321"/>
    <w:rsid w:val="10FC4243"/>
    <w:rsid w:val="12F319EB"/>
    <w:rsid w:val="160C41FE"/>
    <w:rsid w:val="171724B5"/>
    <w:rsid w:val="1A19383D"/>
    <w:rsid w:val="20075F93"/>
    <w:rsid w:val="24EA28FA"/>
    <w:rsid w:val="24EE444C"/>
    <w:rsid w:val="28DA0F7D"/>
    <w:rsid w:val="28F2788A"/>
    <w:rsid w:val="293A0576"/>
    <w:rsid w:val="2D016C87"/>
    <w:rsid w:val="2F027959"/>
    <w:rsid w:val="2F391B33"/>
    <w:rsid w:val="33FC47D9"/>
    <w:rsid w:val="391A5AE0"/>
    <w:rsid w:val="3AA7F51C"/>
    <w:rsid w:val="3B19643C"/>
    <w:rsid w:val="3B1F36D7"/>
    <w:rsid w:val="3EDA8E5F"/>
    <w:rsid w:val="3F277E94"/>
    <w:rsid w:val="3FA76621"/>
    <w:rsid w:val="404A6C17"/>
    <w:rsid w:val="43F43818"/>
    <w:rsid w:val="452404E0"/>
    <w:rsid w:val="453851EC"/>
    <w:rsid w:val="454308F0"/>
    <w:rsid w:val="47C7B3FB"/>
    <w:rsid w:val="481348F4"/>
    <w:rsid w:val="4B562BFB"/>
    <w:rsid w:val="4D261BEA"/>
    <w:rsid w:val="4DD70C4E"/>
    <w:rsid w:val="4EE2057D"/>
    <w:rsid w:val="526E4AB6"/>
    <w:rsid w:val="5789094D"/>
    <w:rsid w:val="5A6B35D5"/>
    <w:rsid w:val="5BB2671C"/>
    <w:rsid w:val="5F662158"/>
    <w:rsid w:val="63540324"/>
    <w:rsid w:val="63A745D5"/>
    <w:rsid w:val="65415E9E"/>
    <w:rsid w:val="690D3BC4"/>
    <w:rsid w:val="693B3F28"/>
    <w:rsid w:val="6B7E7578"/>
    <w:rsid w:val="6C7B1287"/>
    <w:rsid w:val="6D8F7300"/>
    <w:rsid w:val="6E494777"/>
    <w:rsid w:val="6E66103F"/>
    <w:rsid w:val="6F3831F6"/>
    <w:rsid w:val="6F5F4F93"/>
    <w:rsid w:val="70A44682"/>
    <w:rsid w:val="72AF67A9"/>
    <w:rsid w:val="76A81E4D"/>
    <w:rsid w:val="79276609"/>
    <w:rsid w:val="7BBD089B"/>
    <w:rsid w:val="7DBC6052"/>
    <w:rsid w:val="7E7EE503"/>
    <w:rsid w:val="7ECF7E82"/>
    <w:rsid w:val="7EFEE140"/>
    <w:rsid w:val="7F122F69"/>
    <w:rsid w:val="7FAA1B2C"/>
    <w:rsid w:val="7FBE0EF2"/>
    <w:rsid w:val="7FF7FB7B"/>
    <w:rsid w:val="937F3F54"/>
    <w:rsid w:val="BAEDCC93"/>
    <w:rsid w:val="BFDF8B7B"/>
    <w:rsid w:val="DB778ECF"/>
    <w:rsid w:val="DEFD6CC9"/>
    <w:rsid w:val="DF77FF56"/>
    <w:rsid w:val="E7CF742A"/>
    <w:rsid w:val="EBFEC8EC"/>
    <w:rsid w:val="EDEF27BF"/>
    <w:rsid w:val="F9FD8AC9"/>
    <w:rsid w:val="FBFD0665"/>
    <w:rsid w:val="FEB722D5"/>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7"/>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8"/>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5"/>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3"/>
    <w:qFormat/>
    <w:uiPriority w:val="0"/>
    <w:rPr>
      <w:rFonts w:eastAsia="仿宋_GB2312"/>
      <w:kern w:val="2"/>
      <w:sz w:val="30"/>
    </w:rPr>
  </w:style>
  <w:style w:type="character" w:customStyle="1" w:styleId="18">
    <w:name w:val="批注主题 Char"/>
    <w:basedOn w:val="17"/>
    <w:link w:val="9"/>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2226</Words>
  <Characters>2317</Characters>
  <Lines>110</Lines>
  <Paragraphs>96</Paragraphs>
  <TotalTime>28</TotalTime>
  <ScaleCrop>false</ScaleCrop>
  <LinksUpToDate>false</LinksUpToDate>
  <CharactersWithSpaces>4447</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2023-03-01T23:03:00Z</dcterms:created>
  <dc:creator>Administrator</dc:creator>
  <cp:lastModifiedBy>greatwall</cp:lastModifiedBy>
  <cp:lastPrinted>2023-03-01T23:11:00Z</cp:lastPrinted>
  <dcterms:modified xsi:type="dcterms:W3CDTF">2023-06-07T11:54:01Z</dcterms:modified>
  <dc:title>2020年江门市工业产品生产许可证证后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4EDF9B65F7E34D79B78AA290D042A754</vt:lpwstr>
  </property>
</Properties>
</file>