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afterAutospacing="0" w:line="600" w:lineRule="exact"/>
        <w:jc w:val="left"/>
        <w:rPr>
          <w:rFonts w:ascii="Times New Roman" w:hAnsi="Times New Roman" w:eastAsia="方正仿宋_GBK"/>
          <w:color w:val="000000"/>
          <w:kern w:val="0"/>
          <w:sz w:val="30"/>
          <w:szCs w:val="30"/>
        </w:rPr>
      </w:pPr>
      <w:r>
        <w:rPr>
          <w:rFonts w:ascii="Times New Roman" w:hAnsi="Times New Roman" w:eastAsia="方正仿宋_GBK"/>
          <w:color w:val="000000"/>
          <w:kern w:val="0"/>
          <w:sz w:val="30"/>
          <w:szCs w:val="30"/>
        </w:rPr>
        <w:t>附件：</w:t>
      </w:r>
    </w:p>
    <w:p>
      <w:pPr>
        <w:spacing w:before="0" w:beforeAutospacing="0" w:after="0" w:afterAutospacing="0" w:line="600" w:lineRule="exact"/>
        <w:jc w:val="left"/>
        <w:rPr>
          <w:rFonts w:ascii="Times New Roman" w:hAnsi="Times New Roman" w:eastAsia="方正仿宋_GBK"/>
          <w:color w:val="000000"/>
          <w:kern w:val="0"/>
          <w:sz w:val="30"/>
          <w:szCs w:val="30"/>
        </w:rPr>
      </w:pPr>
    </w:p>
    <w:p>
      <w:pPr>
        <w:widowControl/>
        <w:spacing w:after="240" w:line="400" w:lineRule="exact"/>
        <w:jc w:val="center"/>
        <w:rPr>
          <w:rFonts w:hint="default" w:ascii="Times New Roman" w:hAnsi="Times New Roman" w:eastAsia="方正大标宋_GBK"/>
          <w:color w:val="000000"/>
          <w:kern w:val="0"/>
          <w:sz w:val="36"/>
          <w:szCs w:val="36"/>
        </w:rPr>
      </w:pPr>
      <w:r>
        <w:rPr>
          <w:rFonts w:hint="eastAsia" w:ascii="Times New Roman" w:hAnsi="Times New Roman" w:eastAsia="方正大标宋_GBK"/>
          <w:color w:val="000000"/>
          <w:kern w:val="0"/>
          <w:sz w:val="36"/>
          <w:szCs w:val="36"/>
        </w:rPr>
        <w:t>2023年第四批江门市科技计划项目验收结论信息表</w:t>
      </w:r>
    </w:p>
    <w:tbl>
      <w:tblPr>
        <w:tblStyle w:val="2"/>
        <w:tblW w:w="10397" w:type="dxa"/>
        <w:jc w:val="center"/>
        <w:tblLayout w:type="fixed"/>
        <w:tblCellMar>
          <w:top w:w="0" w:type="dxa"/>
          <w:left w:w="108" w:type="dxa"/>
          <w:bottom w:w="0" w:type="dxa"/>
          <w:right w:w="108" w:type="dxa"/>
        </w:tblCellMar>
      </w:tblPr>
      <w:tblGrid>
        <w:gridCol w:w="692"/>
        <w:gridCol w:w="5220"/>
        <w:gridCol w:w="3484"/>
        <w:gridCol w:w="1001"/>
      </w:tblGrid>
      <w:tr>
        <w:tblPrEx>
          <w:tblCellMar>
            <w:top w:w="0" w:type="dxa"/>
            <w:left w:w="108" w:type="dxa"/>
            <w:bottom w:w="0" w:type="dxa"/>
            <w:right w:w="108" w:type="dxa"/>
          </w:tblCellMar>
        </w:tblPrEx>
        <w:trPr>
          <w:trHeight w:val="731" w:hRule="atLeast"/>
          <w:tblHeader/>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Times New Roman" w:hAnsi="Times New Roman" w:eastAsia="方正仿宋_GBK"/>
                <w:b/>
                <w:bCs/>
                <w:color w:val="000000"/>
                <w:sz w:val="24"/>
                <w:szCs w:val="24"/>
              </w:rPr>
            </w:pPr>
            <w:r>
              <w:rPr>
                <w:rFonts w:ascii="Times New Roman" w:hAnsi="Times New Roman" w:eastAsia="方正仿宋_GBK"/>
                <w:b/>
                <w:bCs/>
                <w:color w:val="000000"/>
                <w:sz w:val="24"/>
                <w:szCs w:val="24"/>
              </w:rPr>
              <w:t>序号</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b/>
                <w:bCs/>
                <w:color w:val="000000"/>
                <w:sz w:val="24"/>
                <w:szCs w:val="24"/>
              </w:rPr>
            </w:pPr>
            <w:r>
              <w:rPr>
                <w:rFonts w:ascii="Times New Roman" w:hAnsi="Times New Roman" w:eastAsia="方正仿宋_GBK"/>
                <w:b/>
                <w:bCs/>
                <w:color w:val="000000"/>
                <w:sz w:val="24"/>
                <w:szCs w:val="24"/>
              </w:rPr>
              <w:t>项 目 名 称</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Times New Roman" w:hAnsi="Times New Roman" w:eastAsia="方正仿宋_GBK"/>
                <w:b/>
                <w:bCs/>
                <w:color w:val="000000"/>
                <w:sz w:val="24"/>
                <w:szCs w:val="24"/>
              </w:rPr>
            </w:pPr>
            <w:r>
              <w:rPr>
                <w:rFonts w:ascii="Times New Roman" w:hAnsi="Times New Roman" w:eastAsia="方正仿宋_GBK"/>
                <w:b/>
                <w:bCs/>
                <w:color w:val="000000"/>
                <w:sz w:val="24"/>
                <w:szCs w:val="24"/>
              </w:rPr>
              <w:t>承 担 单 位</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Times New Roman" w:hAnsi="Times New Roman" w:eastAsia="方正仿宋_GBK"/>
                <w:b/>
                <w:bCs/>
                <w:color w:val="000000"/>
                <w:sz w:val="24"/>
                <w:szCs w:val="24"/>
              </w:rPr>
            </w:pPr>
            <w:r>
              <w:rPr>
                <w:rFonts w:ascii="Times New Roman" w:hAnsi="Times New Roman" w:eastAsia="方正仿宋_GBK"/>
                <w:b/>
                <w:bCs/>
                <w:color w:val="000000"/>
                <w:sz w:val="24"/>
                <w:szCs w:val="24"/>
              </w:rPr>
              <w:t>验收</w:t>
            </w:r>
          </w:p>
          <w:p>
            <w:pPr>
              <w:keepNext w:val="0"/>
              <w:keepLines w:val="0"/>
              <w:pageBreakBefore w:val="0"/>
              <w:kinsoku/>
              <w:wordWrap/>
              <w:overflowPunct/>
              <w:topLinePunct w:val="0"/>
              <w:autoSpaceDE/>
              <w:autoSpaceDN/>
              <w:bidi w:val="0"/>
              <w:adjustRightInd/>
              <w:snapToGrid/>
              <w:spacing w:line="400" w:lineRule="exact"/>
              <w:jc w:val="center"/>
              <w:rPr>
                <w:rFonts w:ascii="Times New Roman" w:hAnsi="Times New Roman" w:eastAsia="方正仿宋_GBK"/>
                <w:b/>
                <w:bCs/>
                <w:color w:val="000000"/>
                <w:sz w:val="24"/>
                <w:szCs w:val="24"/>
              </w:rPr>
            </w:pPr>
            <w:r>
              <w:rPr>
                <w:rFonts w:ascii="Times New Roman" w:hAnsi="Times New Roman" w:eastAsia="方正仿宋_GBK"/>
                <w:b/>
                <w:bCs/>
                <w:color w:val="000000"/>
                <w:sz w:val="24"/>
                <w:szCs w:val="24"/>
              </w:rPr>
              <w:t>结论</w:t>
            </w:r>
          </w:p>
        </w:tc>
      </w:tr>
      <w:tr>
        <w:tblPrEx>
          <w:tblCellMar>
            <w:top w:w="0" w:type="dxa"/>
            <w:left w:w="108" w:type="dxa"/>
            <w:bottom w:w="0" w:type="dxa"/>
            <w:right w:w="108" w:type="dxa"/>
          </w:tblCellMar>
        </w:tblPrEx>
        <w:trPr>
          <w:trHeight w:val="567" w:hRule="atLeast"/>
          <w:jc w:val="center"/>
        </w:trPr>
        <w:tc>
          <w:tcPr>
            <w:tcW w:w="1039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b/>
                <w:bCs/>
                <w:color w:val="000000"/>
                <w:sz w:val="22"/>
                <w:lang w:val="en-US" w:eastAsia="zh"/>
              </w:rPr>
            </w:pPr>
            <w:r>
              <w:rPr>
                <w:rFonts w:ascii="Times New Roman" w:hAnsi="Times New Roman" w:eastAsia="方正仿宋_GBK"/>
                <w:b/>
                <w:bCs/>
                <w:color w:val="000000"/>
                <w:sz w:val="22"/>
              </w:rPr>
              <w:t>市直单位（</w:t>
            </w:r>
            <w:r>
              <w:rPr>
                <w:rFonts w:hint="default" w:ascii="Times New Roman" w:hAnsi="Times New Roman" w:eastAsia="方正仿宋_GBK"/>
                <w:b/>
                <w:bCs/>
                <w:color w:val="000000"/>
                <w:sz w:val="22"/>
              </w:rPr>
              <w:t>31</w:t>
            </w:r>
            <w:r>
              <w:rPr>
                <w:rFonts w:ascii="Times New Roman" w:hAnsi="Times New Roman" w:eastAsia="方正仿宋_GBK"/>
                <w:b/>
                <w:bCs/>
                <w:color w:val="000000"/>
                <w:sz w:val="22"/>
              </w:rPr>
              <w:t>项）</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olor w:val="000000"/>
                <w:spacing w:val="0"/>
                <w:kern w:val="0"/>
                <w:sz w:val="22"/>
                <w:lang w:eastAsia="zh"/>
              </w:rPr>
            </w:pPr>
            <w:r>
              <w:rPr>
                <w:rFonts w:hint="default" w:ascii="Times New Roman" w:hAnsi="Times New Roman" w:eastAsia="方正仿宋_GBK"/>
                <w:color w:val="000000"/>
                <w:spacing w:val="0"/>
                <w:kern w:val="0"/>
                <w:sz w:val="22"/>
                <w:lang w:eastAsia="zh"/>
              </w:rPr>
              <w:t>1</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广东江门国家农业科技园区建设</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eastAsia" w:ascii="方正仿宋_GBK" w:hAnsi="方正仿宋_GBK" w:eastAsia="方正仿宋_GBK" w:cs="方正仿宋_GBK"/>
                <w:kern w:val="0"/>
                <w:sz w:val="22"/>
                <w:szCs w:val="22"/>
                <w:lang w:val="en-US" w:eastAsia="zh-CN" w:bidi="ar-SA"/>
              </w:rPr>
              <w:t>江门市农业科技创新中心</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eastAsia="zh" w:bidi="ar"/>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olor w:val="000000"/>
                <w:spacing w:val="0"/>
                <w:kern w:val="0"/>
                <w:sz w:val="22"/>
                <w:lang w:eastAsia="zh"/>
              </w:rPr>
            </w:pPr>
            <w:r>
              <w:rPr>
                <w:rFonts w:hint="default" w:ascii="Times New Roman" w:hAnsi="Times New Roman" w:eastAsia="方正仿宋_GBK"/>
                <w:color w:val="000000"/>
                <w:spacing w:val="0"/>
                <w:kern w:val="0"/>
                <w:sz w:val="22"/>
                <w:lang w:eastAsia="zh"/>
              </w:rPr>
              <w:t>2</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超声引导下股神经阻滞置管在全膝关节置换术后镇痛的应用研究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江门市人民医院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olor w:val="000000"/>
                <w:spacing w:val="0"/>
                <w:kern w:val="0"/>
                <w:sz w:val="22"/>
                <w:lang w:eastAsia="zh"/>
              </w:rPr>
            </w:pPr>
            <w:r>
              <w:rPr>
                <w:rFonts w:hint="default" w:ascii="Times New Roman" w:hAnsi="Times New Roman" w:eastAsia="方正仿宋_GBK"/>
                <w:color w:val="000000"/>
                <w:spacing w:val="0"/>
                <w:kern w:val="0"/>
                <w:sz w:val="22"/>
                <w:lang w:eastAsia="zh"/>
              </w:rPr>
              <w:t>3</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val="en-US" w:eastAsia="zh-CN" w:bidi="ar-SA"/>
              </w:rPr>
              <w:t>个性化健康管理方案在急性脑梗死认知功能障碍患者中的应用研究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江门市人民医院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spacing w:val="0"/>
                <w:kern w:val="0"/>
                <w:sz w:val="22"/>
                <w:szCs w:val="22"/>
                <w:lang w:val="en-US" w:eastAsia="zh" w:bidi="ar-SA"/>
              </w:rPr>
            </w:pPr>
            <w:r>
              <w:rPr>
                <w:rFonts w:hint="default" w:ascii="Times New Roman" w:hAnsi="Times New Roman" w:eastAsia="方正仿宋_GBK"/>
                <w:color w:val="000000"/>
                <w:spacing w:val="0"/>
                <w:kern w:val="0"/>
                <w:sz w:val="22"/>
                <w:lang w:eastAsia="zh"/>
              </w:rPr>
              <w:t>4</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val="en-US" w:eastAsia="zh-CN" w:bidi="ar-SA"/>
              </w:rPr>
              <w:t>药学服务应用于门诊青壮年高血压患者口服降压药的效果研究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江门市人民医院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spacing w:val="0"/>
                <w:kern w:val="0"/>
                <w:sz w:val="22"/>
                <w:szCs w:val="22"/>
                <w:lang w:val="en-US" w:eastAsia="zh" w:bidi="ar-SA"/>
              </w:rPr>
            </w:pPr>
            <w:r>
              <w:rPr>
                <w:rFonts w:hint="default" w:ascii="Times New Roman" w:hAnsi="Times New Roman" w:eastAsia="方正仿宋_GBK"/>
                <w:color w:val="000000"/>
                <w:spacing w:val="0"/>
                <w:kern w:val="0"/>
                <w:sz w:val="22"/>
                <w:lang w:eastAsia="zh"/>
              </w:rPr>
              <w:t>5</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三棱镜矫正与常规手术对急性共同性内斜视疗效的比较</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eastAsia="zh-CN"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spacing w:val="0"/>
                <w:kern w:val="0"/>
                <w:sz w:val="22"/>
                <w:szCs w:val="22"/>
                <w:lang w:val="en-US" w:eastAsia="zh" w:bidi="ar-SA"/>
              </w:rPr>
            </w:pPr>
            <w:r>
              <w:rPr>
                <w:rFonts w:hint="default" w:ascii="Times New Roman" w:hAnsi="Times New Roman" w:eastAsia="方正仿宋_GBK"/>
                <w:color w:val="000000"/>
                <w:spacing w:val="0"/>
                <w:kern w:val="0"/>
                <w:sz w:val="22"/>
                <w:lang w:eastAsia="zh-CN"/>
              </w:rPr>
              <w:t>6</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他达拉非对薄型子宫内膜患者应用效果的前瞻性队列研究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olor w:val="000000"/>
                <w:kern w:val="0"/>
                <w:sz w:val="22"/>
                <w:lang w:val="en-US" w:eastAsia="zh"/>
              </w:rPr>
              <w:t>7</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基于三代测序的beta地中海贫血胚胎植入前诊断方法及系统</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s="Times New Roman"/>
                <w:color w:val="000000"/>
                <w:kern w:val="0"/>
                <w:sz w:val="22"/>
                <w:szCs w:val="22"/>
                <w:lang w:val="en-US" w:eastAsia="zh" w:bidi="ar-SA"/>
              </w:rPr>
              <w:t>8</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基于Orem自理理论联合聚焦解决模式对脑卒中患者ADL及负性情绪的影响</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s="Times New Roman"/>
                <w:color w:val="000000"/>
                <w:kern w:val="0"/>
                <w:sz w:val="22"/>
                <w:szCs w:val="22"/>
                <w:lang w:val="en-US" w:eastAsia="zh" w:bidi="ar-SA"/>
              </w:rPr>
              <w:t>9</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不同姑息性引流术治疗低位恶性梗阻性黄疸的临床研究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22"/>
                <w:lang w:val="en-US" w:eastAsia="zh-CN" w:bidi="ar-SA"/>
              </w:rPr>
            </w:pPr>
            <w:r>
              <w:rPr>
                <w:rFonts w:hint="eastAsia" w:ascii="Times New Roman" w:hAnsi="Times New Roman" w:eastAsia="方正仿宋_GBK" w:cs="Times New Roman"/>
                <w:color w:val="000000"/>
                <w:kern w:val="0"/>
                <w:sz w:val="22"/>
                <w:szCs w:val="22"/>
                <w:lang w:val="en-US" w:eastAsia="zh-CN" w:bidi="ar-SA"/>
              </w:rPr>
              <w:t>10</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无盆化擦浴对EICU危重症患者院内感染的防控作用</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11</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江门市地震应急基础数据管理及应用系统</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江门市地震监测中心</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12</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基于符号互动论的高职大学生劳动教育质量提升策略研究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广东江门中医药职业学院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spacing w:val="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13</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5G技术在外出职业健康检查中的应用研究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江门市职业病防治所</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i w:val="0"/>
                <w:color w:val="000000"/>
                <w:spacing w:val="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14</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摩托车零部件打磨、抛光智能机器人的研究开发</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江门职业技术学院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15</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“一校一品”建设背景下中华优秀传统武术蔡李佛拳特色项目的校园建设与发展策略研究——以江门职业技术学院为例</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江门职业技术学院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spacing w:val="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16</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乡村振兴背景下侨乡城郊农村治理主体结构研究——以江门市新会区沙堆镇独联村为考察对象</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江门职业技术学院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17</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交流接触器导磁环的抗断裂性能优化</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江门职业技术学院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18</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基于GSBMDP标签检测算法的外出作业防丢助手</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江门职业技术学院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19</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eastAsia="zh-CN" w:bidi="ar-SA"/>
              </w:rPr>
              <w:t>江门市火锅底料辣椒酱等食品中罗丹明B染料的监测调查</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val="en-US" w:eastAsia="zh-CN" w:bidi="ar-SA"/>
              </w:rPr>
              <w:t>江门市疾病预防控制中心</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20</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江门市地震构造背景和地震活动性调研</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val="en-US" w:eastAsia="zh" w:bidi="ar-SA"/>
              </w:rPr>
              <w:t>江门市地震监测中心</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21</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糖尿病知识掌握率调查与相关影响因素分析</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江门市人民医院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22</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鼻咽癌放疗后甲状腺功能改变的临床研究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23</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紫杉类药物一线化疗对子宫颈癌表皮生长因子受体表达改变以及靶分子药物指导</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24</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集束化护理在脊髓损伤后神经源性肠道功能障患者中的应用研究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000000"/>
                <w:kern w:val="0"/>
                <w:sz w:val="22"/>
                <w:szCs w:val="22"/>
                <w:lang w:val="en-US" w:eastAsia="zh" w:bidi="ar-SA"/>
              </w:rPr>
            </w:pPr>
            <w:r>
              <w:rPr>
                <w:rFonts w:hint="default" w:ascii="Times New Roman" w:hAnsi="Times New Roman" w:eastAsia="宋体" w:cs="Times New Roman"/>
                <w:i w:val="0"/>
                <w:color w:val="000000"/>
                <w:kern w:val="0"/>
                <w:sz w:val="22"/>
                <w:szCs w:val="22"/>
                <w:u w:val="none"/>
                <w:lang w:val="en-US" w:eastAsia="zh-CN" w:bidi="ar"/>
              </w:rPr>
              <w:t>25</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江门市老年尿失禁病人护理干预系统的建立</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000000"/>
                <w:kern w:val="0"/>
                <w:sz w:val="22"/>
                <w:szCs w:val="22"/>
                <w:lang w:val="en-US" w:eastAsia="zh" w:bidi="ar-SA"/>
              </w:rPr>
            </w:pPr>
            <w:r>
              <w:rPr>
                <w:rFonts w:hint="default" w:ascii="Times New Roman" w:hAnsi="Times New Roman" w:eastAsia="宋体" w:cs="Times New Roman"/>
                <w:i w:val="0"/>
                <w:color w:val="000000"/>
                <w:kern w:val="0"/>
                <w:sz w:val="22"/>
                <w:szCs w:val="22"/>
                <w:u w:val="none"/>
                <w:lang w:val="en-US" w:eastAsia="zh-CN" w:bidi="ar"/>
              </w:rPr>
              <w:t>26</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阴茎体感诱发联合阴茎皮肤交感反应在早泄的应用</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Times New Roman"/>
                <w:color w:val="000000"/>
                <w:kern w:val="0"/>
                <w:sz w:val="22"/>
                <w:szCs w:val="22"/>
                <w:lang w:val="en-US" w:eastAsia="zh" w:bidi="ar-SA"/>
              </w:rPr>
            </w:pPr>
            <w:r>
              <w:rPr>
                <w:rFonts w:hint="default" w:ascii="Times New Roman" w:hAnsi="Times New Roman" w:eastAsia="宋体" w:cs="Times New Roman"/>
                <w:i w:val="0"/>
                <w:color w:val="000000"/>
                <w:kern w:val="0"/>
                <w:sz w:val="22"/>
                <w:szCs w:val="22"/>
                <w:u w:val="none"/>
                <w:lang w:val="en-US" w:eastAsia="zh-CN" w:bidi="ar"/>
              </w:rPr>
              <w:t>27</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针药结合治疗难治性胃食管反流病(肝郁脾虚证)疗效的临床观察</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28</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钬激光前列腺剜除术（HoLEP）治疗良性前列腺增生症的临床研究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29</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val="en-US" w:eastAsia="zh-CN" w:bidi="ar-SA"/>
              </w:rPr>
              <w:t>超声内镜在食管胃底静脉曲张诊治中的应用研究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30</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val="en-US" w:eastAsia="zh-CN" w:bidi="ar-SA"/>
              </w:rPr>
              <w:t>ERCP联合SpyGlass胆道子镜诊断胆道狭窄病变的应用研究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31</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default" w:ascii="方正仿宋_GBK" w:hAnsi="方正仿宋_GBK" w:eastAsia="方正仿宋_GBK" w:cs="方正仿宋_GBK"/>
                <w:kern w:val="0"/>
                <w:sz w:val="22"/>
                <w:szCs w:val="22"/>
                <w:lang w:val="en-US" w:eastAsia="zh-CN" w:bidi="ar-SA"/>
              </w:rPr>
              <w:t>转录因子GATA3对肝细胞癌侵袭转移的作用研究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CN" w:bidi="ar-SA"/>
              </w:rPr>
              <w:t>江门市中心医院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eastAsia="zh" w:bidi="ar-SA"/>
              </w:rPr>
              <w:t>结题</w:t>
            </w:r>
          </w:p>
        </w:tc>
      </w:tr>
      <w:tr>
        <w:tblPrEx>
          <w:tblCellMar>
            <w:top w:w="0" w:type="dxa"/>
            <w:left w:w="108" w:type="dxa"/>
            <w:bottom w:w="0" w:type="dxa"/>
            <w:right w:w="108" w:type="dxa"/>
          </w:tblCellMar>
        </w:tblPrEx>
        <w:trPr>
          <w:trHeight w:val="567" w:hRule="atLeast"/>
          <w:jc w:val="center"/>
        </w:trPr>
        <w:tc>
          <w:tcPr>
            <w:tcW w:w="1039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both"/>
              <w:rPr>
                <w:rFonts w:hint="default" w:ascii="方正仿宋_GBK" w:hAnsi="方正仿宋_GBK" w:eastAsia="方正仿宋_GBK" w:cs="方正仿宋_GBK"/>
                <w:kern w:val="0"/>
                <w:sz w:val="22"/>
                <w:szCs w:val="22"/>
                <w:lang w:eastAsia="zh" w:bidi="ar-SA"/>
              </w:rPr>
            </w:pPr>
            <w:r>
              <w:rPr>
                <w:rFonts w:hint="default" w:ascii="Times New Roman" w:hAnsi="Times New Roman" w:eastAsia="方正仿宋_GBK"/>
                <w:b/>
                <w:bCs/>
                <w:color w:val="000000"/>
                <w:sz w:val="22"/>
                <w:lang w:eastAsia="zh"/>
              </w:rPr>
              <w:t>蓬江区（3项）</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32</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优质高产水稻新品种研发繁育推广及产业化</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val="en-US" w:eastAsia="zh-CN" w:bidi="ar-SA"/>
              </w:rPr>
              <w:t>广东大海农业科技有限公司（原</w:t>
            </w:r>
            <w:r>
              <w:rPr>
                <w:rFonts w:hint="eastAsia" w:ascii="方正仿宋_GBK" w:hAnsi="方正仿宋_GBK" w:eastAsia="方正仿宋_GBK" w:cs="方正仿宋_GBK"/>
                <w:kern w:val="0"/>
                <w:sz w:val="22"/>
                <w:szCs w:val="22"/>
                <w:lang w:val="en-US" w:eastAsia="zh-CN" w:bidi="ar-SA"/>
              </w:rPr>
              <w:t>广东菰稻科技有限公司</w:t>
            </w:r>
            <w:r>
              <w:rPr>
                <w:rFonts w:hint="default" w:ascii="方正仿宋_GBK" w:hAnsi="方正仿宋_GBK" w:eastAsia="方正仿宋_GBK" w:cs="方正仿宋_GBK"/>
                <w:kern w:val="0"/>
                <w:sz w:val="22"/>
                <w:szCs w:val="22"/>
                <w:lang w:val="en-US" w:eastAsia="zh-CN" w:bidi="ar-SA"/>
              </w:rPr>
              <w:t>）</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 w:bidi="ar-SA"/>
              </w:rPr>
            </w:pPr>
            <w:r>
              <w:rPr>
                <w:rFonts w:hint="default" w:ascii="方正仿宋_GBK" w:hAnsi="方正仿宋_GBK" w:eastAsia="方正仿宋_GBK" w:cs="方正仿宋_GBK"/>
                <w:kern w:val="0"/>
                <w:sz w:val="22"/>
                <w:szCs w:val="22"/>
                <w:lang w:val="en-US"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33</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tabs>
                <w:tab w:val="left" w:pos="1305"/>
              </w:tabs>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广东省4k高清电视制造工程技术研究中心资助项目</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广东海信电子有限公司</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 w:bidi="ar"/>
              </w:rPr>
            </w:pPr>
            <w:r>
              <w:rPr>
                <w:rFonts w:hint="default" w:ascii="方正仿宋_GBK" w:hAnsi="方正仿宋_GBK" w:eastAsia="方正仿宋_GBK" w:cs="方正仿宋_GBK"/>
                <w:kern w:val="0"/>
                <w:sz w:val="22"/>
                <w:szCs w:val="22"/>
                <w:lang w:val="en-US"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34</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tabs>
                <w:tab w:val="left" w:pos="1305"/>
              </w:tabs>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广东省海信通信数字电视终端工程技术研究中心资助项目</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广东海信</w:t>
            </w:r>
            <w:r>
              <w:rPr>
                <w:rFonts w:hint="default" w:ascii="方正仿宋_GBK" w:hAnsi="方正仿宋_GBK" w:eastAsia="方正仿宋_GBK" w:cs="方正仿宋_GBK"/>
                <w:i w:val="0"/>
                <w:color w:val="000000"/>
                <w:spacing w:val="0"/>
                <w:kern w:val="0"/>
                <w:sz w:val="24"/>
                <w:szCs w:val="24"/>
                <w:u w:val="none"/>
                <w:lang w:eastAsia="zh-CN" w:bidi="ar"/>
              </w:rPr>
              <w:t>通信</w:t>
            </w:r>
            <w:r>
              <w:rPr>
                <w:rFonts w:hint="eastAsia" w:ascii="方正仿宋_GBK" w:hAnsi="方正仿宋_GBK" w:eastAsia="方正仿宋_GBK" w:cs="方正仿宋_GBK"/>
                <w:i w:val="0"/>
                <w:color w:val="000000"/>
                <w:spacing w:val="0"/>
                <w:kern w:val="0"/>
                <w:sz w:val="24"/>
                <w:szCs w:val="24"/>
                <w:u w:val="none"/>
                <w:lang w:val="en-US" w:eastAsia="zh-CN" w:bidi="ar"/>
              </w:rPr>
              <w:t>有限公司</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 w:bidi="ar"/>
              </w:rPr>
            </w:pPr>
            <w:r>
              <w:rPr>
                <w:rFonts w:hint="default" w:ascii="方正仿宋_GBK" w:hAnsi="方正仿宋_GBK" w:eastAsia="方正仿宋_GBK" w:cs="方正仿宋_GBK"/>
                <w:kern w:val="0"/>
                <w:sz w:val="22"/>
                <w:szCs w:val="22"/>
                <w:lang w:val="en-US" w:eastAsia="zh" w:bidi="ar-SA"/>
              </w:rPr>
              <w:t>通过</w:t>
            </w:r>
          </w:p>
        </w:tc>
      </w:tr>
      <w:tr>
        <w:tblPrEx>
          <w:tblCellMar>
            <w:top w:w="0" w:type="dxa"/>
            <w:left w:w="108" w:type="dxa"/>
            <w:bottom w:w="0" w:type="dxa"/>
            <w:right w:w="108" w:type="dxa"/>
          </w:tblCellMar>
        </w:tblPrEx>
        <w:trPr>
          <w:trHeight w:val="567" w:hRule="atLeast"/>
          <w:jc w:val="center"/>
        </w:trPr>
        <w:tc>
          <w:tcPr>
            <w:tcW w:w="1039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方正仿宋_GBK" w:hAnsi="方正仿宋_GBK" w:eastAsia="方正仿宋_GBK" w:cs="方正仿宋_GBK"/>
                <w:kern w:val="0"/>
                <w:sz w:val="22"/>
                <w:szCs w:val="22"/>
                <w:lang w:val="en-US" w:eastAsia="zh" w:bidi="ar-SA"/>
              </w:rPr>
            </w:pPr>
            <w:r>
              <w:rPr>
                <w:rFonts w:hint="default" w:ascii="Times New Roman" w:hAnsi="Times New Roman" w:eastAsia="方正仿宋_GBK"/>
                <w:b/>
                <w:bCs/>
                <w:color w:val="000000"/>
                <w:sz w:val="22"/>
                <w:lang w:eastAsia="zh-CN"/>
              </w:rPr>
              <w:t>江海区（4项）</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cs="Times New Roman"/>
                <w:i w:val="0"/>
                <w:color w:val="000000"/>
                <w:kern w:val="0"/>
                <w:sz w:val="22"/>
                <w:szCs w:val="22"/>
                <w:u w:val="none"/>
                <w:lang w:eastAsia="zh-CN" w:bidi="ar"/>
              </w:rPr>
              <w:t>35</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11"/>
                <w:kern w:val="0"/>
                <w:sz w:val="24"/>
                <w:szCs w:val="24"/>
                <w:u w:val="none"/>
                <w:lang w:val="en-US" w:eastAsia="zh-CN" w:bidi="ar"/>
              </w:rPr>
            </w:pPr>
            <w:r>
              <w:rPr>
                <w:rFonts w:hint="default" w:ascii="方正仿宋_GBK" w:hAnsi="方正仿宋_GBK" w:eastAsia="方正仿宋_GBK" w:cs="方正仿宋_GBK"/>
                <w:i w:val="0"/>
                <w:color w:val="000000"/>
                <w:spacing w:val="-11"/>
                <w:kern w:val="0"/>
                <w:sz w:val="24"/>
                <w:szCs w:val="24"/>
                <w:u w:val="none"/>
                <w:lang w:val="en-US" w:eastAsia="zh-CN" w:bidi="ar"/>
              </w:rPr>
              <w:t>广东奔富之堡智能家电工程技术研究院</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广东奔富之堡智能家电工程技术研究中心有限公司</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 w:bidi="ar"/>
              </w:rPr>
            </w:pPr>
            <w:r>
              <w:rPr>
                <w:rFonts w:hint="default" w:ascii="方正仿宋_GBK" w:hAnsi="方正仿宋_GBK" w:eastAsia="方正仿宋_GBK" w:cs="方正仿宋_GBK"/>
                <w:i w:val="0"/>
                <w:color w:val="000000"/>
                <w:kern w:val="0"/>
                <w:sz w:val="24"/>
                <w:szCs w:val="24"/>
                <w:u w:val="none"/>
                <w:lang w:eastAsia="zh"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cs="Times New Roman"/>
                <w:i w:val="0"/>
                <w:color w:val="000000"/>
                <w:kern w:val="0"/>
                <w:sz w:val="22"/>
                <w:szCs w:val="22"/>
                <w:u w:val="none"/>
                <w:lang w:eastAsia="zh-CN" w:bidi="ar"/>
              </w:rPr>
              <w:t>36</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11"/>
                <w:kern w:val="0"/>
                <w:sz w:val="24"/>
                <w:szCs w:val="24"/>
                <w:u w:val="none"/>
                <w:lang w:val="en-US" w:eastAsia="zh-CN" w:bidi="ar"/>
              </w:rPr>
            </w:pPr>
            <w:r>
              <w:rPr>
                <w:rFonts w:hint="default" w:ascii="方正仿宋_GBK" w:hAnsi="方正仿宋_GBK" w:eastAsia="方正仿宋_GBK" w:cs="方正仿宋_GBK"/>
                <w:i w:val="0"/>
                <w:color w:val="000000"/>
                <w:spacing w:val="-11"/>
                <w:kern w:val="0"/>
                <w:sz w:val="24"/>
                <w:szCs w:val="24"/>
                <w:u w:val="none"/>
                <w:lang w:eastAsia="zh-CN" w:bidi="ar"/>
              </w:rPr>
              <w:t>广东省智能家电工程技术研究中心建设</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江门市鸿裕达电机电器制造有限公司</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cs="Times New Roman"/>
                <w:i w:val="0"/>
                <w:color w:val="000000"/>
                <w:kern w:val="0"/>
                <w:sz w:val="22"/>
                <w:szCs w:val="22"/>
                <w:u w:val="none"/>
                <w:lang w:eastAsia="zh-CN" w:bidi="ar"/>
              </w:rPr>
              <w:t>37</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spacing w:val="0"/>
                <w:kern w:val="0"/>
                <w:sz w:val="24"/>
                <w:szCs w:val="24"/>
                <w:u w:val="none"/>
                <w:lang w:val="en-US" w:eastAsia="zh-CN" w:bidi="ar"/>
              </w:rPr>
              <w:t>供应室污物存放区规范化分类管理在降低医院感染发生率中的效果研究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江门市江海区人民医院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 w:bidi="ar"/>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eastAsia="zh-CN" w:bidi="ar"/>
              </w:rPr>
            </w:pPr>
            <w:r>
              <w:rPr>
                <w:rFonts w:hint="default" w:ascii="Times New Roman" w:hAnsi="Times New Roman" w:cs="Times New Roman"/>
                <w:i w:val="0"/>
                <w:color w:val="000000"/>
                <w:kern w:val="0"/>
                <w:sz w:val="22"/>
                <w:szCs w:val="22"/>
                <w:u w:val="none"/>
                <w:lang w:eastAsia="zh-CN" w:bidi="ar"/>
              </w:rPr>
              <w:t>38</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spacing w:val="0"/>
                <w:kern w:val="0"/>
                <w:sz w:val="24"/>
                <w:szCs w:val="24"/>
                <w:u w:val="none"/>
                <w:lang w:val="en-US" w:eastAsia="zh-CN" w:bidi="ar"/>
              </w:rPr>
              <w:t>广东华南半导体光电研究院</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广东华南半导体光电研究院有限公司</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eastAsia="zh-CN" w:bidi="ar"/>
              </w:rPr>
              <w:t>通过</w:t>
            </w:r>
          </w:p>
        </w:tc>
      </w:tr>
      <w:tr>
        <w:tblPrEx>
          <w:tblCellMar>
            <w:top w:w="0" w:type="dxa"/>
            <w:left w:w="108" w:type="dxa"/>
            <w:bottom w:w="0" w:type="dxa"/>
            <w:right w:w="108" w:type="dxa"/>
          </w:tblCellMar>
        </w:tblPrEx>
        <w:trPr>
          <w:trHeight w:val="567" w:hRule="atLeast"/>
          <w:jc w:val="center"/>
        </w:trPr>
        <w:tc>
          <w:tcPr>
            <w:tcW w:w="1039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Times New Roman" w:hAnsi="Times New Roman" w:eastAsia="方正仿宋_GBK"/>
                <w:b/>
                <w:bCs/>
                <w:color w:val="000000"/>
                <w:sz w:val="22"/>
                <w:lang w:eastAsia="zh-CN"/>
              </w:rPr>
              <w:t>新会区（18项）</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3</w:t>
            </w:r>
            <w:r>
              <w:rPr>
                <w:rFonts w:hint="default" w:ascii="Times New Roman" w:hAnsi="Times New Roman" w:cs="Times New Roman"/>
                <w:i w:val="0"/>
                <w:color w:val="000000"/>
                <w:kern w:val="0"/>
                <w:sz w:val="22"/>
                <w:szCs w:val="22"/>
                <w:u w:val="none"/>
                <w:lang w:eastAsia="zh-CN" w:bidi="ar"/>
              </w:rPr>
              <w:t>9</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spacing w:val="0"/>
                <w:kern w:val="0"/>
                <w:sz w:val="24"/>
                <w:szCs w:val="24"/>
                <w:u w:val="none"/>
                <w:lang w:val="en-US" w:eastAsia="zh-CN" w:bidi="ar"/>
              </w:rPr>
              <w:t>3D打印技术在肢体放疗体位固定中的应用与护理</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cs="Times New Roman"/>
                <w:i w:val="0"/>
                <w:color w:val="000000"/>
                <w:kern w:val="0"/>
                <w:sz w:val="22"/>
                <w:szCs w:val="22"/>
                <w:u w:val="none"/>
                <w:lang w:eastAsia="zh-CN" w:bidi="ar"/>
              </w:rPr>
              <w:t>40</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隧道式Power PICC置管对降低肿瘤患者导管相关并发症发生的应用研究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 w:bidi="ar"/>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41</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血常规监测在头颈部恶性肿瘤同期放化疗中的作用</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cs="Times New Roman"/>
                <w:i w:val="0"/>
                <w:color w:val="000000"/>
                <w:kern w:val="0"/>
                <w:sz w:val="22"/>
                <w:szCs w:val="22"/>
                <w:u w:val="none"/>
                <w:lang w:eastAsia="zh-CN" w:bidi="ar"/>
              </w:rPr>
              <w:t>42</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一次性电子输尿管软镜联合可控性单肺通气技术在大体积肾结石手术中的应用</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江门市新会区人民医院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 w:bidi="ar"/>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43</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医护人员工作满意度对患者满意度影响的研究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CN" w:bidi="ar-SA"/>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44</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陈皮降气颗粒剂的制备与临床疗效观察</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45</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慢阻肺急性加重期患者痰培养菌种与铁标志物和炎症指标的关系</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46</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肾上腺素在高龄患者髋部骨折术中低血压的应用效果</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4</w:t>
            </w:r>
            <w:r>
              <w:rPr>
                <w:rFonts w:hint="default" w:ascii="Times New Roman" w:hAnsi="Times New Roman" w:cs="Times New Roman"/>
                <w:i w:val="0"/>
                <w:color w:val="000000"/>
                <w:kern w:val="0"/>
                <w:sz w:val="22"/>
                <w:szCs w:val="22"/>
                <w:u w:val="none"/>
                <w:lang w:eastAsia="zh-CN" w:bidi="ar"/>
              </w:rPr>
              <w:t>7</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芪参生津方内服防治深部热疗不良反应的临床研究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4</w:t>
            </w:r>
            <w:r>
              <w:rPr>
                <w:rFonts w:hint="default" w:ascii="Times New Roman" w:hAnsi="Times New Roman" w:cs="Times New Roman"/>
                <w:i w:val="0"/>
                <w:color w:val="000000"/>
                <w:kern w:val="0"/>
                <w:sz w:val="22"/>
                <w:szCs w:val="22"/>
                <w:u w:val="none"/>
                <w:lang w:eastAsia="zh-CN" w:bidi="ar"/>
              </w:rPr>
              <w:t>8</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特制新会陈皮饮片的炮制工艺优选及临床疗效观察</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宋体" w:cs="Times New Roman"/>
                <w:i w:val="0"/>
                <w:color w:val="000000"/>
                <w:kern w:val="0"/>
                <w:sz w:val="22"/>
                <w:szCs w:val="22"/>
                <w:u w:val="none"/>
                <w:lang w:val="en-US" w:eastAsia="zh-CN" w:bidi="ar"/>
              </w:rPr>
              <w:t>4</w:t>
            </w:r>
            <w:r>
              <w:rPr>
                <w:rFonts w:hint="default" w:ascii="Times New Roman" w:hAnsi="Times New Roman" w:cs="Times New Roman"/>
                <w:i w:val="0"/>
                <w:color w:val="000000"/>
                <w:kern w:val="0"/>
                <w:sz w:val="22"/>
                <w:szCs w:val="22"/>
                <w:u w:val="none"/>
                <w:lang w:eastAsia="zh-CN" w:bidi="ar"/>
              </w:rPr>
              <w:t>9</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广东省多功能智能锁具工程技术研究中心资助项目</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广东科裕智能科技有限公司</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cs="Times New Roman"/>
                <w:i w:val="0"/>
                <w:color w:val="000000"/>
                <w:kern w:val="0"/>
                <w:sz w:val="22"/>
                <w:szCs w:val="22"/>
                <w:u w:val="none"/>
                <w:lang w:eastAsia="zh-CN" w:bidi="ar"/>
              </w:rPr>
              <w:t>50</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中华冠军鸡产业互联网构建</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江门龙源科技有限公司</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51</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广东省集成电路封装与测试工程技术研究中心</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江门市华凯科技有限公司</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52</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CT引导下经皮肺穿刺术对微浸润肺腺癌诊断的应用</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53</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超声引导下颈神经根注射对神经根型颈椎病的疗效</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val="en-US" w:eastAsia="zh-CN" w:bidi="ar-SA"/>
              </w:rPr>
            </w:pPr>
            <w:r>
              <w:rPr>
                <w:rFonts w:hint="default" w:ascii="Times New Roman" w:hAnsi="Times New Roman" w:eastAsia="方正仿宋_GBK" w:cs="Times New Roman"/>
                <w:color w:val="000000"/>
                <w:kern w:val="0"/>
                <w:sz w:val="22"/>
                <w:szCs w:val="22"/>
                <w:lang w:eastAsia="zh-CN" w:bidi="ar-SA"/>
              </w:rPr>
              <w:t>54</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关节镜下松解术加肩峰成形术对冻结肩肩峰指数异常者的疗效</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cs="Times New Roman"/>
                <w:i w:val="0"/>
                <w:color w:val="000000"/>
                <w:kern w:val="0"/>
                <w:sz w:val="22"/>
                <w:szCs w:val="22"/>
                <w:u w:val="none"/>
                <w:lang w:eastAsia="zh-CN" w:bidi="ar"/>
              </w:rPr>
              <w:t>55</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关节镜下三锁扣钢板治疗急性肩锁关节脱位的临床应用</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结题</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2"/>
                <w:szCs w:val="22"/>
                <w:u w:val="none"/>
                <w:lang w:eastAsia="zh-CN" w:bidi="ar"/>
              </w:rPr>
            </w:pPr>
            <w:r>
              <w:rPr>
                <w:rFonts w:hint="default" w:ascii="Times New Roman" w:hAnsi="Times New Roman" w:cs="Times New Roman"/>
                <w:i w:val="0"/>
                <w:color w:val="000000"/>
                <w:kern w:val="0"/>
                <w:sz w:val="22"/>
                <w:szCs w:val="22"/>
                <w:u w:val="none"/>
                <w:lang w:eastAsia="zh-CN" w:bidi="ar"/>
              </w:rPr>
              <w:t>56</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循经雷火灸结合康复训练对脑卒中后Ⅰ期肩手综合征的应用研究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江门市新会区中医院</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结题</w:t>
            </w:r>
          </w:p>
        </w:tc>
      </w:tr>
      <w:tr>
        <w:tblPrEx>
          <w:tblCellMar>
            <w:top w:w="0" w:type="dxa"/>
            <w:left w:w="108" w:type="dxa"/>
            <w:bottom w:w="0" w:type="dxa"/>
            <w:right w:w="108" w:type="dxa"/>
          </w:tblCellMar>
        </w:tblPrEx>
        <w:trPr>
          <w:trHeight w:val="567" w:hRule="atLeast"/>
          <w:jc w:val="center"/>
        </w:trPr>
        <w:tc>
          <w:tcPr>
            <w:tcW w:w="1039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Times New Roman" w:hAnsi="Times New Roman" w:eastAsia="方正仿宋_GBK"/>
                <w:b/>
                <w:bCs/>
                <w:color w:val="000000"/>
                <w:sz w:val="22"/>
                <w:lang w:eastAsia="zh-CN"/>
              </w:rPr>
              <w:t>开平市（2项）</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57</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智能温室大棚箱体高密度新品种工厂化种养技术应用</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bidi="ar-SA"/>
              </w:rPr>
              <w:t>江门市赛宜美农业科技有限公司</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eastAsia="zh" w:bidi="ar-SA"/>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58</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val="en-US" w:eastAsia="zh-CN" w:bidi="ar"/>
              </w:rPr>
            </w:pPr>
            <w:r>
              <w:rPr>
                <w:rFonts w:hint="default" w:ascii="方正仿宋_GBK" w:hAnsi="方正仿宋_GBK" w:eastAsia="方正仿宋_GBK" w:cs="方正仿宋_GBK"/>
                <w:i w:val="0"/>
                <w:color w:val="000000"/>
                <w:spacing w:val="0"/>
                <w:kern w:val="0"/>
                <w:sz w:val="24"/>
                <w:szCs w:val="24"/>
                <w:u w:val="none"/>
                <w:lang w:val="en-US" w:eastAsia="zh-CN" w:bidi="ar"/>
              </w:rPr>
              <w:t>广东省高精度多层线路板工程技术研究中心建设</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开平依利安达电子有限公司</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val="en-US" w:eastAsia="zh" w:bidi="ar-SA"/>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1039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方正仿宋_GBK" w:hAnsi="方正仿宋_GBK" w:eastAsia="方正仿宋_GBK" w:cs="方正仿宋_GBK"/>
                <w:color w:val="000000"/>
                <w:kern w:val="0"/>
                <w:sz w:val="24"/>
                <w:szCs w:val="24"/>
                <w:lang w:eastAsia="zh-CN" w:bidi="ar-SA"/>
              </w:rPr>
            </w:pPr>
            <w:r>
              <w:rPr>
                <w:rFonts w:hint="default" w:ascii="Times New Roman" w:hAnsi="Times New Roman" w:eastAsia="方正仿宋_GBK"/>
                <w:b/>
                <w:bCs/>
                <w:color w:val="000000"/>
                <w:sz w:val="22"/>
                <w:lang w:eastAsia="zh-CN"/>
              </w:rPr>
              <w:t>鹤山市（1项）</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59</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tabs>
                <w:tab w:val="left" w:pos="682"/>
              </w:tabs>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color w:val="000000"/>
                <w:spacing w:val="0"/>
                <w:kern w:val="0"/>
                <w:sz w:val="24"/>
                <w:szCs w:val="24"/>
                <w:u w:val="none"/>
                <w:lang w:eastAsia="zh-CN" w:bidi="ar"/>
              </w:rPr>
            </w:pPr>
            <w:r>
              <w:rPr>
                <w:rFonts w:hint="default" w:ascii="方正仿宋_GBK" w:hAnsi="方正仿宋_GBK" w:eastAsia="方正仿宋_GBK" w:cs="方正仿宋_GBK"/>
                <w:i w:val="0"/>
                <w:color w:val="000000"/>
                <w:spacing w:val="0"/>
                <w:kern w:val="0"/>
                <w:sz w:val="24"/>
                <w:szCs w:val="24"/>
                <w:u w:val="none"/>
                <w:lang w:eastAsia="zh-CN" w:bidi="ar"/>
              </w:rPr>
              <w:t>思维导图在小学英语复习课中的应用研究</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鹤山市鹤城镇第二小学</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color w:val="000000"/>
                <w:kern w:val="0"/>
                <w:sz w:val="24"/>
                <w:szCs w:val="24"/>
                <w:lang w:eastAsia="zh-CN" w:bidi="ar-SA"/>
              </w:rPr>
            </w:pPr>
            <w:r>
              <w:rPr>
                <w:rFonts w:hint="default" w:ascii="方正仿宋_GBK" w:hAnsi="方正仿宋_GBK" w:eastAsia="方正仿宋_GBK" w:cs="方正仿宋_GBK"/>
                <w:color w:val="000000"/>
                <w:kern w:val="0"/>
                <w:sz w:val="24"/>
                <w:szCs w:val="24"/>
                <w:lang w:eastAsia="zh" w:bidi="ar-SA"/>
              </w:rPr>
              <w:t>通过</w:t>
            </w:r>
          </w:p>
        </w:tc>
      </w:tr>
      <w:tr>
        <w:tblPrEx>
          <w:tblCellMar>
            <w:top w:w="0" w:type="dxa"/>
            <w:left w:w="108" w:type="dxa"/>
            <w:bottom w:w="0" w:type="dxa"/>
            <w:right w:w="108" w:type="dxa"/>
          </w:tblCellMar>
        </w:tblPrEx>
        <w:trPr>
          <w:trHeight w:val="567" w:hRule="atLeast"/>
          <w:jc w:val="center"/>
        </w:trPr>
        <w:tc>
          <w:tcPr>
            <w:tcW w:w="1039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方正仿宋_GBK" w:hAnsi="方正仿宋_GBK" w:eastAsia="方正仿宋_GBK" w:cs="方正仿宋_GBK"/>
                <w:i w:val="0"/>
                <w:color w:val="000000"/>
                <w:kern w:val="0"/>
                <w:sz w:val="24"/>
                <w:szCs w:val="24"/>
                <w:u w:val="none"/>
                <w:lang w:eastAsia="zh-CN" w:bidi="ar"/>
              </w:rPr>
            </w:pPr>
            <w:r>
              <w:rPr>
                <w:rFonts w:hint="default" w:ascii="Times New Roman" w:hAnsi="Times New Roman" w:eastAsia="方正仿宋_GBK"/>
                <w:b/>
                <w:bCs/>
                <w:color w:val="000000"/>
                <w:sz w:val="22"/>
                <w:lang w:eastAsia="zh-CN"/>
              </w:rPr>
              <w:t>恩平市（1项）</w:t>
            </w:r>
          </w:p>
        </w:tc>
      </w:tr>
      <w:tr>
        <w:tblPrEx>
          <w:tblCellMar>
            <w:top w:w="0" w:type="dxa"/>
            <w:left w:w="108" w:type="dxa"/>
            <w:bottom w:w="0" w:type="dxa"/>
            <w:right w:w="108" w:type="dxa"/>
          </w:tblCellMar>
        </w:tblPrEx>
        <w:trPr>
          <w:trHeight w:val="567" w:hRule="atLeast"/>
          <w:jc w:val="center"/>
        </w:trPr>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2"/>
                <w:szCs w:val="22"/>
                <w:lang w:eastAsia="zh-CN" w:bidi="ar-SA"/>
              </w:rPr>
            </w:pPr>
            <w:r>
              <w:rPr>
                <w:rFonts w:hint="default" w:ascii="Times New Roman" w:hAnsi="Times New Roman" w:eastAsia="方正仿宋_GBK" w:cs="Times New Roman"/>
                <w:color w:val="000000"/>
                <w:kern w:val="0"/>
                <w:sz w:val="22"/>
                <w:szCs w:val="22"/>
                <w:lang w:eastAsia="zh-CN" w:bidi="ar-SA"/>
              </w:rPr>
              <w:t>60</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r>
              <w:rPr>
                <w:rFonts w:hint="eastAsia" w:ascii="方正仿宋_GBK" w:hAnsi="方正仿宋_GBK" w:eastAsia="方正仿宋_GBK" w:cs="方正仿宋_GBK"/>
                <w:i w:val="0"/>
                <w:color w:val="000000"/>
                <w:spacing w:val="0"/>
                <w:kern w:val="0"/>
                <w:sz w:val="24"/>
                <w:szCs w:val="24"/>
                <w:u w:val="none"/>
                <w:lang w:val="en-US" w:eastAsia="zh-CN" w:bidi="ar"/>
              </w:rPr>
              <w:t>江门市华恩电子研究院</w:t>
            </w:r>
          </w:p>
        </w:tc>
        <w:tc>
          <w:tcPr>
            <w:tcW w:w="3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color w:val="000000"/>
                <w:spacing w:val="0"/>
                <w:kern w:val="0"/>
                <w:sz w:val="24"/>
                <w:szCs w:val="24"/>
                <w:u w:val="none"/>
                <w:lang w:val="en-US" w:eastAsia="zh-CN" w:bidi="ar"/>
              </w:rPr>
            </w:pPr>
            <w:bookmarkStart w:id="0" w:name="_GoBack"/>
            <w:r>
              <w:rPr>
                <w:rFonts w:hint="eastAsia" w:ascii="方正仿宋_GBK" w:hAnsi="方正仿宋_GBK" w:eastAsia="方正仿宋_GBK" w:cs="方正仿宋_GBK"/>
                <w:i w:val="0"/>
                <w:color w:val="000000"/>
                <w:spacing w:val="-11"/>
                <w:kern w:val="0"/>
                <w:sz w:val="24"/>
                <w:szCs w:val="24"/>
                <w:u w:val="none"/>
                <w:lang w:val="en-US" w:eastAsia="zh-CN" w:bidi="ar"/>
              </w:rPr>
              <w:t>江门市华恩电子研究院有限公司</w:t>
            </w:r>
            <w:bookmarkEnd w:id="0"/>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color w:val="000000"/>
                <w:kern w:val="0"/>
                <w:sz w:val="24"/>
                <w:szCs w:val="24"/>
                <w:lang w:eastAsia="zh" w:bidi="ar-SA"/>
              </w:rPr>
              <w:t>通过</w:t>
            </w:r>
          </w:p>
        </w:tc>
      </w:tr>
    </w:tbl>
    <w:p/>
    <w:sectPr>
      <w:pgSz w:w="11906" w:h="16838"/>
      <w:pgMar w:top="1020" w:right="1800" w:bottom="61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5550E98"/>
    <w:rsid w:val="037C9781"/>
    <w:rsid w:val="1B7FD4FE"/>
    <w:rsid w:val="1D71ABC8"/>
    <w:rsid w:val="26AB19E9"/>
    <w:rsid w:val="36FF4BFE"/>
    <w:rsid w:val="3B7BA9DA"/>
    <w:rsid w:val="3CFBD0EF"/>
    <w:rsid w:val="3E0DEDCB"/>
    <w:rsid w:val="3EF6D84D"/>
    <w:rsid w:val="3FFF194D"/>
    <w:rsid w:val="4DEE4CBF"/>
    <w:rsid w:val="55DB4B37"/>
    <w:rsid w:val="65FC08EE"/>
    <w:rsid w:val="69FFEBFD"/>
    <w:rsid w:val="6DEF8C86"/>
    <w:rsid w:val="6FFE7865"/>
    <w:rsid w:val="73B7739E"/>
    <w:rsid w:val="75F957C9"/>
    <w:rsid w:val="76CF79BC"/>
    <w:rsid w:val="7AFFD2DC"/>
    <w:rsid w:val="7B7B31CF"/>
    <w:rsid w:val="7BFE3503"/>
    <w:rsid w:val="7BFEEB93"/>
    <w:rsid w:val="7F6EE8E5"/>
    <w:rsid w:val="7F77DF37"/>
    <w:rsid w:val="7F9F286A"/>
    <w:rsid w:val="7FDDF3E7"/>
    <w:rsid w:val="7FEBC509"/>
    <w:rsid w:val="7FF29F26"/>
    <w:rsid w:val="7FFB337B"/>
    <w:rsid w:val="7FFF0A04"/>
    <w:rsid w:val="A77E42B2"/>
    <w:rsid w:val="B7F7D113"/>
    <w:rsid w:val="BADBCD22"/>
    <w:rsid w:val="BF2E5ED8"/>
    <w:rsid w:val="BF676B63"/>
    <w:rsid w:val="C3BF0829"/>
    <w:rsid w:val="CEEF895E"/>
    <w:rsid w:val="D5550E98"/>
    <w:rsid w:val="DBF9E318"/>
    <w:rsid w:val="DBFB1E1C"/>
    <w:rsid w:val="DD7F2C0C"/>
    <w:rsid w:val="DDDE3462"/>
    <w:rsid w:val="E71F74D8"/>
    <w:rsid w:val="EF3E9273"/>
    <w:rsid w:val="EFBB76ED"/>
    <w:rsid w:val="F2FE8B1B"/>
    <w:rsid w:val="F7E76897"/>
    <w:rsid w:val="F7EF0E92"/>
    <w:rsid w:val="FAFF45DE"/>
    <w:rsid w:val="FC369D09"/>
    <w:rsid w:val="FCDF05B6"/>
    <w:rsid w:val="FDFF49A3"/>
    <w:rsid w:val="FEFEB2D2"/>
    <w:rsid w:val="FF7BC89E"/>
    <w:rsid w:val="FF8B6358"/>
    <w:rsid w:val="FFDEC902"/>
    <w:rsid w:val="FFF7DCDA"/>
    <w:rsid w:val="FFFF63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2023-01-24T18:57:00Z</dcterms:created>
  <dc:creator>uos</dc:creator>
  <cp:lastModifiedBy>蒋国辉</cp:lastModifiedBy>
  <dcterms:modified xsi:type="dcterms:W3CDTF">2023-06-13T11:41:03Z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