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outlineLvl w:val="0"/>
        <w:rPr>
          <w:rFonts w:hint="eastAsia" w:ascii="方正小标宋简体" w:hAnsi="方正小标宋简体" w:eastAsia="方正小标宋简体" w:cs="方正小标宋简体"/>
          <w:kern w:val="2"/>
          <w:sz w:val="44"/>
          <w:szCs w:val="44"/>
          <w:lang w:val="en-US" w:eastAsia="zh-CN" w:bidi="ar-SA"/>
        </w:rPr>
      </w:pPr>
      <w:bookmarkStart w:id="1" w:name="_GoBack"/>
      <w:bookmarkEnd w:id="1"/>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outlineLvl w:val="0"/>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江门市生态环境局新会分局关于采购2023年环境应急设备的公告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因工作需要，江门市生态环境局新会分局拟采购环境应急监测能力设备，现将该采购项目公开询价信息公告如下，欢迎符合条件的供应商投报《报价单》及相关资料。</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一、采购项目概况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1、采购项目名称:江门市生态环境局新会分局关于采购2023年环境应急设备项目。</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2、拆分包组（含拆分不设包组的采购项目）报价的作为无效报价处理。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3、采购项目最高限价:人民币67000元（含税）（投报总价超过最高限价的作为无效报价处理）。</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二、采购项目技术/服务要求及采购数量</w:t>
      </w:r>
    </w:p>
    <w:tbl>
      <w:tblPr>
        <w:tblStyle w:val="10"/>
        <w:tblW w:w="9159" w:type="dxa"/>
        <w:jc w:val="center"/>
        <w:tblLayout w:type="fixed"/>
        <w:tblCellMar>
          <w:top w:w="105" w:type="dxa"/>
          <w:left w:w="105" w:type="dxa"/>
          <w:bottom w:w="105" w:type="dxa"/>
          <w:right w:w="105" w:type="dxa"/>
        </w:tblCellMar>
      </w:tblPr>
      <w:tblGrid>
        <w:gridCol w:w="611"/>
        <w:gridCol w:w="912"/>
        <w:gridCol w:w="6592"/>
        <w:gridCol w:w="1044"/>
      </w:tblGrid>
      <w:tr>
        <w:tblPrEx>
          <w:tblCellMar>
            <w:top w:w="105" w:type="dxa"/>
            <w:left w:w="105" w:type="dxa"/>
            <w:bottom w:w="105" w:type="dxa"/>
            <w:right w:w="105" w:type="dxa"/>
          </w:tblCellMar>
        </w:tblPrEx>
        <w:trPr>
          <w:trHeight w:val="958" w:hRule="atLeast"/>
          <w:jc w:val="center"/>
        </w:trPr>
        <w:tc>
          <w:tcPr>
            <w:tcW w:w="61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序号</w:t>
            </w:r>
          </w:p>
        </w:tc>
        <w:tc>
          <w:tcPr>
            <w:tcW w:w="912" w:type="dxa"/>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采购货物名称</w:t>
            </w:r>
          </w:p>
        </w:tc>
        <w:tc>
          <w:tcPr>
            <w:tcW w:w="6592"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货物技术参数要求</w:t>
            </w:r>
          </w:p>
        </w:tc>
        <w:tc>
          <w:tcPr>
            <w:tcW w:w="104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数量</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（单位）</w:t>
            </w:r>
          </w:p>
        </w:tc>
      </w:tr>
      <w:tr>
        <w:tblPrEx>
          <w:tblCellMar>
            <w:top w:w="105" w:type="dxa"/>
            <w:left w:w="105" w:type="dxa"/>
            <w:bottom w:w="105" w:type="dxa"/>
            <w:right w:w="105" w:type="dxa"/>
          </w:tblCellMar>
        </w:tblPrEx>
        <w:trPr>
          <w:jc w:val="center"/>
        </w:trPr>
        <w:tc>
          <w:tcPr>
            <w:tcW w:w="61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912" w:type="dxa"/>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便携式水污染物监测设备</w:t>
            </w:r>
          </w:p>
        </w:tc>
        <w:tc>
          <w:tcPr>
            <w:tcW w:w="6592"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技术参数：</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5.0寸且&lt;7.0寸液晶触摸屏，安卓智能操作系统，中英文自由切换，智能操作，产品携带方便，可以配合预制试剂一同使用，测定污染物浓度快速完成，提供该产品的第三方校准报告、CE认证。可用于市政污水、工业污水、饮用水、环境监测、等领域各种的常规参数氨氮、总磷、COD、总氮等32项水质参数分析；</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2、工作条件：</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2.1电源：主机为锂电池供电(重量小于500g)；</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2.2温度：10~40℃；</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▲2.3具备GPS定位功能；</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3、技术性能指标：</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已存储校准曲线：大于等于48条，可直接用于分析COD、氨氮、总磷、总氮、六价铬、总铬、铜、镍、氰化物、氟化物、硫化物、锰等35项水质参数分析，准确度：相对误差≤±5%（50%量程浓度点），曲线增加：用户可根据需要自行加入曲线，可加入曲线条数大于5条。</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3.1.1.分析项目：氨氮，量程范围（3种）：0.1-2mg/L、0.2-5mg/L、1-50mg/L，显色时间：10min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3.1.2.分析项目：总磷，量程范围（3种）：0.05-1mg/L、0.2-5mg/L、5-100mg/L；消解环境：120℃，30min；显色时间：5min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3.1.3.分析项目：COD，量程范围（4种）：5-100mg/L、15-200mg/L、100-1200mg/L、1000-10000mg/L；消解环境：165℃，15min；显色时间：冷却至室温</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3.1.4.分析项目：总氮，量程范围（2种）：0.5-20mg/L、1-40mg/L；消解环境：125℃，30min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显色时间：10min；</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3.1.5.分析项目：硝态氮，量程范围：0.5-25mg/L；显色时间：10min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3.1.6.分析项目：亚硝态氮，量程范围：0.02-0.5mg/L；显色时间：3min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3.1.7.分析项目：磷酸盐，量程范围：0.05-1.0mg/L；显色时间：15min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3.1.8.分析项目：总铁，量程范围：0.05-2.0mg/L；消解环境：120℃，30min；显色时间：10min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3.1.9.分析项目：二价铁，量程范围：0.05-2.0mg/L；显色时间：10min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3.1.10.分析项目：总铬，量程范围：0.05-1.0mg/L；消解环境：120℃，30min；显色时间：5min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3.1.11.分析项目：六价铬，量程范围：0.05-1.0mg/L；显色时间：5min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3.1.12.分析项目：铜，量程范围：0.05-2.0mg/L；显色时间：3min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3.1.13.分析项目：镍，量程范围：0.05-0.8mg/L；显色时间：15min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3.1.14.分析项目：总氯，量程范围：0.1-2.0mg/L；显色时间：2min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3.1.15.分析项目：二氧化氯，量程范围：0.1-2.0mg/L；显色时间：3min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3.1.16.分析项目：余氯，量程范围：0.1-2.0mg/L；显色时间：3min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3.1.17.分析项目：氰化物，量程范围：0.05-0.8mg/L；显色时间：20min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3.1.18.分析项目：氟化物，量程范围：0.1-1.5mg/L；显色时间：10min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3.1.19.分析项目：硫化物，量程范围：0.1-2.0mg/L；显色时间：10min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3.1.20.分析项目：铅，量程范围：0.2-2.0mg/L；显色时间：10min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3.1.21.分析项目：锑，量程范围：0.05-2.0mg/L；显色时间：5min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3.1.22.分析项目：高锰酸盐指数，量程范围：0.5-5mg/L；消解环境：120℃，40min；显色时间：冷却至室温</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3.1.23.分析项目：pH，量程范围：6.5-8.5；显色时间：1min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3.1.24.分析项目：浊度，量程范围：10-400NTU</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3.1.25.分析项目：总镉，量程范围：0.1-1.0mg/L，显色时间：3min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3.1.26.分析项目：总汞，量程范围：0.1-1.0mg/L；显色时间：显色后立即检测</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3.1.27.分析项目：甲醛，量程范围：0.2-3.0mg/L；消解环境：60℃加热15min；显色时间：冷却至室温</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3.1.28.分析项目：挥发酚，量程范围：0.2-5.0mg/L；显色时间：3min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3.1.29.分析项目：总银，量程范围：0.05-0.4mg/L；显色时间：1min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3.1.30.分析项目：过氧化氢，量程范围：1-25mg/L；显色时间：3min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3.1.31.分析项目：锰，量程范围：0.05-0.5mg/L；显色时间：1min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3.1.32.分析项目：锌，量程范围：0.02-0.5mg/L；显色时间：3min</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▲3.2数据存储：内存空间不小于8G，存储数据大于1000万个数据存储；</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3.3比色工具适用型号：光程10mm矩形比色皿，直径16mm圆比色管；</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3.4波长个数：至少有四个波长；</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▲3.5波长选择：基于测试方法的自动选择波长（提供自动选择检测波长的水质参数分析仪专利证书）；</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▲3.6应急功能：能够记录现场环境，具备拍照和录像功能；可定制化应急报告，内置应急检测报告模版；</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3.7打印：支持蓝牙打印；</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▲3.8支持无线WiFi联网及4G物联网卡；</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▲3.9排放标准查阅功能：支持检测设备自动与排放标准比对判定超标状态；</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▲3.10具备数据上传后台功能：支持电脑登录云端数据查看；（提供水质检测仪后台管理系统软件著作权登记证书）；</w:t>
            </w:r>
            <w:r>
              <w:rPr>
                <w:rFonts w:hint="eastAsia" w:ascii="仿宋_GB2312" w:hAnsi="仿宋_GB2312" w:eastAsia="仿宋_GB2312" w:cs="仿宋_GB2312"/>
                <w:color w:val="000000" w:themeColor="text1"/>
                <w:sz w:val="24"/>
                <w:szCs w:val="24"/>
                <w14:textFill>
                  <w14:solidFill>
                    <w14:schemeClr w14:val="tx1"/>
                  </w14:solidFill>
                </w14:textFill>
              </w:rPr>
              <w:br w:type="textWrapping"/>
            </w:r>
            <w:bookmarkStart w:id="0" w:name="_Hlk105439326"/>
            <w:r>
              <w:rPr>
                <w:rFonts w:hint="eastAsia" w:ascii="仿宋_GB2312" w:hAnsi="仿宋_GB2312" w:eastAsia="仿宋_GB2312" w:cs="仿宋_GB2312"/>
                <w:color w:val="000000" w:themeColor="text1"/>
                <w:sz w:val="24"/>
                <w:szCs w:val="24"/>
                <w14:textFill>
                  <w14:solidFill>
                    <w14:schemeClr w14:val="tx1"/>
                  </w14:solidFill>
                </w14:textFill>
              </w:rPr>
              <w:t>▲3.11蓄电池：电池容量≥30AH，符合GB31241-2014《便携式电子产品用锂离子电池和电池组安全要求》提供检测报告；</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配置要求：仪器主机一台、蓄电池（容量≥30AH）一个、蓝牙打印机一台，直流版便携式消解仪(支持蓄电池和车载供电）一台（6孔)支持常规COD、总磷、总氮一键消解、转接适配器10mm、16mm各一个，移液枪1mL、5mL各一把、使用说明书，产品合格证，保修卡等</w:t>
            </w:r>
            <w:bookmarkEnd w:id="0"/>
          </w:p>
        </w:tc>
        <w:tc>
          <w:tcPr>
            <w:tcW w:w="104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一台</w:t>
            </w:r>
          </w:p>
        </w:tc>
      </w:tr>
      <w:tr>
        <w:tblPrEx>
          <w:tblCellMar>
            <w:top w:w="105" w:type="dxa"/>
            <w:left w:w="105" w:type="dxa"/>
            <w:bottom w:w="105" w:type="dxa"/>
            <w:right w:w="105" w:type="dxa"/>
          </w:tblCellMar>
        </w:tblPrEx>
        <w:trPr>
          <w:jc w:val="center"/>
        </w:trPr>
        <w:tc>
          <w:tcPr>
            <w:tcW w:w="61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912" w:type="dxa"/>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预制试剂</w:t>
            </w:r>
          </w:p>
        </w:tc>
        <w:tc>
          <w:tcPr>
            <w:tcW w:w="6592"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技术参数：</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1、通过应用预制试剂，在数分钟内检测企业排放废水污染物的浓度，快速定性企业是否超标排污，大大提高了涉水企业超标排污问题的发现率。</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基于国标方法原理开发的即开即用型化学试剂，试管已预装对应试剂的预制试剂，COD（消解温度165℃，消解时间15min）、氨氮、总磷（消解温度120℃，消解时间30min）、总氮（消解温度125℃，消解时间30min）、硝态氮、总铬（消解温度120℃，消解时间30min）、总铁、铜、镍、六价铬、锌，铅。每个指标50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3、投标预制试剂产品和便携式水污染物监测设备为同一品牌厂家</w:t>
            </w:r>
          </w:p>
        </w:tc>
        <w:tc>
          <w:tcPr>
            <w:tcW w:w="104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1套</w:t>
            </w:r>
          </w:p>
        </w:tc>
      </w:tr>
      <w:tr>
        <w:tblPrEx>
          <w:tblCellMar>
            <w:top w:w="105" w:type="dxa"/>
            <w:left w:w="105" w:type="dxa"/>
            <w:bottom w:w="105" w:type="dxa"/>
            <w:right w:w="105" w:type="dxa"/>
          </w:tblCellMar>
        </w:tblPrEx>
        <w:trPr>
          <w:jc w:val="center"/>
        </w:trPr>
        <w:tc>
          <w:tcPr>
            <w:tcW w:w="61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912" w:type="dxa"/>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快检试剂包</w:t>
            </w:r>
          </w:p>
        </w:tc>
        <w:tc>
          <w:tcPr>
            <w:tcW w:w="6592"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技术参数：</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1、产品规格：每盒支持检测50次，每5支试管用一个铝箔袋封装，防止受潮劣化，每根管内部装填一次检测需要用量的药剂。每根试管一次性使用。</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2、产品配置：每盒含有比色管（50根）、比色卡（1张）、说明书（1张）、滴管（1根），部分参数额外含稀释瓶1个、滴液1瓶。</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3、数量：COD、总磷、氨氮、硝酸盐氮、亚硝酸盐氮、镉、铜、砷、铬、镍各1盒</w:t>
            </w:r>
          </w:p>
        </w:tc>
        <w:tc>
          <w:tcPr>
            <w:tcW w:w="104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1套</w:t>
            </w:r>
          </w:p>
        </w:tc>
      </w:tr>
      <w:tr>
        <w:tblPrEx>
          <w:tblCellMar>
            <w:top w:w="105" w:type="dxa"/>
            <w:left w:w="105" w:type="dxa"/>
            <w:bottom w:w="105" w:type="dxa"/>
            <w:right w:w="105" w:type="dxa"/>
          </w:tblCellMar>
        </w:tblPrEx>
        <w:trPr>
          <w:jc w:val="center"/>
        </w:trPr>
        <w:tc>
          <w:tcPr>
            <w:tcW w:w="61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912" w:type="dxa"/>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氯离子检测仪</w:t>
            </w:r>
          </w:p>
        </w:tc>
        <w:tc>
          <w:tcPr>
            <w:tcW w:w="6592"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操作简单、携带方便的水质测定仪，能实现氯离子项目一键检测，精准读数。</w:t>
            </w:r>
          </w:p>
        </w:tc>
        <w:tc>
          <w:tcPr>
            <w:tcW w:w="104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2台</w:t>
            </w:r>
          </w:p>
        </w:tc>
      </w:tr>
      <w:tr>
        <w:tblPrEx>
          <w:tblCellMar>
            <w:top w:w="105" w:type="dxa"/>
            <w:left w:w="105" w:type="dxa"/>
            <w:bottom w:w="105" w:type="dxa"/>
            <w:right w:w="105" w:type="dxa"/>
          </w:tblCellMar>
        </w:tblPrEx>
        <w:trPr>
          <w:jc w:val="center"/>
        </w:trPr>
        <w:tc>
          <w:tcPr>
            <w:tcW w:w="61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w:t>
            </w:r>
          </w:p>
        </w:tc>
        <w:tc>
          <w:tcPr>
            <w:tcW w:w="912" w:type="dxa"/>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防爆相机</w:t>
            </w:r>
          </w:p>
        </w:tc>
        <w:tc>
          <w:tcPr>
            <w:tcW w:w="6592"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1、防爆标志：Exib IIC T5 Gb</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2、有效像素：1640万像素</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3、图像传感器：带原色滤镜的1/2.3英寸CMOS</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4、存储容量：16GB SD存储卡</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5、镜头：5倍光学变焦镜头；光圈范围 F3.9(广角)- F4.9 (望远)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6、闪光灯：本安型LED闪光灯，黑暗环境下可拍出清晰照片</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7、液晶显示屏：3.0英寸、彩色液晶显示屏</w:t>
            </w:r>
          </w:p>
        </w:tc>
        <w:tc>
          <w:tcPr>
            <w:tcW w:w="104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w:t>
            </w:r>
          </w:p>
        </w:tc>
      </w:tr>
    </w:tbl>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注：标注有“▲”的参数条款，为此次采购项目的重要的参数条款，若不满足将严重扣分。</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三、采购项目商务要求</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1、交货期限：合同签订起30个日历日内完成交货。</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2、货物属全新未经使用，质量符合中华人民共和国相关技术标准的要求；如因成交供应商货物质量原因，导致采购人损失的，成交供应商应退回已收合同款项，并予以采购人合同总额百分之五的赔偿。</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3、成交供应商负责免费培训采购人有关技术人员，直至掌握操作技术为止。</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4、成交供应商须负责不少于一年的免费保修，设备质量保证期从被验收合格之日起连续正常使用计，终身提供技术咨询及配件维护。</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5、交货方式：成交供应商负责将货物送至江门市生态环境局新会分局（江门市新会区会城东门路11号二楼）指定位置，产生的货物物流运输费用与涉及货物上楼费用由成交供应商负责承担。</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四、采购项目验收</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1、验收标准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符合采购技术要求及合同规定；产品合格证、发票和其它应当具有单证文件齐全。</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2、验收方法</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由采购单位组织相关技术人员组成3人（或以上单数）专家小组，按照验收标准对货物及服务的质量和数量等进行查验。供应商配合做好验收工作。</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五、采购项目合同款项结算及其他要求</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合同款项结算：合同签订生效之日起，成交供应商向采购人提供发票等办理支付所需资料后10个工作日内，采购人将合同总金额的50%支付给成交供应商。全部采购货物到货验收、安装调试完毕后，成交供应商向采购人提供发票等办理支付所需资料后约10个工作日内，采购人将合同余款支付给成交供应商。（注:上述支付时间为采购人向政府财政支付部门提出支付申请的时间，不含政府财政支付部门审查的时间。）</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成交供应商不能按照合同规定期限完成全部项目交付的，成交供应商应向采购人偿付合同总价的百分之五作为违约金；成交供应商逾期完成全部货物采购交付的，每日应向采购人偿付合同总额千分之一作为违约金。采购人按照《中华人民共和国民法典》和《中华人民共和国政府采购法》等有关法律法规的规定处理相关事宜。</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3、成交供应商所交付的货物/服务种类、数量、规格、质量和技术性能等不符合采购合同规定的，采购人按照《中华人民共和国民法典》等有关法律法规的规定处理相关事宜。</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4、成交供应商涉嫌提供虚假材料谋取成交的，采购人按照《中华人民共和国政府采购法》和《中华人民共和国民法典》的规定处理相关事宜。</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六、争议的解决</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1、如因服务的质量问题发生争议，由法定的质量技术鉴定机构进行质量鉴定，双方应当服从该鉴定的结论。</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若执行采购合同的过程中发生纠纷，双方当事人应当及时协商解决，视情况可向江门市仲裁机构提出仲裁(由成交供应商负责支付仲裁相关费用)，根据仲裁结果订立补充合同；亦可向江门市辖区内的人民法院提起诉讼。</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七、供应商资质要求：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1、符合《中华人民共和国政府采购法》第二十二条和《中华人民共和国政府采购法实施条例》第十七条的规定；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2、在中华人民共和国境内注册并取得《营业执照》的独立法人，且《营业执照》经营范围包括本次采购的具体内容；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3、具有履行合同所必须的设备配件和专业技术能力；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4、三年内，在经营活动中没有重大违法记录（报价供应商提供加盖公司印章的声明函）；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报价供应商须于上述网站进行查询，在线打印信用查询记录（打印件显示须自动显示查询网站网址）并加盖公司印章]；</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6、本项目不接受联合体投标；不允许转包、分包。</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八、采购项目评审方法：综合评标法（推荐一名成交供应商），详见表8-1。</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center"/>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表8-1 评分细则</w:t>
      </w:r>
    </w:p>
    <w:tbl>
      <w:tblPr>
        <w:tblStyle w:val="11"/>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188"/>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83"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评分项目/权重</w:t>
            </w:r>
          </w:p>
        </w:tc>
        <w:tc>
          <w:tcPr>
            <w:tcW w:w="1188"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评标因素</w:t>
            </w:r>
          </w:p>
        </w:tc>
        <w:tc>
          <w:tcPr>
            <w:tcW w:w="6762"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技术评分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60%</w:t>
            </w:r>
          </w:p>
        </w:tc>
        <w:tc>
          <w:tcPr>
            <w:tcW w:w="1188"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产品的重要技术参数情况</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（40分）</w:t>
            </w:r>
          </w:p>
        </w:tc>
        <w:tc>
          <w:tcPr>
            <w:tcW w:w="6762"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横向对比各报价供应商所役报产品的技术参数/规格，对技术要求的响应情况。</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1、带“</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”重要技术参数完全满足招标要求的得40分；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2、带“</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”重要技术参数要求不满足的，每一项扣3分；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3、其余一般技术参数要求不满足的，每一项扣1分；扣完为止。</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14:textFill>
                  <w14:solidFill>
                    <w14:schemeClr w14:val="tx1"/>
                  </w14:solidFill>
                </w14:textFill>
              </w:rPr>
              <w:t>（未按招标文件要求提供的辅助证明文件的，视同为负偏离）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1188"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技术先进性</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（10分）</w:t>
            </w:r>
          </w:p>
        </w:tc>
        <w:tc>
          <w:tcPr>
            <w:tcW w:w="6762"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对各报价供应商所投产品的技术水平、技术性能、配置先进性、稳定性、可维护性等进行综合评审：</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 所投产品技术性能良好，配置先进、稳定性高、知名度广、可维护性高，得10分；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 所投产品技术性能良好，配置先进、稳定性高、知名度广、可维护性高良好，得6分；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 所投产品技术性能良好，配置先进、稳定性高、知名度广、可维护性高一般，得2分；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 所投产品技术性能良好，配置先进、稳定性高、知名度广、可维护性高不匹配，得0分。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1188"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实施技术方案</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（10分）</w:t>
            </w:r>
          </w:p>
        </w:tc>
        <w:tc>
          <w:tcPr>
            <w:tcW w:w="6762"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根据各报价供应商制定的方案组织计划、时间进度、质量保障、验收方案等进行综合评审：</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1.方案详细，时间进度快，可行性高，得10分；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2.方案详细，相对完善，基本可行，得6分；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3.方案尚可，基本可行，得2分；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4.方案简单不完善，得0分。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商务评分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10%</w:t>
            </w:r>
          </w:p>
        </w:tc>
        <w:tc>
          <w:tcPr>
            <w:tcW w:w="1188"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交货期符合要求</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（5分）</w:t>
            </w:r>
          </w:p>
        </w:tc>
        <w:tc>
          <w:tcPr>
            <w:tcW w:w="6762"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交货期符合要求(包括根据采购人使用需求随时交货的，交货响应时间或距离等)</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1、可以根据采购人使用需随时交货，得5分；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2、交货期不符合要求，得O分。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1188"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报价单格式符合要求</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（5分）</w:t>
            </w:r>
          </w:p>
        </w:tc>
        <w:tc>
          <w:tcPr>
            <w:tcW w:w="6762"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对各报价供应商提供的服务人员的资质、备件响应、维修响应时间及到达现场解决故障时间应急方案等进行综合评审：</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1.服务人员的资质、备件响应、维修响应时间及到达现场解决故障时间应急方案最好，与项目实际情况相符，得5分；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2.服务人员的资质、备件响应、维修响应时间及到达现场解决故障时间应急方案较好，与本项目实际情况基本相符，得3分；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3.服务人员的资质、备件响应、维修响应时间及到达现场解决故障时间应急方案一般与本项目实际情况不太相符，得1分；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价格评分</w:t>
            </w:r>
          </w:p>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30%</w:t>
            </w:r>
          </w:p>
        </w:tc>
        <w:tc>
          <w:tcPr>
            <w:tcW w:w="676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投报最低价者得分30分，其余投标者价格分数=(最低价/投标价格)×30。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3"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综合评分最高者原则上推荐为成交供应商，综合评分相同的以报价低者推荐为成交供应商。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33"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评标委员会认为报价供应商的报价明显低于其他通过符合性审查报价供应商的报价，有可能影响产品质量或者不能诚信履约的，应当要求供应商提供书面说明，必要时提交相证明材料；报价供应商不能证明其报价合理性的，评标委员会应当将其作为无效投标处理。</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82" w:firstLineChars="200"/>
        <w:jc w:val="both"/>
        <w:textAlignment w:val="auto"/>
        <w:rPr>
          <w:rFonts w:ascii="宋体" w:hAnsi="宋体" w:eastAsia="宋体" w:cs="宋体"/>
          <w:b/>
          <w:bCs/>
          <w:color w:val="000000" w:themeColor="text1"/>
          <w:kern w:val="0"/>
          <w:sz w:val="29"/>
          <w:szCs w:val="29"/>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九、采购项目报价文件要求</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1、《营业执照》及真实性承诺文件的彩色扫描件；属于特许经营的，还须提供特许经营许可文件的扫描件。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2、采购项目报价单</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供应商按照表9-1的格式进行报价，否则作为无效报价处理。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center"/>
        <w:textAlignment w:val="auto"/>
        <w:rPr>
          <w:rFonts w:ascii="宋体" w:hAnsi="宋体" w:eastAsia="宋体" w:cs="宋体"/>
          <w:b/>
          <w:bCs/>
          <w:color w:val="000000" w:themeColor="text1"/>
          <w:kern w:val="0"/>
          <w:sz w:val="29"/>
          <w:szCs w:val="29"/>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表</w:t>
      </w:r>
      <w:r>
        <w:rPr>
          <w:rFonts w:ascii="黑体" w:hAnsi="黑体" w:eastAsia="黑体" w:cs="Times New Roman"/>
          <w:color w:val="000000" w:themeColor="text1"/>
          <w:kern w:val="0"/>
          <w:sz w:val="28"/>
          <w:szCs w:val="28"/>
          <w14:textFill>
            <w14:solidFill>
              <w14:schemeClr w14:val="tx1"/>
            </w14:solidFill>
          </w14:textFill>
        </w:rPr>
        <w:t>9-1</w:t>
      </w:r>
      <w:r>
        <w:rPr>
          <w:rFonts w:hint="eastAsia" w:ascii="黑体" w:hAnsi="黑体" w:eastAsia="黑体" w:cs="宋体"/>
          <w:color w:val="000000" w:themeColor="text1"/>
          <w:kern w:val="0"/>
          <w:sz w:val="28"/>
          <w:szCs w:val="28"/>
          <w14:textFill>
            <w14:solidFill>
              <w14:schemeClr w14:val="tx1"/>
            </w14:solidFill>
          </w14:textFill>
        </w:rPr>
        <w:t>报价单格式</w:t>
      </w:r>
    </w:p>
    <w:tbl>
      <w:tblPr>
        <w:tblStyle w:val="10"/>
        <w:tblW w:w="9906" w:type="dxa"/>
        <w:jc w:val="center"/>
        <w:tblLayout w:type="fixed"/>
        <w:tblCellMar>
          <w:top w:w="0" w:type="dxa"/>
          <w:left w:w="0" w:type="dxa"/>
          <w:bottom w:w="0" w:type="dxa"/>
          <w:right w:w="0" w:type="dxa"/>
        </w:tblCellMar>
      </w:tblPr>
      <w:tblGrid>
        <w:gridCol w:w="762"/>
        <w:gridCol w:w="1334"/>
        <w:gridCol w:w="500"/>
        <w:gridCol w:w="783"/>
        <w:gridCol w:w="967"/>
        <w:gridCol w:w="1216"/>
        <w:gridCol w:w="1784"/>
        <w:gridCol w:w="1250"/>
        <w:gridCol w:w="1310"/>
      </w:tblGrid>
      <w:tr>
        <w:tblPrEx>
          <w:tblCellMar>
            <w:top w:w="0" w:type="dxa"/>
            <w:left w:w="0" w:type="dxa"/>
            <w:bottom w:w="0" w:type="dxa"/>
            <w:right w:w="0" w:type="dxa"/>
          </w:tblCellMar>
        </w:tblPrEx>
        <w:trPr>
          <w:jc w:val="center"/>
        </w:trPr>
        <w:tc>
          <w:tcPr>
            <w:tcW w:w="9906" w:type="dxa"/>
            <w:gridSpan w:val="9"/>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江门市新会区----项目采购项目报价单</w:t>
            </w:r>
          </w:p>
        </w:tc>
      </w:tr>
      <w:tr>
        <w:tblPrEx>
          <w:tblCellMar>
            <w:top w:w="0" w:type="dxa"/>
            <w:left w:w="0" w:type="dxa"/>
            <w:bottom w:w="0" w:type="dxa"/>
            <w:right w:w="0" w:type="dxa"/>
          </w:tblCellMar>
        </w:tblPrEx>
        <w:trPr>
          <w:jc w:val="center"/>
        </w:trPr>
        <w:tc>
          <w:tcPr>
            <w:tcW w:w="2596" w:type="dxa"/>
            <w:gridSpan w:val="3"/>
            <w:tcBorders>
              <w:top w:val="single" w:color="auto" w:sz="0" w:space="0"/>
              <w:left w:val="single" w:color="000000" w:sz="6" w:space="0"/>
              <w:bottom w:val="single" w:color="000000" w:sz="6" w:space="0"/>
              <w:right w:val="outset"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报价单位（盖公章）</w:t>
            </w:r>
          </w:p>
        </w:tc>
        <w:tc>
          <w:tcPr>
            <w:tcW w:w="7310" w:type="dxa"/>
            <w:gridSpan w:val="6"/>
            <w:tcBorders>
              <w:top w:val="nil"/>
              <w:left w:val="thinThickThinSmallGap" w:color="auto" w:sz="0" w:space="0"/>
              <w:bottom w:val="single" w:color="000000" w:sz="6" w:space="0"/>
              <w:right w:val="single"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596" w:type="dxa"/>
            <w:gridSpan w:val="3"/>
            <w:tcBorders>
              <w:top w:val="single" w:color="auto" w:sz="0" w:space="0"/>
              <w:left w:val="single" w:color="000000" w:sz="6" w:space="0"/>
              <w:bottom w:val="single" w:color="000000" w:sz="6" w:space="0"/>
              <w:right w:val="outset"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报价单位联系人及联系方式</w:t>
            </w:r>
          </w:p>
        </w:tc>
        <w:tc>
          <w:tcPr>
            <w:tcW w:w="7310" w:type="dxa"/>
            <w:gridSpan w:val="6"/>
            <w:tcBorders>
              <w:top w:val="nil"/>
              <w:left w:val="single" w:color="auto" w:sz="0" w:space="0"/>
              <w:bottom w:val="single" w:color="000000" w:sz="6" w:space="0"/>
              <w:right w:val="single"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596" w:type="dxa"/>
            <w:gridSpan w:val="3"/>
            <w:tcBorders>
              <w:top w:val="single" w:color="auto" w:sz="0" w:space="0"/>
              <w:left w:val="single" w:color="000000" w:sz="6" w:space="0"/>
              <w:bottom w:val="single" w:color="000000" w:sz="6" w:space="0"/>
              <w:right w:val="outset"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采购公告名称及编号</w:t>
            </w:r>
          </w:p>
        </w:tc>
        <w:tc>
          <w:tcPr>
            <w:tcW w:w="7310" w:type="dxa"/>
            <w:gridSpan w:val="6"/>
            <w:tcBorders>
              <w:top w:val="nil"/>
              <w:left w:val="thinThickThinSmallGap" w:color="auto" w:sz="0" w:space="0"/>
              <w:bottom w:val="single" w:color="000000" w:sz="6" w:space="0"/>
              <w:right w:val="single"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596" w:type="dxa"/>
            <w:gridSpan w:val="3"/>
            <w:tcBorders>
              <w:top w:val="single" w:color="auto" w:sz="0" w:space="0"/>
              <w:left w:val="single" w:color="000000" w:sz="6" w:space="0"/>
              <w:bottom w:val="single" w:color="auto" w:sz="4" w:space="0"/>
              <w:right w:val="outset"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报价日期</w:t>
            </w:r>
          </w:p>
        </w:tc>
        <w:tc>
          <w:tcPr>
            <w:tcW w:w="7310" w:type="dxa"/>
            <w:gridSpan w:val="6"/>
            <w:tcBorders>
              <w:top w:val="nil"/>
              <w:left w:val="thinThickThinSmallGap" w:color="auto" w:sz="0" w:space="0"/>
              <w:bottom w:val="single" w:color="auto" w:sz="4" w:space="0"/>
              <w:right w:val="single" w:color="000000"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596" w:type="dxa"/>
            <w:gridSpan w:val="3"/>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是否按照采购公告的商务要求执行</w:t>
            </w:r>
          </w:p>
        </w:tc>
        <w:tc>
          <w:tcPr>
            <w:tcW w:w="7310" w:type="dxa"/>
            <w:gridSpan w:val="6"/>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762" w:type="dxa"/>
            <w:tcBorders>
              <w:top w:val="single" w:color="auto" w:sz="4"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序号</w:t>
            </w:r>
          </w:p>
        </w:tc>
        <w:tc>
          <w:tcPr>
            <w:tcW w:w="1334" w:type="dxa"/>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货物名称</w:t>
            </w:r>
          </w:p>
        </w:tc>
        <w:tc>
          <w:tcPr>
            <w:tcW w:w="1283" w:type="dxa"/>
            <w:gridSpan w:val="2"/>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品牌（生产商）/型号</w:t>
            </w:r>
          </w:p>
        </w:tc>
        <w:tc>
          <w:tcPr>
            <w:tcW w:w="967" w:type="dxa"/>
            <w:tcBorders>
              <w:top w:val="single" w:color="auto" w:sz="4" w:space="0"/>
              <w:left w:val="nil"/>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数量（单位）</w:t>
            </w:r>
          </w:p>
        </w:tc>
        <w:tc>
          <w:tcPr>
            <w:tcW w:w="1216" w:type="dxa"/>
            <w:tcBorders>
              <w:top w:val="single" w:color="auto" w:sz="4" w:space="0"/>
              <w:left w:val="nil"/>
              <w:bottom w:val="single" w:color="000000" w:sz="6"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单价（元）</w:t>
            </w:r>
          </w:p>
        </w:tc>
        <w:tc>
          <w:tcPr>
            <w:tcW w:w="1784" w:type="dxa"/>
            <w:tcBorders>
              <w:top w:val="single" w:color="auto" w:sz="4"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是否符合采购公告的技术要求（符合/不符合）</w:t>
            </w:r>
          </w:p>
        </w:tc>
        <w:tc>
          <w:tcPr>
            <w:tcW w:w="1250" w:type="dxa"/>
            <w:tcBorders>
              <w:top w:val="single" w:color="auto" w:sz="4" w:space="0"/>
              <w:left w:val="nil"/>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是否存在偏离（偏离/无偏离）</w:t>
            </w:r>
          </w:p>
        </w:tc>
        <w:tc>
          <w:tcPr>
            <w:tcW w:w="1310" w:type="dxa"/>
            <w:tcBorders>
              <w:top w:val="single" w:color="auto" w:sz="4" w:space="0"/>
              <w:left w:val="nil"/>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说明（若有偏离，请详细说明）</w:t>
            </w:r>
          </w:p>
        </w:tc>
      </w:tr>
      <w:tr>
        <w:tblPrEx>
          <w:tblCellMar>
            <w:top w:w="0" w:type="dxa"/>
            <w:left w:w="0" w:type="dxa"/>
            <w:bottom w:w="0" w:type="dxa"/>
            <w:right w:w="0" w:type="dxa"/>
          </w:tblCellMar>
        </w:tblPrEx>
        <w:trPr>
          <w:jc w:val="center"/>
        </w:trPr>
        <w:tc>
          <w:tcPr>
            <w:tcW w:w="762" w:type="dxa"/>
            <w:tcBorders>
              <w:top w:val="nil"/>
              <w:left w:val="single" w:color="000000" w:sz="6" w:space="0"/>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34" w:type="dxa"/>
            <w:tcBorders>
              <w:top w:val="nil"/>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83" w:type="dxa"/>
            <w:gridSpan w:val="2"/>
            <w:tcBorders>
              <w:top w:val="nil"/>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tcBorders>
              <w:top w:val="nil"/>
              <w:left w:val="nil"/>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16" w:type="dxa"/>
            <w:tcBorders>
              <w:top w:val="nil"/>
              <w:left w:val="nil"/>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84" w:type="dxa"/>
            <w:tcBorders>
              <w:top w:val="nil"/>
              <w:left w:val="single" w:color="auto" w:sz="4" w:space="0"/>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50" w:type="dxa"/>
            <w:tcBorders>
              <w:top w:val="nil"/>
              <w:left w:val="nil"/>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10" w:type="dxa"/>
            <w:tcBorders>
              <w:top w:val="nil"/>
              <w:left w:val="nil"/>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762" w:type="dxa"/>
            <w:tcBorders>
              <w:top w:val="nil"/>
              <w:left w:val="single" w:color="000000" w:sz="6" w:space="0"/>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34" w:type="dxa"/>
            <w:tcBorders>
              <w:top w:val="nil"/>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83" w:type="dxa"/>
            <w:gridSpan w:val="2"/>
            <w:tcBorders>
              <w:top w:val="nil"/>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tcBorders>
              <w:top w:val="nil"/>
              <w:left w:val="nil"/>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16" w:type="dxa"/>
            <w:tcBorders>
              <w:top w:val="nil"/>
              <w:left w:val="nil"/>
              <w:bottom w:val="single" w:color="auto" w:sz="4"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84" w:type="dxa"/>
            <w:tcBorders>
              <w:top w:val="nil"/>
              <w:left w:val="single" w:color="auto" w:sz="4" w:space="0"/>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50" w:type="dxa"/>
            <w:tcBorders>
              <w:top w:val="nil"/>
              <w:left w:val="nil"/>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10" w:type="dxa"/>
            <w:tcBorders>
              <w:top w:val="nil"/>
              <w:left w:val="nil"/>
              <w:bottom w:val="single" w:color="auto" w:sz="4"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96" w:type="dxa"/>
            <w:gridSpan w:val="2"/>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采购项目投报总价</w:t>
            </w:r>
          </w:p>
        </w:tc>
        <w:tc>
          <w:tcPr>
            <w:tcW w:w="7810" w:type="dxa"/>
            <w:gridSpan w:val="7"/>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firstLine="0" w:firstLineChars="0"/>
              <w:jc w:val="both"/>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大写（</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人民币：</w:t>
            </w:r>
            <w:r>
              <w:rPr>
                <w:rFonts w:hint="eastAsia" w:ascii="仿宋_GB2312" w:hAnsi="仿宋_GB2312" w:eastAsia="仿宋_GB2312" w:cs="仿宋_GB2312"/>
                <w:b/>
                <w:bCs/>
                <w:color w:val="000000" w:themeColor="text1"/>
                <w:kern w:val="0"/>
                <w:sz w:val="24"/>
                <w:szCs w:val="24"/>
                <w14:textFill>
                  <w14:solidFill>
                    <w14:schemeClr w14:val="tx1"/>
                  </w14:solidFill>
                </w14:textFill>
              </w:rPr>
              <w:t>）</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82" w:firstLineChars="200"/>
        <w:jc w:val="both"/>
        <w:textAlignment w:val="auto"/>
        <w:rPr>
          <w:rFonts w:ascii="宋体" w:hAnsi="宋体" w:eastAsia="宋体" w:cs="宋体"/>
          <w:b/>
          <w:bCs/>
          <w:color w:val="000000" w:themeColor="text1"/>
          <w:kern w:val="0"/>
          <w:sz w:val="29"/>
          <w:szCs w:val="29"/>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十、报价文件投报方式</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请有意参与报价的合格供应商于2023年7月18日下午5:30前，将加盖单位公章（若是外资企业报价，则加盖公司合同章也可）的《采购项目报价单》及相关资质文件的扫描件发至我单位指定电子邮箱：1311798911@qq.com，</w:t>
      </w:r>
      <w:r>
        <w:rPr>
          <w:rFonts w:hint="eastAsia" w:ascii="仿宋_GB2312" w:hAnsi="仿宋_GB2312" w:eastAsia="仿宋_GB2312" w:cs="仿宋_GB2312"/>
          <w:kern w:val="2"/>
          <w:sz w:val="32"/>
          <w:szCs w:val="32"/>
          <w:lang w:val="zh-CN" w:eastAsia="zh-CN" w:bidi="ar-SA"/>
        </w:rPr>
        <w:t>或将纸质报价文件送至我单位指定地址：江门市新会区会城东门11号江门市</w:t>
      </w:r>
      <w:r>
        <w:rPr>
          <w:rFonts w:hint="eastAsia" w:ascii="仿宋_GB2312" w:hAnsi="仿宋_GB2312" w:eastAsia="仿宋_GB2312" w:cs="仿宋_GB2312"/>
          <w:kern w:val="2"/>
          <w:sz w:val="32"/>
          <w:szCs w:val="32"/>
          <w:lang w:val="en-US" w:eastAsia="zh-CN" w:bidi="ar-SA"/>
        </w:rPr>
        <w:t>生态环境局</w:t>
      </w:r>
      <w:r>
        <w:rPr>
          <w:rFonts w:hint="eastAsia" w:ascii="仿宋_GB2312" w:hAnsi="仿宋_GB2312" w:eastAsia="仿宋_GB2312" w:cs="仿宋_GB2312"/>
          <w:kern w:val="2"/>
          <w:sz w:val="32"/>
          <w:szCs w:val="32"/>
          <w:lang w:val="zh-CN" w:eastAsia="zh-CN" w:bidi="ar-SA"/>
        </w:rPr>
        <w:t>新会</w:t>
      </w:r>
      <w:r>
        <w:rPr>
          <w:rFonts w:hint="eastAsia" w:ascii="仿宋_GB2312" w:hAnsi="仿宋_GB2312" w:eastAsia="仿宋_GB2312" w:cs="仿宋_GB2312"/>
          <w:kern w:val="2"/>
          <w:sz w:val="32"/>
          <w:szCs w:val="32"/>
          <w:lang w:val="en-US" w:eastAsia="zh-CN" w:bidi="ar-SA"/>
        </w:rPr>
        <w:t>分局执法一大队</w:t>
      </w:r>
      <w:r>
        <w:rPr>
          <w:rFonts w:hint="eastAsia" w:ascii="仿宋_GB2312" w:hAnsi="仿宋_GB2312" w:eastAsia="仿宋_GB2312" w:cs="仿宋_GB2312"/>
          <w:kern w:val="2"/>
          <w:sz w:val="32"/>
          <w:szCs w:val="32"/>
          <w:lang w:val="zh-CN" w:eastAsia="zh-CN" w:bidi="ar-SA"/>
        </w:rPr>
        <w:t>，所有纸质文件资料需用文件资料袋装载密封，封口盖公章或者签署报价供应商联系人姓名。</w:t>
      </w:r>
      <w:r>
        <w:rPr>
          <w:rFonts w:hint="eastAsia" w:ascii="仿宋_GB2312" w:hAnsi="仿宋_GB2312" w:eastAsia="仿宋_GB2312" w:cs="仿宋_GB2312"/>
          <w:kern w:val="2"/>
          <w:sz w:val="32"/>
          <w:szCs w:val="32"/>
          <w:lang w:val="en-US" w:eastAsia="zh-CN" w:bidi="ar-SA"/>
        </w:rPr>
        <w:t>未按要求按时递交报价文件的供应商，采购人予以拒绝其参加采购。</w:t>
      </w:r>
    </w:p>
    <w:p>
      <w:pPr>
        <w:pStyle w:val="5"/>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十一、采购人联系方式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采购人名称：江门市生态环境局新会分局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地址：江门市新会区会城东门路11号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邮编：529100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联系人：李小姐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联系电话：0750-6109939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联系电子邮箱：1311798911@qq.com</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zh-CN"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ascii="仿宋_GB2312" w:hAnsi="Calibri" w:eastAsia="仿宋_GB2312" w:cs="仿宋_GB2312"/>
          <w:color w:val="000000" w:themeColor="text1"/>
          <w:kern w:val="0"/>
          <w:sz w:val="32"/>
          <w:szCs w:val="32"/>
          <w14:textFill>
            <w14:solidFill>
              <w14:schemeClr w14:val="tx1"/>
            </w14:solidFill>
          </w14:textFill>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MTI0ZmFkOGQ2M2IzOTQwNTEwODEzZDA2ZGJhMGUifQ=="/>
  </w:docVars>
  <w:rsids>
    <w:rsidRoot w:val="00572062"/>
    <w:rsid w:val="00011FA7"/>
    <w:rsid w:val="00024FCC"/>
    <w:rsid w:val="00040EA3"/>
    <w:rsid w:val="00047506"/>
    <w:rsid w:val="000571EF"/>
    <w:rsid w:val="000732DA"/>
    <w:rsid w:val="000924B2"/>
    <w:rsid w:val="000A6A3D"/>
    <w:rsid w:val="000B0C3C"/>
    <w:rsid w:val="000B7F97"/>
    <w:rsid w:val="000C1076"/>
    <w:rsid w:val="000D18C2"/>
    <w:rsid w:val="000D2D8F"/>
    <w:rsid w:val="000E653A"/>
    <w:rsid w:val="000E6AAD"/>
    <w:rsid w:val="0011448C"/>
    <w:rsid w:val="00115758"/>
    <w:rsid w:val="0013181D"/>
    <w:rsid w:val="00134B43"/>
    <w:rsid w:val="001371A7"/>
    <w:rsid w:val="00147BEF"/>
    <w:rsid w:val="00160A81"/>
    <w:rsid w:val="00165E22"/>
    <w:rsid w:val="0019596B"/>
    <w:rsid w:val="001A3019"/>
    <w:rsid w:val="001C698C"/>
    <w:rsid w:val="001E4AC3"/>
    <w:rsid w:val="002162C3"/>
    <w:rsid w:val="0024089B"/>
    <w:rsid w:val="00257CEF"/>
    <w:rsid w:val="00265A35"/>
    <w:rsid w:val="002A1859"/>
    <w:rsid w:val="002A1AEE"/>
    <w:rsid w:val="002F7360"/>
    <w:rsid w:val="00317D96"/>
    <w:rsid w:val="00336B7E"/>
    <w:rsid w:val="00347C00"/>
    <w:rsid w:val="00361381"/>
    <w:rsid w:val="003639F2"/>
    <w:rsid w:val="00374C32"/>
    <w:rsid w:val="00397C77"/>
    <w:rsid w:val="003C412A"/>
    <w:rsid w:val="003E38BB"/>
    <w:rsid w:val="003F2428"/>
    <w:rsid w:val="00402B86"/>
    <w:rsid w:val="00414BD8"/>
    <w:rsid w:val="00431DD0"/>
    <w:rsid w:val="00440B27"/>
    <w:rsid w:val="004966CD"/>
    <w:rsid w:val="004B65FD"/>
    <w:rsid w:val="004B6E78"/>
    <w:rsid w:val="004D1712"/>
    <w:rsid w:val="004F538D"/>
    <w:rsid w:val="00530371"/>
    <w:rsid w:val="005646EE"/>
    <w:rsid w:val="00572062"/>
    <w:rsid w:val="005A1AC5"/>
    <w:rsid w:val="005A2F2F"/>
    <w:rsid w:val="005A5D79"/>
    <w:rsid w:val="005C325D"/>
    <w:rsid w:val="005C4349"/>
    <w:rsid w:val="005C5CBE"/>
    <w:rsid w:val="005E0256"/>
    <w:rsid w:val="005E7D4B"/>
    <w:rsid w:val="00605AEE"/>
    <w:rsid w:val="006508F5"/>
    <w:rsid w:val="006562F6"/>
    <w:rsid w:val="00681BD0"/>
    <w:rsid w:val="006B2558"/>
    <w:rsid w:val="006C5268"/>
    <w:rsid w:val="007006BC"/>
    <w:rsid w:val="007115D6"/>
    <w:rsid w:val="007200D5"/>
    <w:rsid w:val="00723D47"/>
    <w:rsid w:val="00732CE8"/>
    <w:rsid w:val="007413DC"/>
    <w:rsid w:val="00752F2D"/>
    <w:rsid w:val="00761BE4"/>
    <w:rsid w:val="00775077"/>
    <w:rsid w:val="00780D98"/>
    <w:rsid w:val="00791233"/>
    <w:rsid w:val="007A6D8B"/>
    <w:rsid w:val="007A7A3E"/>
    <w:rsid w:val="007C2E43"/>
    <w:rsid w:val="0080203A"/>
    <w:rsid w:val="008660D5"/>
    <w:rsid w:val="00891FD4"/>
    <w:rsid w:val="008923D7"/>
    <w:rsid w:val="008A17AF"/>
    <w:rsid w:val="008B211A"/>
    <w:rsid w:val="008D6BC5"/>
    <w:rsid w:val="008F77C0"/>
    <w:rsid w:val="00914F84"/>
    <w:rsid w:val="0093098D"/>
    <w:rsid w:val="009A72F9"/>
    <w:rsid w:val="009C4BAA"/>
    <w:rsid w:val="00A25617"/>
    <w:rsid w:val="00A50B57"/>
    <w:rsid w:val="00A80368"/>
    <w:rsid w:val="00AA3E79"/>
    <w:rsid w:val="00AC3A7B"/>
    <w:rsid w:val="00AC591C"/>
    <w:rsid w:val="00AE1820"/>
    <w:rsid w:val="00AE2BD9"/>
    <w:rsid w:val="00B04604"/>
    <w:rsid w:val="00B07918"/>
    <w:rsid w:val="00B169B0"/>
    <w:rsid w:val="00B258DF"/>
    <w:rsid w:val="00B27C2C"/>
    <w:rsid w:val="00B55425"/>
    <w:rsid w:val="00B66ED7"/>
    <w:rsid w:val="00B744C8"/>
    <w:rsid w:val="00B7508D"/>
    <w:rsid w:val="00B90FF5"/>
    <w:rsid w:val="00BA1C5D"/>
    <w:rsid w:val="00BA2400"/>
    <w:rsid w:val="00BA3710"/>
    <w:rsid w:val="00BA7BFE"/>
    <w:rsid w:val="00BB1BD7"/>
    <w:rsid w:val="00BD2606"/>
    <w:rsid w:val="00BD6656"/>
    <w:rsid w:val="00BE53FD"/>
    <w:rsid w:val="00C145C4"/>
    <w:rsid w:val="00C21AF3"/>
    <w:rsid w:val="00C26CCB"/>
    <w:rsid w:val="00C31D8D"/>
    <w:rsid w:val="00C42B22"/>
    <w:rsid w:val="00C50DE3"/>
    <w:rsid w:val="00C57DCC"/>
    <w:rsid w:val="00C77332"/>
    <w:rsid w:val="00C86590"/>
    <w:rsid w:val="00C9198C"/>
    <w:rsid w:val="00CF4A55"/>
    <w:rsid w:val="00D12D93"/>
    <w:rsid w:val="00D21491"/>
    <w:rsid w:val="00D348FC"/>
    <w:rsid w:val="00D64316"/>
    <w:rsid w:val="00D75AD0"/>
    <w:rsid w:val="00D76CD9"/>
    <w:rsid w:val="00D86003"/>
    <w:rsid w:val="00D9733A"/>
    <w:rsid w:val="00DB68DB"/>
    <w:rsid w:val="00DC1E85"/>
    <w:rsid w:val="00E07D41"/>
    <w:rsid w:val="00E26AEE"/>
    <w:rsid w:val="00E36463"/>
    <w:rsid w:val="00E61562"/>
    <w:rsid w:val="00E74C82"/>
    <w:rsid w:val="00E759CE"/>
    <w:rsid w:val="00E844E1"/>
    <w:rsid w:val="00EB356B"/>
    <w:rsid w:val="00EB68A8"/>
    <w:rsid w:val="00ED2186"/>
    <w:rsid w:val="00ED3D0D"/>
    <w:rsid w:val="00EE62DB"/>
    <w:rsid w:val="00F06E71"/>
    <w:rsid w:val="00F148B5"/>
    <w:rsid w:val="00F16C03"/>
    <w:rsid w:val="00F24378"/>
    <w:rsid w:val="00F256CD"/>
    <w:rsid w:val="00F564C9"/>
    <w:rsid w:val="00FA7F5C"/>
    <w:rsid w:val="00FC5B6B"/>
    <w:rsid w:val="00FC7F53"/>
    <w:rsid w:val="00FD42B1"/>
    <w:rsid w:val="00FE161C"/>
    <w:rsid w:val="00FE19EF"/>
    <w:rsid w:val="00FF4949"/>
    <w:rsid w:val="02971253"/>
    <w:rsid w:val="03A51D95"/>
    <w:rsid w:val="0E1E4421"/>
    <w:rsid w:val="0F215A9D"/>
    <w:rsid w:val="13902486"/>
    <w:rsid w:val="15DC5672"/>
    <w:rsid w:val="1645000A"/>
    <w:rsid w:val="195C63F7"/>
    <w:rsid w:val="1A42565B"/>
    <w:rsid w:val="1CC05B55"/>
    <w:rsid w:val="1D85029C"/>
    <w:rsid w:val="20043E51"/>
    <w:rsid w:val="21470C8B"/>
    <w:rsid w:val="2E863516"/>
    <w:rsid w:val="33DF08AC"/>
    <w:rsid w:val="383733B0"/>
    <w:rsid w:val="3AD86412"/>
    <w:rsid w:val="43B71110"/>
    <w:rsid w:val="45552FA7"/>
    <w:rsid w:val="4AA76BF4"/>
    <w:rsid w:val="4B6D2F19"/>
    <w:rsid w:val="4C6065D9"/>
    <w:rsid w:val="5B8364AF"/>
    <w:rsid w:val="5D1A55E0"/>
    <w:rsid w:val="643D5465"/>
    <w:rsid w:val="64A13F1A"/>
    <w:rsid w:val="68FB5B6A"/>
    <w:rsid w:val="691055B3"/>
    <w:rsid w:val="6C704886"/>
    <w:rsid w:val="711252A7"/>
    <w:rsid w:val="74B97051"/>
    <w:rsid w:val="767911F3"/>
    <w:rsid w:val="76FA4EFB"/>
    <w:rsid w:val="77CE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bCs/>
      <w:kern w:val="0"/>
      <w:sz w:val="24"/>
      <w:szCs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customStyle="1" w:styleId="14">
    <w:name w:val="标题 1 字符"/>
    <w:basedOn w:val="12"/>
    <w:link w:val="3"/>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框文本 字符"/>
    <w:basedOn w:val="12"/>
    <w:link w:val="6"/>
    <w:semiHidden/>
    <w:qFormat/>
    <w:uiPriority w:val="99"/>
    <w:rPr>
      <w:sz w:val="18"/>
      <w:szCs w:val="18"/>
    </w:rPr>
  </w:style>
  <w:style w:type="paragraph" w:customStyle="1" w:styleId="19">
    <w:name w:val="标准正文"/>
    <w:qFormat/>
    <w:uiPriority w:val="0"/>
    <w:pPr>
      <w:spacing w:line="360" w:lineRule="auto"/>
      <w:ind w:firstLine="480" w:firstLineChars="20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5504</Words>
  <Characters>6522</Characters>
  <Lines>45</Lines>
  <Paragraphs>12</Paragraphs>
  <TotalTime>52</TotalTime>
  <ScaleCrop>false</ScaleCrop>
  <LinksUpToDate>false</LinksUpToDate>
  <CharactersWithSpaces>6535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2023-07-03T05:11:00Z</dcterms:created>
  <dc:creator>Microsoft</dc:creator>
  <cp:lastModifiedBy>歪</cp:lastModifiedBy>
  <cp:lastPrinted>2022-03-30T07:48:00Z</cp:lastPrinted>
  <dcterms:modified xsi:type="dcterms:W3CDTF">2023-07-10T01:13:21Z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DBD40487B1A340BCBF8464E44A650E21_13</vt:lpwstr>
  </property>
</Properties>
</file>