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江门市委农办（江门市农业农村局）省级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改革试点工作宣传项目采购公告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666666"/>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lang w:eastAsia="zh-CN"/>
        </w:rPr>
        <w:t>为</w:t>
      </w:r>
      <w:r>
        <w:rPr>
          <w:rFonts w:hint="eastAsia" w:ascii="仿宋" w:hAnsi="仿宋" w:eastAsia="仿宋" w:cs="仿宋"/>
          <w:i w:val="0"/>
          <w:iCs w:val="0"/>
          <w:caps w:val="0"/>
          <w:color w:val="666666"/>
          <w:spacing w:val="0"/>
          <w:sz w:val="32"/>
          <w:szCs w:val="32"/>
          <w:shd w:val="clear" w:fill="FFFFFF"/>
          <w:lang w:val="en-US" w:eastAsia="zh-CN"/>
        </w:rPr>
        <w:t>加大宣传推广力度，推动江门市省级农村改革试点工作建设出实效</w:t>
      </w:r>
      <w:r>
        <w:rPr>
          <w:rFonts w:hint="eastAsia" w:ascii="仿宋" w:hAnsi="仿宋" w:eastAsia="仿宋" w:cs="仿宋"/>
          <w:i w:val="0"/>
          <w:iCs w:val="0"/>
          <w:caps w:val="0"/>
          <w:color w:val="666666"/>
          <w:spacing w:val="0"/>
          <w:sz w:val="32"/>
          <w:szCs w:val="32"/>
          <w:shd w:val="clear" w:fill="FFFFFF"/>
        </w:rPr>
        <w:t>，江门市农业农村局以竞争性磋商方式就</w:t>
      </w:r>
      <w:r>
        <w:rPr>
          <w:rFonts w:hint="eastAsia" w:ascii="仿宋" w:hAnsi="仿宋" w:eastAsia="仿宋" w:cs="仿宋"/>
          <w:i w:val="0"/>
          <w:iCs w:val="0"/>
          <w:caps w:val="0"/>
          <w:color w:val="666666"/>
          <w:spacing w:val="0"/>
          <w:sz w:val="32"/>
          <w:szCs w:val="32"/>
          <w:shd w:val="clear" w:fill="FFFFFF"/>
          <w:lang w:val="en-US" w:eastAsia="zh-CN"/>
        </w:rPr>
        <w:t>江门市委农办（江门市农业农村局）省级改革试点工作宣传项目</w:t>
      </w:r>
      <w:r>
        <w:rPr>
          <w:rFonts w:hint="eastAsia" w:ascii="仿宋" w:hAnsi="仿宋" w:eastAsia="仿宋" w:cs="仿宋"/>
          <w:i w:val="0"/>
          <w:iCs w:val="0"/>
          <w:caps w:val="0"/>
          <w:color w:val="666666"/>
          <w:spacing w:val="0"/>
          <w:sz w:val="32"/>
          <w:szCs w:val="32"/>
          <w:shd w:val="clear" w:fill="FFFFFF"/>
        </w:rPr>
        <w:t>实施采购。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黑体" w:hAnsi="黑体" w:eastAsia="黑体" w:cs="黑体"/>
          <w:i w:val="0"/>
          <w:iCs w:val="0"/>
          <w:caps w:val="0"/>
          <w:color w:val="666666"/>
          <w:spacing w:val="0"/>
          <w:sz w:val="32"/>
          <w:szCs w:val="32"/>
        </w:rPr>
      </w:pPr>
      <w:r>
        <w:rPr>
          <w:rFonts w:hint="eastAsia" w:ascii="黑体" w:hAnsi="黑体" w:eastAsia="黑体" w:cs="黑体"/>
          <w:i w:val="0"/>
          <w:iCs w:val="0"/>
          <w:caps w:val="0"/>
          <w:color w:val="666666"/>
          <w:spacing w:val="0"/>
          <w:sz w:val="32"/>
          <w:szCs w:val="32"/>
          <w:shd w:val="clear" w:fill="FFFFFF"/>
        </w:rPr>
        <w:t>　　</w:t>
      </w:r>
      <w:r>
        <w:rPr>
          <w:rStyle w:val="7"/>
          <w:rFonts w:hint="eastAsia" w:ascii="黑体" w:hAnsi="黑体" w:eastAsia="黑体" w:cs="黑体"/>
          <w:i w:val="0"/>
          <w:iCs w:val="0"/>
          <w:caps w:val="0"/>
          <w:color w:val="666666"/>
          <w:spacing w:val="0"/>
          <w:sz w:val="32"/>
          <w:szCs w:val="32"/>
          <w:shd w:val="clear" w:fill="FFFFFF"/>
        </w:rPr>
        <w:t>一、项目名称、内容、预算金额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rPr>
        <w:t>　　（一）项目名称：</w:t>
      </w:r>
      <w:r>
        <w:rPr>
          <w:rFonts w:hint="eastAsia" w:ascii="仿宋" w:hAnsi="仿宋" w:eastAsia="仿宋" w:cs="仿宋"/>
          <w:i w:val="0"/>
          <w:iCs w:val="0"/>
          <w:caps w:val="0"/>
          <w:color w:val="666666"/>
          <w:spacing w:val="0"/>
          <w:sz w:val="32"/>
          <w:szCs w:val="32"/>
          <w:shd w:val="clear" w:fill="FFFFFF"/>
          <w:lang w:val="en-US" w:eastAsia="zh-CN"/>
        </w:rPr>
        <w:t>江门市委农办（江门市农业农村局）省级改革试点工作宣传项目</w:t>
      </w:r>
      <w:r>
        <w:rPr>
          <w:rFonts w:hint="eastAsia" w:ascii="仿宋" w:hAnsi="仿宋" w:eastAsia="仿宋" w:cs="仿宋"/>
          <w:i w:val="0"/>
          <w:iCs w:val="0"/>
          <w:caps w:val="0"/>
          <w:color w:val="666666"/>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shd w:val="clear" w:fill="FFFFFF"/>
          <w:lang w:val="en-US" w:eastAsia="zh-CN"/>
        </w:rPr>
      </w:pPr>
      <w:r>
        <w:rPr>
          <w:rFonts w:hint="eastAsia" w:ascii="仿宋" w:hAnsi="仿宋" w:eastAsia="仿宋" w:cs="仿宋"/>
          <w:i w:val="0"/>
          <w:iCs w:val="0"/>
          <w:caps w:val="0"/>
          <w:color w:val="666666"/>
          <w:spacing w:val="0"/>
          <w:sz w:val="32"/>
          <w:szCs w:val="32"/>
          <w:shd w:val="clear" w:fill="FFFFFF"/>
        </w:rPr>
        <w:t>　　（二）项目内容：</w:t>
      </w:r>
      <w:r>
        <w:rPr>
          <w:rFonts w:hint="eastAsia" w:ascii="仿宋" w:hAnsi="仿宋" w:eastAsia="仿宋" w:cs="仿宋"/>
          <w:i w:val="0"/>
          <w:iCs w:val="0"/>
          <w:caps w:val="0"/>
          <w:color w:val="666666"/>
          <w:spacing w:val="0"/>
          <w:sz w:val="32"/>
          <w:szCs w:val="32"/>
          <w:shd w:val="clear" w:fill="FFFFFF"/>
          <w:lang w:val="en-US" w:eastAsia="zh-CN"/>
        </w:rPr>
        <w:t>重点围绕新型农村集体经济专项改革省级试点、台山市省级“农业特区”试点（台山市省级农村改革试验区）、新会区农村改革试验（集体经营性建设用地入市）等省级农村改革试点工作，开展全方位的融媒体宣传推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rPr>
        <w:t>（三）项目预算金额：人民币壹拾</w:t>
      </w:r>
      <w:r>
        <w:rPr>
          <w:rFonts w:hint="eastAsia" w:ascii="仿宋" w:hAnsi="仿宋" w:eastAsia="仿宋" w:cs="仿宋"/>
          <w:i w:val="0"/>
          <w:iCs w:val="0"/>
          <w:caps w:val="0"/>
          <w:color w:val="666666"/>
          <w:spacing w:val="0"/>
          <w:sz w:val="32"/>
          <w:szCs w:val="32"/>
          <w:shd w:val="clear" w:fill="FFFFFF"/>
          <w:lang w:val="en-US" w:eastAsia="zh-CN"/>
        </w:rPr>
        <w:t>玖</w:t>
      </w:r>
      <w:r>
        <w:rPr>
          <w:rFonts w:hint="eastAsia" w:ascii="仿宋" w:hAnsi="仿宋" w:eastAsia="仿宋" w:cs="仿宋"/>
          <w:i w:val="0"/>
          <w:iCs w:val="0"/>
          <w:caps w:val="0"/>
          <w:color w:val="666666"/>
          <w:spacing w:val="0"/>
          <w:sz w:val="32"/>
          <w:szCs w:val="32"/>
          <w:shd w:val="clear" w:fill="FFFFFF"/>
        </w:rPr>
        <w:t>万元整（￥1</w:t>
      </w:r>
      <w:r>
        <w:rPr>
          <w:rFonts w:hint="eastAsia" w:ascii="仿宋" w:hAnsi="仿宋" w:eastAsia="仿宋" w:cs="仿宋"/>
          <w:i w:val="0"/>
          <w:iCs w:val="0"/>
          <w:caps w:val="0"/>
          <w:color w:val="666666"/>
          <w:spacing w:val="0"/>
          <w:sz w:val="32"/>
          <w:szCs w:val="32"/>
          <w:shd w:val="clear" w:fill="FFFFFF"/>
          <w:lang w:val="en-US" w:eastAsia="zh-CN"/>
        </w:rPr>
        <w:t>9</w:t>
      </w:r>
      <w:r>
        <w:rPr>
          <w:rFonts w:hint="eastAsia" w:ascii="仿宋" w:hAnsi="仿宋" w:eastAsia="仿宋" w:cs="仿宋"/>
          <w:i w:val="0"/>
          <w:iCs w:val="0"/>
          <w:caps w:val="0"/>
          <w:color w:val="666666"/>
          <w:spacing w:val="0"/>
          <w:sz w:val="32"/>
          <w:szCs w:val="32"/>
          <w:shd w:val="clear" w:fill="FFFFFF"/>
        </w:rPr>
        <w:t>0000.00）</w:t>
      </w:r>
      <w:r>
        <w:rPr>
          <w:rFonts w:hint="eastAsia" w:ascii="仿宋" w:hAnsi="仿宋" w:eastAsia="仿宋" w:cs="仿宋"/>
          <w:i w:val="0"/>
          <w:iCs w:val="0"/>
          <w:caps w:val="0"/>
          <w:color w:val="666666"/>
          <w:spacing w:val="0"/>
          <w:sz w:val="32"/>
          <w:szCs w:val="32"/>
          <w:shd w:val="clear" w:fill="FFFFFF"/>
          <w:lang w:eastAsia="zh-CN"/>
        </w:rPr>
        <w:t>，</w:t>
      </w:r>
      <w:r>
        <w:rPr>
          <w:rFonts w:hint="eastAsia" w:ascii="仿宋" w:hAnsi="仿宋" w:eastAsia="仿宋" w:cs="仿宋"/>
          <w:i w:val="0"/>
          <w:iCs w:val="0"/>
          <w:caps w:val="0"/>
          <w:color w:val="666666"/>
          <w:spacing w:val="0"/>
          <w:sz w:val="32"/>
          <w:szCs w:val="32"/>
          <w:shd w:val="clear" w:fill="FFFFFF"/>
        </w:rPr>
        <w:t>此预算金额为采购报价上限，报价超过上限为无效投标。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黑体" w:hAnsi="黑体" w:eastAsia="黑体" w:cs="黑体"/>
          <w:i w:val="0"/>
          <w:iCs w:val="0"/>
          <w:caps w:val="0"/>
          <w:color w:val="666666"/>
          <w:spacing w:val="0"/>
          <w:sz w:val="32"/>
          <w:szCs w:val="32"/>
        </w:rPr>
      </w:pPr>
      <w:r>
        <w:rPr>
          <w:rStyle w:val="7"/>
          <w:rFonts w:hint="eastAsia" w:ascii="黑体" w:hAnsi="黑体" w:eastAsia="黑体" w:cs="黑体"/>
          <w:i w:val="0"/>
          <w:iCs w:val="0"/>
          <w:caps w:val="0"/>
          <w:color w:val="666666"/>
          <w:spacing w:val="0"/>
          <w:sz w:val="32"/>
          <w:szCs w:val="32"/>
          <w:shd w:val="clear" w:fill="FFFFFF"/>
        </w:rPr>
        <w:t>二、投标人资格要求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（一）投标人必须符合《中华人民共和国政府采购法》第二十二条的规定。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（二）投标人要求为国内独立的事业法人或独立企业法人。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（三）投标人近三年以来在经营活动中没有重大违法记录。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备注：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1.本项目不接受联合体投标；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2.被列入失信被执行人、重大税收违法案件当事人名单、政府采购严重违法失信行为记录名单的供应商，不得参加本项目的投标活动。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3.单位负责人为同一人或者存在直接控股、管理关系的不同</w:t>
      </w:r>
      <w:r>
        <w:rPr>
          <w:rFonts w:hint="eastAsia" w:ascii="仿宋" w:hAnsi="仿宋" w:eastAsia="仿宋" w:cs="仿宋"/>
          <w:i w:val="0"/>
          <w:iCs w:val="0"/>
          <w:caps w:val="0"/>
          <w:color w:val="666666"/>
          <w:spacing w:val="0"/>
          <w:sz w:val="32"/>
          <w:szCs w:val="32"/>
          <w:shd w:val="clear" w:fill="FFFFFF"/>
          <w:lang w:val="en-US" w:eastAsia="zh-CN"/>
        </w:rPr>
        <w:t>供应商</w:t>
      </w:r>
      <w:r>
        <w:rPr>
          <w:rFonts w:hint="eastAsia" w:ascii="仿宋" w:hAnsi="仿宋" w:eastAsia="仿宋" w:cs="仿宋"/>
          <w:i w:val="0"/>
          <w:iCs w:val="0"/>
          <w:caps w:val="0"/>
          <w:color w:val="666666"/>
          <w:spacing w:val="0"/>
          <w:sz w:val="32"/>
          <w:szCs w:val="32"/>
          <w:shd w:val="clear" w:fill="FFFFFF"/>
        </w:rPr>
        <w:t>，不得同时参加本项目的投标活动。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4.供应商应通过“信用中国”网站（www.creditchina.gov.cn）、中国政府采购网（www.ccgp.gov.cn）查询信用记录，截止时点为投标报名截止前3天内；我局将拒绝被列入失信被执行人、重大税收违法案件当事人名单、政府采购严重违法失信行为记录名单的</w:t>
      </w:r>
      <w:r>
        <w:rPr>
          <w:rFonts w:hint="eastAsia" w:ascii="仿宋" w:hAnsi="仿宋" w:eastAsia="仿宋" w:cs="仿宋"/>
          <w:i w:val="0"/>
          <w:iCs w:val="0"/>
          <w:caps w:val="0"/>
          <w:color w:val="666666"/>
          <w:spacing w:val="0"/>
          <w:sz w:val="32"/>
          <w:szCs w:val="32"/>
          <w:shd w:val="clear" w:fill="FFFFFF"/>
          <w:lang w:val="en-US" w:eastAsia="zh-CN"/>
        </w:rPr>
        <w:t>供应商</w:t>
      </w:r>
      <w:r>
        <w:rPr>
          <w:rFonts w:hint="eastAsia" w:ascii="仿宋" w:hAnsi="仿宋" w:eastAsia="仿宋" w:cs="仿宋"/>
          <w:i w:val="0"/>
          <w:iCs w:val="0"/>
          <w:caps w:val="0"/>
          <w:color w:val="666666"/>
          <w:spacing w:val="0"/>
          <w:sz w:val="32"/>
          <w:szCs w:val="32"/>
          <w:shd w:val="clear" w:fill="FFFFFF"/>
        </w:rPr>
        <w:t>参与本项目的投标活动。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w:t>
      </w:r>
      <w:r>
        <w:rPr>
          <w:rStyle w:val="7"/>
          <w:rFonts w:hint="eastAsia" w:ascii="黑体" w:hAnsi="黑体" w:eastAsia="黑体" w:cs="黑体"/>
          <w:i w:val="0"/>
          <w:iCs w:val="0"/>
          <w:caps w:val="0"/>
          <w:color w:val="666666"/>
          <w:spacing w:val="0"/>
          <w:sz w:val="32"/>
          <w:szCs w:val="32"/>
          <w:shd w:val="clear" w:fill="FFFFFF"/>
        </w:rPr>
        <w:t>三、 投标要求、截止时间、开标时间及地点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1. 响应文件密封投标，正本一份，副本四份，副本可采用正本的复印件（正本和副本统一密封在同一个包装袋内）。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rPr>
        <w:t>　　2. 递交响应文件截止时间：2023年</w:t>
      </w:r>
      <w:r>
        <w:rPr>
          <w:rFonts w:hint="eastAsia" w:ascii="仿宋" w:hAnsi="仿宋" w:eastAsia="仿宋" w:cs="仿宋"/>
          <w:i w:val="0"/>
          <w:iCs w:val="0"/>
          <w:caps w:val="0"/>
          <w:color w:val="666666"/>
          <w:spacing w:val="0"/>
          <w:sz w:val="32"/>
          <w:szCs w:val="32"/>
          <w:shd w:val="clear" w:fill="FFFFFF"/>
          <w:lang w:val="en-US" w:eastAsia="zh-CN"/>
        </w:rPr>
        <w:t>7</w:t>
      </w:r>
      <w:r>
        <w:rPr>
          <w:rFonts w:hint="eastAsia" w:ascii="仿宋" w:hAnsi="仿宋" w:eastAsia="仿宋" w:cs="仿宋"/>
          <w:i w:val="0"/>
          <w:iCs w:val="0"/>
          <w:caps w:val="0"/>
          <w:color w:val="666666"/>
          <w:spacing w:val="0"/>
          <w:sz w:val="32"/>
          <w:szCs w:val="32"/>
          <w:shd w:val="clear" w:fill="FFFFFF"/>
        </w:rPr>
        <w:t>月</w:t>
      </w:r>
      <w:r>
        <w:rPr>
          <w:rFonts w:hint="eastAsia" w:ascii="仿宋" w:hAnsi="仿宋" w:eastAsia="仿宋" w:cs="仿宋"/>
          <w:i w:val="0"/>
          <w:iCs w:val="0"/>
          <w:caps w:val="0"/>
          <w:color w:val="666666"/>
          <w:spacing w:val="0"/>
          <w:sz w:val="32"/>
          <w:szCs w:val="32"/>
          <w:shd w:val="clear" w:fill="FFFFFF"/>
          <w:lang w:val="en-US" w:eastAsia="zh-CN"/>
        </w:rPr>
        <w:t>31</w:t>
      </w:r>
      <w:r>
        <w:rPr>
          <w:rFonts w:hint="eastAsia" w:ascii="仿宋" w:hAnsi="仿宋" w:eastAsia="仿宋" w:cs="仿宋"/>
          <w:i w:val="0"/>
          <w:iCs w:val="0"/>
          <w:caps w:val="0"/>
          <w:color w:val="666666"/>
          <w:spacing w:val="0"/>
          <w:sz w:val="32"/>
          <w:szCs w:val="32"/>
          <w:shd w:val="clear" w:fill="FFFFFF"/>
        </w:rPr>
        <w:t>日</w:t>
      </w:r>
      <w:r>
        <w:rPr>
          <w:rFonts w:hint="eastAsia" w:ascii="仿宋" w:hAnsi="仿宋" w:eastAsia="仿宋" w:cs="仿宋"/>
          <w:i w:val="0"/>
          <w:iCs w:val="0"/>
          <w:caps w:val="0"/>
          <w:color w:val="666666"/>
          <w:spacing w:val="0"/>
          <w:sz w:val="32"/>
          <w:szCs w:val="32"/>
          <w:shd w:val="clear" w:fill="FFFFFF"/>
          <w:lang w:val="en-US" w:eastAsia="zh-CN"/>
        </w:rPr>
        <w:t>17:30（</w:t>
      </w:r>
      <w:r>
        <w:rPr>
          <w:rFonts w:hint="eastAsia" w:ascii="仿宋" w:hAnsi="仿宋" w:eastAsia="仿宋" w:cs="仿宋"/>
          <w:i w:val="0"/>
          <w:iCs w:val="0"/>
          <w:caps w:val="0"/>
          <w:color w:val="666666"/>
          <w:spacing w:val="0"/>
          <w:sz w:val="32"/>
          <w:szCs w:val="32"/>
          <w:shd w:val="clear" w:fill="FFFFFF"/>
        </w:rPr>
        <w:t>逾期递交的将予拒收）。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3. 开标时间另行通知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4. 开标地点：江门市农业农村局（江门市蓬江区农林横路1号）。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黑体" w:hAnsi="黑体" w:eastAsia="黑体" w:cs="黑体"/>
          <w:i w:val="0"/>
          <w:iCs w:val="0"/>
          <w:caps w:val="0"/>
          <w:color w:val="666666"/>
          <w:spacing w:val="0"/>
          <w:sz w:val="32"/>
          <w:szCs w:val="32"/>
        </w:rPr>
      </w:pPr>
      <w:r>
        <w:rPr>
          <w:rFonts w:hint="eastAsia" w:ascii="黑体" w:hAnsi="黑体" w:eastAsia="黑体" w:cs="黑体"/>
          <w:i w:val="0"/>
          <w:iCs w:val="0"/>
          <w:caps w:val="0"/>
          <w:color w:val="666666"/>
          <w:spacing w:val="0"/>
          <w:sz w:val="32"/>
          <w:szCs w:val="32"/>
          <w:shd w:val="clear" w:fill="FFFFFF"/>
        </w:rPr>
        <w:t>　　</w:t>
      </w:r>
      <w:r>
        <w:rPr>
          <w:rStyle w:val="7"/>
          <w:rFonts w:hint="eastAsia" w:ascii="黑体" w:hAnsi="黑体" w:eastAsia="黑体" w:cs="黑体"/>
          <w:i w:val="0"/>
          <w:iCs w:val="0"/>
          <w:caps w:val="0"/>
          <w:color w:val="666666"/>
          <w:spacing w:val="0"/>
          <w:sz w:val="32"/>
          <w:szCs w:val="32"/>
          <w:shd w:val="clear" w:fill="FFFFFF"/>
        </w:rPr>
        <w:t>四、 采购人的名称、地址和联系方式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1. 采购人名称：江门市农业农村局。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2. 地址：江门市蓬江区农林横路1号。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仿宋" w:hAnsi="仿宋" w:eastAsia="仿宋" w:cs="仿宋"/>
          <w:i w:val="0"/>
          <w:iCs w:val="0"/>
          <w:caps w:val="0"/>
          <w:color w:val="666666"/>
          <w:spacing w:val="0"/>
          <w:sz w:val="32"/>
          <w:szCs w:val="32"/>
          <w:lang w:val="en-US" w:eastAsia="zh-CN"/>
        </w:rPr>
      </w:pPr>
      <w:r>
        <w:rPr>
          <w:rFonts w:hint="eastAsia" w:ascii="仿宋" w:hAnsi="仿宋" w:eastAsia="仿宋" w:cs="仿宋"/>
          <w:i w:val="0"/>
          <w:iCs w:val="0"/>
          <w:caps w:val="0"/>
          <w:color w:val="666666"/>
          <w:spacing w:val="0"/>
          <w:sz w:val="32"/>
          <w:szCs w:val="32"/>
          <w:shd w:val="clear" w:fill="FFFFFF"/>
        </w:rPr>
        <w:t>　　3. 联系人：</w:t>
      </w:r>
      <w:r>
        <w:rPr>
          <w:rFonts w:hint="eastAsia" w:ascii="仿宋" w:hAnsi="仿宋" w:eastAsia="仿宋" w:cs="仿宋"/>
          <w:i w:val="0"/>
          <w:iCs w:val="0"/>
          <w:caps w:val="0"/>
          <w:color w:val="666666"/>
          <w:spacing w:val="0"/>
          <w:sz w:val="32"/>
          <w:szCs w:val="32"/>
          <w:shd w:val="clear" w:fill="FFFFFF"/>
          <w:lang w:val="en-US" w:eastAsia="zh-CN"/>
        </w:rPr>
        <w:t>伍先生</w:t>
      </w:r>
      <w:r>
        <w:rPr>
          <w:rFonts w:hint="eastAsia" w:ascii="仿宋" w:hAnsi="仿宋" w:eastAsia="仿宋" w:cs="仿宋"/>
          <w:i w:val="0"/>
          <w:iCs w:val="0"/>
          <w:caps w:val="0"/>
          <w:color w:val="666666"/>
          <w:spacing w:val="0"/>
          <w:sz w:val="32"/>
          <w:szCs w:val="32"/>
          <w:shd w:val="clear" w:fill="FFFFFF"/>
        </w:rPr>
        <w:t xml:space="preserve">  联系电话：3887</w:t>
      </w:r>
      <w:r>
        <w:rPr>
          <w:rFonts w:hint="eastAsia" w:ascii="仿宋" w:hAnsi="仿宋" w:eastAsia="仿宋" w:cs="仿宋"/>
          <w:i w:val="0"/>
          <w:iCs w:val="0"/>
          <w:caps w:val="0"/>
          <w:color w:val="666666"/>
          <w:spacing w:val="0"/>
          <w:sz w:val="32"/>
          <w:szCs w:val="32"/>
          <w:shd w:val="clear" w:fill="FFFFFF"/>
          <w:lang w:val="en-US" w:eastAsia="zh-CN"/>
        </w:rPr>
        <w:t>237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rPr>
        <w:t>　　</w:t>
      </w:r>
      <w:r>
        <w:rPr>
          <w:rStyle w:val="7"/>
          <w:rFonts w:hint="eastAsia" w:ascii="黑体" w:hAnsi="黑体" w:eastAsia="黑体" w:cs="黑体"/>
          <w:i w:val="0"/>
          <w:iCs w:val="0"/>
          <w:caps w:val="0"/>
          <w:color w:val="666666"/>
          <w:spacing w:val="0"/>
          <w:sz w:val="32"/>
          <w:szCs w:val="32"/>
          <w:shd w:val="clear" w:fill="FFFFFF"/>
        </w:rPr>
        <w:t>五、</w:t>
      </w:r>
      <w:r>
        <w:rPr>
          <w:rStyle w:val="7"/>
          <w:rFonts w:hint="eastAsia" w:ascii="黑体" w:hAnsi="黑体" w:eastAsia="黑体" w:cs="黑体"/>
          <w:i w:val="0"/>
          <w:iCs w:val="0"/>
          <w:caps w:val="0"/>
          <w:color w:val="666666"/>
          <w:spacing w:val="0"/>
          <w:sz w:val="32"/>
          <w:szCs w:val="32"/>
          <w:shd w:val="clear" w:fill="FFFFFF"/>
          <w:lang w:val="en-US" w:eastAsia="zh-CN"/>
        </w:rPr>
        <w:t>宣传成果</w:t>
      </w:r>
      <w:r>
        <w:rPr>
          <w:rStyle w:val="7"/>
          <w:rFonts w:hint="eastAsia" w:ascii="黑体" w:hAnsi="黑体" w:eastAsia="黑体" w:cs="黑体"/>
          <w:i w:val="0"/>
          <w:iCs w:val="0"/>
          <w:caps w:val="0"/>
          <w:color w:val="666666"/>
          <w:spacing w:val="0"/>
          <w:sz w:val="32"/>
          <w:szCs w:val="32"/>
          <w:shd w:val="clear" w:fill="FFFFFF"/>
        </w:rPr>
        <w:t>要求</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楷体" w:hAnsi="楷体" w:eastAsia="楷体" w:cs="楷体"/>
          <w:b w:val="0"/>
          <w:bCs/>
          <w:sz w:val="32"/>
          <w:szCs w:val="32"/>
        </w:rPr>
        <w:t>（1）</w:t>
      </w:r>
      <w:r>
        <w:rPr>
          <w:rFonts w:hint="eastAsia" w:ascii="楷体" w:hAnsi="楷体" w:eastAsia="楷体" w:cs="楷体"/>
          <w:b w:val="0"/>
          <w:bCs/>
          <w:sz w:val="32"/>
          <w:szCs w:val="32"/>
          <w:lang w:val="en-US" w:eastAsia="zh-CN"/>
        </w:rPr>
        <w:t>省级主流媒体专题</w:t>
      </w:r>
      <w:r>
        <w:rPr>
          <w:rFonts w:hint="eastAsia" w:ascii="楷体" w:hAnsi="楷体" w:eastAsia="楷体" w:cs="楷体"/>
          <w:b w:val="0"/>
          <w:bCs/>
          <w:sz w:val="32"/>
          <w:szCs w:val="32"/>
        </w:rPr>
        <w:t>。</w:t>
      </w:r>
      <w:r>
        <w:rPr>
          <w:rFonts w:hint="eastAsia" w:ascii="仿宋" w:hAnsi="仿宋" w:eastAsia="仿宋" w:cs="仿宋"/>
          <w:i w:val="0"/>
          <w:iCs w:val="0"/>
          <w:caps w:val="0"/>
          <w:color w:val="666666"/>
          <w:spacing w:val="0"/>
          <w:kern w:val="0"/>
          <w:sz w:val="32"/>
          <w:szCs w:val="32"/>
          <w:shd w:val="clear" w:fill="FFFFFF"/>
          <w:lang w:val="en-US" w:eastAsia="zh-CN" w:bidi="ar"/>
        </w:rPr>
        <w:t>在省级主流媒体新媒体平台搭建“江门市省级农村改革试点工作宣传”专题，收录江门市省级农村改革试点相关的融媒体宣传产品，在省级主流媒体平台刊发宣传海报不少于3张，动态宣传不少于10篇次；通过接地气、入人心的宣传，为江门市省级农村改革试点探索营造良好的氛围。</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楷体" w:hAnsi="楷体" w:eastAsia="楷体" w:cs="楷体"/>
          <w:b w:val="0"/>
          <w:bCs/>
          <w:sz w:val="32"/>
          <w:szCs w:val="32"/>
        </w:rPr>
        <w:t>（2）典型</w:t>
      </w:r>
      <w:r>
        <w:rPr>
          <w:rFonts w:hint="eastAsia" w:ascii="楷体" w:hAnsi="楷体" w:eastAsia="楷体" w:cs="楷体"/>
          <w:b w:val="0"/>
          <w:bCs/>
          <w:sz w:val="32"/>
          <w:szCs w:val="32"/>
          <w:lang w:eastAsia="zh-CN"/>
        </w:rPr>
        <w:t>经验</w:t>
      </w:r>
      <w:r>
        <w:rPr>
          <w:rFonts w:hint="eastAsia" w:ascii="楷体" w:hAnsi="楷体" w:eastAsia="楷体" w:cs="楷体"/>
          <w:b w:val="0"/>
          <w:bCs/>
          <w:sz w:val="32"/>
          <w:szCs w:val="32"/>
        </w:rPr>
        <w:t>模式</w:t>
      </w:r>
      <w:r>
        <w:rPr>
          <w:rFonts w:hint="eastAsia" w:ascii="楷体" w:hAnsi="楷体" w:eastAsia="楷体" w:cs="楷体"/>
          <w:b w:val="0"/>
          <w:bCs/>
          <w:sz w:val="32"/>
          <w:szCs w:val="32"/>
          <w:lang w:eastAsia="zh-CN"/>
        </w:rPr>
        <w:t>宣传</w:t>
      </w:r>
      <w:r>
        <w:rPr>
          <w:rFonts w:hint="eastAsia" w:ascii="楷体" w:hAnsi="楷体" w:eastAsia="楷体" w:cs="楷体"/>
          <w:b w:val="0"/>
          <w:bCs/>
          <w:sz w:val="32"/>
          <w:szCs w:val="32"/>
        </w:rPr>
        <w:t>。</w:t>
      </w:r>
      <w:r>
        <w:rPr>
          <w:rFonts w:hint="eastAsia" w:ascii="仿宋" w:hAnsi="仿宋" w:eastAsia="仿宋" w:cs="仿宋"/>
          <w:i w:val="0"/>
          <w:iCs w:val="0"/>
          <w:caps w:val="0"/>
          <w:color w:val="666666"/>
          <w:spacing w:val="0"/>
          <w:kern w:val="0"/>
          <w:sz w:val="32"/>
          <w:szCs w:val="32"/>
          <w:shd w:val="clear" w:fill="FFFFFF"/>
          <w:lang w:val="en-US" w:eastAsia="zh-CN" w:bidi="ar"/>
        </w:rPr>
        <w:t>围绕江门市四大省级农村改革试点，结合改革成效分析，改革一线人员、受惠群体采访及专家学者访谈等，深度提炼形成三大省级试点典型经验宣传案例不少于15个，每个典型案例模式2000字左右，在省级主流媒体平台刊发宣传。其中，新型农村集体经济专项改革省级试点，围绕5种实践模式路径分析，收录不少于20个典型村经验，编制成果案例集。</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000000"/>
          <w:sz w:val="32"/>
          <w:szCs w:val="32"/>
          <w:lang w:val="en-US" w:eastAsia="zh-CN"/>
        </w:rPr>
      </w:pP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3</w:t>
      </w: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全网分发推广宣传</w:t>
      </w:r>
      <w:r>
        <w:rPr>
          <w:rFonts w:hint="eastAsia" w:ascii="楷体" w:hAnsi="楷体" w:eastAsia="楷体" w:cs="楷体"/>
          <w:b w:val="0"/>
          <w:bCs/>
          <w:sz w:val="32"/>
          <w:szCs w:val="32"/>
        </w:rPr>
        <w:t>。</w:t>
      </w:r>
      <w:r>
        <w:rPr>
          <w:rFonts w:hint="eastAsia" w:ascii="仿宋" w:hAnsi="仿宋" w:eastAsia="仿宋" w:cs="仿宋"/>
          <w:i w:val="0"/>
          <w:iCs w:val="0"/>
          <w:caps w:val="0"/>
          <w:color w:val="666666"/>
          <w:spacing w:val="0"/>
          <w:kern w:val="0"/>
          <w:sz w:val="32"/>
          <w:szCs w:val="32"/>
          <w:shd w:val="clear" w:fill="FFFFFF"/>
          <w:lang w:val="en-US" w:eastAsia="zh-CN" w:bidi="ar"/>
        </w:rPr>
        <w:t>上述江门市省级农村改革试点工作宣传，在人民日报客户端、南方新闻网、今日头条等省级主流新媒体平台进行全网推广，不少于20篇次。</w:t>
      </w:r>
    </w:p>
    <w:tbl>
      <w:tblPr>
        <w:tblStyle w:val="4"/>
        <w:tblW w:w="85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019"/>
        <w:gridCol w:w="1066"/>
        <w:gridCol w:w="46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81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仿宋" w:cs="Times New Roman"/>
                <w:b/>
                <w:bCs/>
                <w:color w:val="000000" w:themeColor="text1"/>
                <w:sz w:val="24"/>
                <w:szCs w:val="24"/>
                <w:highlight w:val="none"/>
                <w14:textFill>
                  <w14:solidFill>
                    <w14:schemeClr w14:val="tx1"/>
                  </w14:solidFill>
                </w14:textFill>
              </w:rPr>
            </w:pPr>
            <w:r>
              <w:rPr>
                <w:rFonts w:ascii="Times New Roman" w:hAnsi="Times New Roman" w:eastAsia="仿宋" w:cs="Times New Roman"/>
                <w:b/>
                <w:bCs/>
                <w:color w:val="000000" w:themeColor="text1"/>
                <w:sz w:val="24"/>
                <w:szCs w:val="24"/>
                <w:highlight w:val="none"/>
                <w14:textFill>
                  <w14:solidFill>
                    <w14:schemeClr w14:val="tx1"/>
                  </w14:solidFill>
                </w14:textFill>
              </w:rPr>
              <w:t>序号</w:t>
            </w:r>
          </w:p>
        </w:tc>
        <w:tc>
          <w:tcPr>
            <w:tcW w:w="2019"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宣传成果</w:t>
            </w:r>
          </w:p>
        </w:tc>
        <w:tc>
          <w:tcPr>
            <w:tcW w:w="1066" w:type="dxa"/>
            <w:vAlign w:val="center"/>
          </w:tcPr>
          <w:p>
            <w:pPr>
              <w:keepNext w:val="0"/>
              <w:keepLines w:val="0"/>
              <w:pageBreakBefore w:val="0"/>
              <w:kinsoku/>
              <w:wordWrap/>
              <w:overflowPunct/>
              <w:topLinePunct w:val="0"/>
              <w:autoSpaceDE/>
              <w:autoSpaceDN/>
              <w:bidi w:val="0"/>
              <w:adjustRightInd/>
              <w:snapToGrid/>
              <w:spacing w:line="600" w:lineRule="exact"/>
              <w:ind w:firstLine="201" w:firstLineChars="100"/>
              <w:textAlignment w:val="auto"/>
              <w:rPr>
                <w:rFonts w:hint="eastAsia" w:ascii="Times New Roman" w:hAnsi="Times New Roman" w:eastAsia="仿宋" w:cs="Times New Roman"/>
                <w:b/>
                <w:color w:val="000000" w:themeColor="text1"/>
                <w:spacing w:val="-20"/>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pacing w:val="-20"/>
                <w:sz w:val="24"/>
                <w:szCs w:val="24"/>
                <w:highlight w:val="none"/>
                <w:lang w:val="en-US" w:eastAsia="zh-CN"/>
                <w14:textFill>
                  <w14:solidFill>
                    <w14:schemeClr w14:val="tx1"/>
                  </w14:solidFill>
                </w14:textFill>
              </w:rPr>
              <w:t>数量</w:t>
            </w:r>
          </w:p>
        </w:tc>
        <w:tc>
          <w:tcPr>
            <w:tcW w:w="467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 w:cs="Times New Roman"/>
                <w:b/>
                <w:color w:val="000000" w:themeColor="text1"/>
                <w:spacing w:val="-20"/>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pacing w:val="-20"/>
                <w:sz w:val="24"/>
                <w:szCs w:val="24"/>
                <w:highlight w:val="none"/>
                <w:lang w:eastAsia="zh-CN"/>
                <w14:textFill>
                  <w14:solidFill>
                    <w14:schemeClr w14:val="tx1"/>
                  </w14:solidFill>
                </w14:textFill>
              </w:rPr>
              <w:t>主要内容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81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Times New Roman" w:eastAsia="仿宋_GB2312" w:cs="Times New Roman"/>
                <w:color w:val="000000" w:themeColor="text1"/>
                <w:sz w:val="24"/>
                <w:szCs w:val="24"/>
                <w:highlight w:val="none"/>
                <w14:textFill>
                  <w14:solidFill>
                    <w14:schemeClr w14:val="tx1"/>
                  </w14:solidFill>
                </w14:textFill>
              </w:rPr>
            </w:pPr>
            <w:r>
              <w:rPr>
                <w:rFonts w:hint="eastAsia" w:ascii="仿宋_GB2312" w:hAnsi="Times New Roman" w:eastAsia="仿宋_GB2312" w:cs="Times New Roman"/>
                <w:color w:val="000000" w:themeColor="text1"/>
                <w:sz w:val="24"/>
                <w:szCs w:val="24"/>
                <w:highlight w:val="none"/>
                <w14:textFill>
                  <w14:solidFill>
                    <w14:schemeClr w14:val="tx1"/>
                  </w14:solidFill>
                </w14:textFill>
              </w:rPr>
              <w:t>1</w:t>
            </w:r>
          </w:p>
        </w:tc>
        <w:tc>
          <w:tcPr>
            <w:tcW w:w="2019" w:type="dxa"/>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“江门市省级农村改革试点工作宣传”专题宣传页面</w:t>
            </w:r>
          </w:p>
        </w:tc>
        <w:tc>
          <w:tcPr>
            <w:tcW w:w="1066"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1</w:t>
            </w:r>
          </w:p>
        </w:tc>
        <w:tc>
          <w:tcPr>
            <w:tcW w:w="4671"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仿宋_GB2312" w:hAnsi="Times New Roman" w:eastAsia="仿宋_GB2312" w:cs="Times New Roman"/>
                <w:color w:val="000000" w:themeColor="text1"/>
                <w:sz w:val="24"/>
                <w:szCs w:val="24"/>
                <w:highlight w:val="none"/>
                <w:lang w:val="en-US" w:eastAsia="zh-CN"/>
                <w14:textFill>
                  <w14:solidFill>
                    <w14:schemeClr w14:val="tx1"/>
                  </w14:solidFill>
                </w14:textFill>
              </w:rPr>
              <w:t>在省级主流媒体新媒体平台搭建专题</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平台</w:t>
            </w:r>
            <w:r>
              <w:rPr>
                <w:rFonts w:hint="default" w:ascii="仿宋_GB2312" w:hAnsi="Times New Roman" w:eastAsia="仿宋_GB2312" w:cs="Times New Roman"/>
                <w:color w:val="000000" w:themeColor="text1"/>
                <w:sz w:val="24"/>
                <w:szCs w:val="24"/>
                <w:highlight w:val="none"/>
                <w:lang w:val="en-US" w:eastAsia="zh-CN"/>
                <w14:textFill>
                  <w14:solidFill>
                    <w14:schemeClr w14:val="tx1"/>
                  </w14:solidFill>
                </w14:textFill>
              </w:rPr>
              <w:t>1个</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，图文并茂展示江门市省级农村改革试点成效。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81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Times New Roman" w:eastAsia="仿宋_GB2312" w:cs="Times New Roman"/>
                <w:color w:val="000000" w:themeColor="text1"/>
                <w:sz w:val="24"/>
                <w:szCs w:val="24"/>
                <w:highlight w:val="none"/>
                <w14:textFill>
                  <w14:solidFill>
                    <w14:schemeClr w14:val="tx1"/>
                  </w14:solidFill>
                </w14:textFill>
              </w:rPr>
            </w:pPr>
            <w:r>
              <w:rPr>
                <w:rFonts w:hint="eastAsia" w:ascii="仿宋_GB2312" w:hAnsi="Times New Roman" w:eastAsia="仿宋_GB2312" w:cs="Times New Roman"/>
                <w:color w:val="000000" w:themeColor="text1"/>
                <w:sz w:val="24"/>
                <w:szCs w:val="24"/>
                <w:highlight w:val="none"/>
                <w14:textFill>
                  <w14:solidFill>
                    <w14:schemeClr w14:val="tx1"/>
                  </w14:solidFill>
                </w14:textFill>
              </w:rPr>
              <w:t>2</w:t>
            </w:r>
          </w:p>
        </w:tc>
        <w:tc>
          <w:tcPr>
            <w:tcW w:w="2019" w:type="dxa"/>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仿宋_GB2312" w:hAnsi="Times New Roman" w:eastAsia="仿宋_GB2312" w:cs="Times New Roman"/>
                <w:color w:val="000000" w:themeColor="text1"/>
                <w:sz w:val="24"/>
                <w:szCs w:val="24"/>
                <w:highlight w:val="none"/>
                <w:lang w:val="en-US" w:eastAsia="zh-CN"/>
                <w14:textFill>
                  <w14:solidFill>
                    <w14:schemeClr w14:val="tx1"/>
                  </w14:solidFill>
                </w14:textFill>
              </w:rPr>
              <w:t>宣传</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海报</w:t>
            </w:r>
          </w:p>
        </w:tc>
        <w:tc>
          <w:tcPr>
            <w:tcW w:w="1066"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Arial" w:hAnsi="Arial" w:eastAsia="仿宋_GB2312" w:cs="Arial"/>
                <w:color w:val="000000" w:themeColor="text1"/>
                <w:sz w:val="24"/>
                <w:szCs w:val="24"/>
                <w:highlight w:val="none"/>
                <w:lang w:val="en-US" w:eastAsia="zh-CN"/>
                <w14:textFill>
                  <w14:solidFill>
                    <w14:schemeClr w14:val="tx1"/>
                  </w14:solidFill>
                </w14:textFill>
              </w:rPr>
              <w:t>≥</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3</w:t>
            </w:r>
          </w:p>
        </w:tc>
        <w:tc>
          <w:tcPr>
            <w:tcW w:w="4671"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设计制作高质量电子宣传海报，在有关省级宣传媒体刊发，并在省级专题宣传页面滚动宣传，营造良好氛围。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63" w:hRule="atLeast"/>
          <w:jc w:val="center"/>
        </w:trPr>
        <w:tc>
          <w:tcPr>
            <w:tcW w:w="817" w:type="dxa"/>
            <w:vMerge w:val="restart"/>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Times New Roman" w:eastAsia="仿宋_GB2312" w:cs="Times New Roman"/>
                <w:color w:val="000000" w:themeColor="text1"/>
                <w:sz w:val="24"/>
                <w:szCs w:val="24"/>
                <w:highlight w:val="none"/>
                <w14:textFill>
                  <w14:solidFill>
                    <w14:schemeClr w14:val="tx1"/>
                  </w14:solidFill>
                </w14:textFill>
              </w:rPr>
            </w:pPr>
            <w:r>
              <w:rPr>
                <w:rFonts w:hint="eastAsia" w:ascii="仿宋_GB2312" w:hAnsi="Times New Roman" w:eastAsia="仿宋_GB2312" w:cs="Times New Roman"/>
                <w:color w:val="000000" w:themeColor="text1"/>
                <w:sz w:val="24"/>
                <w:szCs w:val="24"/>
                <w:highlight w:val="none"/>
                <w14:textFill>
                  <w14:solidFill>
                    <w14:schemeClr w14:val="tx1"/>
                  </w14:solidFill>
                </w14:textFill>
              </w:rPr>
              <w:t>3</w:t>
            </w:r>
          </w:p>
        </w:tc>
        <w:tc>
          <w:tcPr>
            <w:tcW w:w="2019" w:type="dxa"/>
            <w:vMerge w:val="restart"/>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典型经验模式宣传</w:t>
            </w:r>
          </w:p>
        </w:tc>
        <w:tc>
          <w:tcPr>
            <w:tcW w:w="1066"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Arial" w:hAnsi="Arial" w:eastAsia="仿宋_GB2312" w:cs="Arial"/>
                <w:color w:val="000000" w:themeColor="text1"/>
                <w:sz w:val="24"/>
                <w:szCs w:val="24"/>
                <w:highlight w:val="none"/>
                <w:lang w:val="en-US" w:eastAsia="zh-CN"/>
                <w14:textFill>
                  <w14:solidFill>
                    <w14:schemeClr w14:val="tx1"/>
                  </w14:solidFill>
                </w14:textFill>
              </w:rPr>
              <w:t>≥</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15</w:t>
            </w:r>
          </w:p>
        </w:tc>
        <w:tc>
          <w:tcPr>
            <w:tcW w:w="4671"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围绕江门市省级农村改革试点工作，结合改革成效分析，改革一线人员、受惠群体采访及专家学者访谈等，深度提炼形成典型经验宣传案例，每个典型案例模式2000字左右，在省级主流媒体平台刊发宣传，并在省级专题宣传页面滚动宣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36" w:hRule="atLeast"/>
          <w:jc w:val="center"/>
        </w:trPr>
        <w:tc>
          <w:tcPr>
            <w:tcW w:w="817"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color w:val="000000" w:themeColor="text1"/>
                <w:sz w:val="24"/>
                <w:szCs w:val="24"/>
                <w:highlight w:val="none"/>
                <w14:textFill>
                  <w14:solidFill>
                    <w14:schemeClr w14:val="tx1"/>
                  </w14:solidFill>
                </w14:textFill>
              </w:rPr>
            </w:pPr>
          </w:p>
        </w:tc>
        <w:tc>
          <w:tcPr>
            <w:tcW w:w="2019" w:type="dxa"/>
            <w:vMerge w:val="continue"/>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pPr>
          </w:p>
        </w:tc>
        <w:tc>
          <w:tcPr>
            <w:tcW w:w="1066"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Arial" w:hAnsi="Arial" w:eastAsia="仿宋_GB2312" w:cs="Arial"/>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1200</w:t>
            </w:r>
          </w:p>
        </w:tc>
        <w:tc>
          <w:tcPr>
            <w:tcW w:w="4671"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围绕我市新型农村集体经济专项改革省级试点5种实践模式路径分析，收录不少于20个典型村经验，编制成果案例（图文并茂）精品集，印制不少于1200册。（初步排版：160页左右；数量：1200本；规格：尺寸170*240mmmm，内页120克道林纸，封面250G铜版纸、单面彩色、哑膜、勒口，内页彩色，无线胶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81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4</w:t>
            </w:r>
          </w:p>
        </w:tc>
        <w:tc>
          <w:tcPr>
            <w:tcW w:w="2019" w:type="dxa"/>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动态宣传</w:t>
            </w:r>
          </w:p>
        </w:tc>
        <w:tc>
          <w:tcPr>
            <w:tcW w:w="1066"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Arial" w:hAnsi="Arial" w:eastAsia="仿宋_GB2312" w:cs="Arial"/>
                <w:color w:val="000000" w:themeColor="text1"/>
                <w:sz w:val="24"/>
                <w:szCs w:val="24"/>
                <w:highlight w:val="none"/>
                <w:lang w:val="en-US" w:eastAsia="zh-CN"/>
                <w14:textFill>
                  <w14:solidFill>
                    <w14:schemeClr w14:val="tx1"/>
                  </w14:solidFill>
                </w14:textFill>
              </w:rPr>
              <w:t>≥</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10</w:t>
            </w:r>
          </w:p>
        </w:tc>
        <w:tc>
          <w:tcPr>
            <w:tcW w:w="4671" w:type="dxa"/>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围绕江门市省级农村改革试点建设成效，在省级宣传媒体专题页面动态宣传不少于10篇次。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81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5</w:t>
            </w:r>
          </w:p>
        </w:tc>
        <w:tc>
          <w:tcPr>
            <w:tcW w:w="2019" w:type="dxa"/>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全网分发推广</w:t>
            </w:r>
          </w:p>
        </w:tc>
        <w:tc>
          <w:tcPr>
            <w:tcW w:w="1066"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Arial" w:hAnsi="Arial" w:eastAsia="仿宋_GB2312" w:cs="Arial"/>
                <w:color w:val="000000" w:themeColor="text1"/>
                <w:sz w:val="24"/>
                <w:szCs w:val="24"/>
                <w:highlight w:val="none"/>
                <w:lang w:val="en-US" w:eastAsia="zh-CN"/>
                <w14:textFill>
                  <w14:solidFill>
                    <w14:schemeClr w14:val="tx1"/>
                  </w14:solidFill>
                </w14:textFill>
              </w:rPr>
              <w:t>≥</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20</w:t>
            </w:r>
          </w:p>
        </w:tc>
        <w:tc>
          <w:tcPr>
            <w:tcW w:w="4671" w:type="dxa"/>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s="Times New Roman"/>
                <w:color w:val="auto"/>
                <w:sz w:val="24"/>
                <w:szCs w:val="24"/>
                <w:highlight w:val="none"/>
                <w:lang w:val="en-US" w:eastAsia="zh-CN"/>
              </w:rPr>
              <w:t>在人民日报客户端、南方新闻网、今日头条等省级主流新媒体平台进行全网推广，不少于20篇次。</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黑体" w:hAnsi="黑体" w:eastAsia="黑体" w:cs="黑体"/>
          <w:i w:val="0"/>
          <w:iCs w:val="0"/>
          <w:caps w:val="0"/>
          <w:color w:val="666666"/>
          <w:spacing w:val="0"/>
          <w:sz w:val="32"/>
          <w:szCs w:val="32"/>
        </w:rPr>
      </w:pPr>
      <w:r>
        <w:rPr>
          <w:rFonts w:hint="eastAsia" w:ascii="黑体" w:hAnsi="黑体" w:eastAsia="黑体" w:cs="黑体"/>
          <w:i w:val="0"/>
          <w:iCs w:val="0"/>
          <w:caps w:val="0"/>
          <w:color w:val="666666"/>
          <w:spacing w:val="0"/>
          <w:sz w:val="32"/>
          <w:szCs w:val="32"/>
          <w:shd w:val="clear" w:fill="FFFFFF"/>
        </w:rPr>
        <w:t>　　</w:t>
      </w:r>
      <w:r>
        <w:rPr>
          <w:rStyle w:val="7"/>
          <w:rFonts w:hint="eastAsia" w:ascii="黑体" w:hAnsi="黑体" w:eastAsia="黑体" w:cs="黑体"/>
          <w:i w:val="0"/>
          <w:iCs w:val="0"/>
          <w:caps w:val="0"/>
          <w:color w:val="666666"/>
          <w:spacing w:val="0"/>
          <w:sz w:val="32"/>
          <w:szCs w:val="32"/>
          <w:shd w:val="clear" w:fill="FFFFFF"/>
        </w:rPr>
        <w:t>六、评分办法</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（一）按能够最大限度地满足招标文件中规定的各项综合评价标准的投标人中标的原则定标。</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（二）由评审小组对所有投标文件进行响应性检查，未能响应招标文件要求的投标文件作无效投标处理，通过资格审查和符合性审查的投标人才能进入评比阶段。</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（三）本次评标采用百分制综合评分，最高分不超过100分；评标以招标文件规定的条件为原则，最低报价不作为中标的唯一依据。</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41" w:leftChars="0" w:right="0" w:firstLine="0" w:firstLineChars="0"/>
        <w:textAlignment w:val="auto"/>
        <w:rPr>
          <w:rStyle w:val="7"/>
          <w:rFonts w:hint="eastAsia" w:ascii="黑体" w:hAnsi="黑体" w:eastAsia="黑体" w:cs="黑体"/>
          <w:i w:val="0"/>
          <w:iCs w:val="0"/>
          <w:caps w:val="0"/>
          <w:color w:val="666666"/>
          <w:spacing w:val="0"/>
          <w:sz w:val="32"/>
          <w:szCs w:val="32"/>
          <w:shd w:val="clear" w:fill="FFFFFF"/>
          <w:lang w:val="en-US" w:eastAsia="zh-CN"/>
        </w:rPr>
      </w:pPr>
      <w:r>
        <w:rPr>
          <w:rStyle w:val="7"/>
          <w:rFonts w:hint="eastAsia" w:ascii="黑体" w:hAnsi="黑体" w:eastAsia="黑体" w:cs="黑体"/>
          <w:i w:val="0"/>
          <w:iCs w:val="0"/>
          <w:caps w:val="0"/>
          <w:color w:val="666666"/>
          <w:spacing w:val="0"/>
          <w:sz w:val="32"/>
          <w:szCs w:val="32"/>
          <w:shd w:val="clear" w:fill="FFFFFF"/>
        </w:rPr>
        <w:t>评</w:t>
      </w:r>
      <w:r>
        <w:rPr>
          <w:rStyle w:val="7"/>
          <w:rFonts w:hint="eastAsia" w:ascii="黑体" w:hAnsi="黑体" w:eastAsia="黑体" w:cs="黑体"/>
          <w:i w:val="0"/>
          <w:iCs w:val="0"/>
          <w:caps w:val="0"/>
          <w:color w:val="666666"/>
          <w:spacing w:val="0"/>
          <w:sz w:val="32"/>
          <w:szCs w:val="32"/>
          <w:shd w:val="clear" w:fill="FFFFFF"/>
          <w:lang w:val="en-US" w:eastAsia="zh-CN"/>
        </w:rPr>
        <w:t>分评审表</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299"/>
        <w:gridCol w:w="529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0" w:type="pct"/>
            <w:vAlign w:val="top"/>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b/>
                <w:color w:val="auto"/>
                <w:kern w:val="0"/>
                <w:sz w:val="24"/>
                <w:szCs w:val="24"/>
                <w:highlight w:val="none"/>
              </w:rPr>
            </w:pPr>
            <w:r>
              <w:rPr>
                <w:rFonts w:hint="eastAsia" w:ascii="仿宋_GB2312" w:hAnsi="宋体" w:eastAsia="仿宋_GB2312" w:cs="Times New Roman"/>
                <w:b/>
                <w:color w:val="auto"/>
                <w:kern w:val="0"/>
                <w:sz w:val="24"/>
                <w:szCs w:val="24"/>
                <w:highlight w:val="none"/>
              </w:rPr>
              <w:t>评分项目</w:t>
            </w:r>
          </w:p>
        </w:tc>
        <w:tc>
          <w:tcPr>
            <w:tcW w:w="717" w:type="pct"/>
            <w:vAlign w:val="top"/>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b/>
                <w:color w:val="auto"/>
                <w:kern w:val="0"/>
                <w:sz w:val="24"/>
                <w:szCs w:val="24"/>
                <w:highlight w:val="none"/>
              </w:rPr>
            </w:pPr>
            <w:r>
              <w:rPr>
                <w:rFonts w:hint="eastAsia" w:ascii="仿宋_GB2312" w:hAnsi="宋体" w:eastAsia="仿宋_GB2312" w:cs="Times New Roman"/>
                <w:b/>
                <w:color w:val="auto"/>
                <w:kern w:val="0"/>
                <w:sz w:val="24"/>
                <w:szCs w:val="24"/>
                <w:highlight w:val="none"/>
              </w:rPr>
              <w:t>评标因素</w:t>
            </w:r>
          </w:p>
        </w:tc>
        <w:tc>
          <w:tcPr>
            <w:tcW w:w="2920" w:type="pct"/>
            <w:vAlign w:val="top"/>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b/>
                <w:color w:val="auto"/>
                <w:kern w:val="0"/>
                <w:sz w:val="24"/>
                <w:szCs w:val="24"/>
                <w:highlight w:val="none"/>
              </w:rPr>
            </w:pPr>
            <w:r>
              <w:rPr>
                <w:rFonts w:hint="eastAsia" w:ascii="仿宋_GB2312" w:hAnsi="宋体" w:eastAsia="仿宋_GB2312" w:cs="Times New Roman"/>
                <w:b/>
                <w:color w:val="auto"/>
                <w:kern w:val="0"/>
                <w:sz w:val="24"/>
                <w:szCs w:val="24"/>
                <w:highlight w:val="none"/>
              </w:rPr>
              <w:t>评标指标</w:t>
            </w:r>
          </w:p>
        </w:tc>
        <w:tc>
          <w:tcPr>
            <w:tcW w:w="661" w:type="pct"/>
            <w:vAlign w:val="top"/>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b/>
                <w:color w:val="auto"/>
                <w:kern w:val="0"/>
                <w:sz w:val="24"/>
                <w:szCs w:val="24"/>
                <w:highlight w:val="none"/>
              </w:rPr>
            </w:pPr>
            <w:r>
              <w:rPr>
                <w:rFonts w:hint="eastAsia" w:ascii="仿宋_GB2312" w:hAnsi="宋体" w:eastAsia="仿宋_GB2312" w:cs="Times New Roman"/>
                <w:b/>
                <w:color w:val="auto"/>
                <w:kern w:val="0"/>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700" w:type="pct"/>
            <w:vMerge w:val="restart"/>
            <w:vAlign w:val="center"/>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b/>
                <w:color w:val="auto"/>
                <w:kern w:val="0"/>
                <w:sz w:val="24"/>
                <w:szCs w:val="24"/>
                <w:highlight w:val="none"/>
              </w:rPr>
              <w:t>技术评分（</w:t>
            </w:r>
            <w:r>
              <w:rPr>
                <w:rFonts w:hint="eastAsia" w:ascii="仿宋_GB2312" w:hAnsi="宋体" w:eastAsia="仿宋_GB2312" w:cs="Times New Roman"/>
                <w:b/>
                <w:color w:val="auto"/>
                <w:kern w:val="0"/>
                <w:sz w:val="24"/>
                <w:szCs w:val="24"/>
                <w:highlight w:val="none"/>
                <w:lang w:val="en-US" w:eastAsia="zh-CN"/>
              </w:rPr>
              <w:t>30</w:t>
            </w:r>
            <w:r>
              <w:rPr>
                <w:rFonts w:hint="eastAsia" w:ascii="仿宋_GB2312" w:hAnsi="宋体" w:eastAsia="仿宋_GB2312" w:cs="Times New Roman"/>
                <w:b/>
                <w:color w:val="auto"/>
                <w:kern w:val="0"/>
                <w:sz w:val="24"/>
                <w:szCs w:val="24"/>
                <w:highlight w:val="none"/>
              </w:rPr>
              <w:t>分）</w:t>
            </w:r>
          </w:p>
        </w:tc>
        <w:tc>
          <w:tcPr>
            <w:tcW w:w="717" w:type="pct"/>
            <w:vAlign w:val="center"/>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lang w:val="en-US" w:eastAsia="zh-CN"/>
              </w:rPr>
              <w:t>项目</w:t>
            </w:r>
            <w:r>
              <w:rPr>
                <w:rFonts w:hint="eastAsia" w:ascii="仿宋_GB2312" w:hAnsi="宋体" w:eastAsia="仿宋_GB2312" w:cs="Times New Roman"/>
                <w:color w:val="auto"/>
                <w:kern w:val="0"/>
                <w:sz w:val="24"/>
                <w:szCs w:val="24"/>
                <w:highlight w:val="none"/>
              </w:rPr>
              <w:t>的理解情况 （</w:t>
            </w:r>
            <w:r>
              <w:rPr>
                <w:rFonts w:hint="eastAsia" w:ascii="仿宋_GB2312" w:hAnsi="宋体" w:eastAsia="仿宋_GB2312" w:cs="Times New Roman"/>
                <w:color w:val="auto"/>
                <w:kern w:val="0"/>
                <w:sz w:val="24"/>
                <w:szCs w:val="24"/>
                <w:highlight w:val="none"/>
                <w:lang w:val="en-US" w:eastAsia="zh-CN"/>
              </w:rPr>
              <w:t>5</w:t>
            </w:r>
            <w:r>
              <w:rPr>
                <w:rFonts w:hint="eastAsia" w:ascii="仿宋_GB2312" w:hAnsi="宋体" w:eastAsia="仿宋_GB2312" w:cs="Times New Roman"/>
                <w:color w:val="auto"/>
                <w:kern w:val="0"/>
                <w:sz w:val="24"/>
                <w:szCs w:val="24"/>
                <w:highlight w:val="none"/>
              </w:rPr>
              <w:t>分）</w:t>
            </w:r>
          </w:p>
        </w:tc>
        <w:tc>
          <w:tcPr>
            <w:tcW w:w="2920" w:type="pct"/>
          </w:tcPr>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考查、对比</w:t>
            </w:r>
            <w:r>
              <w:rPr>
                <w:rFonts w:hint="eastAsia" w:ascii="仿宋_GB2312" w:hAnsi="宋体" w:eastAsia="仿宋_GB2312" w:cs="Times New Roman"/>
                <w:color w:val="auto"/>
                <w:kern w:val="0"/>
                <w:sz w:val="24"/>
                <w:szCs w:val="24"/>
                <w:highlight w:val="none"/>
                <w:lang w:val="en-US" w:eastAsia="zh-CN"/>
              </w:rPr>
              <w:t>项目宣传</w:t>
            </w:r>
            <w:r>
              <w:rPr>
                <w:rFonts w:hint="eastAsia" w:ascii="仿宋_GB2312" w:hAnsi="宋体" w:eastAsia="仿宋_GB2312" w:cs="Times New Roman"/>
                <w:color w:val="auto"/>
                <w:kern w:val="0"/>
                <w:sz w:val="24"/>
                <w:szCs w:val="24"/>
                <w:highlight w:val="none"/>
              </w:rPr>
              <w:t>的理解情况，包括对</w:t>
            </w:r>
            <w:r>
              <w:rPr>
                <w:rFonts w:hint="eastAsia" w:ascii="仿宋_GB2312" w:hAnsi="宋体" w:eastAsia="仿宋_GB2312" w:cs="Times New Roman"/>
                <w:color w:val="auto"/>
                <w:kern w:val="0"/>
                <w:sz w:val="24"/>
                <w:szCs w:val="24"/>
                <w:highlight w:val="none"/>
                <w:lang w:val="en-US" w:eastAsia="zh-CN"/>
              </w:rPr>
              <w:t>试点</w:t>
            </w:r>
            <w:r>
              <w:rPr>
                <w:rFonts w:hint="eastAsia" w:ascii="仿宋_GB2312" w:hAnsi="宋体" w:eastAsia="仿宋_GB2312" w:cs="Times New Roman"/>
                <w:color w:val="auto"/>
                <w:kern w:val="0"/>
                <w:sz w:val="24"/>
                <w:szCs w:val="24"/>
                <w:highlight w:val="none"/>
              </w:rPr>
              <w:t>背景、服务范围及服务重点等情况的理解的深度、针对性及准确性等。</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lang w:val="en-US" w:eastAsia="zh-CN"/>
              </w:rPr>
              <w:t>项目</w:t>
            </w:r>
            <w:r>
              <w:rPr>
                <w:rFonts w:hint="eastAsia" w:ascii="仿宋_GB2312" w:hAnsi="宋体" w:eastAsia="仿宋_GB2312" w:cs="Times New Roman"/>
                <w:color w:val="auto"/>
                <w:kern w:val="0"/>
                <w:sz w:val="24"/>
                <w:szCs w:val="24"/>
                <w:highlight w:val="none"/>
              </w:rPr>
              <w:t>的理解情况好的，得</w:t>
            </w:r>
            <w:r>
              <w:rPr>
                <w:rFonts w:hint="eastAsia" w:ascii="仿宋_GB2312" w:hAnsi="宋体" w:eastAsia="仿宋_GB2312" w:cs="Times New Roman"/>
                <w:color w:val="auto"/>
                <w:kern w:val="0"/>
                <w:sz w:val="24"/>
                <w:szCs w:val="24"/>
                <w:highlight w:val="none"/>
                <w:lang w:val="en-US" w:eastAsia="zh-CN"/>
              </w:rPr>
              <w:t>5</w:t>
            </w:r>
            <w:r>
              <w:rPr>
                <w:rFonts w:hint="eastAsia" w:ascii="仿宋_GB2312" w:hAnsi="宋体" w:eastAsia="仿宋_GB2312" w:cs="Times New Roman"/>
                <w:color w:val="auto"/>
                <w:kern w:val="0"/>
                <w:sz w:val="24"/>
                <w:szCs w:val="24"/>
                <w:highlight w:val="none"/>
              </w:rPr>
              <w:t>分；</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lang w:val="en-US" w:eastAsia="zh-CN"/>
              </w:rPr>
              <w:t>项目</w:t>
            </w:r>
            <w:r>
              <w:rPr>
                <w:rFonts w:hint="eastAsia" w:ascii="仿宋_GB2312" w:hAnsi="宋体" w:eastAsia="仿宋_GB2312" w:cs="Times New Roman"/>
                <w:color w:val="auto"/>
                <w:kern w:val="0"/>
                <w:sz w:val="24"/>
                <w:szCs w:val="24"/>
                <w:highlight w:val="none"/>
              </w:rPr>
              <w:t>的理解情况较好的，得</w:t>
            </w:r>
            <w:r>
              <w:rPr>
                <w:rFonts w:hint="eastAsia" w:ascii="仿宋_GB2312" w:hAnsi="宋体" w:eastAsia="仿宋_GB2312" w:cs="Times New Roman"/>
                <w:color w:val="auto"/>
                <w:kern w:val="0"/>
                <w:sz w:val="24"/>
                <w:szCs w:val="24"/>
                <w:highlight w:val="none"/>
                <w:lang w:val="en-US" w:eastAsia="zh-CN"/>
              </w:rPr>
              <w:t>4</w:t>
            </w:r>
            <w:r>
              <w:rPr>
                <w:rFonts w:hint="eastAsia" w:ascii="仿宋_GB2312" w:hAnsi="宋体" w:eastAsia="仿宋_GB2312" w:cs="Times New Roman"/>
                <w:color w:val="auto"/>
                <w:kern w:val="0"/>
                <w:sz w:val="24"/>
                <w:szCs w:val="24"/>
                <w:highlight w:val="none"/>
              </w:rPr>
              <w:t>分；</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lang w:val="en-US" w:eastAsia="zh-CN"/>
              </w:rPr>
              <w:t>项目</w:t>
            </w:r>
            <w:r>
              <w:rPr>
                <w:rFonts w:hint="eastAsia" w:ascii="仿宋_GB2312" w:hAnsi="宋体" w:eastAsia="仿宋_GB2312" w:cs="Times New Roman"/>
                <w:color w:val="auto"/>
                <w:kern w:val="0"/>
                <w:sz w:val="24"/>
                <w:szCs w:val="24"/>
                <w:highlight w:val="none"/>
              </w:rPr>
              <w:t>的理解情况一般的，得</w:t>
            </w:r>
            <w:r>
              <w:rPr>
                <w:rFonts w:hint="eastAsia" w:ascii="仿宋_GB2312" w:hAnsi="宋体" w:eastAsia="仿宋_GB2312" w:cs="Times New Roman"/>
                <w:color w:val="auto"/>
                <w:kern w:val="0"/>
                <w:sz w:val="24"/>
                <w:szCs w:val="24"/>
                <w:highlight w:val="none"/>
                <w:lang w:val="en-US" w:eastAsia="zh-CN"/>
              </w:rPr>
              <w:t>3</w:t>
            </w:r>
            <w:r>
              <w:rPr>
                <w:rFonts w:hint="eastAsia" w:ascii="仿宋_GB2312" w:hAnsi="宋体" w:eastAsia="仿宋_GB2312" w:cs="Times New Roman"/>
                <w:color w:val="auto"/>
                <w:kern w:val="0"/>
                <w:sz w:val="24"/>
                <w:szCs w:val="24"/>
                <w:highlight w:val="none"/>
              </w:rPr>
              <w:t>分；</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lang w:val="en-US" w:eastAsia="zh-CN"/>
              </w:rPr>
              <w:t>项目</w:t>
            </w:r>
            <w:r>
              <w:rPr>
                <w:rFonts w:hint="eastAsia" w:ascii="仿宋_GB2312" w:hAnsi="宋体" w:eastAsia="仿宋_GB2312" w:cs="Times New Roman"/>
                <w:color w:val="auto"/>
                <w:kern w:val="0"/>
                <w:sz w:val="24"/>
                <w:szCs w:val="24"/>
                <w:highlight w:val="none"/>
              </w:rPr>
              <w:t>的理解情况较差的，得</w:t>
            </w:r>
            <w:r>
              <w:rPr>
                <w:rFonts w:hint="eastAsia" w:ascii="仿宋_GB2312" w:hAnsi="宋体" w:eastAsia="仿宋_GB2312" w:cs="Times New Roman"/>
                <w:color w:val="auto"/>
                <w:kern w:val="0"/>
                <w:sz w:val="24"/>
                <w:szCs w:val="24"/>
                <w:highlight w:val="none"/>
                <w:lang w:val="en-US" w:eastAsia="zh-CN"/>
              </w:rPr>
              <w:t>0-2</w:t>
            </w:r>
            <w:r>
              <w:rPr>
                <w:rFonts w:hint="eastAsia" w:ascii="仿宋_GB2312" w:hAnsi="宋体" w:eastAsia="仿宋_GB2312" w:cs="Times New Roman"/>
                <w:color w:val="auto"/>
                <w:kern w:val="0"/>
                <w:sz w:val="24"/>
                <w:szCs w:val="24"/>
                <w:highlight w:val="none"/>
              </w:rPr>
              <w:t>分。</w:t>
            </w:r>
          </w:p>
        </w:tc>
        <w:tc>
          <w:tcPr>
            <w:tcW w:w="661"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700" w:type="pct"/>
            <w:vMerge w:val="continue"/>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p>
        </w:tc>
        <w:tc>
          <w:tcPr>
            <w:tcW w:w="717" w:type="pct"/>
            <w:vAlign w:val="center"/>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项目组织实施方案（</w:t>
            </w:r>
            <w:r>
              <w:rPr>
                <w:rFonts w:hint="eastAsia" w:ascii="仿宋_GB2312" w:hAnsi="宋体" w:eastAsia="仿宋_GB2312" w:cs="Times New Roman"/>
                <w:color w:val="auto"/>
                <w:kern w:val="0"/>
                <w:sz w:val="24"/>
                <w:szCs w:val="24"/>
                <w:highlight w:val="none"/>
                <w:lang w:val="en-US" w:eastAsia="zh-CN"/>
              </w:rPr>
              <w:t>15</w:t>
            </w:r>
            <w:r>
              <w:rPr>
                <w:rFonts w:hint="eastAsia" w:ascii="仿宋_GB2312" w:hAnsi="宋体" w:eastAsia="仿宋_GB2312" w:cs="Times New Roman"/>
                <w:color w:val="auto"/>
                <w:kern w:val="0"/>
                <w:sz w:val="24"/>
                <w:szCs w:val="24"/>
                <w:highlight w:val="none"/>
              </w:rPr>
              <w:t>分）</w:t>
            </w:r>
          </w:p>
        </w:tc>
        <w:tc>
          <w:tcPr>
            <w:tcW w:w="2920"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考查、对比织实施方案，包括解决技术方案、</w:t>
            </w:r>
            <w:r>
              <w:rPr>
                <w:rFonts w:hint="eastAsia" w:ascii="仿宋_GB2312" w:hAnsi="宋体" w:eastAsia="仿宋_GB2312" w:cs="Times New Roman"/>
                <w:color w:val="auto"/>
                <w:kern w:val="0"/>
                <w:sz w:val="24"/>
                <w:szCs w:val="24"/>
                <w:highlight w:val="none"/>
                <w:lang w:val="en-US" w:eastAsia="zh-CN"/>
              </w:rPr>
              <w:t>项目</w:t>
            </w:r>
            <w:r>
              <w:rPr>
                <w:rFonts w:hint="eastAsia" w:ascii="仿宋_GB2312" w:hAnsi="宋体" w:eastAsia="仿宋_GB2312" w:cs="Times New Roman"/>
                <w:color w:val="auto"/>
                <w:kern w:val="0"/>
                <w:sz w:val="24"/>
                <w:szCs w:val="24"/>
                <w:highlight w:val="none"/>
              </w:rPr>
              <w:t>重点、难点分析及应对措施的具体性、针对性、合理性、实用性和科学性等。</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组织实施方案好的，得</w:t>
            </w:r>
            <w:r>
              <w:rPr>
                <w:rFonts w:hint="eastAsia" w:ascii="仿宋_GB2312" w:hAnsi="宋体" w:eastAsia="仿宋_GB2312" w:cs="Times New Roman"/>
                <w:color w:val="auto"/>
                <w:kern w:val="0"/>
                <w:sz w:val="24"/>
                <w:szCs w:val="24"/>
                <w:highlight w:val="none"/>
                <w:lang w:val="en-US" w:eastAsia="zh-CN"/>
              </w:rPr>
              <w:t>5</w:t>
            </w:r>
            <w:r>
              <w:rPr>
                <w:rFonts w:hint="eastAsia" w:ascii="仿宋_GB2312" w:hAnsi="宋体" w:eastAsia="仿宋_GB2312" w:cs="Times New Roman"/>
                <w:color w:val="auto"/>
                <w:kern w:val="0"/>
                <w:sz w:val="24"/>
                <w:szCs w:val="24"/>
                <w:highlight w:val="none"/>
              </w:rPr>
              <w:t>分；</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组织实施方案较好的，得</w:t>
            </w:r>
            <w:r>
              <w:rPr>
                <w:rFonts w:hint="eastAsia" w:ascii="仿宋_GB2312" w:hAnsi="宋体" w:eastAsia="仿宋_GB2312" w:cs="Times New Roman"/>
                <w:color w:val="auto"/>
                <w:kern w:val="0"/>
                <w:sz w:val="24"/>
                <w:szCs w:val="24"/>
                <w:highlight w:val="none"/>
                <w:lang w:val="en-US" w:eastAsia="zh-CN"/>
              </w:rPr>
              <w:t>4</w:t>
            </w:r>
            <w:r>
              <w:rPr>
                <w:rFonts w:hint="eastAsia" w:ascii="仿宋_GB2312" w:hAnsi="宋体" w:eastAsia="仿宋_GB2312" w:cs="Times New Roman"/>
                <w:color w:val="auto"/>
                <w:kern w:val="0"/>
                <w:sz w:val="24"/>
                <w:szCs w:val="24"/>
                <w:highlight w:val="none"/>
              </w:rPr>
              <w:t>分；</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组织实施方案一般的，得</w:t>
            </w:r>
            <w:r>
              <w:rPr>
                <w:rFonts w:hint="eastAsia" w:ascii="仿宋_GB2312" w:hAnsi="宋体" w:eastAsia="仿宋_GB2312" w:cs="Times New Roman"/>
                <w:color w:val="auto"/>
                <w:kern w:val="0"/>
                <w:sz w:val="24"/>
                <w:szCs w:val="24"/>
                <w:highlight w:val="none"/>
                <w:lang w:val="en-US" w:eastAsia="zh-CN"/>
              </w:rPr>
              <w:t>3</w:t>
            </w:r>
            <w:r>
              <w:rPr>
                <w:rFonts w:hint="eastAsia" w:ascii="仿宋_GB2312" w:hAnsi="宋体" w:eastAsia="仿宋_GB2312" w:cs="Times New Roman"/>
                <w:color w:val="auto"/>
                <w:kern w:val="0"/>
                <w:sz w:val="24"/>
                <w:szCs w:val="24"/>
                <w:highlight w:val="none"/>
              </w:rPr>
              <w:t>分；</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组织实施方案较差的，得</w:t>
            </w:r>
            <w:r>
              <w:rPr>
                <w:rFonts w:hint="eastAsia" w:ascii="仿宋_GB2312" w:hAnsi="宋体" w:eastAsia="仿宋_GB2312" w:cs="Times New Roman"/>
                <w:color w:val="auto"/>
                <w:kern w:val="0"/>
                <w:sz w:val="24"/>
                <w:szCs w:val="24"/>
                <w:highlight w:val="none"/>
                <w:lang w:val="en-US" w:eastAsia="zh-CN"/>
              </w:rPr>
              <w:t>0-2</w:t>
            </w:r>
            <w:r>
              <w:rPr>
                <w:rFonts w:hint="eastAsia" w:ascii="仿宋_GB2312" w:hAnsi="宋体" w:eastAsia="仿宋_GB2312" w:cs="Times New Roman"/>
                <w:color w:val="auto"/>
                <w:kern w:val="0"/>
                <w:sz w:val="24"/>
                <w:szCs w:val="24"/>
                <w:highlight w:val="none"/>
              </w:rPr>
              <w:t>分。</w:t>
            </w:r>
          </w:p>
        </w:tc>
        <w:tc>
          <w:tcPr>
            <w:tcW w:w="661"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700" w:type="pct"/>
            <w:vMerge w:val="continue"/>
            <w:vAlign w:val="center"/>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p>
        </w:tc>
        <w:tc>
          <w:tcPr>
            <w:tcW w:w="717" w:type="pct"/>
            <w:vAlign w:val="center"/>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成果质量保证措施（</w:t>
            </w:r>
            <w:r>
              <w:rPr>
                <w:rFonts w:hint="eastAsia" w:ascii="仿宋_GB2312" w:hAnsi="宋体" w:eastAsia="仿宋_GB2312" w:cs="Times New Roman"/>
                <w:color w:val="auto"/>
                <w:kern w:val="0"/>
                <w:sz w:val="24"/>
                <w:szCs w:val="24"/>
                <w:highlight w:val="none"/>
                <w:lang w:val="en-US" w:eastAsia="zh-CN"/>
              </w:rPr>
              <w:t>5</w:t>
            </w:r>
            <w:r>
              <w:rPr>
                <w:rFonts w:hint="eastAsia" w:ascii="仿宋_GB2312" w:hAnsi="宋体" w:eastAsia="仿宋_GB2312" w:cs="Times New Roman"/>
                <w:color w:val="auto"/>
                <w:kern w:val="0"/>
                <w:sz w:val="24"/>
                <w:szCs w:val="24"/>
                <w:highlight w:val="none"/>
              </w:rPr>
              <w:t>分）</w:t>
            </w:r>
          </w:p>
        </w:tc>
        <w:tc>
          <w:tcPr>
            <w:tcW w:w="2920"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考查、对比成果质量保证措施，包括保证措施是否全面、合理，保证措施是否得当，是否有针对本</w:t>
            </w:r>
            <w:r>
              <w:rPr>
                <w:rFonts w:hint="eastAsia" w:ascii="仿宋_GB2312" w:hAnsi="宋体" w:eastAsia="仿宋_GB2312" w:cs="Times New Roman"/>
                <w:color w:val="auto"/>
                <w:kern w:val="0"/>
                <w:sz w:val="24"/>
                <w:szCs w:val="24"/>
                <w:highlight w:val="none"/>
                <w:lang w:val="en-US" w:eastAsia="zh-CN"/>
              </w:rPr>
              <w:t>项目</w:t>
            </w:r>
            <w:r>
              <w:rPr>
                <w:rFonts w:hint="eastAsia" w:ascii="仿宋_GB2312" w:hAnsi="宋体" w:eastAsia="仿宋_GB2312" w:cs="Times New Roman"/>
                <w:color w:val="auto"/>
                <w:kern w:val="0"/>
                <w:sz w:val="24"/>
                <w:szCs w:val="24"/>
                <w:highlight w:val="none"/>
              </w:rPr>
              <w:t>成果质量的保证措施。</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成果质量保证措施好的，得</w:t>
            </w:r>
            <w:r>
              <w:rPr>
                <w:rFonts w:hint="eastAsia" w:ascii="仿宋_GB2312" w:hAnsi="宋体" w:eastAsia="仿宋_GB2312" w:cs="Times New Roman"/>
                <w:color w:val="auto"/>
                <w:kern w:val="0"/>
                <w:sz w:val="24"/>
                <w:szCs w:val="24"/>
                <w:highlight w:val="none"/>
                <w:lang w:val="en-US" w:eastAsia="zh-CN"/>
              </w:rPr>
              <w:t>5</w:t>
            </w:r>
            <w:r>
              <w:rPr>
                <w:rFonts w:hint="eastAsia" w:ascii="仿宋_GB2312" w:hAnsi="宋体" w:eastAsia="仿宋_GB2312" w:cs="Times New Roman"/>
                <w:color w:val="auto"/>
                <w:kern w:val="0"/>
                <w:sz w:val="24"/>
                <w:szCs w:val="24"/>
                <w:highlight w:val="none"/>
              </w:rPr>
              <w:t>分；</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成果质量保证措施较好的，得</w:t>
            </w:r>
            <w:r>
              <w:rPr>
                <w:rFonts w:hint="eastAsia" w:ascii="仿宋_GB2312" w:hAnsi="宋体" w:eastAsia="仿宋_GB2312" w:cs="Times New Roman"/>
                <w:color w:val="auto"/>
                <w:kern w:val="0"/>
                <w:sz w:val="24"/>
                <w:szCs w:val="24"/>
                <w:highlight w:val="none"/>
                <w:lang w:val="en-US" w:eastAsia="zh-CN"/>
              </w:rPr>
              <w:t>4</w:t>
            </w:r>
            <w:r>
              <w:rPr>
                <w:rFonts w:hint="eastAsia" w:ascii="仿宋_GB2312" w:hAnsi="宋体" w:eastAsia="仿宋_GB2312" w:cs="Times New Roman"/>
                <w:color w:val="auto"/>
                <w:kern w:val="0"/>
                <w:sz w:val="24"/>
                <w:szCs w:val="24"/>
                <w:highlight w:val="none"/>
              </w:rPr>
              <w:t>分；</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成果质量保证措施一般的，得</w:t>
            </w:r>
            <w:r>
              <w:rPr>
                <w:rFonts w:hint="eastAsia" w:ascii="仿宋_GB2312" w:hAnsi="宋体" w:eastAsia="仿宋_GB2312" w:cs="Times New Roman"/>
                <w:color w:val="auto"/>
                <w:kern w:val="0"/>
                <w:sz w:val="24"/>
                <w:szCs w:val="24"/>
                <w:highlight w:val="none"/>
                <w:lang w:val="en-US" w:eastAsia="zh-CN"/>
              </w:rPr>
              <w:t>3</w:t>
            </w:r>
            <w:r>
              <w:rPr>
                <w:rFonts w:hint="eastAsia" w:ascii="仿宋_GB2312" w:hAnsi="宋体" w:eastAsia="仿宋_GB2312" w:cs="Times New Roman"/>
                <w:color w:val="auto"/>
                <w:kern w:val="0"/>
                <w:sz w:val="24"/>
                <w:szCs w:val="24"/>
                <w:highlight w:val="none"/>
              </w:rPr>
              <w:t>分；</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成果质量保证措施较差的，得</w:t>
            </w:r>
            <w:r>
              <w:rPr>
                <w:rFonts w:hint="eastAsia" w:ascii="仿宋_GB2312" w:hAnsi="宋体" w:eastAsia="仿宋_GB2312" w:cs="Times New Roman"/>
                <w:color w:val="auto"/>
                <w:kern w:val="0"/>
                <w:sz w:val="24"/>
                <w:szCs w:val="24"/>
                <w:highlight w:val="none"/>
                <w:lang w:val="en-US" w:eastAsia="zh-CN"/>
              </w:rPr>
              <w:t>0-2</w:t>
            </w:r>
            <w:r>
              <w:rPr>
                <w:rFonts w:hint="eastAsia" w:ascii="仿宋_GB2312" w:hAnsi="宋体" w:eastAsia="仿宋_GB2312" w:cs="Times New Roman"/>
                <w:color w:val="auto"/>
                <w:kern w:val="0"/>
                <w:sz w:val="24"/>
                <w:szCs w:val="24"/>
                <w:highlight w:val="none"/>
              </w:rPr>
              <w:t>分。</w:t>
            </w:r>
          </w:p>
        </w:tc>
        <w:tc>
          <w:tcPr>
            <w:tcW w:w="661"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700" w:type="pct"/>
            <w:vMerge w:val="continue"/>
            <w:vAlign w:val="center"/>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p>
        </w:tc>
        <w:tc>
          <w:tcPr>
            <w:tcW w:w="717" w:type="pct"/>
            <w:vAlign w:val="center"/>
          </w:tcPr>
          <w:p>
            <w:pPr>
              <w:keepNext w:val="0"/>
              <w:keepLines w:val="0"/>
              <w:pageBreakBefore w:val="0"/>
              <w:widowControl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工作进度计划</w:t>
            </w:r>
          </w:p>
          <w:p>
            <w:pPr>
              <w:keepNext w:val="0"/>
              <w:keepLines w:val="0"/>
              <w:pageBreakBefore w:val="0"/>
              <w:widowControl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w:t>
            </w:r>
            <w:r>
              <w:rPr>
                <w:rFonts w:hint="eastAsia" w:ascii="仿宋_GB2312" w:hAnsi="宋体" w:eastAsia="仿宋_GB2312" w:cs="Times New Roman"/>
                <w:color w:val="auto"/>
                <w:kern w:val="0"/>
                <w:sz w:val="24"/>
                <w:szCs w:val="24"/>
                <w:highlight w:val="none"/>
                <w:lang w:val="en-US" w:eastAsia="zh-CN"/>
              </w:rPr>
              <w:t>5</w:t>
            </w:r>
            <w:r>
              <w:rPr>
                <w:rFonts w:hint="eastAsia" w:ascii="仿宋_GB2312" w:hAnsi="宋体" w:eastAsia="仿宋_GB2312" w:cs="Times New Roman"/>
                <w:color w:val="auto"/>
                <w:kern w:val="0"/>
                <w:sz w:val="24"/>
                <w:szCs w:val="24"/>
                <w:highlight w:val="none"/>
              </w:rPr>
              <w:t>分）</w:t>
            </w:r>
          </w:p>
        </w:tc>
        <w:tc>
          <w:tcPr>
            <w:tcW w:w="2920" w:type="pct"/>
          </w:tcPr>
          <w:p>
            <w:pPr>
              <w:keepNext w:val="0"/>
              <w:keepLines w:val="0"/>
              <w:pageBreakBefore w:val="0"/>
              <w:widowControl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考查、对比工作进度计划，包括是否有针对本</w:t>
            </w:r>
            <w:r>
              <w:rPr>
                <w:rFonts w:hint="eastAsia" w:ascii="仿宋_GB2312" w:hAnsi="宋体" w:eastAsia="仿宋_GB2312" w:cs="Times New Roman"/>
                <w:color w:val="auto"/>
                <w:kern w:val="0"/>
                <w:sz w:val="24"/>
                <w:szCs w:val="24"/>
                <w:highlight w:val="none"/>
                <w:lang w:val="en-US" w:eastAsia="zh-CN"/>
              </w:rPr>
              <w:t>项目宣传</w:t>
            </w:r>
            <w:r>
              <w:rPr>
                <w:rFonts w:hint="eastAsia" w:ascii="仿宋_GB2312" w:hAnsi="宋体" w:eastAsia="仿宋_GB2312" w:cs="Times New Roman"/>
                <w:color w:val="auto"/>
                <w:kern w:val="0"/>
                <w:sz w:val="24"/>
                <w:szCs w:val="24"/>
                <w:highlight w:val="none"/>
              </w:rPr>
              <w:t>制定的工作进度计划，进度计划是否详细可行、合理，是否以严谨且可执行的保障措施实现本</w:t>
            </w:r>
            <w:r>
              <w:rPr>
                <w:rFonts w:hint="eastAsia" w:ascii="仿宋_GB2312" w:hAnsi="宋体" w:eastAsia="仿宋_GB2312" w:cs="Times New Roman"/>
                <w:color w:val="auto"/>
                <w:kern w:val="0"/>
                <w:sz w:val="24"/>
                <w:szCs w:val="24"/>
                <w:highlight w:val="none"/>
                <w:lang w:val="en-US" w:eastAsia="zh-CN"/>
              </w:rPr>
              <w:t>项目</w:t>
            </w:r>
            <w:r>
              <w:rPr>
                <w:rFonts w:hint="eastAsia" w:ascii="仿宋_GB2312" w:hAnsi="宋体" w:eastAsia="仿宋_GB2312" w:cs="Times New Roman"/>
                <w:color w:val="auto"/>
                <w:kern w:val="0"/>
                <w:sz w:val="24"/>
                <w:szCs w:val="24"/>
                <w:highlight w:val="none"/>
              </w:rPr>
              <w:t>对时间的要求等。</w:t>
            </w:r>
          </w:p>
          <w:p>
            <w:pPr>
              <w:keepNext w:val="0"/>
              <w:keepLines w:val="0"/>
              <w:pageBreakBefore w:val="0"/>
              <w:widowControl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工作进度计划好的，得</w:t>
            </w:r>
            <w:r>
              <w:rPr>
                <w:rFonts w:hint="eastAsia" w:ascii="仿宋_GB2312" w:hAnsi="宋体" w:eastAsia="仿宋_GB2312" w:cs="Times New Roman"/>
                <w:color w:val="auto"/>
                <w:kern w:val="0"/>
                <w:sz w:val="24"/>
                <w:szCs w:val="24"/>
                <w:highlight w:val="none"/>
                <w:lang w:val="en-US" w:eastAsia="zh-CN"/>
              </w:rPr>
              <w:t>5</w:t>
            </w:r>
            <w:r>
              <w:rPr>
                <w:rFonts w:hint="eastAsia" w:ascii="仿宋_GB2312" w:hAnsi="宋体" w:eastAsia="仿宋_GB2312" w:cs="Times New Roman"/>
                <w:color w:val="auto"/>
                <w:kern w:val="0"/>
                <w:sz w:val="24"/>
                <w:szCs w:val="24"/>
                <w:highlight w:val="none"/>
              </w:rPr>
              <w:t>分；</w:t>
            </w:r>
          </w:p>
          <w:p>
            <w:pPr>
              <w:keepNext w:val="0"/>
              <w:keepLines w:val="0"/>
              <w:pageBreakBefore w:val="0"/>
              <w:widowControl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工作进度计划较好的，得</w:t>
            </w:r>
            <w:r>
              <w:rPr>
                <w:rFonts w:hint="eastAsia" w:ascii="仿宋_GB2312" w:hAnsi="宋体" w:eastAsia="仿宋_GB2312" w:cs="Times New Roman"/>
                <w:color w:val="auto"/>
                <w:kern w:val="0"/>
                <w:sz w:val="24"/>
                <w:szCs w:val="24"/>
                <w:highlight w:val="none"/>
                <w:lang w:val="en-US" w:eastAsia="zh-CN"/>
              </w:rPr>
              <w:t>4</w:t>
            </w:r>
            <w:r>
              <w:rPr>
                <w:rFonts w:hint="eastAsia" w:ascii="仿宋_GB2312" w:hAnsi="宋体" w:eastAsia="仿宋_GB2312" w:cs="Times New Roman"/>
                <w:color w:val="auto"/>
                <w:kern w:val="0"/>
                <w:sz w:val="24"/>
                <w:szCs w:val="24"/>
                <w:highlight w:val="none"/>
              </w:rPr>
              <w:t>分；</w:t>
            </w:r>
          </w:p>
          <w:p>
            <w:pPr>
              <w:keepNext w:val="0"/>
              <w:keepLines w:val="0"/>
              <w:pageBreakBefore w:val="0"/>
              <w:widowControl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工作进度计划一般的，得</w:t>
            </w:r>
            <w:r>
              <w:rPr>
                <w:rFonts w:hint="eastAsia" w:ascii="仿宋_GB2312" w:hAnsi="宋体" w:eastAsia="仿宋_GB2312" w:cs="Times New Roman"/>
                <w:color w:val="auto"/>
                <w:kern w:val="0"/>
                <w:sz w:val="24"/>
                <w:szCs w:val="24"/>
                <w:highlight w:val="none"/>
                <w:lang w:val="en-US" w:eastAsia="zh-CN"/>
              </w:rPr>
              <w:t>3</w:t>
            </w:r>
            <w:r>
              <w:rPr>
                <w:rFonts w:hint="eastAsia" w:ascii="仿宋_GB2312" w:hAnsi="宋体" w:eastAsia="仿宋_GB2312" w:cs="Times New Roman"/>
                <w:color w:val="auto"/>
                <w:kern w:val="0"/>
                <w:sz w:val="24"/>
                <w:szCs w:val="24"/>
                <w:highlight w:val="none"/>
              </w:rPr>
              <w:t>分；</w:t>
            </w:r>
          </w:p>
          <w:p>
            <w:pPr>
              <w:keepNext w:val="0"/>
              <w:keepLines w:val="0"/>
              <w:pageBreakBefore w:val="0"/>
              <w:widowControl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工作进度计划较差的，得</w:t>
            </w:r>
            <w:r>
              <w:rPr>
                <w:rFonts w:hint="eastAsia" w:ascii="仿宋_GB2312" w:hAnsi="宋体" w:eastAsia="仿宋_GB2312" w:cs="Times New Roman"/>
                <w:color w:val="auto"/>
                <w:kern w:val="0"/>
                <w:sz w:val="24"/>
                <w:szCs w:val="24"/>
                <w:highlight w:val="none"/>
                <w:lang w:val="en-US" w:eastAsia="zh-CN"/>
              </w:rPr>
              <w:t>0-2</w:t>
            </w:r>
            <w:r>
              <w:rPr>
                <w:rFonts w:hint="eastAsia" w:ascii="仿宋_GB2312" w:hAnsi="宋体" w:eastAsia="仿宋_GB2312" w:cs="Times New Roman"/>
                <w:color w:val="auto"/>
                <w:kern w:val="0"/>
                <w:sz w:val="24"/>
                <w:szCs w:val="24"/>
                <w:highlight w:val="none"/>
              </w:rPr>
              <w:t>分。</w:t>
            </w:r>
          </w:p>
        </w:tc>
        <w:tc>
          <w:tcPr>
            <w:tcW w:w="661"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700" w:type="pct"/>
            <w:vMerge w:val="restart"/>
            <w:vAlign w:val="center"/>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both"/>
              <w:textAlignment w:val="auto"/>
              <w:rPr>
                <w:rFonts w:ascii="仿宋_GB2312" w:hAnsi="宋体" w:eastAsia="仿宋_GB2312" w:cs="Times New Roman"/>
                <w:b/>
                <w:color w:val="auto"/>
                <w:kern w:val="0"/>
                <w:sz w:val="24"/>
                <w:szCs w:val="24"/>
                <w:highlight w:val="none"/>
              </w:rPr>
            </w:pPr>
            <w:r>
              <w:rPr>
                <w:rFonts w:hint="eastAsia" w:ascii="仿宋_GB2312" w:hAnsi="宋体" w:eastAsia="仿宋_GB2312" w:cs="Times New Roman"/>
                <w:b/>
                <w:color w:val="auto"/>
                <w:kern w:val="0"/>
                <w:sz w:val="24"/>
                <w:szCs w:val="24"/>
                <w:highlight w:val="none"/>
              </w:rPr>
              <w:t>商务评分（</w:t>
            </w:r>
            <w:r>
              <w:rPr>
                <w:rFonts w:hint="eastAsia" w:ascii="仿宋_GB2312" w:hAnsi="宋体" w:eastAsia="仿宋_GB2312" w:cs="Times New Roman"/>
                <w:b/>
                <w:color w:val="auto"/>
                <w:kern w:val="0"/>
                <w:sz w:val="24"/>
                <w:szCs w:val="24"/>
                <w:highlight w:val="none"/>
                <w:lang w:val="en-US" w:eastAsia="zh-CN"/>
              </w:rPr>
              <w:t>40</w:t>
            </w:r>
            <w:r>
              <w:rPr>
                <w:rFonts w:hint="eastAsia" w:ascii="仿宋_GB2312" w:hAnsi="宋体" w:eastAsia="仿宋_GB2312" w:cs="Times New Roman"/>
                <w:b/>
                <w:color w:val="auto"/>
                <w:kern w:val="0"/>
                <w:sz w:val="24"/>
                <w:szCs w:val="24"/>
                <w:highlight w:val="none"/>
              </w:rPr>
              <w:t>分）</w:t>
            </w:r>
          </w:p>
        </w:tc>
        <w:tc>
          <w:tcPr>
            <w:tcW w:w="717" w:type="pct"/>
            <w:vAlign w:val="center"/>
          </w:tcPr>
          <w:p>
            <w:pPr>
              <w:keepNext w:val="0"/>
              <w:keepLines w:val="0"/>
              <w:pageBreakBefore w:val="0"/>
              <w:widowControl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经营业绩（</w:t>
            </w:r>
            <w:r>
              <w:rPr>
                <w:rFonts w:hint="eastAsia" w:ascii="仿宋_GB2312" w:hAnsi="宋体" w:eastAsia="仿宋_GB2312" w:cs="Times New Roman"/>
                <w:color w:val="auto"/>
                <w:kern w:val="0"/>
                <w:sz w:val="24"/>
                <w:szCs w:val="24"/>
                <w:highlight w:val="none"/>
                <w:lang w:val="en-US" w:eastAsia="zh-CN"/>
              </w:rPr>
              <w:t>15</w:t>
            </w:r>
            <w:r>
              <w:rPr>
                <w:rFonts w:hint="eastAsia" w:ascii="仿宋_GB2312" w:hAnsi="宋体" w:eastAsia="仿宋_GB2312" w:cs="Times New Roman"/>
                <w:color w:val="auto"/>
                <w:kern w:val="0"/>
                <w:sz w:val="24"/>
                <w:szCs w:val="24"/>
                <w:highlight w:val="none"/>
              </w:rPr>
              <w:t>分）</w:t>
            </w:r>
          </w:p>
        </w:tc>
        <w:tc>
          <w:tcPr>
            <w:tcW w:w="2920" w:type="pct"/>
          </w:tcPr>
          <w:p>
            <w:pPr>
              <w:keepNext w:val="0"/>
              <w:keepLines w:val="0"/>
              <w:pageBreakBefore w:val="0"/>
              <w:widowControl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考查、对比投标人20</w:t>
            </w:r>
            <w:r>
              <w:rPr>
                <w:rFonts w:hint="eastAsia" w:ascii="仿宋_GB2312" w:hAnsi="宋体" w:eastAsia="仿宋_GB2312" w:cs="Times New Roman"/>
                <w:color w:val="auto"/>
                <w:kern w:val="0"/>
                <w:sz w:val="24"/>
                <w:szCs w:val="24"/>
                <w:highlight w:val="none"/>
                <w:lang w:val="en-US" w:eastAsia="zh-CN"/>
              </w:rPr>
              <w:t>20</w:t>
            </w:r>
            <w:r>
              <w:rPr>
                <w:rFonts w:hint="eastAsia" w:ascii="仿宋_GB2312" w:hAnsi="宋体" w:eastAsia="仿宋_GB2312" w:cs="Times New Roman"/>
                <w:color w:val="auto"/>
                <w:kern w:val="0"/>
                <w:sz w:val="24"/>
                <w:szCs w:val="24"/>
                <w:highlight w:val="none"/>
              </w:rPr>
              <w:t>年至今（以合同签订日期或合同履约日期为准）承担过</w:t>
            </w:r>
            <w:r>
              <w:rPr>
                <w:rFonts w:hint="eastAsia" w:ascii="仿宋_GB2312" w:hAnsi="宋体" w:eastAsia="仿宋_GB2312" w:cs="Times New Roman"/>
                <w:color w:val="auto"/>
                <w:kern w:val="0"/>
                <w:sz w:val="24"/>
                <w:szCs w:val="24"/>
                <w:highlight w:val="none"/>
                <w:lang w:eastAsia="zh-CN"/>
              </w:rPr>
              <w:t>乡村振兴等</w:t>
            </w:r>
            <w:r>
              <w:rPr>
                <w:rFonts w:hint="eastAsia" w:ascii="仿宋_GB2312" w:hAnsi="宋体" w:eastAsia="仿宋_GB2312" w:cs="Times New Roman"/>
                <w:color w:val="auto"/>
                <w:kern w:val="0"/>
                <w:sz w:val="24"/>
                <w:szCs w:val="24"/>
                <w:highlight w:val="none"/>
                <w:lang w:val="en-US" w:eastAsia="zh-CN"/>
              </w:rPr>
              <w:t>工作宣传项目</w:t>
            </w:r>
            <w:r>
              <w:rPr>
                <w:rFonts w:hint="eastAsia" w:ascii="仿宋_GB2312" w:hAnsi="宋体" w:eastAsia="仿宋_GB2312" w:cs="Times New Roman"/>
                <w:color w:val="auto"/>
                <w:kern w:val="0"/>
                <w:sz w:val="24"/>
                <w:szCs w:val="24"/>
                <w:highlight w:val="none"/>
              </w:rPr>
              <w:t>的业绩情况：</w:t>
            </w:r>
          </w:p>
          <w:p>
            <w:pPr>
              <w:keepNext w:val="0"/>
              <w:keepLines w:val="0"/>
              <w:pageBreakBefore w:val="0"/>
              <w:widowControl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承担过</w:t>
            </w:r>
            <w:r>
              <w:rPr>
                <w:rFonts w:hint="eastAsia" w:ascii="仿宋_GB2312" w:hAnsi="宋体" w:eastAsia="仿宋_GB2312" w:cs="Times New Roman"/>
                <w:color w:val="auto"/>
                <w:kern w:val="0"/>
                <w:sz w:val="24"/>
                <w:szCs w:val="24"/>
                <w:highlight w:val="none"/>
                <w:lang w:val="en-US" w:eastAsia="zh-CN"/>
              </w:rPr>
              <w:t>省</w:t>
            </w:r>
            <w:r>
              <w:rPr>
                <w:rFonts w:hint="eastAsia" w:ascii="仿宋_GB2312" w:hAnsi="宋体" w:eastAsia="仿宋_GB2312" w:cs="Times New Roman"/>
                <w:color w:val="auto"/>
                <w:kern w:val="0"/>
                <w:sz w:val="24"/>
                <w:szCs w:val="24"/>
                <w:highlight w:val="none"/>
                <w:lang w:eastAsia="zh-CN"/>
              </w:rPr>
              <w:t>级</w:t>
            </w:r>
            <w:r>
              <w:rPr>
                <w:rFonts w:hint="eastAsia" w:ascii="仿宋_GB2312" w:hAnsi="宋体" w:eastAsia="仿宋_GB2312" w:cs="Times New Roman"/>
                <w:color w:val="auto"/>
                <w:kern w:val="0"/>
                <w:sz w:val="24"/>
                <w:szCs w:val="24"/>
                <w:highlight w:val="none"/>
                <w:lang w:val="en-US" w:eastAsia="zh-CN"/>
              </w:rPr>
              <w:t>宣传</w:t>
            </w:r>
            <w:r>
              <w:rPr>
                <w:rFonts w:hint="eastAsia" w:ascii="仿宋_GB2312" w:hAnsi="宋体" w:eastAsia="仿宋_GB2312" w:cs="Times New Roman"/>
                <w:color w:val="auto"/>
                <w:kern w:val="0"/>
                <w:sz w:val="24"/>
                <w:szCs w:val="24"/>
                <w:highlight w:val="none"/>
              </w:rPr>
              <w:t>项目的，每</w:t>
            </w:r>
            <w:r>
              <w:rPr>
                <w:rFonts w:hint="eastAsia" w:ascii="仿宋_GB2312" w:hAnsi="宋体" w:eastAsia="仿宋_GB2312" w:cs="Times New Roman"/>
                <w:color w:val="auto"/>
                <w:kern w:val="0"/>
                <w:sz w:val="24"/>
                <w:szCs w:val="24"/>
                <w:highlight w:val="none"/>
                <w:lang w:val="en-US" w:eastAsia="zh-CN"/>
              </w:rPr>
              <w:t>项得5</w:t>
            </w:r>
            <w:r>
              <w:rPr>
                <w:rFonts w:hint="eastAsia" w:ascii="仿宋_GB2312" w:hAnsi="宋体" w:eastAsia="仿宋_GB2312" w:cs="Times New Roman"/>
                <w:color w:val="auto"/>
                <w:kern w:val="0"/>
                <w:sz w:val="24"/>
                <w:szCs w:val="24"/>
                <w:highlight w:val="none"/>
              </w:rPr>
              <w:t>分；承担过市级</w:t>
            </w:r>
            <w:r>
              <w:rPr>
                <w:rFonts w:hint="eastAsia" w:ascii="仿宋_GB2312" w:hAnsi="宋体" w:eastAsia="仿宋_GB2312" w:cs="Times New Roman"/>
                <w:color w:val="auto"/>
                <w:kern w:val="0"/>
                <w:sz w:val="24"/>
                <w:szCs w:val="24"/>
                <w:highlight w:val="none"/>
                <w:lang w:val="en-US" w:eastAsia="zh-CN"/>
              </w:rPr>
              <w:t>宣传</w:t>
            </w:r>
            <w:r>
              <w:rPr>
                <w:rFonts w:hint="eastAsia" w:ascii="仿宋_GB2312" w:hAnsi="宋体" w:eastAsia="仿宋_GB2312" w:cs="Times New Roman"/>
                <w:color w:val="auto"/>
                <w:kern w:val="0"/>
                <w:sz w:val="24"/>
                <w:szCs w:val="24"/>
                <w:highlight w:val="none"/>
              </w:rPr>
              <w:t>项目的，每项得</w:t>
            </w:r>
            <w:r>
              <w:rPr>
                <w:rFonts w:hint="eastAsia" w:ascii="仿宋_GB2312" w:hAnsi="宋体" w:eastAsia="仿宋_GB2312" w:cs="Times New Roman"/>
                <w:color w:val="auto"/>
                <w:kern w:val="0"/>
                <w:sz w:val="24"/>
                <w:szCs w:val="24"/>
                <w:highlight w:val="none"/>
                <w:lang w:val="en-US" w:eastAsia="zh-CN"/>
              </w:rPr>
              <w:t>2</w:t>
            </w:r>
            <w:r>
              <w:rPr>
                <w:rFonts w:hint="eastAsia" w:ascii="仿宋_GB2312" w:hAnsi="宋体" w:eastAsia="仿宋_GB2312" w:cs="Times New Roman"/>
                <w:color w:val="auto"/>
                <w:kern w:val="0"/>
                <w:sz w:val="24"/>
                <w:szCs w:val="24"/>
                <w:highlight w:val="none"/>
              </w:rPr>
              <w:t>分；本项最高得分为</w:t>
            </w:r>
            <w:r>
              <w:rPr>
                <w:rFonts w:hint="eastAsia" w:ascii="仿宋_GB2312" w:hAnsi="宋体" w:eastAsia="仿宋_GB2312" w:cs="Times New Roman"/>
                <w:color w:val="auto"/>
                <w:kern w:val="0"/>
                <w:sz w:val="24"/>
                <w:szCs w:val="24"/>
                <w:highlight w:val="none"/>
                <w:lang w:val="en-US" w:eastAsia="zh-CN"/>
              </w:rPr>
              <w:t>15</w:t>
            </w:r>
            <w:r>
              <w:rPr>
                <w:rFonts w:hint="eastAsia" w:ascii="仿宋_GB2312" w:hAnsi="宋体" w:eastAsia="仿宋_GB2312" w:cs="Times New Roman"/>
                <w:color w:val="auto"/>
                <w:kern w:val="0"/>
                <w:sz w:val="24"/>
                <w:szCs w:val="24"/>
                <w:highlight w:val="none"/>
              </w:rPr>
              <w:t>分</w:t>
            </w:r>
            <w:r>
              <w:rPr>
                <w:rFonts w:hint="eastAsia" w:ascii="仿宋_GB2312" w:hAnsi="宋体" w:eastAsia="仿宋_GB2312" w:cs="Times New Roman"/>
                <w:color w:val="auto"/>
                <w:kern w:val="0"/>
                <w:sz w:val="24"/>
                <w:szCs w:val="24"/>
                <w:highlight w:val="none"/>
                <w:lang w:eastAsia="zh-CN"/>
              </w:rPr>
              <w:t>，</w:t>
            </w:r>
            <w:r>
              <w:rPr>
                <w:rFonts w:hint="eastAsia" w:ascii="仿宋_GB2312" w:hAnsi="宋体" w:eastAsia="仿宋_GB2312" w:cs="Times New Roman"/>
                <w:color w:val="auto"/>
                <w:kern w:val="0"/>
                <w:sz w:val="24"/>
                <w:szCs w:val="24"/>
                <w:highlight w:val="none"/>
                <w:lang w:val="en-US" w:eastAsia="zh-CN"/>
              </w:rPr>
              <w:t>其中市级宣传项目得分最高为8分</w:t>
            </w:r>
            <w:r>
              <w:rPr>
                <w:rFonts w:hint="eastAsia" w:ascii="仿宋_GB2312" w:hAnsi="宋体" w:eastAsia="仿宋_GB2312" w:cs="Times New Roman"/>
                <w:color w:val="auto"/>
                <w:kern w:val="0"/>
                <w:sz w:val="24"/>
                <w:szCs w:val="24"/>
                <w:highlight w:val="none"/>
              </w:rPr>
              <w:t>。</w:t>
            </w:r>
          </w:p>
          <w:p>
            <w:pPr>
              <w:keepNext w:val="0"/>
              <w:keepLines w:val="0"/>
              <w:pageBreakBefore w:val="0"/>
              <w:widowControl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需提供</w:t>
            </w:r>
            <w:r>
              <w:rPr>
                <w:rFonts w:hint="eastAsia" w:ascii="仿宋_GB2312" w:hAnsi="宋体" w:eastAsia="仿宋_GB2312" w:cs="Times New Roman"/>
                <w:color w:val="auto"/>
                <w:kern w:val="0"/>
                <w:sz w:val="24"/>
                <w:szCs w:val="24"/>
                <w:highlight w:val="none"/>
                <w:lang w:val="en-US" w:eastAsia="zh-CN"/>
              </w:rPr>
              <w:t>宣传</w:t>
            </w:r>
            <w:r>
              <w:rPr>
                <w:rFonts w:hint="eastAsia" w:ascii="仿宋_GB2312" w:hAnsi="宋体" w:eastAsia="仿宋_GB2312" w:cs="Times New Roman"/>
                <w:color w:val="auto"/>
                <w:kern w:val="0"/>
                <w:sz w:val="24"/>
                <w:szCs w:val="24"/>
                <w:highlight w:val="none"/>
              </w:rPr>
              <w:t>项目服务合同复印件，并加盖投标人单位公章。</w:t>
            </w:r>
          </w:p>
        </w:tc>
        <w:tc>
          <w:tcPr>
            <w:tcW w:w="661"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700" w:type="pct"/>
            <w:vMerge w:val="continue"/>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p>
        </w:tc>
        <w:tc>
          <w:tcPr>
            <w:tcW w:w="717" w:type="pct"/>
            <w:vAlign w:val="center"/>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规章管理制度</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w:t>
            </w:r>
            <w:r>
              <w:rPr>
                <w:rFonts w:hint="eastAsia" w:ascii="仿宋_GB2312" w:hAnsi="宋体" w:eastAsia="仿宋_GB2312" w:cs="Times New Roman"/>
                <w:color w:val="auto"/>
                <w:kern w:val="0"/>
                <w:sz w:val="24"/>
                <w:szCs w:val="24"/>
                <w:highlight w:val="none"/>
                <w:lang w:val="en-US" w:eastAsia="zh-CN"/>
              </w:rPr>
              <w:t>5</w:t>
            </w:r>
            <w:r>
              <w:rPr>
                <w:rFonts w:hint="eastAsia" w:ascii="仿宋_GB2312" w:hAnsi="宋体" w:eastAsia="仿宋_GB2312" w:cs="Times New Roman"/>
                <w:color w:val="auto"/>
                <w:kern w:val="0"/>
                <w:sz w:val="24"/>
                <w:szCs w:val="24"/>
                <w:highlight w:val="none"/>
              </w:rPr>
              <w:t>分）</w:t>
            </w:r>
          </w:p>
        </w:tc>
        <w:tc>
          <w:tcPr>
            <w:tcW w:w="2920"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考查、对比投标人的各项规章管理制度是否健全、完善。</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规章管理制度健全、完善的，得</w:t>
            </w:r>
            <w:r>
              <w:rPr>
                <w:rFonts w:hint="eastAsia" w:ascii="仿宋_GB2312" w:hAnsi="宋体" w:eastAsia="仿宋_GB2312" w:cs="Times New Roman"/>
                <w:color w:val="auto"/>
                <w:kern w:val="0"/>
                <w:sz w:val="24"/>
                <w:szCs w:val="24"/>
                <w:highlight w:val="none"/>
                <w:lang w:val="en-US" w:eastAsia="zh-CN"/>
              </w:rPr>
              <w:t>5</w:t>
            </w:r>
            <w:r>
              <w:rPr>
                <w:rFonts w:hint="eastAsia" w:ascii="仿宋_GB2312" w:hAnsi="宋体" w:eastAsia="仿宋_GB2312" w:cs="Times New Roman"/>
                <w:color w:val="auto"/>
                <w:kern w:val="0"/>
                <w:sz w:val="24"/>
                <w:szCs w:val="24"/>
                <w:highlight w:val="none"/>
              </w:rPr>
              <w:t>分；</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规章管理制度较健全、完善的，得</w:t>
            </w:r>
            <w:r>
              <w:rPr>
                <w:rFonts w:hint="eastAsia" w:ascii="仿宋_GB2312" w:hAnsi="宋体" w:eastAsia="仿宋_GB2312" w:cs="Times New Roman"/>
                <w:color w:val="auto"/>
                <w:kern w:val="0"/>
                <w:sz w:val="24"/>
                <w:szCs w:val="24"/>
                <w:highlight w:val="none"/>
                <w:lang w:val="en-US" w:eastAsia="zh-CN"/>
              </w:rPr>
              <w:t>3</w:t>
            </w:r>
            <w:r>
              <w:rPr>
                <w:rFonts w:hint="eastAsia" w:ascii="仿宋_GB2312" w:hAnsi="宋体" w:eastAsia="仿宋_GB2312" w:cs="Times New Roman"/>
                <w:color w:val="auto"/>
                <w:kern w:val="0"/>
                <w:sz w:val="24"/>
                <w:szCs w:val="24"/>
                <w:highlight w:val="none"/>
              </w:rPr>
              <w:t>分；</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规章管理制度基本健全、完善的，得</w:t>
            </w:r>
            <w:r>
              <w:rPr>
                <w:rFonts w:hint="eastAsia" w:ascii="仿宋_GB2312" w:hAnsi="宋体" w:eastAsia="仿宋_GB2312" w:cs="Times New Roman"/>
                <w:color w:val="auto"/>
                <w:kern w:val="0"/>
                <w:sz w:val="24"/>
                <w:szCs w:val="24"/>
                <w:highlight w:val="none"/>
                <w:lang w:val="en-US" w:eastAsia="zh-CN"/>
              </w:rPr>
              <w:t>2</w:t>
            </w:r>
            <w:r>
              <w:rPr>
                <w:rFonts w:hint="eastAsia" w:ascii="仿宋_GB2312" w:hAnsi="宋体" w:eastAsia="仿宋_GB2312" w:cs="Times New Roman"/>
                <w:color w:val="auto"/>
                <w:kern w:val="0"/>
                <w:sz w:val="24"/>
                <w:szCs w:val="24"/>
                <w:highlight w:val="none"/>
              </w:rPr>
              <w:t>分；</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规章管理制度不健全的，得</w:t>
            </w:r>
            <w:r>
              <w:rPr>
                <w:rFonts w:hint="eastAsia" w:ascii="仿宋_GB2312" w:hAnsi="宋体" w:eastAsia="仿宋_GB2312" w:cs="Times New Roman"/>
                <w:color w:val="auto"/>
                <w:kern w:val="0"/>
                <w:sz w:val="24"/>
                <w:szCs w:val="24"/>
                <w:highlight w:val="none"/>
                <w:lang w:val="en-US" w:eastAsia="zh-CN"/>
              </w:rPr>
              <w:t>0-1</w:t>
            </w:r>
            <w:r>
              <w:rPr>
                <w:rFonts w:hint="eastAsia" w:ascii="仿宋_GB2312" w:hAnsi="宋体" w:eastAsia="仿宋_GB2312" w:cs="Times New Roman"/>
                <w:color w:val="auto"/>
                <w:kern w:val="0"/>
                <w:sz w:val="24"/>
                <w:szCs w:val="24"/>
                <w:highlight w:val="none"/>
              </w:rPr>
              <w:t>分。</w:t>
            </w:r>
          </w:p>
        </w:tc>
        <w:tc>
          <w:tcPr>
            <w:tcW w:w="661"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700" w:type="pct"/>
            <w:vMerge w:val="continue"/>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both"/>
              <w:textAlignment w:val="auto"/>
              <w:rPr>
                <w:rFonts w:ascii="仿宋_GB2312" w:hAnsi="宋体" w:eastAsia="仿宋_GB2312" w:cs="Times New Roman"/>
                <w:b/>
                <w:color w:val="auto"/>
                <w:kern w:val="0"/>
                <w:sz w:val="24"/>
                <w:szCs w:val="24"/>
                <w:highlight w:val="none"/>
              </w:rPr>
            </w:pPr>
          </w:p>
        </w:tc>
        <w:tc>
          <w:tcPr>
            <w:tcW w:w="717" w:type="pct"/>
            <w:vAlign w:val="center"/>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lang w:val="en-US" w:eastAsia="zh-CN"/>
              </w:rPr>
              <w:t>奖项荣誉</w:t>
            </w:r>
            <w:r>
              <w:rPr>
                <w:rFonts w:hint="eastAsia" w:ascii="仿宋_GB2312" w:hAnsi="宋体" w:eastAsia="仿宋_GB2312" w:cs="Times New Roman"/>
                <w:color w:val="auto"/>
                <w:kern w:val="0"/>
                <w:sz w:val="24"/>
                <w:szCs w:val="24"/>
                <w:highlight w:val="none"/>
              </w:rPr>
              <w:t>（</w:t>
            </w:r>
            <w:r>
              <w:rPr>
                <w:rFonts w:hint="eastAsia" w:ascii="仿宋_GB2312" w:hAnsi="宋体" w:eastAsia="仿宋_GB2312" w:cs="Times New Roman"/>
                <w:color w:val="auto"/>
                <w:kern w:val="0"/>
                <w:sz w:val="24"/>
                <w:szCs w:val="24"/>
                <w:highlight w:val="none"/>
                <w:lang w:val="en-US" w:eastAsia="zh-CN"/>
              </w:rPr>
              <w:t>10</w:t>
            </w:r>
            <w:r>
              <w:rPr>
                <w:rFonts w:hint="eastAsia" w:ascii="仿宋_GB2312" w:hAnsi="宋体" w:eastAsia="仿宋_GB2312" w:cs="Times New Roman"/>
                <w:color w:val="auto"/>
                <w:kern w:val="0"/>
                <w:sz w:val="24"/>
                <w:szCs w:val="24"/>
                <w:highlight w:val="none"/>
              </w:rPr>
              <w:t>分）</w:t>
            </w:r>
          </w:p>
        </w:tc>
        <w:tc>
          <w:tcPr>
            <w:tcW w:w="2920"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考查、对比投标人</w:t>
            </w:r>
            <w:r>
              <w:rPr>
                <w:rFonts w:hint="eastAsia" w:ascii="仿宋_GB2312" w:hAnsi="宋体" w:eastAsia="仿宋_GB2312" w:cs="Times New Roman"/>
                <w:color w:val="auto"/>
                <w:kern w:val="0"/>
                <w:sz w:val="24"/>
                <w:szCs w:val="24"/>
                <w:highlight w:val="none"/>
                <w:lang w:val="en-US" w:eastAsia="zh-CN"/>
              </w:rPr>
              <w:t>获奖项表彰情况</w:t>
            </w:r>
            <w:r>
              <w:rPr>
                <w:rFonts w:hint="eastAsia" w:ascii="仿宋_GB2312" w:hAnsi="宋体" w:eastAsia="仿宋_GB2312" w:cs="Times New Roman"/>
                <w:color w:val="auto"/>
                <w:kern w:val="0"/>
                <w:sz w:val="24"/>
                <w:szCs w:val="24"/>
                <w:highlight w:val="none"/>
              </w:rPr>
              <w:t>：</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投标人</w:t>
            </w:r>
            <w:r>
              <w:rPr>
                <w:rFonts w:hint="eastAsia" w:ascii="仿宋_GB2312" w:hAnsi="宋体" w:eastAsia="仿宋_GB2312" w:cs="Times New Roman"/>
                <w:color w:val="auto"/>
                <w:kern w:val="0"/>
                <w:sz w:val="24"/>
                <w:szCs w:val="24"/>
                <w:highlight w:val="none"/>
                <w:lang w:val="en-US" w:eastAsia="zh-CN"/>
              </w:rPr>
              <w:t>及下属团队成员获“中国新闻奖”等国家级奖项的，每项得5分，获“广东新闻奖”等省级奖项的，每项得2分，</w:t>
            </w:r>
            <w:r>
              <w:rPr>
                <w:rFonts w:hint="eastAsia" w:ascii="仿宋_GB2312" w:hAnsi="宋体" w:eastAsia="仿宋_GB2312" w:cs="Times New Roman"/>
                <w:color w:val="auto"/>
                <w:kern w:val="0"/>
                <w:sz w:val="24"/>
                <w:szCs w:val="24"/>
                <w:highlight w:val="none"/>
              </w:rPr>
              <w:t>本项最高得分为</w:t>
            </w:r>
            <w:r>
              <w:rPr>
                <w:rFonts w:hint="eastAsia" w:ascii="仿宋_GB2312" w:hAnsi="宋体" w:eastAsia="仿宋_GB2312" w:cs="Times New Roman"/>
                <w:color w:val="auto"/>
                <w:kern w:val="0"/>
                <w:sz w:val="24"/>
                <w:szCs w:val="24"/>
                <w:highlight w:val="none"/>
                <w:lang w:val="en-US" w:eastAsia="zh-CN"/>
              </w:rPr>
              <w:t>10</w:t>
            </w:r>
            <w:r>
              <w:rPr>
                <w:rFonts w:hint="eastAsia" w:ascii="仿宋_GB2312" w:hAnsi="宋体" w:eastAsia="仿宋_GB2312" w:cs="Times New Roman"/>
                <w:color w:val="auto"/>
                <w:kern w:val="0"/>
                <w:sz w:val="24"/>
                <w:szCs w:val="24"/>
                <w:highlight w:val="none"/>
              </w:rPr>
              <w:t>分</w:t>
            </w:r>
            <w:r>
              <w:rPr>
                <w:rFonts w:hint="eastAsia" w:ascii="仿宋_GB2312" w:hAnsi="宋体" w:eastAsia="仿宋_GB2312" w:cs="Times New Roman"/>
                <w:color w:val="auto"/>
                <w:kern w:val="0"/>
                <w:sz w:val="24"/>
                <w:szCs w:val="24"/>
                <w:highlight w:val="none"/>
                <w:lang w:eastAsia="zh-CN"/>
              </w:rPr>
              <w:t>，</w:t>
            </w:r>
            <w:r>
              <w:rPr>
                <w:rFonts w:hint="eastAsia" w:ascii="仿宋_GB2312" w:hAnsi="宋体" w:eastAsia="仿宋_GB2312" w:cs="Times New Roman"/>
                <w:color w:val="auto"/>
                <w:kern w:val="0"/>
                <w:sz w:val="24"/>
                <w:szCs w:val="24"/>
                <w:highlight w:val="none"/>
                <w:lang w:val="en-US" w:eastAsia="zh-CN"/>
              </w:rPr>
              <w:t>同题不同作者计1次</w:t>
            </w:r>
            <w:r>
              <w:rPr>
                <w:rFonts w:hint="eastAsia" w:ascii="仿宋_GB2312" w:hAnsi="宋体" w:eastAsia="仿宋_GB2312" w:cs="Times New Roman"/>
                <w:color w:val="auto"/>
                <w:kern w:val="0"/>
                <w:sz w:val="24"/>
                <w:szCs w:val="24"/>
                <w:highlight w:val="none"/>
              </w:rPr>
              <w:t>。</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需提供</w:t>
            </w:r>
            <w:r>
              <w:rPr>
                <w:rFonts w:hint="eastAsia" w:ascii="仿宋_GB2312" w:hAnsi="宋体" w:eastAsia="仿宋_GB2312" w:cs="Times New Roman"/>
                <w:color w:val="auto"/>
                <w:kern w:val="0"/>
                <w:sz w:val="24"/>
                <w:szCs w:val="24"/>
                <w:highlight w:val="none"/>
                <w:lang w:val="en-US" w:eastAsia="zh-CN"/>
              </w:rPr>
              <w:t>获奖证书复印件</w:t>
            </w:r>
            <w:r>
              <w:rPr>
                <w:rFonts w:hint="eastAsia" w:ascii="仿宋_GB2312" w:hAnsi="宋体" w:eastAsia="仿宋_GB2312" w:cs="Times New Roman"/>
                <w:color w:val="auto"/>
                <w:kern w:val="0"/>
                <w:sz w:val="24"/>
                <w:szCs w:val="24"/>
                <w:highlight w:val="none"/>
              </w:rPr>
              <w:t>，并加盖投标人单位公章。</w:t>
            </w:r>
          </w:p>
        </w:tc>
        <w:tc>
          <w:tcPr>
            <w:tcW w:w="661"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700" w:type="pct"/>
            <w:vMerge w:val="continue"/>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p>
        </w:tc>
        <w:tc>
          <w:tcPr>
            <w:tcW w:w="717" w:type="pct"/>
            <w:vAlign w:val="center"/>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后续服务计划</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w:t>
            </w:r>
            <w:r>
              <w:rPr>
                <w:rFonts w:hint="eastAsia" w:ascii="仿宋_GB2312" w:hAnsi="宋体" w:eastAsia="仿宋_GB2312" w:cs="Times New Roman"/>
                <w:color w:val="auto"/>
                <w:kern w:val="0"/>
                <w:sz w:val="24"/>
                <w:szCs w:val="24"/>
                <w:highlight w:val="none"/>
                <w:lang w:val="en-US" w:eastAsia="zh-CN"/>
              </w:rPr>
              <w:t>10</w:t>
            </w:r>
            <w:r>
              <w:rPr>
                <w:rFonts w:hint="eastAsia" w:ascii="仿宋_GB2312" w:hAnsi="宋体" w:eastAsia="仿宋_GB2312" w:cs="Times New Roman"/>
                <w:color w:val="auto"/>
                <w:kern w:val="0"/>
                <w:sz w:val="24"/>
                <w:szCs w:val="24"/>
                <w:highlight w:val="none"/>
              </w:rPr>
              <w:t>分）</w:t>
            </w:r>
          </w:p>
        </w:tc>
        <w:tc>
          <w:tcPr>
            <w:tcW w:w="2920"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考查、对比后续服务计划是否详细、合理，是否能够承诺针对本</w:t>
            </w:r>
            <w:r>
              <w:rPr>
                <w:rFonts w:hint="eastAsia" w:ascii="仿宋_GB2312" w:hAnsi="宋体" w:eastAsia="仿宋_GB2312" w:cs="Times New Roman"/>
                <w:color w:val="auto"/>
                <w:kern w:val="0"/>
                <w:sz w:val="24"/>
                <w:szCs w:val="24"/>
                <w:highlight w:val="none"/>
                <w:lang w:val="en-US" w:eastAsia="zh-CN"/>
              </w:rPr>
              <w:t>宣传</w:t>
            </w:r>
            <w:r>
              <w:rPr>
                <w:rFonts w:hint="eastAsia" w:ascii="仿宋_GB2312" w:hAnsi="宋体" w:eastAsia="仿宋_GB2312" w:cs="Times New Roman"/>
                <w:color w:val="auto"/>
                <w:kern w:val="0"/>
                <w:sz w:val="24"/>
                <w:szCs w:val="24"/>
                <w:highlight w:val="none"/>
              </w:rPr>
              <w:t>项目提供及时、专业化、本地化的后续服务。</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后续服务计划好的，得</w:t>
            </w:r>
            <w:r>
              <w:rPr>
                <w:rFonts w:hint="eastAsia" w:ascii="仿宋_GB2312" w:hAnsi="宋体" w:eastAsia="仿宋_GB2312" w:cs="Times New Roman"/>
                <w:color w:val="auto"/>
                <w:kern w:val="0"/>
                <w:sz w:val="24"/>
                <w:szCs w:val="24"/>
                <w:highlight w:val="none"/>
                <w:lang w:val="en-US" w:eastAsia="zh-CN"/>
              </w:rPr>
              <w:t>10</w:t>
            </w:r>
            <w:r>
              <w:rPr>
                <w:rFonts w:hint="eastAsia" w:ascii="仿宋_GB2312" w:hAnsi="宋体" w:eastAsia="仿宋_GB2312" w:cs="Times New Roman"/>
                <w:color w:val="auto"/>
                <w:kern w:val="0"/>
                <w:sz w:val="24"/>
                <w:szCs w:val="24"/>
                <w:highlight w:val="none"/>
              </w:rPr>
              <w:t>分；</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后续服务计划较好的，得</w:t>
            </w:r>
            <w:r>
              <w:rPr>
                <w:rFonts w:hint="eastAsia" w:ascii="仿宋_GB2312" w:hAnsi="宋体" w:eastAsia="仿宋_GB2312" w:cs="Times New Roman"/>
                <w:color w:val="auto"/>
                <w:kern w:val="0"/>
                <w:sz w:val="24"/>
                <w:szCs w:val="24"/>
                <w:highlight w:val="none"/>
                <w:lang w:val="en-US" w:eastAsia="zh-CN"/>
              </w:rPr>
              <w:t>8</w:t>
            </w:r>
            <w:r>
              <w:rPr>
                <w:rFonts w:hint="eastAsia" w:ascii="仿宋_GB2312" w:hAnsi="宋体" w:eastAsia="仿宋_GB2312" w:cs="Times New Roman"/>
                <w:color w:val="auto"/>
                <w:kern w:val="0"/>
                <w:sz w:val="24"/>
                <w:szCs w:val="24"/>
                <w:highlight w:val="none"/>
              </w:rPr>
              <w:t>分；</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后续服务计划一般的，得</w:t>
            </w:r>
            <w:r>
              <w:rPr>
                <w:rFonts w:hint="eastAsia" w:ascii="仿宋_GB2312" w:hAnsi="宋体" w:eastAsia="仿宋_GB2312" w:cs="Times New Roman"/>
                <w:color w:val="auto"/>
                <w:kern w:val="0"/>
                <w:sz w:val="24"/>
                <w:szCs w:val="24"/>
                <w:highlight w:val="none"/>
                <w:lang w:val="en-US" w:eastAsia="zh-CN"/>
              </w:rPr>
              <w:t>3-5</w:t>
            </w:r>
            <w:r>
              <w:rPr>
                <w:rFonts w:hint="eastAsia" w:ascii="仿宋_GB2312" w:hAnsi="宋体" w:eastAsia="仿宋_GB2312" w:cs="Times New Roman"/>
                <w:color w:val="auto"/>
                <w:kern w:val="0"/>
                <w:sz w:val="24"/>
                <w:szCs w:val="24"/>
                <w:highlight w:val="none"/>
              </w:rPr>
              <w:t>分；</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后续服务计划较差的，得</w:t>
            </w:r>
            <w:r>
              <w:rPr>
                <w:rFonts w:hint="eastAsia" w:ascii="仿宋_GB2312" w:hAnsi="宋体" w:eastAsia="仿宋_GB2312" w:cs="Times New Roman"/>
                <w:color w:val="auto"/>
                <w:kern w:val="0"/>
                <w:sz w:val="24"/>
                <w:szCs w:val="24"/>
                <w:highlight w:val="none"/>
                <w:lang w:val="en-US" w:eastAsia="zh-CN"/>
              </w:rPr>
              <w:t>0-2</w:t>
            </w:r>
            <w:r>
              <w:rPr>
                <w:rFonts w:hint="eastAsia" w:ascii="仿宋_GB2312" w:hAnsi="宋体" w:eastAsia="仿宋_GB2312" w:cs="Times New Roman"/>
                <w:color w:val="auto"/>
                <w:kern w:val="0"/>
                <w:sz w:val="24"/>
                <w:szCs w:val="24"/>
                <w:highlight w:val="none"/>
              </w:rPr>
              <w:t>分。</w:t>
            </w:r>
          </w:p>
        </w:tc>
        <w:tc>
          <w:tcPr>
            <w:tcW w:w="661"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Align w:val="center"/>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jc w:val="center"/>
              <w:textAlignment w:val="auto"/>
              <w:rPr>
                <w:rFonts w:ascii="仿宋_GB2312" w:hAnsi="宋体" w:eastAsia="仿宋_GB2312" w:cs="Times New Roman"/>
                <w:b/>
                <w:color w:val="auto"/>
                <w:kern w:val="0"/>
                <w:sz w:val="24"/>
                <w:szCs w:val="24"/>
                <w:highlight w:val="none"/>
              </w:rPr>
            </w:pPr>
            <w:r>
              <w:rPr>
                <w:rFonts w:hint="eastAsia" w:ascii="仿宋_GB2312" w:hAnsi="宋体" w:eastAsia="仿宋_GB2312" w:cs="Times New Roman"/>
                <w:b/>
                <w:color w:val="auto"/>
                <w:kern w:val="0"/>
                <w:sz w:val="24"/>
                <w:szCs w:val="24"/>
                <w:highlight w:val="none"/>
              </w:rPr>
              <w:t>价格评分（30分）</w:t>
            </w:r>
          </w:p>
        </w:tc>
        <w:tc>
          <w:tcPr>
            <w:tcW w:w="3638" w:type="pct"/>
            <w:gridSpan w:val="2"/>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价格扣除条件</w:t>
            </w:r>
            <w:r>
              <w:rPr>
                <w:rFonts w:hint="eastAsia" w:ascii="仿宋_GB2312" w:hAnsi="宋体" w:eastAsia="仿宋_GB2312" w:cs="Times New Roman"/>
                <w:color w:val="auto"/>
                <w:kern w:val="0"/>
                <w:sz w:val="24"/>
                <w:szCs w:val="24"/>
                <w:highlight w:val="none"/>
                <w:lang w:eastAsia="zh-CN"/>
              </w:rPr>
              <w:t>：</w:t>
            </w:r>
            <w:r>
              <w:rPr>
                <w:rFonts w:hint="eastAsia" w:ascii="仿宋_GB2312" w:hAnsi="宋体" w:eastAsia="仿宋_GB2312" w:cs="Times New Roman"/>
                <w:color w:val="auto"/>
                <w:kern w:val="0"/>
                <w:sz w:val="24"/>
                <w:szCs w:val="24"/>
                <w:highlight w:val="none"/>
              </w:rPr>
              <w:t>小型和微型企业（6%）</w:t>
            </w:r>
          </w:p>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价格扣除后的投标报价得分=（评标基准价/价格扣除后的投标报价）×30</w:t>
            </w:r>
          </w:p>
        </w:tc>
        <w:tc>
          <w:tcPr>
            <w:tcW w:w="661" w:type="pct"/>
          </w:tcPr>
          <w:p>
            <w:pPr>
              <w:keepNext w:val="0"/>
              <w:keepLines w:val="0"/>
              <w:pageBreakBefore w:val="0"/>
              <w:tabs>
                <w:tab w:val="left" w:pos="704"/>
                <w:tab w:val="left" w:pos="945"/>
              </w:tabs>
              <w:kinsoku/>
              <w:wordWrap/>
              <w:overflowPunct/>
              <w:topLinePunct w:val="0"/>
              <w:autoSpaceDE/>
              <w:autoSpaceDN/>
              <w:bidi w:val="0"/>
              <w:adjustRightInd/>
              <w:snapToGrid/>
              <w:spacing w:line="600" w:lineRule="exact"/>
              <w:textAlignment w:val="auto"/>
              <w:rPr>
                <w:rFonts w:ascii="仿宋_GB2312" w:hAnsi="宋体" w:eastAsia="仿宋_GB2312" w:cs="Times New Roman"/>
                <w:color w:val="auto"/>
                <w:kern w:val="0"/>
                <w:sz w:val="24"/>
                <w:szCs w:val="24"/>
                <w:highlight w:val="none"/>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sz w:val="21"/>
          <w:szCs w:val="21"/>
        </w:rPr>
      </w:pP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iCs w:val="0"/>
          <w:caps w:val="0"/>
          <w:color w:val="666666"/>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firstLine="640" w:firstLineChars="200"/>
        <w:jc w:val="right"/>
        <w:textAlignment w:val="auto"/>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江门市农业农村局</w:t>
      </w:r>
    </w:p>
    <w:p>
      <w:pPr>
        <w:keepNext w:val="0"/>
        <w:keepLines w:val="0"/>
        <w:pageBreakBefore w:val="0"/>
        <w:kinsoku/>
        <w:wordWrap/>
        <w:overflowPunct/>
        <w:topLinePunct w:val="0"/>
        <w:autoSpaceDE/>
        <w:autoSpaceDN/>
        <w:bidi w:val="0"/>
        <w:adjustRightInd/>
        <w:snapToGrid/>
        <w:spacing w:line="600" w:lineRule="exact"/>
        <w:ind w:left="0" w:firstLine="640" w:firstLineChars="200"/>
        <w:jc w:val="right"/>
        <w:textAlignment w:val="auto"/>
        <w:rPr>
          <w:rFonts w:hint="eastAsia" w:ascii="仿宋" w:hAnsi="仿宋" w:eastAsia="仿宋" w:cs="仿宋"/>
          <w:i w:val="0"/>
          <w:iCs w:val="0"/>
          <w:caps w:val="0"/>
          <w:color w:val="666666"/>
          <w:spacing w:val="0"/>
          <w:kern w:val="0"/>
          <w:sz w:val="32"/>
          <w:szCs w:val="32"/>
          <w:shd w:val="clear" w:fill="FFFFFF"/>
          <w:lang w:val="en-US" w:eastAsia="zh-CN" w:bidi="ar"/>
        </w:rPr>
      </w:pPr>
      <w:r>
        <w:rPr>
          <w:rFonts w:hint="eastAsia" w:ascii="仿宋" w:hAnsi="仿宋" w:eastAsia="仿宋" w:cs="仿宋"/>
          <w:i w:val="0"/>
          <w:iCs w:val="0"/>
          <w:caps w:val="0"/>
          <w:color w:val="666666"/>
          <w:spacing w:val="0"/>
          <w:kern w:val="0"/>
          <w:sz w:val="32"/>
          <w:szCs w:val="32"/>
          <w:shd w:val="clear" w:fill="FFFFFF"/>
          <w:lang w:val="en-US" w:eastAsia="zh-CN" w:bidi="ar"/>
        </w:rPr>
        <w:t>2023年7月28日</w:t>
      </w:r>
    </w:p>
    <w:p>
      <w:pPr>
        <w:keepNext w:val="0"/>
        <w:keepLines w:val="0"/>
        <w:pageBreakBefore w:val="0"/>
        <w:kinsoku/>
        <w:wordWrap/>
        <w:overflowPunct/>
        <w:topLinePunct w:val="0"/>
        <w:autoSpaceDE/>
        <w:autoSpaceDN/>
        <w:bidi w:val="0"/>
        <w:adjustRightInd/>
        <w:snapToGrid/>
        <w:spacing w:line="600" w:lineRule="exact"/>
        <w:ind w:left="0" w:firstLine="640" w:firstLineChars="200"/>
        <w:jc w:val="right"/>
        <w:textAlignment w:val="auto"/>
        <w:rPr>
          <w:rFonts w:hint="eastAsia" w:ascii="仿宋" w:hAnsi="仿宋" w:eastAsia="仿宋" w:cs="仿宋"/>
          <w:i w:val="0"/>
          <w:iCs w:val="0"/>
          <w:caps w:val="0"/>
          <w:color w:val="666666"/>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324FE"/>
    <w:multiLevelType w:val="singleLevel"/>
    <w:tmpl w:val="9EA324FE"/>
    <w:lvl w:ilvl="0" w:tentative="0">
      <w:start w:val="7"/>
      <w:numFmt w:val="chineseCounting"/>
      <w:suff w:val="nothing"/>
      <w:lvlText w:val="%1、"/>
      <w:lvlJc w:val="left"/>
      <w:pPr>
        <w:ind w:left="64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NjE3NGVmNTk3NThiZjkxOWIwZTFjMTU4ZmIwMGQifQ=="/>
  </w:docVars>
  <w:rsids>
    <w:rsidRoot w:val="2D250AD2"/>
    <w:rsid w:val="09487CFE"/>
    <w:rsid w:val="1BD209AF"/>
    <w:rsid w:val="2D250AD2"/>
    <w:rsid w:val="30DC319E"/>
    <w:rsid w:val="49A85EBB"/>
    <w:rsid w:val="527252B8"/>
    <w:rsid w:val="59C52596"/>
    <w:rsid w:val="61834DEC"/>
    <w:rsid w:val="63CB573F"/>
    <w:rsid w:val="7277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2023-07-27T02:05:00Z</dcterms:created>
  <dc:creator>孙先亮</dc:creator>
  <cp:lastModifiedBy>孙先亮</cp:lastModifiedBy>
  <cp:lastPrinted>2023-07-27T08:38:00Z</cp:lastPrinted>
  <dcterms:modified xsi:type="dcterms:W3CDTF">2023-07-28T00:43:20Z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0CF05A1C4B0F42DB907AB81776DD3407_11</vt:lpwstr>
  </property>
</Properties>
</file>