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distribute"/>
        <w:rPr>
          <w:rFonts w:ascii="文鼎CS大宋" w:hAnsi="Times New Roman" w:eastAsia="文鼎CS大宋" w:cs="Times New Roman"/>
          <w:color w:val="FF0000"/>
          <w:spacing w:val="120"/>
          <w:sz w:val="84"/>
          <w:szCs w:val="84"/>
        </w:rPr>
      </w:pPr>
      <w:r>
        <w:rPr>
          <w:rFonts w:hint="eastAsia" w:ascii="文鼎CS大宋" w:hAnsi="Times New Roman" w:eastAsia="文鼎CS大宋" w:cs="Times New Roman"/>
          <w:color w:val="FF0000"/>
          <w:spacing w:val="119"/>
          <w:w w:val="95"/>
          <w:sz w:val="84"/>
          <w:szCs w:val="84"/>
        </w:rPr>
        <w:t>江门市生态环境局</w:t>
      </w:r>
      <w:r>
        <w:rPr>
          <w:rFonts w:ascii="仿宋_GB2312" w:eastAsia="仿宋_GB2312"/>
        </w:rPr>
        <mc:AlternateContent>
          <mc:Choice Requires="wpg">
            <w:drawing>
              <wp:anchor distT="0" distB="0" distL="114300" distR="114300" simplePos="0" relativeHeight="251659264" behindDoc="1" locked="1" layoutInCell="1" allowOverlap="1">
                <wp:simplePos x="0" y="0"/>
                <wp:positionH relativeFrom="column">
                  <wp:posOffset>-140335</wp:posOffset>
                </wp:positionH>
                <wp:positionV relativeFrom="paragraph">
                  <wp:posOffset>719455</wp:posOffset>
                </wp:positionV>
                <wp:extent cx="5895975" cy="7360920"/>
                <wp:effectExtent l="0" t="28575" r="9525" b="40005"/>
                <wp:wrapNone/>
                <wp:docPr id="3" name="组合 3"/>
                <wp:cNvGraphicFramePr/>
                <a:graphic xmlns:a="http://schemas.openxmlformats.org/drawingml/2006/main">
                  <a:graphicData uri="http://schemas.microsoft.com/office/word/2010/wordprocessingGroup">
                    <wpg:wgp>
                      <wpg:cNvGrpSpPr/>
                      <wpg:grpSpPr>
                        <a:xfrm>
                          <a:off x="841375" y="2308860"/>
                          <a:ext cx="5895975" cy="7360920"/>
                          <a:chOff x="0" y="0"/>
                          <a:chExt cx="9638" cy="12470"/>
                        </a:xfrm>
                        <a:effectLst/>
                      </wpg:grpSpPr>
                      <wps:wsp>
                        <wps:cNvPr id="1" name="直接连接符 1"/>
                        <wps:cNvCnPr/>
                        <wps:spPr>
                          <a:xfrm>
                            <a:off x="0" y="0"/>
                            <a:ext cx="9638" cy="0"/>
                          </a:xfrm>
                          <a:prstGeom prst="line">
                            <a:avLst/>
                          </a:prstGeom>
                          <a:ln w="57150" cap="flat" cmpd="thickThin">
                            <a:solidFill>
                              <a:srgbClr val="FF0000"/>
                            </a:solidFill>
                            <a:prstDash val="solid"/>
                            <a:bevel/>
                            <a:headEnd type="none" w="med" len="med"/>
                            <a:tailEnd type="none" w="med" len="med"/>
                          </a:ln>
                          <a:effectLst/>
                        </wps:spPr>
                        <wps:bodyPr upright="1"/>
                      </wps:wsp>
                      <wps:wsp>
                        <wps:cNvPr id="2" name="直接连接符 2"/>
                        <wps:cNvCnPr/>
                        <wps:spPr>
                          <a:xfrm>
                            <a:off x="0" y="12470"/>
                            <a:ext cx="9638" cy="0"/>
                          </a:xfrm>
                          <a:prstGeom prst="line">
                            <a:avLst/>
                          </a:prstGeom>
                          <a:ln w="57150" cap="flat" cmpd="thinThick">
                            <a:solidFill>
                              <a:srgbClr val="FF0000"/>
                            </a:solidFill>
                            <a:prstDash val="solid"/>
                            <a:bevel/>
                            <a:headEnd type="none" w="med" len="med"/>
                            <a:tailEnd type="none" w="med" len="med"/>
                          </a:ln>
                          <a:effectLst/>
                        </wps:spPr>
                        <wps:bodyPr upright="1"/>
                      </wps:wsp>
                    </wpg:wgp>
                  </a:graphicData>
                </a:graphic>
              </wp:anchor>
            </w:drawing>
          </mc:Choice>
          <mc:Fallback>
            <w:pict>
              <v:group id="_x0000_s1026" o:spid="_x0000_s1026" o:spt="203" style="position:absolute;left:0pt;margin-left:-11.05pt;margin-top:56.65pt;height:579.6pt;width:464.25pt;z-index:-251657216;mso-width-relative:page;mso-height-relative:page;" coordsize="9638,12470" o:gfxdata="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zZE7z2wAAAAwBAAAPAAAAAAAAAAEAIAAAACIAAABkcnMv&#10;ZG93bnJldi54bWxQSwECFAAUAAAACACHTuJAGXDkMqsCAABrBwAADgAAAAAAAAABACAAAAAqAQAA&#10;ZHJzL2Uyb0RvYy54bWxQSwUGAAAAAAYABgBZAQAARwYAAAAA&#10;">
                <o:lock v:ext="edit" aspectratio="f"/>
                <v:line id="_x0000_s1026" o:spid="_x0000_s1026" o:spt="20" style="position:absolute;left:0;top:0;height:0;width:9638;" filled="f" stroked="t" coordsize="21600,21600" o:gfxdata="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T56zq5AAAA2gAA&#10;AA8AAAAAAAAAAQAgAAAAIgAAAGRycy9kb3ducmV2LnhtbFBLAQIUABQAAAAIAIdO4kAzLwWeOwAA&#10;ADkAAAAQAAAAAAAAAAEAIAAAAAgBAABkcnMvc2hhcGV4bWwueG1sUEsFBgAAAAAGAAYAWwEAALID&#10;AAAAAA==&#10;">
                  <v:fill on="f" focussize="0,0"/>
                  <v:stroke weight="4.5pt" color="#FF0000" linestyle="thickThin" joinstyle="bevel"/>
                  <v:imagedata o:title=""/>
                  <o:lock v:ext="edit" aspectratio="f"/>
                </v:line>
                <v:line id="_x0000_s1026" o:spid="_x0000_s1026" o:spt="20" style="position:absolute;left:0;top:12470;height:0;width:9638;" filled="f" stroked="t" coordsize="21600,21600" o:gfxdata="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5FrVvQAA&#10;ANoAAAAPAAAAAAAAAAEAIAAAACIAAABkcnMvZG93bnJldi54bWxQSwECFAAUAAAACACHTuJAMy8F&#10;njsAAAA5AAAAEAAAAAAAAAABACAAAAAMAQAAZHJzL3NoYXBleG1sLnhtbFBLBQYAAAAABgAGAFsB&#10;AAC2AwAAAAA=&#10;">
                  <v:fill on="f" focussize="0,0"/>
                  <v:stroke weight="4.5pt" color="#FF0000" linestyle="thinThick" joinstyle="bevel"/>
                  <v:imagedata o:title=""/>
                  <o:lock v:ext="edit" aspectratio="f"/>
                </v:line>
                <w10:anchorlock/>
              </v:group>
            </w:pict>
          </mc:Fallback>
        </mc:AlternateContent>
      </w:r>
    </w:p>
    <w:p>
      <w:pPr>
        <w:keepNext w:val="0"/>
        <w:keepLines w:val="0"/>
        <w:pageBreakBefore w:val="0"/>
        <w:widowControl w:val="0"/>
        <w:kinsoku/>
        <w:wordWrap/>
        <w:overflowPunct/>
        <w:topLinePunct w:val="0"/>
        <w:autoSpaceDE/>
        <w:autoSpaceDN/>
        <w:bidi w:val="0"/>
        <w:spacing w:line="500" w:lineRule="exact"/>
        <w:jc w:val="both"/>
        <w:textAlignment w:val="auto"/>
        <w:rPr>
          <w:rFonts w:hint="eastAsia" w:ascii="方正小标宋_GBK" w:hAnsi="方正小标宋_GBK" w:eastAsia="方正小标宋_GBK" w:cs="方正小标宋_GBK"/>
          <w:b w:val="0"/>
          <w:bCs/>
          <w:sz w:val="44"/>
          <w:szCs w:val="44"/>
          <w:highlight w:val="none"/>
        </w:rPr>
      </w:pPr>
    </w:p>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方正小标宋_GBK" w:hAnsi="方正小标宋_GBK" w:eastAsia="方正小标宋_GBK" w:cs="方正小标宋_GBK"/>
          <w:b w:val="0"/>
          <w:bCs/>
          <w:sz w:val="44"/>
          <w:szCs w:val="44"/>
          <w:highlight w:val="none"/>
          <w:lang w:eastAsia="zh-CN"/>
        </w:rPr>
      </w:pPr>
      <w:r>
        <w:rPr>
          <w:rFonts w:hint="eastAsia" w:ascii="方正小标宋_GBK" w:hAnsi="方正小标宋_GBK" w:eastAsia="方正小标宋_GBK" w:cs="方正小标宋_GBK"/>
          <w:b w:val="0"/>
          <w:bCs/>
          <w:sz w:val="44"/>
          <w:szCs w:val="44"/>
          <w:highlight w:val="none"/>
        </w:rPr>
        <w:t>江门市</w:t>
      </w:r>
      <w:r>
        <w:rPr>
          <w:rFonts w:hint="eastAsia" w:ascii="方正小标宋_GBK" w:hAnsi="方正小标宋_GBK" w:eastAsia="方正小标宋_GBK" w:cs="方正小标宋_GBK"/>
          <w:b w:val="0"/>
          <w:bCs/>
          <w:sz w:val="44"/>
          <w:szCs w:val="44"/>
          <w:highlight w:val="none"/>
          <w:lang w:eastAsia="zh-CN"/>
        </w:rPr>
        <w:t>生态</w:t>
      </w:r>
      <w:r>
        <w:rPr>
          <w:rFonts w:hint="eastAsia" w:ascii="方正小标宋_GBK" w:hAnsi="方正小标宋_GBK" w:eastAsia="方正小标宋_GBK" w:cs="方正小标宋_GBK"/>
          <w:b w:val="0"/>
          <w:bCs/>
          <w:sz w:val="44"/>
          <w:szCs w:val="44"/>
          <w:highlight w:val="none"/>
        </w:rPr>
        <w:t>环境局</w:t>
      </w:r>
    </w:p>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责令改正违法行为决定书</w:t>
      </w:r>
    </w:p>
    <w:p>
      <w:pPr>
        <w:keepNext w:val="0"/>
        <w:keepLines w:val="0"/>
        <w:pageBreakBefore w:val="0"/>
        <w:overflowPunct/>
        <w:topLinePunct w:val="0"/>
        <w:bidi w:val="0"/>
        <w:spacing w:line="500" w:lineRule="exact"/>
        <w:rPr>
          <w:rFonts w:ascii="Arial"/>
          <w:sz w:val="21"/>
        </w:rPr>
      </w:pPr>
    </w:p>
    <w:p>
      <w:pPr>
        <w:keepNext w:val="0"/>
        <w:keepLines w:val="0"/>
        <w:pageBreakBefore w:val="0"/>
        <w:wordWrap w:val="0"/>
        <w:overflowPunct/>
        <w:topLinePunct w:val="0"/>
        <w:bidi w:val="0"/>
        <w:spacing w:line="500" w:lineRule="exact"/>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pacing w:val="-1"/>
          <w:sz w:val="32"/>
          <w:szCs w:val="32"/>
        </w:rPr>
        <w:t>江蓬环改〔20</w:t>
      </w:r>
      <w:r>
        <w:rPr>
          <w:rFonts w:hint="eastAsia" w:ascii="仿宋_GB2312" w:hAnsi="仿宋_GB2312" w:eastAsia="仿宋_GB2312" w:cs="仿宋_GB2312"/>
          <w:spacing w:val="-1"/>
          <w:sz w:val="32"/>
          <w:szCs w:val="32"/>
          <w:lang w:val="en-US" w:eastAsia="zh-CN"/>
        </w:rPr>
        <w:t>23</w:t>
      </w:r>
      <w:r>
        <w:rPr>
          <w:rFonts w:hint="eastAsia" w:ascii="仿宋_GB2312" w:hAnsi="仿宋_GB2312" w:eastAsia="仿宋_GB2312" w:cs="仿宋_GB2312"/>
          <w:spacing w:val="-1"/>
          <w:sz w:val="32"/>
          <w:szCs w:val="32"/>
        </w:rPr>
        <w:t>〕</w:t>
      </w:r>
      <w:r>
        <w:rPr>
          <w:rFonts w:hint="eastAsia" w:ascii="仿宋_GB2312" w:hAnsi="仿宋_GB2312" w:eastAsia="仿宋_GB2312" w:cs="仿宋_GB2312"/>
          <w:spacing w:val="-1"/>
          <w:sz w:val="32"/>
          <w:szCs w:val="32"/>
          <w:lang w:val="en-US" w:eastAsia="zh-CN"/>
        </w:rPr>
        <w:t>31</w:t>
      </w:r>
      <w:r>
        <w:rPr>
          <w:rFonts w:hint="eastAsia" w:ascii="仿宋_GB2312" w:hAnsi="仿宋_GB2312" w:eastAsia="仿宋_GB2312" w:cs="仿宋_GB2312"/>
          <w:spacing w:val="-1"/>
          <w:sz w:val="32"/>
          <w:szCs w:val="32"/>
        </w:rPr>
        <w:t>号</w:t>
      </w:r>
    </w:p>
    <w:p>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 w:eastAsia="仿宋_GB2312" w:cs="Times New Roman"/>
          <w:b w:val="0"/>
          <w:bCs w:val="0"/>
          <w:snapToGrid/>
          <w:kern w:val="2"/>
          <w:sz w:val="32"/>
          <w:szCs w:val="32"/>
          <w:highlight w:val="none"/>
          <w:lang w:val="en-US" w:eastAsia="zh-CN" w:bidi="ar-SA"/>
        </w:rPr>
      </w:pPr>
      <w:r>
        <w:rPr>
          <w:rFonts w:hint="eastAsia" w:ascii="仿宋_GB2312" w:hAnsi="仿宋" w:eastAsia="仿宋_GB2312" w:cs="Times New Roman"/>
          <w:b w:val="0"/>
          <w:bCs w:val="0"/>
          <w:snapToGrid/>
          <w:kern w:val="2"/>
          <w:sz w:val="32"/>
          <w:szCs w:val="32"/>
          <w:highlight w:val="none"/>
          <w:lang w:val="en-US" w:eastAsia="zh-CN" w:bidi="ar-SA"/>
        </w:rPr>
        <w:t>当事人：江门市蓬江区华宇石业有限公司</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 w:eastAsia="仿宋_GB2312" w:cs="Times New Roman"/>
          <w:b w:val="0"/>
          <w:bCs w:val="0"/>
          <w:snapToGrid/>
          <w:kern w:val="2"/>
          <w:sz w:val="32"/>
          <w:szCs w:val="32"/>
          <w:highlight w:val="none"/>
          <w:lang w:val="en-US" w:eastAsia="zh-CN" w:bidi="ar-SA"/>
        </w:rPr>
      </w:pPr>
      <w:r>
        <w:rPr>
          <w:rFonts w:hint="eastAsia" w:ascii="仿宋_GB2312" w:hAnsi="仿宋" w:eastAsia="仿宋_GB2312" w:cs="Times New Roman"/>
          <w:b w:val="0"/>
          <w:bCs w:val="0"/>
          <w:snapToGrid/>
          <w:kern w:val="2"/>
          <w:sz w:val="32"/>
          <w:szCs w:val="32"/>
          <w:highlight w:val="none"/>
          <w:lang w:val="en-US" w:eastAsia="zh-CN" w:bidi="ar-SA"/>
        </w:rPr>
        <w:t>统一社会信用代码：914407037730573675</w:t>
      </w:r>
    </w:p>
    <w:p>
      <w:pPr>
        <w:keepNext w:val="0"/>
        <w:keepLines w:val="0"/>
        <w:pageBreakBefore w:val="0"/>
        <w:widowControl w:val="0"/>
        <w:kinsoku/>
        <w:wordWrap/>
        <w:overflowPunct/>
        <w:topLinePunct w:val="0"/>
        <w:autoSpaceDE/>
        <w:autoSpaceDN/>
        <w:bidi w:val="0"/>
        <w:adjustRightInd w:val="0"/>
        <w:spacing w:line="500" w:lineRule="exact"/>
        <w:textAlignment w:val="auto"/>
        <w:rPr>
          <w:rFonts w:hint="eastAsia" w:ascii="仿宋_GB2312" w:hAnsi="仿宋" w:eastAsia="仿宋_GB2312" w:cs="Times New Roman"/>
          <w:b w:val="0"/>
          <w:bCs w:val="0"/>
          <w:snapToGrid/>
          <w:kern w:val="2"/>
          <w:sz w:val="32"/>
          <w:szCs w:val="32"/>
          <w:highlight w:val="none"/>
          <w:lang w:val="en-US" w:eastAsia="zh-CN" w:bidi="ar-SA"/>
        </w:rPr>
      </w:pPr>
      <w:r>
        <w:rPr>
          <w:rFonts w:hint="eastAsia" w:ascii="仿宋_GB2312" w:hAnsi="仿宋" w:eastAsia="仿宋_GB2312" w:cs="Times New Roman"/>
          <w:b w:val="0"/>
          <w:bCs w:val="0"/>
          <w:snapToGrid/>
          <w:kern w:val="2"/>
          <w:sz w:val="32"/>
          <w:szCs w:val="32"/>
          <w:highlight w:val="none"/>
          <w:lang w:val="en-US" w:eastAsia="zh-CN" w:bidi="ar-SA"/>
        </w:rPr>
        <w:t>法定代表人：何坚业</w:t>
      </w:r>
    </w:p>
    <w:p>
      <w:pPr>
        <w:keepNext w:val="0"/>
        <w:keepLines w:val="0"/>
        <w:pageBreakBefore w:val="0"/>
        <w:widowControl w:val="0"/>
        <w:kinsoku/>
        <w:wordWrap/>
        <w:overflowPunct/>
        <w:topLinePunct w:val="0"/>
        <w:autoSpaceDE/>
        <w:autoSpaceDN/>
        <w:bidi w:val="0"/>
        <w:adjustRightInd w:val="0"/>
        <w:spacing w:line="500" w:lineRule="exact"/>
        <w:textAlignment w:val="auto"/>
        <w:rPr>
          <w:rFonts w:hint="eastAsia" w:ascii="仿宋_GB2312" w:hAnsi="仿宋" w:eastAsia="仿宋_GB2312"/>
        </w:rPr>
      </w:pPr>
      <w:r>
        <w:rPr>
          <w:rFonts w:hint="eastAsia" w:ascii="仿宋_GB2312" w:hAnsi="仿宋" w:eastAsia="仿宋_GB2312" w:cs="Times New Roman"/>
          <w:b w:val="0"/>
          <w:bCs w:val="0"/>
          <w:snapToGrid/>
          <w:kern w:val="2"/>
          <w:sz w:val="32"/>
          <w:szCs w:val="32"/>
          <w:highlight w:val="none"/>
          <w:lang w:val="en-US" w:eastAsia="zh-CN" w:bidi="ar-SA"/>
        </w:rPr>
        <w:t>地址：江门市棠下镇良溪村廉冲坑</w:t>
      </w:r>
    </w:p>
    <w:p>
      <w:pPr>
        <w:keepNext w:val="0"/>
        <w:keepLines w:val="0"/>
        <w:pageBreakBefore w:val="0"/>
        <w:overflowPunct/>
        <w:topLinePunct w:val="0"/>
        <w:bidi w:val="0"/>
        <w:spacing w:line="500" w:lineRule="exact"/>
        <w:rPr>
          <w:rFonts w:ascii="Arial"/>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672" w:firstLineChars="200"/>
        <w:textAlignment w:val="baseline"/>
        <w:rPr>
          <w:rFonts w:ascii="黑体" w:hAnsi="黑体" w:eastAsia="黑体" w:cs="黑体"/>
          <w:sz w:val="32"/>
          <w:szCs w:val="32"/>
        </w:rPr>
      </w:pPr>
      <w:r>
        <w:rPr>
          <w:rFonts w:ascii="黑体" w:hAnsi="黑体" w:eastAsia="黑体" w:cs="黑体"/>
          <w:spacing w:val="8"/>
          <w:position w:val="4"/>
          <w:sz w:val="32"/>
          <w:szCs w:val="32"/>
        </w:rPr>
        <w:t>一</w:t>
      </w:r>
      <w:r>
        <w:rPr>
          <w:rFonts w:ascii="黑体" w:hAnsi="黑体" w:eastAsia="黑体" w:cs="黑体"/>
          <w:spacing w:val="5"/>
          <w:position w:val="4"/>
          <w:sz w:val="32"/>
          <w:szCs w:val="32"/>
        </w:rPr>
        <w:t>、</w:t>
      </w:r>
      <w:r>
        <w:rPr>
          <w:rFonts w:ascii="黑体" w:hAnsi="黑体" w:eastAsia="黑体" w:cs="黑体"/>
          <w:spacing w:val="4"/>
          <w:position w:val="4"/>
          <w:sz w:val="32"/>
          <w:szCs w:val="32"/>
        </w:rPr>
        <w:t>环境违法事实和证据</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_GB2312" w:hAnsi="仿宋" w:eastAsia="仿宋_GB2312" w:cs="Times New Roman"/>
          <w:snapToGrid/>
          <w:color w:val="000000"/>
          <w:kern w:val="2"/>
          <w:sz w:val="32"/>
          <w:szCs w:val="32"/>
          <w:lang w:val="en-US" w:eastAsia="zh-CN" w:bidi="ar-SA"/>
        </w:rPr>
      </w:pPr>
      <w:r>
        <w:rPr>
          <w:rFonts w:hint="eastAsia" w:ascii="仿宋_GB2312" w:hAnsi="仿宋" w:eastAsia="仿宋_GB2312" w:cs="Times New Roman"/>
          <w:snapToGrid/>
          <w:color w:val="000000"/>
          <w:kern w:val="2"/>
          <w:sz w:val="32"/>
          <w:szCs w:val="32"/>
          <w:lang w:val="en-US" w:eastAsia="zh-CN" w:bidi="ar-SA"/>
        </w:rPr>
        <w:t>2023年7月24日、7月31日，我局执法人员对你单位进行现场检查，发现你单位存在以下环境违法行为：</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_GB2312" w:hAnsi="仿宋" w:eastAsia="仿宋_GB2312" w:cs="Times New Roman"/>
          <w:snapToGrid/>
          <w:color w:val="000000"/>
          <w:kern w:val="2"/>
          <w:sz w:val="32"/>
          <w:szCs w:val="32"/>
          <w:lang w:val="en-US" w:eastAsia="zh-CN" w:bidi="ar-SA"/>
        </w:rPr>
      </w:pPr>
      <w:r>
        <w:rPr>
          <w:rFonts w:hint="eastAsia" w:ascii="仿宋_GB2312" w:hAnsi="仿宋" w:eastAsia="仿宋_GB2312" w:cs="Times New Roman"/>
          <w:snapToGrid/>
          <w:color w:val="000000"/>
          <w:kern w:val="2"/>
          <w:sz w:val="32"/>
          <w:szCs w:val="32"/>
          <w:lang w:val="en-US" w:eastAsia="zh-CN" w:bidi="ar-SA"/>
        </w:rPr>
        <w:t>你单位主要从事建筑材料制造项目。你单位露天堆场上堆放着大量的砂土物料，未设置不低于砂土堆高度的严密围挡，只有少部分砂土物料用防尘网覆盖，其余大部分砂土物料未采取有效覆盖措施防治扬尘污染。</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上述事实有我局2023年7月31日现场检查（勘察）记录、调查询问笔录、现场检查拍摄照片及视频，2023年7月24日现场检查拍摄照片、2023年7月30日堆场整改情况照片、江门市蓬江区华宇石业有限公司营业执照复印件、法定代表人何坚业身份证复印件、办公室主任曹XX</w:t>
      </w:r>
      <w:bookmarkStart w:id="0" w:name="_GoBack"/>
      <w:bookmarkEnd w:id="0"/>
      <w:r>
        <w:rPr>
          <w:rFonts w:hint="eastAsia" w:ascii="仿宋_GB2312" w:hAnsi="仿宋_GB2312" w:eastAsia="仿宋_GB2312" w:cs="仿宋_GB2312"/>
          <w:snapToGrid/>
          <w:color w:val="000000"/>
          <w:kern w:val="2"/>
          <w:sz w:val="32"/>
          <w:szCs w:val="32"/>
          <w:lang w:val="en-US" w:eastAsia="zh-CN" w:bidi="ar-SA"/>
        </w:rPr>
        <w:t>身份证复印件、《授权委托书》《江门市生态环境局责令改正违法行为通知书》（No：TX23072402）、《江门市生态环境局当事人送达地址确认书》等为证。</w:t>
      </w:r>
    </w:p>
    <w:p>
      <w:pPr>
        <w:keepNext w:val="0"/>
        <w:keepLines w:val="0"/>
        <w:pageBreakBefore w:val="0"/>
        <w:widowControl w:val="0"/>
        <w:numPr>
          <w:ilvl w:val="0"/>
          <w:numId w:val="1"/>
        </w:numPr>
        <w:kinsoku/>
        <w:wordWrap/>
        <w:overflowPunct/>
        <w:topLinePunct w:val="0"/>
        <w:autoSpaceDE/>
        <w:autoSpaceDN/>
        <w:bidi w:val="0"/>
        <w:adjustRightInd w:val="0"/>
        <w:snapToGrid w:val="0"/>
        <w:spacing w:line="5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责令改正的依据、种类及其履行方式和期限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你单位的上述行为，违反了《中华人民共和国大气污染防治法》第七十二条第一款的规定，依据《中华人民共和国大气污染防治法》第一百一十七条第二项的规定，</w:t>
      </w:r>
      <w:r>
        <w:rPr>
          <w:rFonts w:hint="eastAsia" w:ascii="仿宋_GB2312" w:hAnsi="仿宋_GB2312" w:eastAsia="仿宋_GB2312" w:cs="仿宋_GB2312"/>
          <w:b/>
          <w:bCs/>
          <w:sz w:val="32"/>
          <w:szCs w:val="32"/>
        </w:rPr>
        <w:t>我局责令你单位自收到本决定书之日起</w:t>
      </w:r>
      <w:r>
        <w:rPr>
          <w:rFonts w:hint="eastAsia" w:ascii="仿宋_GB2312" w:hAnsi="仿宋_GB2312" w:eastAsia="仿宋_GB2312" w:cs="仿宋_GB2312"/>
          <w:b/>
          <w:bCs/>
          <w:sz w:val="32"/>
          <w:szCs w:val="32"/>
          <w:lang w:val="en-US" w:eastAsia="zh-CN"/>
        </w:rPr>
        <w:t>立即改正对不能密闭的易产生扬尘的物料未设置不低于堆放物高度的严密围挡，未采取有效覆盖措施防治扬尘污染的违法行为</w:t>
      </w:r>
      <w:r>
        <w:rPr>
          <w:rFonts w:hint="eastAsia" w:ascii="仿宋_GB2312" w:hAnsi="仿宋_GB2312" w:eastAsia="仿宋_GB2312" w:cs="仿宋_GB2312"/>
          <w:b/>
          <w:bCs/>
          <w:sz w:val="32"/>
          <w:szCs w:val="32"/>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三、</w:t>
      </w:r>
      <w:r>
        <w:rPr>
          <w:rFonts w:hint="eastAsia" w:ascii="黑体" w:hAnsi="黑体" w:eastAsia="黑体"/>
          <w:sz w:val="32"/>
          <w:szCs w:val="32"/>
        </w:rPr>
        <w:t>申请复议或者提起诉讼的途径和期限</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对本决定不服，可以在接到本决定书之日起六十日内向江门市人民政府（受理地址：江门市人民政府行政复议办公室，江门市蓬江区西园里中三号之一江门市人民政府西侧门）提出行政复议申请，也可在接到本决定书六个月内直接向江门市江海区人民法院提起行政起诉。逾期不申请行政复议，也不提起诉讼，又不履行本决定的，我局将依法申请人民法院强制执行。</w:t>
      </w: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00" w:lineRule="exact"/>
        <w:ind w:left="2010" w:leftChars="200" w:hanging="1590" w:hangingChars="497"/>
        <w:jc w:val="left"/>
        <w:textAlignment w:val="auto"/>
        <w:rPr>
          <w:rFonts w:hint="default"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地址:江门市蓬江区胜利路154号珠西创谷自编1号楼5楼</w:t>
      </w:r>
    </w:p>
    <w:p>
      <w:pPr>
        <w:keepNext w:val="0"/>
        <w:keepLines w:val="0"/>
        <w:pageBreakBefore w:val="0"/>
        <w:widowControl w:val="0"/>
        <w:kinsoku/>
        <w:wordWrap/>
        <w:overflowPunct/>
        <w:topLinePunct w:val="0"/>
        <w:autoSpaceDE/>
        <w:autoSpaceDN/>
        <w:bidi w:val="0"/>
        <w:adjustRightInd w:val="0"/>
        <w:snapToGrid w:val="0"/>
        <w:spacing w:line="500" w:lineRule="exact"/>
        <w:ind w:left="2010" w:leftChars="200" w:hanging="1590" w:hangingChars="497"/>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联系人：李先生，联系电话：0750-3291707。</w:t>
      </w: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val="0"/>
        <w:overflowPunct/>
        <w:topLinePunct w:val="0"/>
        <w:autoSpaceDE/>
        <w:autoSpaceDN/>
        <w:bidi w:val="0"/>
        <w:adjustRightInd w:val="0"/>
        <w:snapToGrid w:val="0"/>
        <w:spacing w:line="500" w:lineRule="exact"/>
        <w:jc w:val="right"/>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val="0"/>
        <w:overflowPunct/>
        <w:topLinePunct w:val="0"/>
        <w:autoSpaceDE/>
        <w:autoSpaceDN/>
        <w:bidi w:val="0"/>
        <w:adjustRightInd w:val="0"/>
        <w:snapToGrid w:val="0"/>
        <w:spacing w:line="500" w:lineRule="exact"/>
        <w:jc w:val="right"/>
        <w:textAlignment w:val="auto"/>
        <w:rPr>
          <w:rFonts w:hint="eastAsia" w:ascii="仿宋_GB2312" w:hAnsi="仿宋" w:eastAsia="仿宋_GB2312" w:cs="Times New Roman"/>
          <w:snapToGrid/>
          <w:color w:val="000000"/>
          <w:kern w:val="2"/>
          <w:sz w:val="32"/>
          <w:szCs w:val="32"/>
          <w:lang w:val="en-US" w:eastAsia="zh-CN" w:bidi="ar-SA"/>
        </w:rPr>
      </w:pPr>
      <w:r>
        <w:rPr>
          <w:rFonts w:hint="eastAsia" w:ascii="仿宋_GB2312" w:hAnsi="仿宋" w:eastAsia="仿宋_GB2312" w:cs="Times New Roman"/>
          <w:snapToGrid/>
          <w:color w:val="000000"/>
          <w:kern w:val="2"/>
          <w:sz w:val="32"/>
          <w:szCs w:val="32"/>
          <w:lang w:val="en-US" w:eastAsia="zh-CN" w:bidi="ar-SA"/>
        </w:rPr>
        <w:t xml:space="preserve">江门市生态环境局     </w:t>
      </w:r>
    </w:p>
    <w:p>
      <w:pPr>
        <w:keepNext w:val="0"/>
        <w:keepLines w:val="0"/>
        <w:pageBreakBefore w:val="0"/>
        <w:widowControl w:val="0"/>
        <w:kinsoku/>
        <w:wordWrap w:val="0"/>
        <w:overflowPunct/>
        <w:topLinePunct w:val="0"/>
        <w:autoSpaceDE/>
        <w:autoSpaceDN/>
        <w:bidi w:val="0"/>
        <w:adjustRightInd w:val="0"/>
        <w:snapToGrid w:val="0"/>
        <w:spacing w:line="500" w:lineRule="exact"/>
        <w:jc w:val="right"/>
        <w:textAlignment w:val="auto"/>
        <w:rPr>
          <w:rFonts w:hint="default" w:ascii="仿宋_GB2312" w:hAnsi="仿宋" w:eastAsia="仿宋_GB2312" w:cs="Times New Roman"/>
          <w:snapToGrid/>
          <w:color w:val="000000"/>
          <w:kern w:val="2"/>
          <w:sz w:val="32"/>
          <w:szCs w:val="32"/>
          <w:lang w:val="en-US" w:eastAsia="zh-CN" w:bidi="ar-SA"/>
        </w:rPr>
      </w:pPr>
      <w:r>
        <w:rPr>
          <w:rFonts w:hint="eastAsia" w:ascii="仿宋_GB2312" w:hAnsi="仿宋" w:eastAsia="仿宋_GB2312" w:cs="Times New Roman"/>
          <w:snapToGrid/>
          <w:color w:val="000000"/>
          <w:kern w:val="2"/>
          <w:sz w:val="32"/>
          <w:szCs w:val="32"/>
          <w:lang w:val="en-US" w:eastAsia="zh-CN" w:bidi="ar-SA"/>
        </w:rPr>
        <w:t xml:space="preserve">2023年8月29日     </w:t>
      </w:r>
    </w:p>
    <w:p>
      <w:r>
        <w:rPr>
          <w:rFonts w:hint="eastAsia" w:ascii="仿宋_GB2312" w:hAnsi="仿宋" w:eastAsia="仿宋_GB2312" w:cs="Times New Roman"/>
          <w:snapToGrid/>
          <w:color w:val="000000"/>
          <w:kern w:val="2"/>
          <w:sz w:val="32"/>
          <w:szCs w:val="32"/>
          <w:lang w:val="en-US" w:eastAsia="zh-CN" w:bidi="ar-SA"/>
        </w:rPr>
        <w:t xml:space="preserve"> </w:t>
      </w:r>
    </w:p>
    <w:p/>
    <w:tbl>
      <w:tblPr>
        <w:tblStyle w:val="2"/>
        <w:tblpPr w:leftFromText="180" w:rightFromText="180" w:vertAnchor="text" w:horzAnchor="page" w:tblpX="1555" w:tblpY="19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9123" w:type="dxa"/>
            <w:tcBorders>
              <w:top w:val="single" w:color="auto" w:sz="4" w:space="0"/>
              <w:left w:val="nil"/>
              <w:bottom w:val="single" w:color="auto" w:sz="4" w:space="0"/>
              <w:right w:val="nil"/>
            </w:tcBorders>
            <w:noWrap w:val="0"/>
            <w:vAlign w:val="top"/>
          </w:tcPr>
          <w:p>
            <w:pPr>
              <w:adjustRightInd w:val="0"/>
              <w:snapToGrid w:val="0"/>
              <w:spacing w:line="540" w:lineRule="exact"/>
              <w:ind w:left="948" w:hanging="960" w:hangingChars="3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抄送：</w:t>
            </w:r>
            <w:r>
              <w:rPr>
                <w:rFonts w:hint="eastAsia" w:ascii="仿宋_GB2312" w:hAnsi="仿宋_GB2312" w:eastAsia="仿宋_GB2312" w:cs="仿宋_GB2312"/>
                <w:sz w:val="32"/>
                <w:szCs w:val="32"/>
                <w:lang w:eastAsia="zh-CN"/>
              </w:rPr>
              <w:t>棠下镇人民政府</w:t>
            </w:r>
          </w:p>
        </w:tc>
      </w:tr>
    </w:tbl>
    <w:p>
      <w:pPr>
        <w:keepNext w:val="0"/>
        <w:keepLines w:val="0"/>
        <w:pageBreakBefore w:val="0"/>
        <w:widowControl/>
        <w:kinsoku w:val="0"/>
        <w:wordWrap/>
        <w:overflowPunct/>
        <w:topLinePunct w:val="0"/>
        <w:autoSpaceDE w:val="0"/>
        <w:autoSpaceDN w:val="0"/>
        <w:bidi w:val="0"/>
        <w:adjustRightInd w:val="0"/>
        <w:snapToGrid w:val="0"/>
        <w:spacing w:line="20" w:lineRule="exact"/>
        <w:textAlignment w:val="baseline"/>
      </w:pPr>
    </w:p>
    <w:sectPr>
      <w:pgSz w:w="11906" w:h="16838"/>
      <w:pgMar w:top="2098" w:right="1474" w:bottom="1984"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鼎CS大宋">
    <w:altName w:val="宋体"/>
    <w:panose1 w:val="0201060901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647A56"/>
    <w:multiLevelType w:val="singleLevel"/>
    <w:tmpl w:val="C0647A5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ZTQxMGVlNzJhOWYyYTI4MmViYmVkMzAzZDc0OGEifQ=="/>
  </w:docVars>
  <w:rsids>
    <w:rsidRoot w:val="743A2544"/>
    <w:rsid w:val="09E153CF"/>
    <w:rsid w:val="0F450E31"/>
    <w:rsid w:val="13CD319C"/>
    <w:rsid w:val="257B169F"/>
    <w:rsid w:val="54A43D05"/>
    <w:rsid w:val="5A6C5E26"/>
    <w:rsid w:val="5EBB6A14"/>
    <w:rsid w:val="6C70648D"/>
    <w:rsid w:val="743A2544"/>
    <w:rsid w:val="7A950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827</Words>
  <Characters>892</Characters>
  <Lines>0</Lines>
  <Paragraphs>0</Paragraphs>
  <TotalTime>1</TotalTime>
  <ScaleCrop>false</ScaleCrop>
  <LinksUpToDate>false</LinksUpToDate>
  <CharactersWithSpaces>903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2023-03-31T02:23:00Z</dcterms:created>
  <dc:creator>永乐大大帝</dc:creator>
  <cp:lastModifiedBy>简某某</cp:lastModifiedBy>
  <dcterms:modified xsi:type="dcterms:W3CDTF">2023-09-01T03:48:27Z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FDA9FF1EB42A42CF8974B3E474911862_11</vt:lpwstr>
  </property>
</Properties>
</file>