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600" w:lineRule="exact"/>
        <w:jc w:val="left"/>
        <w:rPr>
          <w:rFonts w:ascii="Times New Roman" w:hAnsi="Times New Roman" w:eastAsia="方正仿宋_GBK"/>
          <w:color w:val="000000"/>
          <w:kern w:val="0"/>
          <w:sz w:val="30"/>
          <w:szCs w:val="30"/>
        </w:rPr>
      </w:pPr>
      <w:r>
        <w:rPr>
          <w:rFonts w:ascii="Times New Roman" w:hAnsi="Times New Roman" w:eastAsia="方正仿宋_GBK"/>
          <w:color w:val="000000"/>
          <w:kern w:val="0"/>
          <w:sz w:val="30"/>
          <w:szCs w:val="30"/>
        </w:rPr>
        <w:t>附件：</w:t>
      </w:r>
    </w:p>
    <w:p>
      <w:pPr>
        <w:spacing w:before="0" w:beforeAutospacing="0" w:after="0" w:afterAutospacing="0" w:line="600" w:lineRule="exact"/>
        <w:jc w:val="left"/>
        <w:rPr>
          <w:rFonts w:ascii="Times New Roman" w:hAnsi="Times New Roman" w:eastAsia="方正仿宋_GBK"/>
          <w:color w:val="000000"/>
          <w:kern w:val="0"/>
          <w:sz w:val="30"/>
          <w:szCs w:val="30"/>
        </w:rPr>
      </w:pPr>
    </w:p>
    <w:p>
      <w:pPr>
        <w:widowControl/>
        <w:spacing w:after="240" w:line="400" w:lineRule="exact"/>
        <w:jc w:val="center"/>
        <w:rPr>
          <w:rFonts w:hint="default" w:ascii="Times New Roman" w:hAnsi="Times New Roman" w:eastAsia="方正大标宋_GBK"/>
          <w:color w:val="000000"/>
          <w:kern w:val="0"/>
          <w:sz w:val="36"/>
          <w:szCs w:val="36"/>
        </w:rPr>
      </w:pPr>
      <w:r>
        <w:rPr>
          <w:rFonts w:hint="eastAsia" w:ascii="Times New Roman" w:hAnsi="Times New Roman" w:eastAsia="方正大标宋_GBK"/>
          <w:color w:val="000000"/>
          <w:kern w:val="0"/>
          <w:sz w:val="36"/>
          <w:szCs w:val="36"/>
        </w:rPr>
        <w:t>2023年第六批江门市科技计划项目验收结论公示表</w:t>
      </w:r>
      <w:bookmarkStart w:id="0" w:name="_GoBack"/>
      <w:bookmarkEnd w:id="0"/>
    </w:p>
    <w:tbl>
      <w:tblPr>
        <w:tblStyle w:val="2"/>
        <w:tblW w:w="10397" w:type="dxa"/>
        <w:jc w:val="center"/>
        <w:tblLayout w:type="fixed"/>
        <w:tblCellMar>
          <w:top w:w="0" w:type="dxa"/>
          <w:left w:w="108" w:type="dxa"/>
          <w:bottom w:w="0" w:type="dxa"/>
          <w:right w:w="108" w:type="dxa"/>
        </w:tblCellMar>
      </w:tblPr>
      <w:tblGrid>
        <w:gridCol w:w="692"/>
        <w:gridCol w:w="5104"/>
        <w:gridCol w:w="3600"/>
        <w:gridCol w:w="1001"/>
      </w:tblGrid>
      <w:tr>
        <w:tblPrEx>
          <w:tblCellMar>
            <w:top w:w="0" w:type="dxa"/>
            <w:left w:w="108" w:type="dxa"/>
            <w:bottom w:w="0" w:type="dxa"/>
            <w:right w:w="108" w:type="dxa"/>
          </w:tblCellMar>
        </w:tblPrEx>
        <w:trPr>
          <w:trHeight w:val="90"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序号</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项 目 名 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承 担 单 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验收</w:t>
            </w:r>
          </w:p>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结论</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b/>
                <w:bCs/>
                <w:color w:val="000000"/>
                <w:sz w:val="22"/>
                <w:lang w:val="en-US" w:eastAsia="zh"/>
              </w:rPr>
            </w:pPr>
            <w:r>
              <w:rPr>
                <w:rFonts w:ascii="Times New Roman" w:hAnsi="Times New Roman" w:eastAsia="方正仿宋_GBK"/>
                <w:b/>
                <w:bCs/>
                <w:color w:val="000000"/>
                <w:sz w:val="22"/>
              </w:rPr>
              <w:t>市直单位（</w:t>
            </w:r>
            <w:r>
              <w:rPr>
                <w:rFonts w:hint="default" w:ascii="Times New Roman" w:hAnsi="Times New Roman" w:eastAsia="方正仿宋_GBK"/>
                <w:b/>
                <w:bCs/>
                <w:color w:val="000000"/>
                <w:sz w:val="22"/>
              </w:rPr>
              <w:t>93</w:t>
            </w:r>
            <w:r>
              <w:rPr>
                <w:rFonts w:ascii="Times New Roman" w:hAnsi="Times New Roman" w:eastAsia="方正仿宋_GBK"/>
                <w:b/>
                <w:bCs/>
                <w:color w:val="000000"/>
                <w:sz w:val="22"/>
              </w:rPr>
              <w:t>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olor w:val="000000"/>
                <w:spacing w:val="0"/>
                <w:kern w:val="0"/>
                <w:sz w:val="22"/>
                <w:lang w:eastAsia="zh"/>
              </w:rPr>
            </w:pPr>
            <w:r>
              <w:rPr>
                <w:rFonts w:hint="default" w:ascii="Times New Roman" w:hAnsi="Times New Roman" w:eastAsia="方正仿宋_GBK"/>
                <w:color w:val="000000"/>
                <w:spacing w:val="0"/>
                <w:kern w:val="0"/>
                <w:sz w:val="22"/>
                <w:lang w:eastAsia="zh"/>
              </w:rPr>
              <w:t>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江门市科技局与广东省半导体产业技术研究院共建广东省半导体产业技术研究院江门中心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广东省科学院半导体研究所</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江门市科技馆升级改造</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kern w:val="0"/>
                <w:sz w:val="22"/>
                <w:szCs w:val="22"/>
                <w:lang w:eastAsia="zh" w:bidi="ar-SA"/>
              </w:rPr>
              <w:t>江门市青少年宫</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数字化环境下儿童“沉浸式”阅读研究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江门市图书馆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生物炭对蕉园土壤和香蕉生长的影响效应及机制研究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江门市农业科技创新中心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光电及新能源材料重点实验室</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CN"/>
              </w:rPr>
              <w:t>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基于拓扑感知的无线传感网络数据聚合方法研究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江门开放大学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olor w:val="000000"/>
                <w:kern w:val="0"/>
                <w:sz w:val="22"/>
                <w:lang w:val="en-US" w:eastAsia="zh"/>
              </w:rPr>
              <w:t>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智慧工地视觉管控关键技术及其应用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江门市交通建设投资集团有限公司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 w:bidi="ar-SA"/>
              </w:rPr>
              <w:t>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思维导图在语文专项教学中的应用研究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 w:bidi="ar-SA"/>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正念技术在西藏民族班心理健康教育中的应用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CN" w:bidi="ar-SA"/>
              </w:rPr>
              <w:t>10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自我悲悯团体训练对大专生宿舍人际关系的影响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人工智能赋能高职公共英语教学创新的实践研究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文化自信背景下高职英语汉英文化双轮驱动教学实践研究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幼儿园园长德育能力提升的策略研究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“一带一路”背景下华文教育课程思政体系构建之探索</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江门幼儿师范学校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白簕叶总皂苷精制工艺优化及对酪氨酸酶抑制作用研究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提高医药类高职院校学生责任担当意识有效途径研究--以江门市为例</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s="Times New Roman"/>
                <w:color w:val="000000"/>
                <w:spacing w:val="0"/>
                <w:kern w:val="0"/>
                <w:sz w:val="22"/>
                <w:szCs w:val="22"/>
                <w:lang w:eastAsia="zh-CN" w:bidi="ar-SA"/>
              </w:rPr>
              <w:t>17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疫情常态化下高职病原生物与免疫学实验教学改革探究与实践</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高职扩招背景下SPOC教学模式的实践与应用---以《针灸学》为例</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进出口蜂蜜中百里香酚含量的测定</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江门海关技术中心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 w:bidi="ar"/>
              </w:rPr>
            </w:pPr>
            <w:r>
              <w:rPr>
                <w:rFonts w:hint="default" w:ascii="Times New Roman" w:hAnsi="Times New Roman" w:eastAsia="宋体" w:cs="Times New Roman"/>
                <w:i w:val="0"/>
                <w:color w:val="000000"/>
                <w:kern w:val="0"/>
                <w:sz w:val="22"/>
                <w:szCs w:val="22"/>
                <w:u w:val="none"/>
                <w:lang w:val="en-US" w:eastAsia="zh-CN" w:bidi="ar"/>
              </w:rPr>
              <w:t>20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广东极端暖区强降水微物理特征及风险预警技术</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江门市气象局</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定量姿势平衡测定对脑卒中后平衡功能障碍康复疗效评价</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使用鼻肠管降低神经外科重症患者误吸发生率的循证护理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基于DTI的tDCS结合计算机辅助训练调控aMCI工作记忆机制研究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老年误吸高风险患者质量管理二级质控体系的建立及应用研究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循证护理在预防白血病患者PICC置管后持续渗血中的应用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新型血管图在血液透析患者动静脉內瘘计划穿刺中的临床效果研究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腕踝针在急性肾绞痛患者中的临床应用研究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基于新型冠状病毒肺炎引起医护人员创伤及应激相关障碍研究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托法替布治疗结缔组织病相关间质性肺病的疗效观察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气管推移训练对颈椎前路减压融合内固定术术后康复影响的研究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基于通径分析和决策树模型下的江门市DIP分值付费可行性分析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 w:bidi="ar-SA"/>
              </w:rPr>
              <w:t>32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知信行健康教育对COPD稳定期主要照顾者照顾行为的影响研究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动静脉內瘘功能评估表在血液透析患者应用中的临床效果观察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不同吸痰深度对喉癌术后气管切开患者效果影响的研究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改良置管法联合心电定位技术预防肿瘤患者PICC隐性脱管的应用研究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36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双源CT鉴别诊断WHO不同病理分型胸腺上皮来源肿瘤的临床研究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肺康复护理的规范管理在高龄髋部骨折患者中的应用效果研究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粪便脱落细胞ADAMDEC1基因甲基化在人结直肠癌临床早期筛查的应用研究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w:t>
            </w:r>
            <w:r>
              <w:rPr>
                <w:rFonts w:hint="default" w:ascii="Times New Roman" w:hAnsi="Times New Roman" w:cs="Times New Roman"/>
                <w:i w:val="0"/>
                <w:color w:val="000000"/>
                <w:kern w:val="0"/>
                <w:sz w:val="22"/>
                <w:szCs w:val="22"/>
                <w:u w:val="none"/>
                <w:lang w:eastAsia="zh-CN" w:bidi="ar"/>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改良阿扎胞苷皮下注射法在减少注射部位皮下硬结的应用研究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心理危机干预结合强化风险意识对胃肠外科肠造口患者心理弹性及照顾能力的影响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卡格列净治疗2型糖尿病合并糖尿病肾病的疗效观察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罗沙司他治疗维持性血液透析患者肾性贫血的疗效观察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经阴道子宫输卵管四维超声造影对宫外孕保守治疗后输卵管通畅性的评估价值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产房集束化护理干预对无痛分娩产妇产后尿潴留的影响研究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CT测量膀胱壁厚度及前列腺突入膀胱距离在男性膀胱出口梗阻患者中的诊断价值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不同年龄段小儿慢性上腹痛的临床病因及胃镜特点分析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健康教育路径对乳腺癌手术患者及家庭照顾者的应用效果观察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康复志愿者人文关怀支持在乳腺癌手术患者康复中的效果观察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综合ICU患者腹泻危险因素分析及风险预测模型的构建</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西那卡塞联合帕立骨化醇治疗血液透析患者合并继发性甲状旁腺功能亢进的疗效观察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尿素/肌酐比值等客观指标在构建住院患者营养不良风险预测模型的价值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基于医院办公自动化系统的应急管理平台处理应急事件能力研究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电刺激联合生物反馈对产后盆底功能康复的疗效评估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三联预康复对心脏瓣膜置换术后康复效果的研究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 w:bidi="ar-SA"/>
              </w:rPr>
              <w:t>55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高血压病伴室性早搏与心率减速力、心率变异性、心率震荡的相关性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不重复部位注射阿扎胞苷在治疗中高危骨髓增生异常综合征患者中减轻给药部位疼痛的临床应用研究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57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基于医院信息平台的单病种质量数据上报系统研究与应用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58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基于院长办公会议决议事项督办分析应用综合指数法对医院职能科室执行力的研究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59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基于脊柱稳定性理论下的SET悬吊系统对非特异性下背痛患者的临床应用研究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60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帕金森病及继发性帕金森综合征伴精神障碍的调查研究及对生活质量的影响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cs="Times New Roman"/>
                <w:i w:val="0"/>
                <w:color w:val="000000"/>
                <w:kern w:val="0"/>
                <w:sz w:val="22"/>
                <w:szCs w:val="22"/>
                <w:u w:val="none"/>
                <w:lang w:eastAsia="zh-CN" w:bidi="ar"/>
              </w:rPr>
              <w:t>61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“三才”视域下五邑中医药文化研究初探</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eastAsia="zh" w:bidi="ar"/>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62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外海面保质技术研究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63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江门市LED灯具发展研究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人乳头瘤病毒疫苗接种对女性人乳头瘤病毒感染的流行病学分布和宫颈病变的影响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9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经皮氧分压在2型糖尿病周围神经病变中的诊断意义</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吲哚氰绿清除试验在脾切除断流术肝功能评估的临床价值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心肺运动试验联合静态肺功能检查评估合并COPD肺癌患者围术期风险的应用研究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心肺运动试验对CRT(D)植入患者心功能评估的临床研究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增强型体外反搏对ST段抬高型急性心肌梗死患者急诊PCI术后再灌注损伤、微循环障碍及心脏功能的保护作用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DRGs付费下江门市三甲综合医院绩效管理系列研究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血栓弹力图对反复种植失败患者的预测价值研究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高糖、利多卡因、维生素B12、地塞米松湿敷疗法对钆喷酸双葡铵所致静脉炎的疗效观察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mTOR通路信号在HER2阴性乳腺导管内癌浸润中的表达及临床意义</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应用动态双风险分层评估于分化型甲状腺癌患者术后TSH抑制治疗长期管理中的临床研究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快速康复外科在乳腺癌Ⅰ期假体重建患者围手术期护理应用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投影式红外血管成像仪在门诊输液患者外周静脉穿刺中的应用研究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钮扣洞穿刺法在血液透析中的应用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Rad51在三阴性乳腺癌的表达与肿瘤生物学特征的关系及其临床意义</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δ-氨基酮戊酸光动力治疗基底细胞癌的临床研究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江门地区恶性肿瘤患者的生存率及其影响因素分析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影响中低位直肠癌术后预防性肠造口回纳相关因素的分析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Smoothened 、STAT3在不同分子亚型乳腺癌及良性乳腺疾病中的表达及临床意义</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成人血液透析患者症状的辨识与其生活质量的相互作用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抗结核治疗疗程对晚期艾滋病合并肺结核病患者治愈率及复发率的影响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胆道内射频消融及支架治疗高位恶性梗阻性黄疸</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86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运用PDCA管理模式提高首台手术准时开台率的成效观察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w:t>
            </w:r>
            <w:r>
              <w:rPr>
                <w:rFonts w:hint="eastAsia" w:ascii="方正仿宋_GBK" w:hAnsi="方正仿宋_GBK" w:eastAsia="方正仿宋_GBK" w:cs="方正仿宋_GBK"/>
                <w:kern w:val="0"/>
                <w:sz w:val="22"/>
                <w:szCs w:val="22"/>
                <w:lang w:val="en-US" w:eastAsia="zh-CN" w:bidi="ar-SA"/>
              </w:rPr>
              <w:t>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87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弹性成像联合超声造影在甲状腺实质性占位病变鉴别诊断中意义的研究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不同养老方式失智症老年人康复护理的差异性研究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江门市医学工作者对医学统计学认知情况与应用需求分析研究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江门市青少年学生艾滋病高危行为现状与干预效果评价</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人体肠道寄生虫检验新技术应用研究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 w:bidi="ar-SA"/>
              </w:rPr>
              <w:t>92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江门市突发公共卫生事件应急管理研究——以新型冠状病毒疫情防控为实证</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 w:bidi="ar-SA"/>
              </w:rPr>
            </w:pPr>
            <w:r>
              <w:rPr>
                <w:rFonts w:hint="default" w:ascii="Times New Roman" w:hAnsi="Times New Roman" w:eastAsia="方正仿宋_GBK" w:cs="Times New Roman"/>
                <w:color w:val="000000"/>
                <w:kern w:val="0"/>
                <w:sz w:val="22"/>
                <w:szCs w:val="22"/>
                <w:lang w:eastAsia="zh" w:bidi="ar-SA"/>
              </w:rPr>
              <w:t>93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江门市慢性病及其危险因素调查研究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kern w:val="0"/>
                <w:sz w:val="22"/>
                <w:szCs w:val="22"/>
                <w:lang w:val="en-US" w:eastAsia="zh" w:bidi="ar-SA"/>
              </w:rPr>
            </w:pPr>
            <w:r>
              <w:rPr>
                <w:rFonts w:hint="default" w:ascii="Times New Roman" w:hAnsi="Times New Roman" w:eastAsia="方正仿宋_GBK"/>
                <w:b/>
                <w:bCs/>
                <w:color w:val="000000"/>
                <w:sz w:val="22"/>
                <w:lang w:eastAsia="zh-CN"/>
              </w:rPr>
              <w:t>江海区（5项）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11"/>
                <w:kern w:val="0"/>
                <w:sz w:val="24"/>
                <w:szCs w:val="24"/>
                <w:u w:val="none"/>
                <w:lang w:val="en-US" w:eastAsia="zh-CN" w:bidi="ar"/>
              </w:rPr>
            </w:pPr>
            <w:r>
              <w:rPr>
                <w:rFonts w:hint="default" w:ascii="方正仿宋_GBK" w:hAnsi="方正仿宋_GBK" w:eastAsia="方正仿宋_GBK" w:cs="方正仿宋_GBK"/>
                <w:i w:val="0"/>
                <w:color w:val="000000"/>
                <w:spacing w:val="-11"/>
                <w:kern w:val="0"/>
                <w:sz w:val="24"/>
                <w:szCs w:val="24"/>
                <w:u w:val="none"/>
                <w:lang w:val="en-US" w:eastAsia="zh-CN" w:bidi="ar"/>
              </w:rPr>
              <w:t>不同血液处理方式对直接化学发光法检测TSH的影响研究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江门市江海区人民医院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 w:bidi="ar"/>
              </w:rPr>
            </w:pPr>
            <w:r>
              <w:rPr>
                <w:rFonts w:hint="default" w:ascii="方正仿宋_GBK" w:hAnsi="方正仿宋_GBK" w:eastAsia="方正仿宋_GBK" w:cs="方正仿宋_GBK"/>
                <w:i w:val="0"/>
                <w:color w:val="00000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颈动脉药物加压灌注治疗前循环脑梗死与后循环脑梗死的临床疗效对比</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江门市江海区人民医院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广东省智能制造研究所江门中心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江门市德泓装备技术有限公司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 w:bidi="ar"/>
              </w:rPr>
            </w:pPr>
            <w:r>
              <w:rPr>
                <w:rFonts w:hint="default" w:ascii="方正仿宋_GBK" w:hAnsi="方正仿宋_GBK" w:eastAsia="方正仿宋_GBK" w:cs="方正仿宋_GBK"/>
                <w:i w:val="0"/>
                <w:color w:val="00000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江门市新型线路板技术企业重点实验室</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方正仿宋_GBK" w:hAnsi="方正仿宋_GBK" w:eastAsia="方正仿宋_GBK" w:cs="方正仿宋_GBK"/>
                <w:i w:val="0"/>
                <w:color w:val="000000"/>
                <w:kern w:val="0"/>
                <w:sz w:val="24"/>
                <w:szCs w:val="24"/>
                <w:u w:val="none"/>
                <w:lang w:eastAsia="zh-CN" w:bidi="ar"/>
              </w:rPr>
              <w:t>江门荣信电路板有限公司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 w:bidi="ar"/>
              </w:rPr>
            </w:pPr>
            <w:r>
              <w:rPr>
                <w:rFonts w:hint="default" w:ascii="方正仿宋_GBK" w:hAnsi="方正仿宋_GBK" w:eastAsia="方正仿宋_GBK" w:cs="方正仿宋_GBK"/>
                <w:i w:val="0"/>
                <w:color w:val="00000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水龙头产品高速铣削机器人系统关键技术研究与装备产业化</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方正仿宋_GBK" w:hAnsi="方正仿宋_GBK" w:eastAsia="方正仿宋_GBK" w:cs="方正仿宋_GBK"/>
                <w:i w:val="0"/>
                <w:color w:val="000000"/>
                <w:kern w:val="0"/>
                <w:sz w:val="24"/>
                <w:szCs w:val="24"/>
                <w:u w:val="none"/>
                <w:lang w:eastAsia="zh-CN" w:bidi="ar"/>
              </w:rPr>
              <w:t>江门市亚泰智能抛磨科技有限公司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 w:bidi="ar"/>
              </w:rPr>
            </w:pPr>
            <w:r>
              <w:rPr>
                <w:rFonts w:hint="default" w:ascii="方正仿宋_GBK" w:hAnsi="方正仿宋_GBK" w:eastAsia="方正仿宋_GBK" w:cs="方正仿宋_GBK"/>
                <w:i w:val="0"/>
                <w:color w:val="00000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Times New Roman" w:hAnsi="Times New Roman" w:eastAsia="方正仿宋_GBK"/>
                <w:b/>
                <w:bCs/>
                <w:color w:val="000000"/>
                <w:sz w:val="22"/>
                <w:lang w:eastAsia="zh-CN"/>
              </w:rPr>
              <w:t>新会区（21项）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99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江门市高能量干电池工程技术研究中心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江门市生力实业有限公司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100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江门市不锈钢多层煲产品工程技术研究中心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江门市新会区司前镇达美五金制品厂</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101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大型耐磨蚀、抗积灰特种换热设备的模块化“智”造关键技术研发及应用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新会双水发电（B厂）有限公司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102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城市低温食品无人值守智能售卖系统及装备</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江门市新会区康美制品有限公司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广东省高性能油脂制品工程技术研究中心资助项目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广东省新会嘉利油脂有限公司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采用VAS和JOA双评法探讨消肿化瘀膏治疗骨性关节炎的临床疗效</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江门市新会区司前人民医院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105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无痛分娩联合会阴无保护在促进初产妇自然分娩中的应用分娩</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江门市新会区第二人民医院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106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小剂量阿米替林联合综合心理干预对功能性消化不良合并焦虑抑郁患者的疗效观察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江门市新会区第二人民医院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江门市新会区儿童遗尿症的流行病学问卷调查研究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支气管镜下应用吸入用盐酸氨溴索肺泡灌洗治疗在儿童社区获得性肺炎的疗效观察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江门市新会区高二年级学生潜伏性结核感染现状调查分析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温针督脉联合归脾汤对气血虚型眩晕患者椎_基底动脉血流动力的影响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便捷流动咽拭子采样车在临床应用的分析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自制护托预防神经外科偏瘫患者足下垂的效果观察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内镜下粘膜下注射联合止血夹治疗消化性溃疡并出血疗效及预后的临床研究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经鼻高流量湿化氧疗联合支气管镜下肺泡灌洗治疗AECOPD并肺部感染疗效观察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关节镜套在膀胱灌注化疗药物操作中的应用探索</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脑部CT及MRI在脑血管取栓术的评估应用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智能穿戴设备辅助监测在危重症患者睡眠管理的临床应用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流程化管理在门诊无菌物品管理中的应用研究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119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七式脾胃养生操的创编与视频制作</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4"/>
                <w:szCs w:val="24"/>
                <w:lang w:eastAsia="zh-CN" w:bidi="ar-SA"/>
              </w:rPr>
            </w:pPr>
            <w:r>
              <w:rPr>
                <w:rFonts w:hint="default" w:ascii="Times New Roman" w:hAnsi="Times New Roman" w:eastAsia="方正仿宋_GBK"/>
                <w:b/>
                <w:bCs/>
                <w:color w:val="000000"/>
                <w:sz w:val="22"/>
                <w:lang w:eastAsia="zh-CN"/>
              </w:rPr>
              <w:t>台山市（12项）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eastAsia" w:ascii="方正仿宋_GBK" w:hAnsi="方正仿宋_GBK" w:eastAsia="方正仿宋_GBK" w:cs="方正仿宋_GBK"/>
                <w:kern w:val="0"/>
                <w:sz w:val="22"/>
                <w:szCs w:val="22"/>
                <w:lang w:val="en-US" w:eastAsia="zh-CN" w:bidi="ar-SA"/>
              </w:rPr>
              <w:t>86寸以上电容式触摸屏(搭配主动笔)项目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广东泰奇克光电科技有限公司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思维导图对新型冠状病毒肺炎疫情下患者护理管理质量的影响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甲状腺激素、AMH和Fsh/LH水平与女性不孕不育的临床相关性研究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负压组合式硬管镜（硕通镜）联合输尿管软镜治疗&lt;3cm无积水肾结石的安全性和疗效观察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台山市第二人民医院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核仁素（Nucleolin）的表达定位和定量在鼻咽癌演变、生物学行为的临床病理特征相关性的研究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超早期支架辅助栓塞颅内破裂动脉瘤的安全性及疗效</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追踪方法学在静脉治疗护理管理中的应用研究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前庭康复联合高压氧治疗急性小脑梗死所致共济失调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超声动态监测神经重症去骨瓣减压患者救治中的应用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129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移动医疗对早发型子痫前期产妇进行产后延续护理的应用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铝合金衣架自动生产装置</w:t>
            </w:r>
            <w:r>
              <w:rPr>
                <w:rFonts w:hint="default" w:ascii="方正仿宋_GBK" w:hAnsi="方正仿宋_GBK" w:eastAsia="方正仿宋_GBK" w:cs="方正仿宋_GBK"/>
                <w:i w:val="0"/>
                <w:color w:val="000000"/>
                <w:spacing w:val="0"/>
                <w:kern w:val="0"/>
                <w:sz w:val="24"/>
                <w:szCs w:val="24"/>
                <w:u w:val="none"/>
                <w:lang w:val="en-US" w:eastAsia="zh-CN" w:bidi="ar"/>
              </w:rPr>
              <w:tab/>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台山市万力达金属制品科技有限公司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经皮椎间孔镜椎板间直接法治疗L5/S1腰椎间盘突出症的临床研究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Times New Roman" w:hAnsi="Times New Roman" w:eastAsia="方正仿宋_GBK"/>
                <w:b/>
                <w:bCs/>
                <w:color w:val="000000"/>
                <w:sz w:val="22"/>
                <w:lang w:eastAsia="zh-CN"/>
              </w:rPr>
              <w:t>恩平市（10项）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德谷胰岛素与甘精胰岛素对2型糖尿病患者TIR的影响的对比研究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针对性护理干预对脑干梗死致吞咽功能障碍患者预后康复的影响研究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江门市智能液压机械设备工程技术研究中心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江门市金丰机械制造有限公司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江门市沐浴洗涤用品工程技术研究中心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恩平安益日化有限公司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江门市精密机械零部件工程技术研究中心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恩平市金铭机械制造有限公司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江门市活性纳米碳酸钙工程技术研究中心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恩平白翠华实业有限公司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江门市新型环保纳米碳酸钙工程技术研究中心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广东汇雄实业投资有限公司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139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江门市建筑陶瓷制备工程技术研究中心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广东荣高陶瓷有限公司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江门市环保全植鞣皮革工程技术研究开发中心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恩平瑞昌制革有限公司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江门市活猪智能化养殖工程技术研究中心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恩平市东骏农业有限公司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2"/>
                <w:szCs w:val="22"/>
                <w:lang w:eastAsia="zh-CN" w:bidi="ar-SA"/>
              </w:rPr>
            </w:pPr>
            <w:r>
              <w:rPr>
                <w:rFonts w:hint="default" w:ascii="Times New Roman" w:hAnsi="Times New Roman" w:eastAsia="方正仿宋_GBK"/>
                <w:b/>
                <w:bCs/>
                <w:color w:val="000000"/>
                <w:sz w:val="22"/>
                <w:lang w:eastAsia="zh-CN"/>
              </w:rPr>
              <w:t>鹤山市（1项）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小针刀疗法治疗颈肩腰腿痛对患者的临床疗效及疼痛方面的效果研究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ab/>
            </w:r>
            <w:r>
              <w:rPr>
                <w:rFonts w:hint="eastAsia" w:ascii="方正仿宋_GBK" w:hAnsi="方正仿宋_GBK" w:eastAsia="方正仿宋_GBK" w:cs="方正仿宋_GBK"/>
                <w:i w:val="0"/>
                <w:color w:val="000000"/>
                <w:spacing w:val="0"/>
                <w:kern w:val="0"/>
                <w:sz w:val="24"/>
                <w:szCs w:val="24"/>
                <w:u w:val="none"/>
                <w:lang w:val="en-US" w:eastAsia="zh-CN" w:bidi="ar"/>
              </w:rPr>
              <w:t>鹤山市中医院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2"/>
                <w:szCs w:val="22"/>
                <w:lang w:eastAsia="zh-CN" w:bidi="ar-SA"/>
              </w:rPr>
            </w:pPr>
            <w:r>
              <w:rPr>
                <w:rFonts w:hint="default" w:ascii="Times New Roman" w:hAnsi="Times New Roman" w:eastAsia="方正仿宋_GBK"/>
                <w:b/>
                <w:bCs/>
                <w:color w:val="000000"/>
                <w:sz w:val="22"/>
                <w:lang w:eastAsia="zh-CN"/>
              </w:rPr>
              <w:t>蓬江区（4项）</w:t>
            </w:r>
          </w:p>
        </w:tc>
      </w:tr>
      <w:tr>
        <w:tblPrEx>
          <w:tblCellMar>
            <w:top w:w="0" w:type="dxa"/>
            <w:left w:w="108" w:type="dxa"/>
            <w:bottom w:w="0" w:type="dxa"/>
            <w:right w:w="108" w:type="dxa"/>
          </w:tblCellMar>
        </w:tblPrEx>
        <w:trPr>
          <w:trHeight w:val="79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高安全性便捷爆米花机的研发</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江门市升迅科技实业有限公司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79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基于云计算及定位技术的全场景三维灯光交互系统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江门市华彩立方科技有限公司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79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江门市4K高清电视与智能多媒体技术重点实验室</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广东海信电子有限公司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r>
        <w:tblPrEx>
          <w:tblCellMar>
            <w:top w:w="0" w:type="dxa"/>
            <w:left w:w="108" w:type="dxa"/>
            <w:bottom w:w="0" w:type="dxa"/>
            <w:right w:w="108" w:type="dxa"/>
          </w:tblCellMar>
        </w:tblPrEx>
        <w:trPr>
          <w:trHeight w:val="79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146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企鹅圈社区运营平台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江门市华城信息科技有限公司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eastAsia="zh-CN" w:bidi="ar-SA"/>
              </w:rPr>
            </w:pPr>
            <w:r>
              <w:rPr>
                <w:rFonts w:hint="default" w:ascii="方正仿宋_GBK" w:hAnsi="方正仿宋_GBK" w:eastAsia="方正仿宋_GBK" w:cs="方正仿宋_GBK"/>
                <w:color w:val="000000"/>
                <w:kern w:val="0"/>
                <w:sz w:val="22"/>
                <w:szCs w:val="22"/>
                <w:lang w:eastAsia="zh-CN" w:bidi="ar-SA"/>
              </w:rPr>
              <w:t>通过</w:t>
            </w:r>
          </w:p>
        </w:tc>
      </w:tr>
    </w:tbl>
    <w:p/>
    <w:sectPr>
      <w:pgSz w:w="11906" w:h="16838"/>
      <w:pgMar w:top="1020" w:right="1800" w:bottom="6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550E98"/>
    <w:rsid w:val="037C9781"/>
    <w:rsid w:val="173BE705"/>
    <w:rsid w:val="1B7FD4FE"/>
    <w:rsid w:val="1D71ABC8"/>
    <w:rsid w:val="26AB19E9"/>
    <w:rsid w:val="2CFB17F1"/>
    <w:rsid w:val="36FF4BFE"/>
    <w:rsid w:val="3B7BA9DA"/>
    <w:rsid w:val="3CFBD0EF"/>
    <w:rsid w:val="3E0DEDCB"/>
    <w:rsid w:val="3EF6D84D"/>
    <w:rsid w:val="3FE72CA6"/>
    <w:rsid w:val="3FFF194D"/>
    <w:rsid w:val="4DEE4CBF"/>
    <w:rsid w:val="55DB4B37"/>
    <w:rsid w:val="56DF2DCE"/>
    <w:rsid w:val="5D7D638E"/>
    <w:rsid w:val="5FBE5F78"/>
    <w:rsid w:val="63BFD3E1"/>
    <w:rsid w:val="65FC08EE"/>
    <w:rsid w:val="69FFEBFD"/>
    <w:rsid w:val="6DEF8C86"/>
    <w:rsid w:val="6F370E47"/>
    <w:rsid w:val="6FFE7865"/>
    <w:rsid w:val="73B7739E"/>
    <w:rsid w:val="75F957C9"/>
    <w:rsid w:val="769F4252"/>
    <w:rsid w:val="76CF79BC"/>
    <w:rsid w:val="7AFFD2DC"/>
    <w:rsid w:val="7B7B31CF"/>
    <w:rsid w:val="7BF9622B"/>
    <w:rsid w:val="7BFE3503"/>
    <w:rsid w:val="7BFEEB93"/>
    <w:rsid w:val="7BFFBFEC"/>
    <w:rsid w:val="7EFD7FEE"/>
    <w:rsid w:val="7F6EE8E5"/>
    <w:rsid w:val="7F77DF37"/>
    <w:rsid w:val="7F9F286A"/>
    <w:rsid w:val="7FB1C1EF"/>
    <w:rsid w:val="7FDDF3E7"/>
    <w:rsid w:val="7FEBC509"/>
    <w:rsid w:val="7FF29F26"/>
    <w:rsid w:val="7FFB337B"/>
    <w:rsid w:val="7FFF0A04"/>
    <w:rsid w:val="8BE14244"/>
    <w:rsid w:val="A77E42B2"/>
    <w:rsid w:val="AB3B09CB"/>
    <w:rsid w:val="AFAFC8C4"/>
    <w:rsid w:val="B7F7D113"/>
    <w:rsid w:val="BADBCD22"/>
    <w:rsid w:val="BF2E5ED8"/>
    <w:rsid w:val="BF676B63"/>
    <w:rsid w:val="C3BF0829"/>
    <w:rsid w:val="CEEF895E"/>
    <w:rsid w:val="D5550E98"/>
    <w:rsid w:val="DBF9E318"/>
    <w:rsid w:val="DBFB1E1C"/>
    <w:rsid w:val="DD7F2C0C"/>
    <w:rsid w:val="DDDE3462"/>
    <w:rsid w:val="E71F74D8"/>
    <w:rsid w:val="E9BEE489"/>
    <w:rsid w:val="E9DBE064"/>
    <w:rsid w:val="EF3E9273"/>
    <w:rsid w:val="EF6F06EF"/>
    <w:rsid w:val="EFBB76ED"/>
    <w:rsid w:val="EFFC5223"/>
    <w:rsid w:val="F2FE8B1B"/>
    <w:rsid w:val="F6DFF8AD"/>
    <w:rsid w:val="F7E76897"/>
    <w:rsid w:val="F7EF0E92"/>
    <w:rsid w:val="F975CF4E"/>
    <w:rsid w:val="FA9A51C6"/>
    <w:rsid w:val="FAFF45DE"/>
    <w:rsid w:val="FCDF05B6"/>
    <w:rsid w:val="FD9F29ED"/>
    <w:rsid w:val="FDFD48C3"/>
    <w:rsid w:val="FDFF49A3"/>
    <w:rsid w:val="FEFD72D9"/>
    <w:rsid w:val="FEFEB2D2"/>
    <w:rsid w:val="FF7BC89E"/>
    <w:rsid w:val="FF8B6358"/>
    <w:rsid w:val="FFBF2D1F"/>
    <w:rsid w:val="FFDEC902"/>
    <w:rsid w:val="FFF7DCDA"/>
    <w:rsid w:val="FFFF6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2023-01-30T02:57:00Z</dcterms:created>
  <dc:creator>uos</dc:creator>
  <cp:lastModifiedBy>greatwall</cp:lastModifiedBy>
  <dcterms:modified xsi:type="dcterms:W3CDTF">2023-10-23T17:10:42Z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