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4"/>
        <w:ind w:firstLine="0"/>
        <w:jc w:val="center"/>
        <w:rPr>
          <w:rFonts w:ascii="文鼎大标宋简" w:hAnsi="宋体" w:eastAsia="文鼎大标宋简"/>
          <w:b/>
          <w:sz w:val="28"/>
          <w:szCs w:val="28"/>
        </w:rPr>
      </w:pPr>
    </w:p>
    <w:p>
      <w:pPr>
        <w:pStyle w:val="54"/>
        <w:ind w:firstLine="0"/>
        <w:jc w:val="center"/>
        <w:rPr>
          <w:rFonts w:ascii="文鼎大标宋简" w:hAnsi="宋体" w:eastAsia="文鼎大标宋简"/>
          <w:b/>
          <w:sz w:val="28"/>
          <w:szCs w:val="28"/>
        </w:rPr>
      </w:pPr>
    </w:p>
    <w:p>
      <w:pPr>
        <w:pStyle w:val="54"/>
        <w:ind w:firstLine="0"/>
        <w:jc w:val="center"/>
        <w:rPr>
          <w:rFonts w:ascii="文鼎大标宋简" w:hAnsi="宋体" w:eastAsia="文鼎大标宋简"/>
          <w:b/>
          <w:sz w:val="28"/>
          <w:szCs w:val="28"/>
        </w:rPr>
      </w:pPr>
    </w:p>
    <w:p>
      <w:pPr>
        <w:pStyle w:val="54"/>
        <w:ind w:firstLine="0"/>
        <w:jc w:val="both"/>
        <w:rPr>
          <w:rFonts w:ascii="文鼎大标宋简" w:hAnsi="宋体" w:eastAsia="文鼎大标宋简"/>
          <w:b/>
          <w:sz w:val="28"/>
          <w:szCs w:val="28"/>
        </w:rPr>
      </w:pPr>
    </w:p>
    <w:p>
      <w:pPr>
        <w:pStyle w:val="54"/>
        <w:ind w:firstLine="0"/>
        <w:jc w:val="center"/>
        <w:rPr>
          <w:rFonts w:ascii="文鼎大标宋简" w:hAnsi="宋体" w:eastAsia="文鼎大标宋简"/>
          <w:b/>
          <w:sz w:val="28"/>
          <w:szCs w:val="28"/>
        </w:rPr>
      </w:pPr>
    </w:p>
    <w:p>
      <w:pPr>
        <w:widowControl/>
        <w:jc w:val="center"/>
        <w:rPr>
          <w:rFonts w:hint="eastAsia" w:asciiTheme="majorEastAsia" w:hAnsiTheme="majorEastAsia" w:eastAsiaTheme="majorEastAsia" w:cstheme="majorEastAsia"/>
          <w:b/>
          <w:bCs/>
          <w:color w:val="000000"/>
          <w:kern w:val="0"/>
          <w:sz w:val="44"/>
          <w:szCs w:val="44"/>
          <w:lang w:eastAsia="zh-CN"/>
          <w14:ligatures w14:val="none"/>
        </w:rPr>
      </w:pPr>
      <w:r>
        <w:rPr>
          <w:rFonts w:hint="eastAsia" w:asciiTheme="majorEastAsia" w:hAnsiTheme="majorEastAsia" w:eastAsiaTheme="majorEastAsia" w:cstheme="majorEastAsia"/>
          <w:b/>
          <w:bCs/>
          <w:color w:val="000000"/>
          <w:kern w:val="0"/>
          <w:sz w:val="44"/>
          <w:szCs w:val="44"/>
          <w14:ligatures w14:val="none"/>
        </w:rPr>
        <w:t>2023年江门市</w:t>
      </w:r>
      <w:r>
        <w:rPr>
          <w:rFonts w:hint="eastAsia" w:asciiTheme="majorEastAsia" w:hAnsiTheme="majorEastAsia" w:eastAsiaTheme="majorEastAsia" w:cstheme="majorEastAsia"/>
          <w:b/>
          <w:bCs/>
          <w:color w:val="000000"/>
          <w:kern w:val="0"/>
          <w:sz w:val="44"/>
          <w:szCs w:val="44"/>
          <w:lang w:eastAsia="zh-CN"/>
          <w14:ligatures w14:val="none"/>
        </w:rPr>
        <w:t>建筑工匠大比武</w:t>
      </w:r>
      <w:r>
        <w:rPr>
          <w:rFonts w:hint="eastAsia" w:asciiTheme="majorEastAsia" w:hAnsiTheme="majorEastAsia" w:eastAsiaTheme="majorEastAsia" w:cstheme="majorEastAsia"/>
          <w:b/>
          <w:bCs/>
          <w:color w:val="000000"/>
          <w:kern w:val="0"/>
          <w:sz w:val="44"/>
          <w:szCs w:val="44"/>
          <w:lang w:eastAsia="zh-CN"/>
          <w14:ligatures w14:val="none"/>
        </w:rPr>
        <w:br w:type="textWrapping"/>
      </w:r>
    </w:p>
    <w:p>
      <w:pPr>
        <w:widowControl/>
        <w:jc w:val="center"/>
        <w:rPr>
          <w:rFonts w:hint="eastAsia" w:asciiTheme="majorEastAsia" w:hAnsiTheme="majorEastAsia" w:eastAsiaTheme="majorEastAsia" w:cstheme="majorEastAsia"/>
          <w:b/>
          <w:bCs/>
          <w:color w:val="000000"/>
          <w:kern w:val="0"/>
          <w:sz w:val="44"/>
          <w:szCs w:val="44"/>
          <w:lang w:eastAsia="zh-CN"/>
          <w14:ligatures w14:val="none"/>
        </w:rPr>
      </w:pPr>
      <w:r>
        <w:rPr>
          <w:rFonts w:hint="eastAsia" w:asciiTheme="majorEastAsia" w:hAnsiTheme="majorEastAsia" w:eastAsiaTheme="majorEastAsia" w:cstheme="majorEastAsia"/>
          <w:b/>
          <w:bCs/>
          <w:color w:val="000000"/>
          <w:kern w:val="0"/>
          <w:sz w:val="44"/>
          <w:szCs w:val="44"/>
          <w:lang w:eastAsia="zh-CN"/>
          <w14:ligatures w14:val="none"/>
        </w:rPr>
        <w:t>（建筑电工）</w:t>
      </w:r>
    </w:p>
    <w:p>
      <w:pPr>
        <w:rPr>
          <w:sz w:val="28"/>
          <w:szCs w:val="28"/>
        </w:rPr>
      </w:pPr>
    </w:p>
    <w:p>
      <w:pPr>
        <w:rPr>
          <w:sz w:val="28"/>
          <w:szCs w:val="28"/>
        </w:rPr>
      </w:pPr>
    </w:p>
    <w:p>
      <w:pPr>
        <w:rPr>
          <w:sz w:val="28"/>
          <w:szCs w:val="28"/>
        </w:rPr>
      </w:pPr>
    </w:p>
    <w:p>
      <w:pPr>
        <w:rPr>
          <w:sz w:val="28"/>
          <w:szCs w:val="28"/>
        </w:rPr>
      </w:pPr>
    </w:p>
    <w:p>
      <w:pPr>
        <w:rPr>
          <w:sz w:val="28"/>
          <w:szCs w:val="28"/>
        </w:rPr>
      </w:pPr>
    </w:p>
    <w:p>
      <w:pPr>
        <w:widowControl/>
        <w:jc w:val="center"/>
        <w:rPr>
          <w:rFonts w:asciiTheme="majorEastAsia" w:hAnsiTheme="majorEastAsia" w:eastAsiaTheme="majorEastAsia" w:cstheme="majorEastAsia"/>
          <w:b/>
          <w:bCs/>
          <w:color w:val="212529"/>
          <w:kern w:val="0"/>
          <w:sz w:val="32"/>
          <w:szCs w:val="32"/>
          <w14:ligatures w14:val="none"/>
        </w:rPr>
      </w:pPr>
      <w:r>
        <w:rPr>
          <w:rFonts w:hint="eastAsia" w:asciiTheme="majorEastAsia" w:hAnsiTheme="majorEastAsia" w:eastAsiaTheme="majorEastAsia" w:cstheme="majorEastAsia"/>
          <w:b/>
          <w:bCs/>
          <w:color w:val="000000"/>
          <w:kern w:val="0"/>
          <w:sz w:val="72"/>
          <w:szCs w:val="72"/>
          <w14:ligatures w14:val="none"/>
        </w:rPr>
        <w:t>技术文件</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widowControl/>
        <w:jc w:val="center"/>
        <w:rPr>
          <w:rFonts w:hint="eastAsia" w:ascii="新宋体" w:hAnsi="新宋体" w:eastAsia="新宋体" w:cs="新宋体"/>
          <w:b/>
          <w:bCs/>
          <w:kern w:val="0"/>
          <w:sz w:val="44"/>
          <w:szCs w:val="44"/>
          <w:lang w:eastAsia="zh-CN"/>
          <w14:ligatures w14:val="none"/>
        </w:rPr>
      </w:pPr>
      <w:r>
        <w:rPr>
          <w:rFonts w:hint="eastAsia" w:ascii="新宋体" w:hAnsi="新宋体" w:eastAsia="新宋体" w:cs="新宋体"/>
          <w:b/>
          <w:bCs/>
          <w:color w:val="212529"/>
          <w:kern w:val="0"/>
          <w:sz w:val="44"/>
          <w:szCs w:val="44"/>
          <w14:ligatures w14:val="none"/>
        </w:rPr>
        <w:t>江门</w:t>
      </w:r>
      <w:r>
        <w:rPr>
          <w:rFonts w:hint="eastAsia" w:ascii="新宋体" w:hAnsi="新宋体" w:eastAsia="新宋体" w:cs="新宋体"/>
          <w:b/>
          <w:bCs/>
          <w:color w:val="212529"/>
          <w:kern w:val="0"/>
          <w:sz w:val="44"/>
          <w:szCs w:val="44"/>
          <w:lang w:eastAsia="zh-CN"/>
          <w14:ligatures w14:val="none"/>
        </w:rPr>
        <w:t>市建筑工匠大比武</w:t>
      </w:r>
      <w:r>
        <w:rPr>
          <w:rFonts w:hint="eastAsia" w:ascii="新宋体" w:hAnsi="新宋体" w:eastAsia="新宋体" w:cs="新宋体"/>
          <w:b/>
          <w:bCs/>
          <w:color w:val="212529"/>
          <w:kern w:val="0"/>
          <w:sz w:val="44"/>
          <w:szCs w:val="44"/>
          <w14:ligatures w14:val="none"/>
        </w:rPr>
        <w:t>竞赛组委会</w:t>
      </w:r>
      <w:r>
        <w:rPr>
          <w:rFonts w:hint="eastAsia" w:ascii="新宋体" w:hAnsi="新宋体" w:eastAsia="新宋体" w:cs="新宋体"/>
          <w:b/>
          <w:bCs/>
          <w:color w:val="212529"/>
          <w:kern w:val="0"/>
          <w:sz w:val="44"/>
          <w:szCs w:val="44"/>
          <w:lang w:eastAsia="zh-CN"/>
          <w14:ligatures w14:val="none"/>
        </w:rPr>
        <w:t>办公室</w:t>
      </w:r>
    </w:p>
    <w:p>
      <w:pPr>
        <w:widowControl/>
        <w:jc w:val="center"/>
        <w:rPr>
          <w:sz w:val="44"/>
          <w:szCs w:val="44"/>
        </w:rPr>
        <w:sectPr>
          <w:headerReference r:id="rId3" w:type="default"/>
          <w:footerReference r:id="rId4" w:type="even"/>
          <w:pgSz w:w="11907" w:h="16840"/>
          <w:pgMar w:top="1134" w:right="1276" w:bottom="1276" w:left="1276" w:header="851" w:footer="851" w:gutter="0"/>
          <w:paperSrc w:first="15" w:other="15"/>
          <w:cols w:equalWidth="0" w:num="1">
            <w:col w:w="8639"/>
          </w:cols>
          <w:titlePg/>
          <w:docGrid w:linePitch="271" w:charSpace="0"/>
        </w:sectPr>
      </w:pPr>
      <w:r>
        <w:rPr>
          <w:rFonts w:hint="eastAsia" w:ascii="新宋体" w:hAnsi="新宋体" w:eastAsia="新宋体" w:cs="新宋体"/>
          <w:b/>
          <w:bCs/>
          <w:color w:val="000000"/>
          <w:kern w:val="0"/>
          <w:sz w:val="44"/>
          <w:szCs w:val="44"/>
          <w14:ligatures w14:val="none"/>
        </w:rPr>
        <w:t>2023年 1</w:t>
      </w:r>
      <w:r>
        <w:rPr>
          <w:rFonts w:hint="eastAsia" w:ascii="新宋体" w:hAnsi="新宋体" w:eastAsia="新宋体" w:cs="新宋体"/>
          <w:b/>
          <w:bCs/>
          <w:color w:val="000000"/>
          <w:kern w:val="0"/>
          <w:sz w:val="44"/>
          <w:szCs w:val="44"/>
          <w:lang w:val="en-US" w:eastAsia="zh-CN"/>
          <w14:ligatures w14:val="none"/>
        </w:rPr>
        <w:t>1</w:t>
      </w:r>
      <w:r>
        <w:rPr>
          <w:rFonts w:hint="eastAsia" w:ascii="新宋体" w:hAnsi="新宋体" w:eastAsia="新宋体" w:cs="新宋体"/>
          <w:b/>
          <w:bCs/>
          <w:color w:val="000000"/>
          <w:kern w:val="0"/>
          <w:sz w:val="44"/>
          <w:szCs w:val="44"/>
          <w14:ligatures w14:val="none"/>
        </w:rPr>
        <w:t>月</w:t>
      </w:r>
    </w:p>
    <w:p>
      <w:pPr>
        <w:spacing w:line="360" w:lineRule="auto"/>
        <w:rPr>
          <w:rFonts w:ascii="宋体"/>
          <w:b/>
          <w:sz w:val="28"/>
          <w:szCs w:val="28"/>
        </w:rPr>
      </w:pPr>
      <w:bookmarkStart w:id="0" w:name="_Toc17580"/>
      <w:bookmarkStart w:id="1" w:name="_Toc376873350"/>
      <w:bookmarkStart w:id="2" w:name="_Toc25943"/>
      <w:bookmarkStart w:id="3" w:name="_Toc24665"/>
      <w:bookmarkStart w:id="4" w:name="_Toc5195"/>
      <w:bookmarkStart w:id="5" w:name="_Toc24903"/>
    </w:p>
    <w:p>
      <w:pPr>
        <w:pStyle w:val="58"/>
        <w:numPr>
          <w:ilvl w:val="0"/>
          <w:numId w:val="1"/>
        </w:numPr>
        <w:spacing w:line="360" w:lineRule="auto"/>
        <w:ind w:firstLineChars="0"/>
        <w:rPr>
          <w:rFonts w:ascii="宋体"/>
          <w:b/>
          <w:sz w:val="28"/>
          <w:szCs w:val="28"/>
        </w:rPr>
      </w:pPr>
      <w:r>
        <w:rPr>
          <w:rFonts w:hint="eastAsia" w:ascii="宋体" w:hAnsi="宋体"/>
          <w:b/>
          <w:sz w:val="28"/>
          <w:szCs w:val="28"/>
        </w:rPr>
        <w:t>命题原则</w:t>
      </w:r>
    </w:p>
    <w:p>
      <w:pPr>
        <w:spacing w:line="360" w:lineRule="auto"/>
        <w:ind w:firstLine="560" w:firstLineChars="200"/>
        <w:rPr>
          <w:rFonts w:ascii="宋体"/>
          <w:sz w:val="28"/>
          <w:szCs w:val="28"/>
        </w:rPr>
      </w:pPr>
      <w:r>
        <w:rPr>
          <w:rFonts w:hint="eastAsia" w:ascii="宋体" w:hAnsi="宋体"/>
          <w:sz w:val="28"/>
          <w:szCs w:val="28"/>
        </w:rPr>
        <w:t>依据国家职业技能标准，注重基本技能，体现现代制造技术，结合生产实际，考核参赛选手职业综合能力，并对技能人才培养起到示范指导作用。</w:t>
      </w:r>
    </w:p>
    <w:p>
      <w:pPr>
        <w:pStyle w:val="58"/>
        <w:numPr>
          <w:ilvl w:val="1"/>
          <w:numId w:val="1"/>
        </w:numPr>
        <w:spacing w:line="360" w:lineRule="auto"/>
        <w:ind w:firstLineChars="0"/>
        <w:rPr>
          <w:rFonts w:ascii="宋体"/>
          <w:b/>
          <w:sz w:val="28"/>
          <w:szCs w:val="28"/>
        </w:rPr>
      </w:pPr>
      <w:r>
        <w:rPr>
          <w:rFonts w:hint="eastAsia" w:ascii="宋体" w:hAnsi="宋体"/>
          <w:b/>
          <w:sz w:val="28"/>
          <w:szCs w:val="28"/>
        </w:rPr>
        <w:t>竞赛内容</w:t>
      </w:r>
    </w:p>
    <w:p>
      <w:pPr>
        <w:spacing w:line="360" w:lineRule="auto"/>
        <w:ind w:firstLine="560" w:firstLineChars="200"/>
        <w:rPr>
          <w:rFonts w:ascii="宋体"/>
          <w:sz w:val="28"/>
          <w:szCs w:val="28"/>
        </w:rPr>
      </w:pPr>
      <w:r>
        <w:rPr>
          <w:rFonts w:hint="eastAsia" w:ascii="宋体" w:hAnsi="宋体"/>
          <w:sz w:val="28"/>
          <w:szCs w:val="28"/>
        </w:rPr>
        <w:t>竞赛内容包括理论知识比赛和实际操作比赛两部分</w:t>
      </w:r>
      <w:r>
        <w:rPr>
          <w:rFonts w:hint="eastAsia" w:ascii="宋体" w:hAnsi="宋体"/>
          <w:sz w:val="28"/>
          <w:szCs w:val="28"/>
          <w:lang w:eastAsia="zh-CN"/>
        </w:rPr>
        <w:t>，</w:t>
      </w:r>
      <w:r>
        <w:rPr>
          <w:rFonts w:hint="eastAsia" w:ascii="宋体" w:hAnsi="宋体"/>
          <w:sz w:val="28"/>
          <w:szCs w:val="28"/>
        </w:rPr>
        <w:t>其中理论知识比赛</w:t>
      </w:r>
      <w:r>
        <w:rPr>
          <w:rFonts w:ascii="宋体" w:hAnsi="宋体"/>
          <w:sz w:val="28"/>
          <w:szCs w:val="28"/>
        </w:rPr>
        <w:t>1.5</w:t>
      </w:r>
      <w:r>
        <w:rPr>
          <w:rFonts w:hint="eastAsia" w:ascii="宋体" w:hAnsi="宋体"/>
          <w:sz w:val="28"/>
          <w:szCs w:val="28"/>
        </w:rPr>
        <w:t>小时，实际操作比赛1小时。</w:t>
      </w:r>
    </w:p>
    <w:p>
      <w:pPr>
        <w:pStyle w:val="58"/>
        <w:numPr>
          <w:ilvl w:val="1"/>
          <w:numId w:val="1"/>
        </w:numPr>
        <w:spacing w:line="360" w:lineRule="auto"/>
        <w:ind w:firstLineChars="0"/>
        <w:rPr>
          <w:rFonts w:ascii="宋体"/>
          <w:b/>
          <w:sz w:val="28"/>
          <w:szCs w:val="28"/>
        </w:rPr>
      </w:pPr>
      <w:r>
        <w:rPr>
          <w:rFonts w:hint="eastAsia" w:ascii="宋体" w:hAnsi="宋体"/>
          <w:b/>
          <w:sz w:val="28"/>
          <w:szCs w:val="28"/>
        </w:rPr>
        <w:t>竞赛形式</w:t>
      </w:r>
    </w:p>
    <w:p>
      <w:pPr>
        <w:spacing w:line="360" w:lineRule="auto"/>
        <w:ind w:firstLine="560" w:firstLineChars="200"/>
        <w:rPr>
          <w:rFonts w:ascii="宋体"/>
          <w:sz w:val="28"/>
          <w:szCs w:val="28"/>
        </w:rPr>
      </w:pPr>
      <w:r>
        <w:rPr>
          <w:rFonts w:hint="eastAsia" w:ascii="宋体" w:hAnsi="宋体"/>
          <w:sz w:val="28"/>
          <w:szCs w:val="28"/>
        </w:rPr>
        <w:t>竞赛采用个人参赛形式。</w:t>
      </w:r>
    </w:p>
    <w:p>
      <w:pPr>
        <w:pStyle w:val="58"/>
        <w:numPr>
          <w:ilvl w:val="1"/>
          <w:numId w:val="1"/>
        </w:numPr>
        <w:spacing w:line="360" w:lineRule="auto"/>
        <w:ind w:firstLineChars="0"/>
        <w:rPr>
          <w:rFonts w:ascii="宋体"/>
          <w:b/>
          <w:sz w:val="28"/>
          <w:szCs w:val="28"/>
        </w:rPr>
      </w:pPr>
      <w:r>
        <w:rPr>
          <w:rFonts w:hint="eastAsia" w:ascii="宋体" w:hAnsi="宋体"/>
          <w:b/>
          <w:sz w:val="28"/>
          <w:szCs w:val="28"/>
        </w:rPr>
        <w:t>成绩计算</w:t>
      </w:r>
    </w:p>
    <w:p>
      <w:pPr>
        <w:spacing w:line="360" w:lineRule="auto"/>
        <w:ind w:firstLine="624" w:firstLineChars="223"/>
        <w:rPr>
          <w:rFonts w:ascii="宋体"/>
          <w:sz w:val="28"/>
          <w:szCs w:val="28"/>
        </w:rPr>
      </w:pPr>
      <w:r>
        <w:rPr>
          <w:rFonts w:hint="eastAsia" w:ascii="宋体" w:hAnsi="宋体"/>
          <w:sz w:val="28"/>
          <w:szCs w:val="28"/>
        </w:rPr>
        <w:t>理论知识比赛满分为</w:t>
      </w:r>
      <w:r>
        <w:rPr>
          <w:rFonts w:ascii="宋体" w:hAnsi="宋体"/>
          <w:sz w:val="28"/>
          <w:szCs w:val="28"/>
        </w:rPr>
        <w:t>100</w:t>
      </w:r>
      <w:r>
        <w:rPr>
          <w:rFonts w:hint="eastAsia" w:ascii="宋体" w:hAnsi="宋体"/>
          <w:sz w:val="28"/>
          <w:szCs w:val="28"/>
        </w:rPr>
        <w:t>分（单选题抽4</w:t>
      </w:r>
      <w:r>
        <w:rPr>
          <w:rFonts w:ascii="宋体" w:hAnsi="宋体"/>
          <w:sz w:val="28"/>
          <w:szCs w:val="28"/>
        </w:rPr>
        <w:t>0</w:t>
      </w:r>
      <w:r>
        <w:rPr>
          <w:rFonts w:hint="eastAsia" w:ascii="宋体" w:hAnsi="宋体"/>
          <w:sz w:val="28"/>
          <w:szCs w:val="28"/>
        </w:rPr>
        <w:t>题×1</w:t>
      </w:r>
      <w:r>
        <w:rPr>
          <w:rFonts w:ascii="宋体" w:hAnsi="宋体"/>
          <w:sz w:val="28"/>
          <w:szCs w:val="28"/>
        </w:rPr>
        <w:t>.5</w:t>
      </w:r>
      <w:r>
        <w:rPr>
          <w:rFonts w:hint="eastAsia" w:ascii="宋体" w:hAnsi="宋体"/>
          <w:sz w:val="28"/>
          <w:szCs w:val="28"/>
        </w:rPr>
        <w:t>分/题，共6</w:t>
      </w:r>
      <w:r>
        <w:rPr>
          <w:rFonts w:ascii="宋体" w:hAnsi="宋体"/>
          <w:sz w:val="28"/>
          <w:szCs w:val="28"/>
        </w:rPr>
        <w:t>0</w:t>
      </w:r>
      <w:r>
        <w:rPr>
          <w:rFonts w:hint="eastAsia" w:ascii="宋体" w:hAnsi="宋体"/>
          <w:sz w:val="28"/>
          <w:szCs w:val="28"/>
        </w:rPr>
        <w:t>分；判断题抽4</w:t>
      </w:r>
      <w:r>
        <w:rPr>
          <w:rFonts w:ascii="宋体" w:hAnsi="宋体"/>
          <w:sz w:val="28"/>
          <w:szCs w:val="28"/>
        </w:rPr>
        <w:t>0</w:t>
      </w:r>
      <w:r>
        <w:rPr>
          <w:rFonts w:hint="eastAsia" w:ascii="宋体" w:hAnsi="宋体"/>
          <w:sz w:val="28"/>
          <w:szCs w:val="28"/>
        </w:rPr>
        <w:t>题×1分/题，共</w:t>
      </w:r>
      <w:r>
        <w:rPr>
          <w:rFonts w:ascii="宋体" w:hAnsi="宋体"/>
          <w:sz w:val="28"/>
          <w:szCs w:val="28"/>
        </w:rPr>
        <w:t>40</w:t>
      </w:r>
      <w:r>
        <w:rPr>
          <w:rFonts w:hint="eastAsia" w:ascii="宋体" w:hAnsi="宋体"/>
          <w:sz w:val="28"/>
          <w:szCs w:val="28"/>
        </w:rPr>
        <w:t>分），占总成绩的</w:t>
      </w:r>
      <w:r>
        <w:rPr>
          <w:rFonts w:ascii="宋体" w:hAnsi="宋体"/>
          <w:sz w:val="28"/>
          <w:szCs w:val="28"/>
        </w:rPr>
        <w:t>30%</w:t>
      </w:r>
      <w:r>
        <w:rPr>
          <w:rFonts w:hint="eastAsia" w:ascii="宋体" w:hAnsi="宋体"/>
          <w:sz w:val="28"/>
          <w:szCs w:val="28"/>
        </w:rPr>
        <w:t>；实际操作比赛满分为</w:t>
      </w:r>
      <w:r>
        <w:rPr>
          <w:rFonts w:ascii="宋体" w:hAnsi="宋体"/>
          <w:sz w:val="28"/>
          <w:szCs w:val="28"/>
        </w:rPr>
        <w:t>100</w:t>
      </w:r>
      <w:r>
        <w:rPr>
          <w:rFonts w:hint="eastAsia" w:ascii="宋体" w:hAnsi="宋体"/>
          <w:sz w:val="28"/>
          <w:szCs w:val="28"/>
        </w:rPr>
        <w:t>分，占总成绩的</w:t>
      </w:r>
      <w:r>
        <w:rPr>
          <w:rFonts w:ascii="宋体" w:hAnsi="宋体"/>
          <w:sz w:val="28"/>
          <w:szCs w:val="28"/>
        </w:rPr>
        <w:t>70%</w:t>
      </w:r>
      <w:r>
        <w:rPr>
          <w:rFonts w:hint="eastAsia" w:ascii="宋体" w:hAnsi="宋体"/>
          <w:sz w:val="28"/>
          <w:szCs w:val="28"/>
        </w:rPr>
        <w:t>。</w:t>
      </w:r>
    </w:p>
    <w:p>
      <w:pPr>
        <w:pStyle w:val="58"/>
        <w:numPr>
          <w:ilvl w:val="0"/>
          <w:numId w:val="1"/>
        </w:numPr>
        <w:spacing w:line="360" w:lineRule="auto"/>
        <w:ind w:firstLineChars="0"/>
        <w:rPr>
          <w:rFonts w:ascii="宋体"/>
          <w:b/>
          <w:sz w:val="28"/>
          <w:szCs w:val="28"/>
        </w:rPr>
      </w:pPr>
      <w:r>
        <w:rPr>
          <w:rFonts w:hint="eastAsia" w:ascii="宋体" w:hAnsi="宋体"/>
          <w:b/>
          <w:sz w:val="28"/>
          <w:szCs w:val="28"/>
        </w:rPr>
        <w:t>本项目的技术描述</w:t>
      </w:r>
    </w:p>
    <w:p>
      <w:pPr>
        <w:pStyle w:val="58"/>
        <w:numPr>
          <w:ilvl w:val="1"/>
          <w:numId w:val="1"/>
        </w:numPr>
        <w:spacing w:line="360" w:lineRule="auto"/>
        <w:ind w:firstLineChars="0"/>
        <w:rPr>
          <w:rFonts w:ascii="宋体"/>
          <w:b/>
          <w:sz w:val="28"/>
          <w:szCs w:val="28"/>
        </w:rPr>
      </w:pPr>
      <w:bookmarkStart w:id="6" w:name="_Toc20039"/>
      <w:bookmarkStart w:id="7" w:name="_Toc376873354"/>
      <w:bookmarkStart w:id="8" w:name="_Toc28351"/>
      <w:bookmarkStart w:id="9" w:name="_Toc4404"/>
      <w:bookmarkStart w:id="10" w:name="_Toc8924"/>
      <w:bookmarkStart w:id="11" w:name="_Toc1466"/>
      <w:r>
        <w:rPr>
          <w:rFonts w:hint="eastAsia" w:ascii="宋体" w:hAnsi="宋体"/>
          <w:b/>
          <w:sz w:val="28"/>
          <w:szCs w:val="28"/>
        </w:rPr>
        <w:t>技能说明</w:t>
      </w:r>
    </w:p>
    <w:p>
      <w:pPr>
        <w:spacing w:line="360" w:lineRule="auto"/>
        <w:ind w:firstLine="624" w:firstLineChars="223"/>
        <w:rPr>
          <w:rFonts w:ascii="宋体"/>
          <w:sz w:val="28"/>
          <w:szCs w:val="28"/>
        </w:rPr>
      </w:pPr>
      <w:r>
        <w:rPr>
          <w:rFonts w:hint="eastAsia" w:ascii="宋体" w:hAnsi="宋体"/>
          <w:sz w:val="28"/>
          <w:szCs w:val="28"/>
        </w:rPr>
        <w:t>建筑电工主要在房屋与市政工程施工过程中保证施工用电的安全，包括临时施工用电的现场用电的设置、架设、供电安全等内容。</w:t>
      </w:r>
    </w:p>
    <w:p>
      <w:pPr>
        <w:spacing w:line="360" w:lineRule="auto"/>
        <w:ind w:firstLine="624" w:firstLineChars="223"/>
        <w:rPr>
          <w:rFonts w:ascii="宋体"/>
          <w:sz w:val="28"/>
          <w:szCs w:val="28"/>
        </w:rPr>
      </w:pPr>
      <w:r>
        <w:rPr>
          <w:rFonts w:hint="eastAsia" w:ascii="宋体" w:hAnsi="宋体"/>
          <w:sz w:val="28"/>
          <w:szCs w:val="28"/>
        </w:rPr>
        <w:t>建筑电工通过技能培训考核合格后要能够从事以下工作：</w:t>
      </w:r>
    </w:p>
    <w:p>
      <w:pPr>
        <w:tabs>
          <w:tab w:val="left" w:pos="630"/>
        </w:tabs>
        <w:spacing w:line="360" w:lineRule="auto"/>
        <w:ind w:firstLine="560" w:firstLineChars="200"/>
        <w:rPr>
          <w:rFonts w:ascii="宋体" w:hAnsi="宋体" w:cs="宋体"/>
          <w:kern w:val="0"/>
          <w:sz w:val="28"/>
          <w:szCs w:val="28"/>
        </w:rPr>
      </w:pPr>
      <w:r>
        <w:rPr>
          <w:rFonts w:hint="eastAsia" w:ascii="宋体" w:hAnsi="宋体"/>
          <w:sz w:val="28"/>
          <w:szCs w:val="28"/>
        </w:rPr>
        <w:t>配合现场技术主管，根据《施工现场临时用电安全技术方案》实施现场的用电设施的架设、安装、维修。根据电力设备的性质和性能，合理</w:t>
      </w:r>
      <w:r>
        <w:rPr>
          <w:rFonts w:hint="eastAsia" w:ascii="宋体" w:hAnsi="宋体"/>
          <w:sz w:val="28"/>
          <w:szCs w:val="28"/>
          <w:lang w:eastAsia="zh-CN"/>
        </w:rPr>
        <w:t>地</w:t>
      </w:r>
      <w:r>
        <w:rPr>
          <w:rFonts w:hint="eastAsia" w:ascii="宋体" w:hAnsi="宋体"/>
          <w:sz w:val="28"/>
          <w:szCs w:val="28"/>
        </w:rPr>
        <w:t>分配设备载荷，并严格按照JGJ46-2005《施工现场临时用电安全技术规范》、GB50194-2014《建设工程施工现场供用电安全规范》进行施工。</w:t>
      </w:r>
      <w:r>
        <w:rPr>
          <w:rFonts w:hint="eastAsia" w:ascii="宋体" w:hAnsi="宋体" w:cs="宋体"/>
          <w:kern w:val="0"/>
          <w:sz w:val="28"/>
          <w:szCs w:val="28"/>
        </w:rPr>
        <w:t>保证现场电气设备、移动电动工具、临时用电正常运行和安全使用。</w:t>
      </w:r>
    </w:p>
    <w:p>
      <w:pPr>
        <w:spacing w:line="360" w:lineRule="auto"/>
        <w:rPr>
          <w:rFonts w:ascii="宋体"/>
          <w:sz w:val="28"/>
          <w:szCs w:val="28"/>
        </w:rPr>
      </w:pPr>
    </w:p>
    <w:p>
      <w:pPr>
        <w:pStyle w:val="58"/>
        <w:numPr>
          <w:ilvl w:val="1"/>
          <w:numId w:val="1"/>
        </w:numPr>
        <w:spacing w:line="360" w:lineRule="auto"/>
        <w:ind w:firstLineChars="0"/>
        <w:rPr>
          <w:rFonts w:ascii="宋体"/>
          <w:b/>
          <w:sz w:val="28"/>
          <w:szCs w:val="28"/>
        </w:rPr>
      </w:pPr>
      <w:r>
        <w:rPr>
          <w:rFonts w:hint="eastAsia" w:ascii="宋体" w:hAnsi="宋体"/>
          <w:b/>
          <w:sz w:val="28"/>
          <w:szCs w:val="28"/>
        </w:rPr>
        <w:t>能力要求与工作范围</w:t>
      </w:r>
    </w:p>
    <w:p>
      <w:pPr>
        <w:spacing w:line="360" w:lineRule="auto"/>
        <w:ind w:firstLine="624" w:firstLineChars="223"/>
        <w:rPr>
          <w:rFonts w:ascii="宋体"/>
          <w:sz w:val="28"/>
          <w:szCs w:val="28"/>
        </w:rPr>
      </w:pPr>
      <w:r>
        <w:rPr>
          <w:rFonts w:hint="eastAsia" w:ascii="宋体" w:hAnsi="宋体"/>
          <w:sz w:val="28"/>
          <w:szCs w:val="28"/>
        </w:rPr>
        <w:t>本竞赛是对该技能的展示与评估。测试理论、实践操作方面的能力。</w:t>
      </w:r>
    </w:p>
    <w:p>
      <w:pPr>
        <w:pStyle w:val="58"/>
        <w:numPr>
          <w:ilvl w:val="2"/>
          <w:numId w:val="1"/>
        </w:numPr>
        <w:spacing w:line="360" w:lineRule="auto"/>
        <w:ind w:firstLineChars="0"/>
        <w:rPr>
          <w:rFonts w:ascii="宋体"/>
          <w:b/>
          <w:sz w:val="28"/>
          <w:szCs w:val="28"/>
        </w:rPr>
      </w:pPr>
      <w:r>
        <w:rPr>
          <w:rFonts w:hint="eastAsia" w:ascii="宋体" w:hAnsi="宋体"/>
          <w:b/>
          <w:sz w:val="28"/>
          <w:szCs w:val="28"/>
        </w:rPr>
        <w:t>能力要求细则</w:t>
      </w:r>
    </w:p>
    <w:p>
      <w:pPr>
        <w:spacing w:line="360" w:lineRule="auto"/>
        <w:ind w:firstLine="624" w:firstLineChars="223"/>
        <w:rPr>
          <w:rFonts w:ascii="宋体"/>
          <w:sz w:val="28"/>
          <w:szCs w:val="28"/>
        </w:rPr>
      </w:pPr>
      <w:r>
        <w:rPr>
          <w:rFonts w:hint="eastAsia" w:ascii="宋体" w:hAnsi="宋体"/>
          <w:sz w:val="28"/>
          <w:szCs w:val="28"/>
        </w:rPr>
        <w:t>所需要的能力要求包括：</w:t>
      </w:r>
    </w:p>
    <w:p>
      <w:pPr>
        <w:spacing w:line="360" w:lineRule="auto"/>
        <w:ind w:firstLine="624" w:firstLineChars="223"/>
        <w:rPr>
          <w:rFonts w:ascii="宋体"/>
          <w:sz w:val="28"/>
          <w:szCs w:val="28"/>
        </w:rPr>
      </w:pPr>
      <w:r>
        <w:rPr>
          <w:rFonts w:hint="eastAsia" w:ascii="宋体" w:hAnsi="宋体"/>
          <w:sz w:val="28"/>
          <w:szCs w:val="28"/>
        </w:rPr>
        <w:t>具备电学知识，懂负荷功率计算；按照设计图纸要求，正确安装配电箱，电器元件选择和导线计算，工具使用等。</w:t>
      </w:r>
    </w:p>
    <w:p>
      <w:pPr>
        <w:pStyle w:val="58"/>
        <w:numPr>
          <w:ilvl w:val="2"/>
          <w:numId w:val="1"/>
        </w:numPr>
        <w:spacing w:line="360" w:lineRule="auto"/>
        <w:ind w:firstLineChars="0"/>
        <w:rPr>
          <w:rFonts w:ascii="宋体"/>
          <w:b/>
          <w:sz w:val="28"/>
          <w:szCs w:val="28"/>
        </w:rPr>
      </w:pPr>
      <w:r>
        <w:rPr>
          <w:rFonts w:hint="eastAsia" w:ascii="宋体" w:hAnsi="宋体"/>
          <w:b/>
          <w:sz w:val="28"/>
          <w:szCs w:val="28"/>
        </w:rPr>
        <w:t>理论知识</w:t>
      </w:r>
    </w:p>
    <w:p>
      <w:pPr>
        <w:spacing w:line="360" w:lineRule="auto"/>
        <w:ind w:firstLine="624" w:firstLineChars="223"/>
        <w:rPr>
          <w:rFonts w:ascii="宋体"/>
          <w:sz w:val="28"/>
          <w:szCs w:val="28"/>
        </w:rPr>
      </w:pPr>
      <w:r>
        <w:rPr>
          <w:rFonts w:hint="eastAsia" w:ascii="宋体" w:hAnsi="宋体"/>
          <w:sz w:val="28"/>
          <w:szCs w:val="28"/>
        </w:rPr>
        <w:t>必须具备以下理论知识：</w:t>
      </w:r>
      <w:r>
        <w:rPr>
          <w:rFonts w:hint="eastAsia" w:ascii="宋体" w:hAnsi="宋体"/>
          <w:b/>
          <w:sz w:val="28"/>
          <w:szCs w:val="28"/>
        </w:rPr>
        <w:t>安全生产基本知识</w:t>
      </w:r>
      <w:r>
        <w:rPr>
          <w:rFonts w:hint="eastAsia" w:ascii="宋体" w:hAnsi="宋体"/>
          <w:sz w:val="28"/>
          <w:szCs w:val="28"/>
        </w:rPr>
        <w:t>.</w:t>
      </w:r>
      <w:r>
        <w:rPr>
          <w:rFonts w:hint="eastAsia" w:ascii="宋体" w:hAnsi="宋体"/>
          <w:b/>
          <w:sz w:val="28"/>
          <w:szCs w:val="28"/>
        </w:rPr>
        <w:t xml:space="preserve"> 电工基础知识；电气识图</w:t>
      </w:r>
      <w:r>
        <w:rPr>
          <w:rFonts w:hint="eastAsia" w:ascii="宋体" w:hAnsi="宋体"/>
          <w:sz w:val="28"/>
          <w:szCs w:val="28"/>
        </w:rPr>
        <w:t>，</w:t>
      </w:r>
      <w:r>
        <w:rPr>
          <w:rFonts w:hint="eastAsia"/>
          <w:b/>
          <w:sz w:val="28"/>
          <w:szCs w:val="28"/>
        </w:rPr>
        <w:t>常用电工仪表及应用；施工现场常用电气安全用具常识</w:t>
      </w:r>
      <w:r>
        <w:rPr>
          <w:rFonts w:hint="eastAsia" w:ascii="宋体" w:hAnsi="宋体"/>
          <w:sz w:val="28"/>
          <w:szCs w:val="28"/>
        </w:rPr>
        <w:t>。</w:t>
      </w:r>
    </w:p>
    <w:p>
      <w:pPr>
        <w:pStyle w:val="58"/>
        <w:numPr>
          <w:ilvl w:val="2"/>
          <w:numId w:val="1"/>
        </w:numPr>
        <w:spacing w:line="360" w:lineRule="auto"/>
        <w:ind w:firstLineChars="0"/>
        <w:rPr>
          <w:rFonts w:ascii="宋体"/>
          <w:b/>
          <w:sz w:val="28"/>
          <w:szCs w:val="28"/>
        </w:rPr>
      </w:pPr>
      <w:r>
        <w:rPr>
          <w:rFonts w:hint="eastAsia" w:ascii="宋体" w:hAnsi="宋体"/>
          <w:b/>
          <w:sz w:val="28"/>
          <w:szCs w:val="28"/>
        </w:rPr>
        <w:t>实践操作</w:t>
      </w:r>
    </w:p>
    <w:p>
      <w:pPr>
        <w:spacing w:line="360" w:lineRule="auto"/>
        <w:ind w:firstLine="624" w:firstLineChars="223"/>
        <w:rPr>
          <w:rFonts w:ascii="宋体"/>
          <w:sz w:val="28"/>
          <w:szCs w:val="28"/>
        </w:rPr>
      </w:pPr>
      <w:r>
        <w:rPr>
          <w:rFonts w:hint="eastAsia" w:ascii="宋体" w:hAnsi="宋体"/>
          <w:sz w:val="28"/>
          <w:szCs w:val="28"/>
        </w:rPr>
        <w:t>竞赛项目为选择电器元件、导线，组装分配电箱判错指正。测试技能为国内建筑电工常见技能。</w:t>
      </w:r>
    </w:p>
    <w:p>
      <w:pPr>
        <w:pStyle w:val="58"/>
        <w:numPr>
          <w:ilvl w:val="1"/>
          <w:numId w:val="1"/>
        </w:numPr>
        <w:spacing w:line="360" w:lineRule="auto"/>
        <w:ind w:firstLineChars="0"/>
        <w:rPr>
          <w:rFonts w:ascii="宋体"/>
          <w:b/>
          <w:sz w:val="28"/>
          <w:szCs w:val="28"/>
        </w:rPr>
      </w:pPr>
      <w:r>
        <w:rPr>
          <w:rFonts w:hint="eastAsia" w:ascii="宋体" w:hAnsi="宋体"/>
          <w:b/>
          <w:sz w:val="28"/>
          <w:szCs w:val="28"/>
        </w:rPr>
        <w:t>操作项目技术要求</w:t>
      </w:r>
    </w:p>
    <w:p>
      <w:pPr>
        <w:pStyle w:val="58"/>
        <w:numPr>
          <w:ilvl w:val="2"/>
          <w:numId w:val="1"/>
        </w:numPr>
        <w:spacing w:line="360" w:lineRule="auto"/>
        <w:ind w:firstLineChars="0"/>
        <w:rPr>
          <w:rFonts w:ascii="宋体"/>
          <w:b/>
          <w:bCs/>
          <w:sz w:val="28"/>
          <w:szCs w:val="28"/>
        </w:rPr>
      </w:pPr>
      <w:r>
        <w:rPr>
          <w:rFonts w:hint="eastAsia" w:ascii="宋体" w:hAnsi="宋体"/>
          <w:b/>
          <w:bCs/>
          <w:sz w:val="28"/>
          <w:szCs w:val="28"/>
        </w:rPr>
        <w:t>选料要求：</w:t>
      </w:r>
    </w:p>
    <w:p>
      <w:pPr>
        <w:spacing w:line="360" w:lineRule="auto"/>
        <w:ind w:firstLine="624" w:firstLineChars="223"/>
        <w:rPr>
          <w:rFonts w:ascii="宋体"/>
          <w:sz w:val="28"/>
          <w:szCs w:val="28"/>
        </w:rPr>
      </w:pPr>
      <w:r>
        <w:rPr>
          <w:rFonts w:hint="eastAsia" w:ascii="宋体" w:hAnsi="宋体"/>
          <w:sz w:val="28"/>
          <w:szCs w:val="28"/>
        </w:rPr>
        <w:t>采用主办方提供的电工材料及图纸要求，参赛者需自行选择材料进行装配，在装配过程中应进行电器元件选择、导线选择。工作零线端子，保护零线端子选择、编织软铜线</w:t>
      </w:r>
      <w:r>
        <w:rPr>
          <w:rFonts w:hint="eastAsia" w:ascii="宋体" w:hAnsi="宋体"/>
          <w:sz w:val="28"/>
          <w:szCs w:val="28"/>
          <w:lang w:eastAsia="zh-CN"/>
        </w:rPr>
        <w:t>及其他</w:t>
      </w:r>
      <w:r>
        <w:rPr>
          <w:rFonts w:hint="eastAsia" w:ascii="宋体" w:hAnsi="宋体"/>
          <w:sz w:val="28"/>
          <w:szCs w:val="28"/>
        </w:rPr>
        <w:t>辅助配件</w:t>
      </w:r>
      <w:r>
        <w:rPr>
          <w:rFonts w:hint="eastAsia" w:ascii="宋体"/>
          <w:sz w:val="28"/>
          <w:szCs w:val="28"/>
        </w:rPr>
        <w:t>的选用。</w:t>
      </w:r>
    </w:p>
    <w:p>
      <w:pPr>
        <w:autoSpaceDE w:val="0"/>
        <w:autoSpaceDN w:val="0"/>
        <w:adjustRightInd w:val="0"/>
        <w:spacing w:line="360" w:lineRule="auto"/>
        <w:ind w:firstLine="422" w:firstLineChars="150"/>
        <w:jc w:val="left"/>
        <w:rPr>
          <w:rFonts w:ascii="宋体" w:hAnsi="宋体" w:cs="宋体"/>
          <w:b/>
          <w:bCs/>
          <w:kern w:val="0"/>
          <w:sz w:val="28"/>
          <w:szCs w:val="28"/>
        </w:rPr>
      </w:pPr>
      <w:r>
        <w:rPr>
          <w:rFonts w:hint="eastAsia" w:ascii="宋体" w:hAnsi="宋体" w:cs="宋体"/>
          <w:b/>
          <w:bCs/>
          <w:kern w:val="0"/>
          <w:sz w:val="28"/>
          <w:szCs w:val="28"/>
        </w:rPr>
        <w:t>熔断器式隔离开关的选用：</w:t>
      </w:r>
    </w:p>
    <w:p>
      <w:pPr>
        <w:autoSpaceDE w:val="0"/>
        <w:autoSpaceDN w:val="0"/>
        <w:adjustRightInd w:val="0"/>
        <w:spacing w:line="360" w:lineRule="auto"/>
        <w:jc w:val="left"/>
        <w:rPr>
          <w:rFonts w:ascii="宋体" w:hAnsi="宋体" w:cs="宋体"/>
          <w:kern w:val="0"/>
          <w:sz w:val="28"/>
          <w:szCs w:val="28"/>
        </w:rPr>
      </w:pPr>
      <w:r>
        <w:rPr>
          <w:rFonts w:ascii="宋体" w:hAnsi="宋体" w:cs="宋体"/>
          <w:kern w:val="0"/>
          <w:sz w:val="28"/>
          <w:szCs w:val="28"/>
        </w:rPr>
        <w:t xml:space="preserve">  </w:t>
      </w:r>
      <w:r>
        <w:rPr>
          <w:rFonts w:hint="eastAsia" w:ascii="宋体" w:hAnsi="宋体" w:cs="宋体"/>
          <w:kern w:val="0"/>
          <w:sz w:val="28"/>
          <w:szCs w:val="28"/>
        </w:rPr>
        <w:t xml:space="preserve">  熔断器式隔离开关应按使用的电源电压和负载的</w:t>
      </w:r>
      <w:r>
        <w:rPr>
          <w:rFonts w:hint="eastAsia" w:ascii="宋体" w:hAnsi="宋体" w:cs="宋体"/>
          <w:kern w:val="0"/>
          <w:sz w:val="28"/>
          <w:szCs w:val="28"/>
          <w:lang w:eastAsia="zh-CN"/>
        </w:rPr>
        <w:t>电动机启动</w:t>
      </w:r>
      <w:r>
        <w:rPr>
          <w:rFonts w:hint="eastAsia" w:ascii="宋体" w:hAnsi="宋体" w:cs="宋体"/>
          <w:kern w:val="0"/>
          <w:sz w:val="28"/>
          <w:szCs w:val="28"/>
        </w:rPr>
        <w:t>电流选择，还必须根据使用场合和操作、维修方式等选用开关的形式。熔断器式隔离开关的短路分断能力是由熔断器的分断能力决定的，应适当选择符合使用条件的短路容量的熔断器。</w:t>
      </w:r>
    </w:p>
    <w:p>
      <w:pPr>
        <w:pStyle w:val="60"/>
        <w:spacing w:line="360" w:lineRule="auto"/>
        <w:ind w:left="426" w:firstLine="0" w:firstLineChars="0"/>
        <w:rPr>
          <w:rFonts w:ascii="宋体" w:hAnsi="宋体" w:cs="宋体"/>
          <w:b/>
          <w:spacing w:val="10"/>
          <w:kern w:val="0"/>
          <w:sz w:val="28"/>
          <w:szCs w:val="28"/>
        </w:rPr>
      </w:pPr>
      <w:r>
        <w:rPr>
          <w:rFonts w:hint="eastAsia" w:ascii="宋体" w:hAnsi="宋体" w:cs="宋体"/>
          <w:b/>
          <w:spacing w:val="5"/>
          <w:kern w:val="0"/>
          <w:sz w:val="28"/>
          <w:szCs w:val="28"/>
        </w:rPr>
        <w:t>漏电开关</w:t>
      </w:r>
      <w:r>
        <w:rPr>
          <w:rFonts w:hint="eastAsia" w:ascii="宋体" w:hAnsi="宋体" w:cs="宋体"/>
          <w:b/>
          <w:kern w:val="0"/>
          <w:sz w:val="28"/>
          <w:szCs w:val="28"/>
        </w:rPr>
        <w:t>的</w:t>
      </w:r>
      <w:r>
        <w:rPr>
          <w:rFonts w:hint="eastAsia" w:ascii="宋体" w:hAnsi="宋体" w:cs="宋体"/>
          <w:b/>
          <w:spacing w:val="10"/>
          <w:kern w:val="0"/>
          <w:sz w:val="28"/>
          <w:szCs w:val="28"/>
        </w:rPr>
        <w:t>选用</w:t>
      </w:r>
    </w:p>
    <w:p>
      <w:pPr>
        <w:pStyle w:val="60"/>
        <w:spacing w:line="360" w:lineRule="auto"/>
        <w:rPr>
          <w:rFonts w:ascii="宋体" w:hAnsi="宋体"/>
          <w:sz w:val="28"/>
          <w:szCs w:val="28"/>
        </w:rPr>
      </w:pPr>
      <w:r>
        <w:rPr>
          <w:rFonts w:hint="eastAsia" w:ascii="宋体" w:hAnsi="宋体"/>
          <w:sz w:val="28"/>
          <w:szCs w:val="28"/>
        </w:rPr>
        <w:t>⑴漏电开关的技术参数额定值，应与被保护线路或设备的技术参数和安装使用的具体条件相配合。并选用通过国家强制性产品认证的产品。</w:t>
      </w:r>
    </w:p>
    <w:p>
      <w:pPr>
        <w:pStyle w:val="60"/>
        <w:spacing w:line="360" w:lineRule="auto"/>
        <w:rPr>
          <w:rFonts w:ascii="宋体" w:hAnsi="宋体"/>
          <w:sz w:val="28"/>
          <w:szCs w:val="28"/>
        </w:rPr>
      </w:pPr>
      <w:r>
        <w:rPr>
          <w:rFonts w:hint="eastAsia" w:ascii="宋体" w:hAnsi="宋体"/>
          <w:sz w:val="28"/>
          <w:szCs w:val="28"/>
        </w:rPr>
        <w:t>⑵分配</w:t>
      </w:r>
      <w:r>
        <w:rPr>
          <w:rFonts w:hint="eastAsia" w:ascii="宋体" w:hAnsi="宋体"/>
          <w:sz w:val="28"/>
          <w:szCs w:val="28"/>
          <w:lang w:eastAsia="zh-CN"/>
        </w:rPr>
        <w:t>电</w:t>
      </w:r>
      <w:r>
        <w:rPr>
          <w:rFonts w:hint="eastAsia" w:ascii="宋体" w:hAnsi="宋体"/>
          <w:sz w:val="28"/>
          <w:szCs w:val="28"/>
        </w:rPr>
        <w:t>箱中剩余电流断路器的极数和线数必须与其负荷侧的负荷的相数和线数一致。</w:t>
      </w:r>
    </w:p>
    <w:p>
      <w:pPr>
        <w:pStyle w:val="60"/>
        <w:spacing w:line="360" w:lineRule="auto"/>
        <w:rPr>
          <w:rFonts w:ascii="宋体" w:hAnsi="宋体"/>
          <w:sz w:val="28"/>
          <w:szCs w:val="28"/>
        </w:rPr>
      </w:pPr>
      <w:r>
        <w:rPr>
          <w:rFonts w:hint="eastAsia" w:ascii="宋体" w:hAnsi="宋体" w:cs="宋体"/>
          <w:kern w:val="0"/>
          <w:sz w:val="28"/>
          <w:szCs w:val="28"/>
        </w:rPr>
        <w:t>⑶单相220V电源供电的电气设备，应选用二极二线式；三相三线380V电源供电的电气设备，应选用三极三线式；三相四线380/220V或单相与三相共用的线路，应选用四极四线式或三极四线式</w:t>
      </w:r>
      <w:r>
        <w:rPr>
          <w:rFonts w:hint="eastAsia" w:ascii="宋体" w:hAnsi="宋体"/>
          <w:sz w:val="28"/>
          <w:szCs w:val="28"/>
        </w:rPr>
        <w:t>剩余电流断路器</w:t>
      </w:r>
      <w:r>
        <w:rPr>
          <w:rFonts w:hint="eastAsia" w:ascii="宋体" w:hAnsi="宋体" w:cs="宋体"/>
          <w:kern w:val="0"/>
          <w:sz w:val="28"/>
          <w:szCs w:val="28"/>
        </w:rPr>
        <w:t>。</w:t>
      </w:r>
    </w:p>
    <w:p>
      <w:pPr>
        <w:autoSpaceDE w:val="0"/>
        <w:autoSpaceDN w:val="0"/>
        <w:adjustRightInd w:val="0"/>
        <w:spacing w:line="360" w:lineRule="auto"/>
        <w:ind w:firstLine="281" w:firstLineChars="100"/>
        <w:rPr>
          <w:rFonts w:ascii="宋体" w:hAnsi="宋体" w:cs="宋体"/>
          <w:b/>
          <w:kern w:val="0"/>
          <w:sz w:val="28"/>
          <w:szCs w:val="28"/>
        </w:rPr>
      </w:pPr>
      <w:r>
        <w:rPr>
          <w:rFonts w:hint="eastAsia" w:ascii="宋体" w:hAnsi="宋体" w:cs="宋体"/>
          <w:b/>
          <w:kern w:val="0"/>
          <w:sz w:val="28"/>
          <w:szCs w:val="28"/>
        </w:rPr>
        <w:t>低压隔开关安装</w:t>
      </w:r>
    </w:p>
    <w:p>
      <w:pPr>
        <w:autoSpaceDE w:val="0"/>
        <w:autoSpaceDN w:val="0"/>
        <w:adjustRightInd w:val="0"/>
        <w:spacing w:line="360" w:lineRule="auto"/>
        <w:ind w:left="0" w:firstLine="560" w:firstLineChars="200"/>
        <w:rPr>
          <w:rFonts w:ascii="宋体" w:hAnsi="宋体"/>
          <w:kern w:val="0"/>
          <w:sz w:val="28"/>
          <w:szCs w:val="28"/>
        </w:rPr>
      </w:pPr>
      <w:r>
        <w:rPr>
          <w:rFonts w:hint="eastAsia" w:ascii="宋体" w:hAnsi="宋体"/>
          <w:kern w:val="0"/>
          <w:sz w:val="28"/>
          <w:szCs w:val="28"/>
        </w:rPr>
        <w:t>⑴</w:t>
      </w:r>
      <w:r>
        <w:rPr>
          <w:rFonts w:hint="eastAsia" w:ascii="宋体" w:hAnsi="宋体" w:cs="宋体"/>
          <w:kern w:val="0"/>
          <w:sz w:val="28"/>
          <w:szCs w:val="28"/>
        </w:rPr>
        <w:t>低压断路器在闭合和断开过程中，其可动部件与灭弧室的零件应无卡阻现象，各极动作应同期。</w:t>
      </w:r>
    </w:p>
    <w:p>
      <w:pPr>
        <w:autoSpaceDE w:val="0"/>
        <w:autoSpaceDN w:val="0"/>
        <w:adjustRightInd w:val="0"/>
        <w:spacing w:line="360" w:lineRule="auto"/>
        <w:ind w:left="0" w:firstLine="560" w:firstLineChars="200"/>
        <w:rPr>
          <w:rFonts w:ascii="宋体" w:hAnsi="宋体"/>
          <w:kern w:val="0"/>
          <w:sz w:val="28"/>
          <w:szCs w:val="28"/>
        </w:rPr>
      </w:pPr>
      <w:r>
        <w:rPr>
          <w:rFonts w:hint="eastAsia" w:ascii="宋体" w:hAnsi="宋体" w:cs="宋体"/>
          <w:kern w:val="0"/>
          <w:sz w:val="28"/>
          <w:szCs w:val="28"/>
        </w:rPr>
        <w:t>⑵应垂直安装在配电板上，底板结构必须平整。</w:t>
      </w:r>
    </w:p>
    <w:p>
      <w:pPr>
        <w:autoSpaceDE w:val="0"/>
        <w:autoSpaceDN w:val="0"/>
        <w:adjustRightInd w:val="0"/>
        <w:spacing w:line="360" w:lineRule="auto"/>
        <w:ind w:left="0" w:firstLine="560" w:firstLineChars="200"/>
        <w:rPr>
          <w:rFonts w:ascii="宋体" w:hAnsi="宋体"/>
          <w:kern w:val="0"/>
          <w:sz w:val="28"/>
          <w:szCs w:val="28"/>
        </w:rPr>
      </w:pPr>
      <w:r>
        <w:rPr>
          <w:rFonts w:hint="eastAsia" w:ascii="宋体" w:hAnsi="宋体" w:cs="宋体"/>
          <w:kern w:val="0"/>
          <w:sz w:val="28"/>
          <w:szCs w:val="28"/>
        </w:rPr>
        <w:t>⑶</w:t>
      </w:r>
      <w:r>
        <w:rPr>
          <w:rFonts w:hint="eastAsia" w:ascii="宋体" w:hAnsi="宋体" w:cs="宋体"/>
          <w:kern w:val="0"/>
          <w:sz w:val="28"/>
          <w:szCs w:val="28"/>
          <w:lang w:eastAsia="zh-CN"/>
        </w:rPr>
        <w:t>各分级隔离开关的过流量之和不能大于分配电箱的总隔离开关的流量</w:t>
      </w:r>
      <w:r>
        <w:rPr>
          <w:rFonts w:hint="eastAsia" w:ascii="宋体" w:hAnsi="宋体" w:cs="宋体"/>
          <w:kern w:val="0"/>
          <w:sz w:val="28"/>
          <w:szCs w:val="28"/>
        </w:rPr>
        <w:t>。</w:t>
      </w:r>
    </w:p>
    <w:p>
      <w:pPr>
        <w:pStyle w:val="60"/>
        <w:autoSpaceDE w:val="0"/>
        <w:autoSpaceDN w:val="0"/>
        <w:adjustRightInd w:val="0"/>
        <w:spacing w:line="360" w:lineRule="auto"/>
        <w:ind w:left="426" w:firstLine="0" w:firstLineChars="0"/>
        <w:jc w:val="left"/>
        <w:rPr>
          <w:rFonts w:hint="eastAsia" w:ascii="宋体" w:hAnsi="宋体" w:eastAsia="宋体" w:cs="宋体"/>
          <w:b/>
          <w:kern w:val="0"/>
          <w:sz w:val="28"/>
          <w:szCs w:val="28"/>
          <w:lang w:val="en-US" w:eastAsia="zh-CN" w:bidi="ar-SA"/>
        </w:rPr>
      </w:pPr>
      <w:r>
        <w:rPr>
          <w:rFonts w:hint="eastAsia" w:ascii="宋体" w:hAnsi="宋体" w:eastAsia="宋体" w:cs="宋体"/>
          <w:b/>
          <w:kern w:val="0"/>
          <w:sz w:val="28"/>
          <w:szCs w:val="28"/>
          <w:lang w:val="en-US" w:eastAsia="zh-CN" w:bidi="ar-SA"/>
        </w:rPr>
        <w:t>隔离开关的安装前的检查</w:t>
      </w:r>
    </w:p>
    <w:p>
      <w:pPr>
        <w:pStyle w:val="60"/>
        <w:autoSpaceDE w:val="0"/>
        <w:autoSpaceDN w:val="0"/>
        <w:adjustRightInd w:val="0"/>
        <w:spacing w:line="360" w:lineRule="auto"/>
        <w:ind w:left="426" w:firstLine="0" w:firstLineChars="0"/>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检查负荷电流是否超过隔离开关的额定值。</w:t>
      </w:r>
    </w:p>
    <w:p>
      <w:pPr>
        <w:autoSpaceDE w:val="0"/>
        <w:autoSpaceDN w:val="0"/>
        <w:adjustRightInd w:val="0"/>
        <w:spacing w:line="360" w:lineRule="auto"/>
        <w:ind w:firstLine="420" w:firstLineChars="150"/>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检查隔离开关的动静触头连接是否结实，开关合闸是否到位。</w:t>
      </w:r>
    </w:p>
    <w:p>
      <w:pPr>
        <w:pStyle w:val="60"/>
        <w:autoSpaceDE w:val="0"/>
        <w:autoSpaceDN w:val="0"/>
        <w:adjustRightInd w:val="0"/>
        <w:spacing w:line="360" w:lineRule="auto"/>
        <w:ind w:left="426" w:firstLine="0" w:firstLineChars="0"/>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检查进出线端子与开关连接是否压接牢固，有无接触不实等现象。</w:t>
      </w:r>
    </w:p>
    <w:p>
      <w:pPr>
        <w:pStyle w:val="60"/>
        <w:autoSpaceDE w:val="0"/>
        <w:autoSpaceDN w:val="0"/>
        <w:adjustRightInd w:val="0"/>
        <w:spacing w:line="360" w:lineRule="auto"/>
        <w:ind w:left="426" w:firstLine="0" w:firstLineChars="0"/>
        <w:jc w:val="left"/>
        <w:rPr>
          <w:rFonts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检查绝缘连杆、底座等绝缘部分有无损坏和放电现象。</w:t>
      </w:r>
    </w:p>
    <w:p>
      <w:pPr>
        <w:pStyle w:val="60"/>
        <w:autoSpaceDE w:val="0"/>
        <w:autoSpaceDN w:val="0"/>
        <w:adjustRightInd w:val="0"/>
        <w:spacing w:line="360" w:lineRule="auto"/>
        <w:ind w:left="426" w:firstLine="0" w:firstLineChars="0"/>
        <w:jc w:val="left"/>
        <w:rPr>
          <w:rFonts w:ascii="宋体" w:hAnsi="宋体" w:cs="宋体"/>
          <w:kern w:val="0"/>
          <w:sz w:val="28"/>
          <w:szCs w:val="28"/>
        </w:rPr>
      </w:pPr>
      <w:r>
        <w:rPr>
          <w:rFonts w:ascii="宋体" w:hAnsi="宋体" w:cs="宋体"/>
          <w:kern w:val="0"/>
          <w:sz w:val="28"/>
          <w:szCs w:val="28"/>
        </w:rPr>
        <w:t>(5)</w:t>
      </w:r>
      <w:r>
        <w:rPr>
          <w:rFonts w:hint="eastAsia" w:ascii="宋体" w:hAnsi="宋体" w:cs="宋体"/>
          <w:kern w:val="0"/>
          <w:sz w:val="28"/>
          <w:szCs w:val="28"/>
        </w:rPr>
        <w:t>检查动静触头有无烧伤及缺损，灭弧罩是否清洁完好。</w:t>
      </w:r>
    </w:p>
    <w:p>
      <w:pPr>
        <w:pStyle w:val="60"/>
        <w:autoSpaceDE w:val="0"/>
        <w:autoSpaceDN w:val="0"/>
        <w:adjustRightInd w:val="0"/>
        <w:spacing w:line="360" w:lineRule="auto"/>
        <w:ind w:left="426" w:firstLine="0" w:firstLineChars="0"/>
        <w:jc w:val="left"/>
        <w:rPr>
          <w:rFonts w:ascii="宋体" w:hAnsi="宋体" w:cs="宋体"/>
          <w:kern w:val="0"/>
          <w:sz w:val="28"/>
          <w:szCs w:val="28"/>
        </w:rPr>
      </w:pPr>
      <w:r>
        <w:rPr>
          <w:rFonts w:ascii="宋体" w:hAnsi="宋体" w:cs="宋体"/>
          <w:kern w:val="0"/>
          <w:sz w:val="28"/>
          <w:szCs w:val="28"/>
        </w:rPr>
        <w:t>(6)</w:t>
      </w:r>
      <w:r>
        <w:rPr>
          <w:rFonts w:hint="eastAsia" w:ascii="宋体" w:hAnsi="宋体" w:cs="宋体"/>
          <w:kern w:val="0"/>
          <w:sz w:val="28"/>
          <w:szCs w:val="28"/>
        </w:rPr>
        <w:t>检查开关三相触头与触座在分合闸时，是否同时接触或分开，触头接触是否紧密。</w:t>
      </w:r>
    </w:p>
    <w:p>
      <w:pPr>
        <w:pStyle w:val="60"/>
        <w:autoSpaceDE w:val="0"/>
        <w:autoSpaceDN w:val="0"/>
        <w:adjustRightInd w:val="0"/>
        <w:spacing w:line="360" w:lineRule="auto"/>
        <w:ind w:left="426" w:firstLine="0" w:firstLineChars="0"/>
        <w:jc w:val="left"/>
        <w:rPr>
          <w:rFonts w:ascii="宋体" w:hAnsi="宋体" w:cs="宋体"/>
          <w:kern w:val="0"/>
          <w:sz w:val="28"/>
          <w:szCs w:val="28"/>
        </w:rPr>
      </w:pPr>
      <w:r>
        <w:rPr>
          <w:rFonts w:ascii="宋体" w:hAnsi="宋体" w:cs="宋体"/>
          <w:kern w:val="0"/>
          <w:sz w:val="28"/>
          <w:szCs w:val="28"/>
        </w:rPr>
        <w:t>(7)</w:t>
      </w:r>
      <w:r>
        <w:rPr>
          <w:rFonts w:hint="eastAsia" w:ascii="宋体" w:hAnsi="宋体" w:cs="宋体"/>
          <w:kern w:val="0"/>
          <w:sz w:val="28"/>
          <w:szCs w:val="28"/>
        </w:rPr>
        <w:t>操作机构应完好，动作应灵活，分合闸位置应准确到位。</w:t>
      </w:r>
      <w:r>
        <w:rPr>
          <w:rFonts w:ascii="宋体" w:hAnsi="宋体" w:cs="宋体"/>
          <w:kern w:val="0"/>
          <w:sz w:val="28"/>
          <w:szCs w:val="28"/>
        </w:rPr>
        <w:t xml:space="preserve"> </w:t>
      </w:r>
    </w:p>
    <w:p>
      <w:pPr>
        <w:pStyle w:val="58"/>
        <w:numPr>
          <w:ilvl w:val="2"/>
          <w:numId w:val="1"/>
        </w:numPr>
        <w:spacing w:line="360" w:lineRule="auto"/>
        <w:ind w:firstLineChars="0"/>
        <w:rPr>
          <w:rFonts w:ascii="宋体"/>
          <w:b/>
          <w:sz w:val="28"/>
          <w:szCs w:val="28"/>
        </w:rPr>
      </w:pPr>
      <w:r>
        <w:rPr>
          <w:rFonts w:hint="eastAsia" w:ascii="宋体" w:hAnsi="宋体"/>
          <w:b/>
          <w:sz w:val="28"/>
          <w:szCs w:val="28"/>
        </w:rPr>
        <w:t>操作工艺要求</w:t>
      </w:r>
    </w:p>
    <w:p>
      <w:pPr>
        <w:pStyle w:val="60"/>
        <w:spacing w:line="360" w:lineRule="auto"/>
        <w:ind w:left="0" w:firstLine="560"/>
        <w:rPr>
          <w:rFonts w:ascii="宋体" w:hAnsi="宋体"/>
          <w:sz w:val="28"/>
          <w:szCs w:val="28"/>
        </w:rPr>
      </w:pPr>
      <w:r>
        <w:rPr>
          <w:rFonts w:hint="eastAsia" w:ascii="宋体" w:hAnsi="宋体"/>
          <w:sz w:val="28"/>
          <w:szCs w:val="28"/>
        </w:rPr>
        <w:t>操作中应严格按试题中给定的设备需求进行现场组装。</w:t>
      </w:r>
    </w:p>
    <w:p>
      <w:pPr>
        <w:pStyle w:val="60"/>
        <w:spacing w:line="360" w:lineRule="auto"/>
        <w:ind w:left="0" w:firstLine="560"/>
        <w:rPr>
          <w:rFonts w:ascii="宋体"/>
          <w:sz w:val="28"/>
          <w:szCs w:val="28"/>
        </w:rPr>
      </w:pPr>
      <w:r>
        <w:rPr>
          <w:rFonts w:hint="eastAsia" w:ascii="宋体" w:hAnsi="宋体"/>
          <w:sz w:val="28"/>
          <w:szCs w:val="28"/>
        </w:rPr>
        <w:t>应严格按试题示意图中的装配方式进行装配，必须保证开关间距符合规范要求。电源进线端必须遵循高进低出、开关排列由左向右的排列方式；各开关元件不得横向安装。</w:t>
      </w:r>
    </w:p>
    <w:p>
      <w:pPr>
        <w:pStyle w:val="60"/>
        <w:spacing w:line="360" w:lineRule="auto"/>
        <w:ind w:left="425" w:firstLine="560"/>
        <w:rPr>
          <w:rFonts w:ascii="宋体" w:hAnsi="宋体"/>
          <w:sz w:val="28"/>
          <w:szCs w:val="28"/>
        </w:rPr>
      </w:pPr>
      <w:r>
        <w:rPr>
          <w:rFonts w:hint="eastAsia" w:ascii="宋体" w:hAnsi="宋体"/>
          <w:sz w:val="28"/>
          <w:szCs w:val="28"/>
        </w:rPr>
        <w:t>要求电器元件排列美观垂直。</w:t>
      </w:r>
    </w:p>
    <w:p>
      <w:pPr>
        <w:pStyle w:val="60"/>
        <w:spacing w:line="360" w:lineRule="auto"/>
        <w:ind w:left="426" w:firstLine="0" w:firstLineChars="0"/>
        <w:rPr>
          <w:rFonts w:ascii="宋体" w:hAnsi="宋体"/>
          <w:b/>
          <w:sz w:val="28"/>
          <w:szCs w:val="28"/>
        </w:rPr>
      </w:pPr>
      <w:r>
        <w:rPr>
          <w:rFonts w:hint="eastAsia" w:ascii="宋体" w:hAnsi="宋体"/>
          <w:b/>
          <w:sz w:val="28"/>
          <w:szCs w:val="28"/>
        </w:rPr>
        <w:t>导线连接的要求</w:t>
      </w:r>
    </w:p>
    <w:p>
      <w:pPr>
        <w:pStyle w:val="60"/>
        <w:spacing w:line="360" w:lineRule="auto"/>
        <w:ind w:left="426" w:firstLine="0" w:firstLineChars="0"/>
        <w:rPr>
          <w:rFonts w:ascii="宋体" w:hAnsi="宋体"/>
          <w:sz w:val="28"/>
          <w:szCs w:val="28"/>
        </w:rPr>
      </w:pPr>
      <w:r>
        <w:rPr>
          <w:rFonts w:hint="eastAsia" w:ascii="宋体" w:hAnsi="宋体"/>
          <w:sz w:val="28"/>
          <w:szCs w:val="28"/>
        </w:rPr>
        <w:t>1、接触要紧密，接头电阻小，稳定性好，与同长度同截面导线的电阻比应小于1。</w:t>
      </w:r>
    </w:p>
    <w:p>
      <w:pPr>
        <w:spacing w:line="360" w:lineRule="auto"/>
        <w:ind w:left="426"/>
        <w:rPr>
          <w:rFonts w:ascii="宋体" w:hAnsi="宋体"/>
          <w:sz w:val="28"/>
          <w:szCs w:val="28"/>
        </w:rPr>
      </w:pPr>
      <w:r>
        <w:rPr>
          <w:rFonts w:hint="eastAsia" w:ascii="宋体" w:hAnsi="宋体"/>
          <w:sz w:val="28"/>
          <w:szCs w:val="28"/>
        </w:rPr>
        <w:t>2、接头的机械强度不小于导线机械强度的80%。</w:t>
      </w:r>
    </w:p>
    <w:p>
      <w:pPr>
        <w:pStyle w:val="60"/>
        <w:spacing w:line="360" w:lineRule="auto"/>
        <w:ind w:left="426" w:firstLine="0" w:firstLineChars="0"/>
        <w:rPr>
          <w:rFonts w:ascii="宋体" w:hAnsi="宋体"/>
          <w:sz w:val="28"/>
          <w:szCs w:val="28"/>
        </w:rPr>
      </w:pPr>
      <w:r>
        <w:rPr>
          <w:rFonts w:hint="eastAsia" w:ascii="宋体" w:hAnsi="宋体"/>
          <w:sz w:val="28"/>
          <w:szCs w:val="28"/>
        </w:rPr>
        <w:t>3、接头的绝缘强度应与导线的绝缘强度一样。</w:t>
      </w:r>
    </w:p>
    <w:p>
      <w:pPr>
        <w:pStyle w:val="58"/>
        <w:numPr>
          <w:ilvl w:val="2"/>
          <w:numId w:val="1"/>
        </w:numPr>
        <w:spacing w:line="360" w:lineRule="auto"/>
        <w:ind w:firstLineChars="0"/>
        <w:rPr>
          <w:rFonts w:ascii="宋体"/>
          <w:b/>
          <w:sz w:val="28"/>
          <w:szCs w:val="28"/>
        </w:rPr>
      </w:pPr>
      <w:r>
        <w:rPr>
          <w:rFonts w:hint="eastAsia" w:ascii="宋体" w:hAnsi="宋体"/>
          <w:b/>
          <w:sz w:val="28"/>
          <w:szCs w:val="28"/>
        </w:rPr>
        <w:t>操作流程</w:t>
      </w:r>
    </w:p>
    <w:p>
      <w:pPr>
        <w:spacing w:line="360" w:lineRule="auto"/>
        <w:ind w:firstLine="624" w:firstLineChars="223"/>
        <w:rPr>
          <w:rFonts w:ascii="宋体"/>
          <w:sz w:val="28"/>
          <w:szCs w:val="28"/>
        </w:rPr>
      </w:pPr>
      <w:r>
        <w:rPr>
          <w:rFonts w:ascii="宋体" w:hAnsi="宋体"/>
          <w:sz w:val="28"/>
          <w:szCs w:val="28"/>
        </w:rPr>
        <mc:AlternateContent>
          <mc:Choice Requires="wps">
            <w:drawing>
              <wp:anchor distT="0" distB="0" distL="114300" distR="114300" simplePos="0" relativeHeight="251663360" behindDoc="0" locked="0" layoutInCell="1" allowOverlap="1">
                <wp:simplePos x="0" y="0"/>
                <wp:positionH relativeFrom="column">
                  <wp:posOffset>1356360</wp:posOffset>
                </wp:positionH>
                <wp:positionV relativeFrom="paragraph">
                  <wp:posOffset>25400</wp:posOffset>
                </wp:positionV>
                <wp:extent cx="1151890" cy="328295"/>
                <wp:effectExtent l="4445" t="5080" r="5715" b="9525"/>
                <wp:wrapNone/>
                <wp:docPr id="6" name="1033"/>
                <wp:cNvGraphicFramePr/>
                <a:graphic xmlns:a="http://schemas.openxmlformats.org/drawingml/2006/main">
                  <a:graphicData uri="http://schemas.microsoft.com/office/word/2010/wordprocessingShape">
                    <wps:wsp>
                      <wps:cNvSpPr/>
                      <wps:spPr>
                        <a:xfrm>
                          <a:off x="0" y="0"/>
                          <a:ext cx="1151890" cy="328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28"/>
                                <w:szCs w:val="28"/>
                              </w:rPr>
                              <w:t>元器件定位</w:t>
                            </w:r>
                          </w:p>
                          <w:p/>
                        </w:txbxContent>
                      </wps:txbx>
                      <wps:bodyPr upright="1"/>
                    </wps:wsp>
                  </a:graphicData>
                </a:graphic>
              </wp:anchor>
            </w:drawing>
          </mc:Choice>
          <mc:Fallback>
            <w:pict>
              <v:shape id="1033" o:spid="_x0000_s1026" o:spt="109" type="#_x0000_t109" style="position:absolute;left:0pt;margin-left:106.8pt;margin-top:2pt;height:25.85pt;width:90.7pt;z-index:251663360;mso-width-relative:page;mso-height-relative:page;" fillcolor="#FFFFFF" filled="t" stroked="t" coordsize="21600,21600" o:gfxdata="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g4Q72QAAAAgBAAAPAAAAAAAAAAEAIAAAACIAAABkcnMvZG93bnJldi54&#10;bWxQSwECFAAUAAAACACHTuJAvWEsc/kBAAAxBAAADgAAAAAAAAABACAAAAAoAQAAZHJzL2Uyb0Rv&#10;Yy54bWxQSwUGAAAAAAYABgBZAQAAkwUAAAAA&#10;">
                <v:fill on="t" focussize="0,0"/>
                <v:stroke color="#000000" joinstyle="miter"/>
                <v:imagedata o:title=""/>
                <o:lock v:ext="edit" aspectratio="f"/>
                <v:textbox>
                  <w:txbxContent>
                    <w:p>
                      <w:r>
                        <w:rPr>
                          <w:rFonts w:hint="eastAsia" w:ascii="宋体" w:hAnsi="宋体"/>
                          <w:sz w:val="28"/>
                          <w:szCs w:val="28"/>
                        </w:rPr>
                        <w:t>元器件定位</w:t>
                      </w:r>
                    </w:p>
                    <w:p/>
                  </w:txbxContent>
                </v:textbox>
              </v:shape>
            </w:pict>
          </mc:Fallback>
        </mc:AlternateContent>
      </w:r>
      <w:r>
        <w:rPr>
          <w:rFonts w:ascii="宋体" w:hAnsi="宋体"/>
          <w:sz w:val="28"/>
          <w:szCs w:val="28"/>
        </w:rPr>
        <mc:AlternateContent>
          <mc:Choice Requires="wps">
            <w:drawing>
              <wp:anchor distT="0" distB="0" distL="114300" distR="114300" simplePos="0" relativeHeight="251659264" behindDoc="0" locked="0" layoutInCell="1" allowOverlap="1">
                <wp:simplePos x="0" y="0"/>
                <wp:positionH relativeFrom="column">
                  <wp:posOffset>4670425</wp:posOffset>
                </wp:positionH>
                <wp:positionV relativeFrom="paragraph">
                  <wp:posOffset>434975</wp:posOffset>
                </wp:positionV>
                <wp:extent cx="342900" cy="95250"/>
                <wp:effectExtent l="4445" t="0" r="14605" b="0"/>
                <wp:wrapNone/>
                <wp:docPr id="2" name="1027"/>
                <wp:cNvGraphicFramePr/>
                <a:graphic xmlns:a="http://schemas.openxmlformats.org/drawingml/2006/main">
                  <a:graphicData uri="http://schemas.microsoft.com/office/word/2010/wordprocessingShape">
                    <wps:wsp>
                      <wps:cNvCnPr/>
                      <wps:spPr>
                        <a:xfrm rot="5400000">
                          <a:off x="0" y="0"/>
                          <a:ext cx="342900" cy="95250"/>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1027" o:spid="_x0000_s1026" o:spt="34" type="#_x0000_t34" style="position:absolute;left:0pt;margin-left:367.75pt;margin-top:34.25pt;height:7.5pt;width:27pt;rotation:5898240f;z-index:251659264;mso-width-relative:page;mso-height-relative:page;" filled="f" stroked="t" coordsize="21600,21600" o:gfxdata="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K2YhXYAAAACQEAAA8AAAAAAAAAAQAgAAAAIgAAAGRycy9kb3ducmV2&#10;LnhtbFBLAQIUABQAAAAIAIdO4kDG4LHj/AEAAB0EAAAOAAAAAAAAAAEAIAAAACcBAABkcnMvZTJv&#10;RG9jLnhtbFBLBQYAAAAABgAGAFkBAACVBQAAAAA=&#10;" adj="10800">
                <v:fill on="f" focussize="0,0"/>
                <v:stroke color="#000000" joinstyle="miter"/>
                <v:imagedata o:title=""/>
                <o:lock v:ext="edit" aspectratio="f"/>
              </v:shape>
            </w:pict>
          </mc:Fallback>
        </mc:AlternateContent>
      </w:r>
      <w:r>
        <w:rPr>
          <w:rFonts w:ascii="宋体" w:hAnsi="宋体"/>
          <w:sz w:val="28"/>
          <w:szCs w:val="28"/>
        </w:rPr>
        <mc:AlternateContent>
          <mc:Choice Requires="wps">
            <w:drawing>
              <wp:anchor distT="0" distB="0" distL="114300" distR="114300" simplePos="0" relativeHeight="251660288" behindDoc="0" locked="0" layoutInCell="1" allowOverlap="1">
                <wp:simplePos x="0" y="0"/>
                <wp:positionH relativeFrom="column">
                  <wp:posOffset>4146550</wp:posOffset>
                </wp:positionH>
                <wp:positionV relativeFrom="paragraph">
                  <wp:posOffset>165100</wp:posOffset>
                </wp:positionV>
                <wp:extent cx="298450" cy="0"/>
                <wp:effectExtent l="0" t="4445" r="0" b="0"/>
                <wp:wrapNone/>
                <wp:docPr id="3" name="1029"/>
                <wp:cNvGraphicFramePr/>
                <a:graphic xmlns:a="http://schemas.openxmlformats.org/drawingml/2006/main">
                  <a:graphicData uri="http://schemas.microsoft.com/office/word/2010/wordprocessingShape">
                    <wps:wsp>
                      <wps:cNvCnPr/>
                      <wps:spPr>
                        <a:xfrm>
                          <a:off x="0" y="0"/>
                          <a:ext cx="298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1029" o:spid="_x0000_s1026" o:spt="32" type="#_x0000_t32" style="position:absolute;left:0pt;margin-left:326.5pt;margin-top:13pt;height:0pt;width:23.5pt;z-index:251660288;mso-width-relative:page;mso-height-relative:page;" filled="f" stroked="t" coordsize="21600,21600" o:gfxdata="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F75tI1gAAAAkBAAAPAAAAAAAA&#10;AAEAIAAAACIAAABkcnMvZG93bnJldi54bWxQSwECFAAUAAAACACHTuJA6jwsT9sBAADYAwAADgAA&#10;AAAAAAABACAAAAAlAQAAZHJzL2Uyb0RvYy54bWxQSwUGAAAAAAYABgBZAQAAcgUAAAAA&#10;">
                <v:fill on="f" focussize="0,0"/>
                <v:stroke color="#000000" joinstyle="round"/>
                <v:imagedata o:title=""/>
                <o:lock v:ext="edit" aspectratio="f"/>
              </v:shape>
            </w:pict>
          </mc:Fallback>
        </mc:AlternateContent>
      </w:r>
      <w:r>
        <w:rPr>
          <w:rFonts w:ascii="宋体" w:hAnsi="宋体"/>
          <w:sz w:val="28"/>
          <w:szCs w:val="28"/>
        </w:rPr>
        <mc:AlternateContent>
          <mc:Choice Requires="wps">
            <w:drawing>
              <wp:anchor distT="0" distB="0" distL="114300" distR="114300" simplePos="0" relativeHeight="251661312" behindDoc="0" locked="0" layoutInCell="1" allowOverlap="1">
                <wp:simplePos x="0" y="0"/>
                <wp:positionH relativeFrom="column">
                  <wp:posOffset>2362200</wp:posOffset>
                </wp:positionH>
                <wp:positionV relativeFrom="paragraph">
                  <wp:posOffset>165100</wp:posOffset>
                </wp:positionV>
                <wp:extent cx="374650" cy="0"/>
                <wp:effectExtent l="0" t="5080" r="0" b="4445"/>
                <wp:wrapNone/>
                <wp:docPr id="4" name="1030"/>
                <wp:cNvGraphicFramePr/>
                <a:graphic xmlns:a="http://schemas.openxmlformats.org/drawingml/2006/main">
                  <a:graphicData uri="http://schemas.microsoft.com/office/word/2010/wordprocessingShape">
                    <wps:wsp>
                      <wps:cNvCnPr/>
                      <wps:spPr>
                        <a:xfrm>
                          <a:off x="0" y="0"/>
                          <a:ext cx="3746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1030" o:spid="_x0000_s1026" o:spt="32" type="#_x0000_t32" style="position:absolute;left:0pt;margin-left:186pt;margin-top:13pt;height:0pt;width:29.5pt;z-index:251661312;mso-width-relative:page;mso-height-relative:page;" filled="f" stroked="t" coordsize="21600,21600" o:gfxdata="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2Y27j1wAAAAkBAAAPAAAAAAAA&#10;AAEAIAAAACIAAABkcnMvZG93bnJldi54bWxQSwECFAAUAAAACACHTuJA5ugtxtoBAADYAwAADgAA&#10;AAAAAAABACAAAAAmAQAAZHJzL2Uyb0RvYy54bWxQSwUGAAAAAAYABgBZAQAAcgUAAAAA&#10;">
                <v:fill on="f" focussize="0,0"/>
                <v:stroke color="#000000" joinstyle="round"/>
                <v:imagedata o:title=""/>
                <o:lock v:ext="edit" aspectratio="f"/>
              </v:shape>
            </w:pict>
          </mc:Fallback>
        </mc:AlternateContent>
      </w:r>
      <w:r>
        <w:rPr>
          <w:rFonts w:ascii="宋体" w:hAnsi="宋体"/>
          <w:sz w:val="28"/>
          <w:szCs w:val="28"/>
        </w:rPr>
        <mc:AlternateContent>
          <mc:Choice Requires="wps">
            <w:drawing>
              <wp:anchor distT="0" distB="0" distL="114300" distR="114300" simplePos="0" relativeHeight="251662336" behindDoc="0" locked="0" layoutInCell="1" allowOverlap="1">
                <wp:simplePos x="0" y="0"/>
                <wp:positionH relativeFrom="column">
                  <wp:posOffset>996950</wp:posOffset>
                </wp:positionH>
                <wp:positionV relativeFrom="paragraph">
                  <wp:posOffset>165100</wp:posOffset>
                </wp:positionV>
                <wp:extent cx="450850" cy="0"/>
                <wp:effectExtent l="0" t="4445" r="0" b="5080"/>
                <wp:wrapNone/>
                <wp:docPr id="5" name="1031"/>
                <wp:cNvGraphicFramePr/>
                <a:graphic xmlns:a="http://schemas.openxmlformats.org/drawingml/2006/main">
                  <a:graphicData uri="http://schemas.microsoft.com/office/word/2010/wordprocessingShape">
                    <wps:wsp>
                      <wps:cNvCnPr/>
                      <wps:spPr>
                        <a:xfrm>
                          <a:off x="0" y="0"/>
                          <a:ext cx="450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1031" o:spid="_x0000_s1026" o:spt="32" type="#_x0000_t32" style="position:absolute;left:0pt;margin-left:78.5pt;margin-top:13pt;height:0pt;width:35.5pt;z-index:251662336;mso-width-relative:page;mso-height-relative:page;" filled="f" stroked="t" coordsize="21600,21600" o:gfxdata="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EcNaNUAAAAJAQAADwAAAAAAAAAB&#10;ACAAAAAiAAAAZHJzL2Rvd25yZXYueG1sUEsBAhQAFAAAAAgAh07iQEBJPQDaAQAA2AMAAA4AAAAA&#10;AAAAAQAgAAAAJAEAAGRycy9lMm9Eb2MueG1sUEsFBgAAAAAGAAYAWQEAAHAFAAAAAA==&#10;">
                <v:fill on="f" focussize="0,0"/>
                <v:stroke color="#000000" joinstyle="round"/>
                <v:imagedata o:title=""/>
                <o:lock v:ext="edit" aspectratio="f"/>
              </v:shape>
            </w:pict>
          </mc:Fallback>
        </mc:AlternateContent>
      </w:r>
      <w:r>
        <w:rPr>
          <w:rFonts w:ascii="宋体" w:hAnsi="宋体"/>
          <w:sz w:val="28"/>
          <w:szCs w:val="28"/>
        </w:rPr>
        <mc:AlternateContent>
          <mc:Choice Requires="wps">
            <w:drawing>
              <wp:anchor distT="0" distB="0" distL="114300" distR="114300" simplePos="0" relativeHeight="251664384" behindDoc="0" locked="0" layoutInCell="1" allowOverlap="1">
                <wp:simplePos x="0" y="0"/>
                <wp:positionH relativeFrom="column">
                  <wp:posOffset>82550</wp:posOffset>
                </wp:positionH>
                <wp:positionV relativeFrom="paragraph">
                  <wp:posOffset>25400</wp:posOffset>
                </wp:positionV>
                <wp:extent cx="914400" cy="322580"/>
                <wp:effectExtent l="4445" t="4445" r="14605" b="15875"/>
                <wp:wrapNone/>
                <wp:docPr id="7" name="1034"/>
                <wp:cNvGraphicFramePr/>
                <a:graphic xmlns:a="http://schemas.openxmlformats.org/drawingml/2006/main">
                  <a:graphicData uri="http://schemas.microsoft.com/office/word/2010/wordprocessingShape">
                    <wps:wsp>
                      <wps:cNvSpPr/>
                      <wps:spPr>
                        <a:xfrm>
                          <a:off x="0" y="0"/>
                          <a:ext cx="914400" cy="3225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sz w:val="28"/>
                                <w:szCs w:val="28"/>
                              </w:rPr>
                              <w:t>选择电箱</w:t>
                            </w:r>
                          </w:p>
                          <w:p/>
                        </w:txbxContent>
                      </wps:txbx>
                      <wps:bodyPr upright="1"/>
                    </wps:wsp>
                  </a:graphicData>
                </a:graphic>
              </wp:anchor>
            </w:drawing>
          </mc:Choice>
          <mc:Fallback>
            <w:pict>
              <v:shape id="1034" o:spid="_x0000_s1026" o:spt="109" type="#_x0000_t109" style="position:absolute;left:0pt;margin-left:6.5pt;margin-top:2pt;height:25.4pt;width:72pt;z-index:251664384;mso-width-relative:page;mso-height-relative:page;" fillcolor="#FFFFFF" filled="t" stroked="t" coordsize="21600,21600" o:gfxdata="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5Ojy/WAAAABwEAAA8AAAAAAAAAAQAgAAAAIgAAAGRycy9kb3ducmV2Lnht&#10;bFBLAQIUABQAAAAIAIdO4kAA25Uk+wEAADAEAAAOAAAAAAAAAAEAIAAAACUBAABkcnMvZTJvRG9j&#10;LnhtbFBLBQYAAAAABgAGAFkBAACSBQAAAAA=&#10;">
                <v:fill on="t" focussize="0,0"/>
                <v:stroke color="#000000" joinstyle="miter"/>
                <v:imagedata o:title=""/>
                <o:lock v:ext="edit" aspectratio="f"/>
                <v:textbox>
                  <w:txbxContent>
                    <w:p>
                      <w:r>
                        <w:rPr>
                          <w:rFonts w:ascii="宋体" w:hAnsi="宋体"/>
                          <w:sz w:val="28"/>
                          <w:szCs w:val="28"/>
                        </w:rPr>
                        <w:t>选择电箱</w:t>
                      </w:r>
                    </w:p>
                    <w:p/>
                  </w:txbxContent>
                </v:textbox>
              </v:shape>
            </w:pict>
          </mc:Fallback>
        </mc:AlternateContent>
      </w:r>
      <w:r>
        <w:rPr>
          <w:rFonts w:ascii="宋体"/>
          <w:sz w:val="28"/>
          <w:szCs w:val="28"/>
        </w:rPr>
        <mc:AlternateContent>
          <mc:Choice Requires="wps">
            <w:drawing>
              <wp:anchor distT="0" distB="0" distL="114300" distR="114300" simplePos="0" relativeHeight="251665408" behindDoc="0" locked="0" layoutInCell="1" allowOverlap="1">
                <wp:simplePos x="0" y="0"/>
                <wp:positionH relativeFrom="column">
                  <wp:posOffset>4445000</wp:posOffset>
                </wp:positionH>
                <wp:positionV relativeFrom="paragraph">
                  <wp:posOffset>25400</wp:posOffset>
                </wp:positionV>
                <wp:extent cx="914400" cy="329565"/>
                <wp:effectExtent l="4445" t="4445" r="14605" b="8890"/>
                <wp:wrapNone/>
                <wp:docPr id="8" name="1035"/>
                <wp:cNvGraphicFramePr/>
                <a:graphic xmlns:a="http://schemas.openxmlformats.org/drawingml/2006/main">
                  <a:graphicData uri="http://schemas.microsoft.com/office/word/2010/wordprocessingShape">
                    <wps:wsp>
                      <wps:cNvSpPr/>
                      <wps:spPr>
                        <a:xfrm>
                          <a:off x="0" y="0"/>
                          <a:ext cx="91440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28"/>
                                <w:szCs w:val="28"/>
                              </w:rPr>
                              <w:t>导线选择</w:t>
                            </w:r>
                          </w:p>
                        </w:txbxContent>
                      </wps:txbx>
                      <wps:bodyPr upright="1"/>
                    </wps:wsp>
                  </a:graphicData>
                </a:graphic>
              </wp:anchor>
            </w:drawing>
          </mc:Choice>
          <mc:Fallback>
            <w:pict>
              <v:shape id="1035" o:spid="_x0000_s1026" o:spt="109" type="#_x0000_t109" style="position:absolute;left:0pt;margin-left:350pt;margin-top:2pt;height:25.95pt;width:72pt;z-index:251665408;mso-width-relative:page;mso-height-relative:page;" fillcolor="#FFFFFF" filled="t" stroked="t" coordsize="21600,21600" o:gfxdata="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Y5Hh9gAAAAIAQAADwAAAAAAAAABACAAAAAiAAAAZHJzL2Rvd25yZXYu&#10;eG1sUEsBAhQAFAAAAAgAh07iQPSNc3z7AQAAMAQAAA4AAAAAAAAAAQAgAAAAJwEAAGRycy9lMm9E&#10;b2MueG1sUEsFBgAAAAAGAAYAWQEAAJQFAAAAAA==&#10;">
                <v:fill on="t" focussize="0,0"/>
                <v:stroke color="#000000" joinstyle="miter"/>
                <v:imagedata o:title=""/>
                <o:lock v:ext="edit" aspectratio="f"/>
                <v:textbox>
                  <w:txbxContent>
                    <w:p>
                      <w:r>
                        <w:rPr>
                          <w:rFonts w:hint="eastAsia" w:ascii="宋体" w:hAnsi="宋体"/>
                          <w:sz w:val="28"/>
                          <w:szCs w:val="28"/>
                        </w:rPr>
                        <w:t>导线选择</w:t>
                      </w:r>
                    </w:p>
                  </w:txbxContent>
                </v:textbox>
              </v:shape>
            </w:pict>
          </mc:Fallback>
        </mc:AlternateContent>
      </w:r>
      <w:r>
        <w:rPr>
          <w:rFonts w:ascii="宋体"/>
          <w:sz w:val="28"/>
          <w:szCs w:val="28"/>
        </w:rPr>
        <mc:AlternateContent>
          <mc:Choice Requires="wps">
            <w:drawing>
              <wp:anchor distT="0" distB="0" distL="114300" distR="114300" simplePos="0" relativeHeight="251666432" behindDoc="0" locked="0" layoutInCell="1" allowOverlap="1">
                <wp:simplePos x="0" y="0"/>
                <wp:positionH relativeFrom="column">
                  <wp:posOffset>2736850</wp:posOffset>
                </wp:positionH>
                <wp:positionV relativeFrom="paragraph">
                  <wp:posOffset>25400</wp:posOffset>
                </wp:positionV>
                <wp:extent cx="1409700" cy="328295"/>
                <wp:effectExtent l="4445" t="4445" r="14605" b="10160"/>
                <wp:wrapNone/>
                <wp:docPr id="9" name="1036"/>
                <wp:cNvGraphicFramePr/>
                <a:graphic xmlns:a="http://schemas.openxmlformats.org/drawingml/2006/main">
                  <a:graphicData uri="http://schemas.microsoft.com/office/word/2010/wordprocessingShape">
                    <wps:wsp>
                      <wps:cNvSpPr/>
                      <wps:spPr>
                        <a:xfrm>
                          <a:off x="0" y="0"/>
                          <a:ext cx="1409700" cy="3282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28"/>
                                <w:szCs w:val="28"/>
                              </w:rPr>
                              <w:t>电器元件安装</w:t>
                            </w:r>
                          </w:p>
                        </w:txbxContent>
                      </wps:txbx>
                      <wps:bodyPr upright="1"/>
                    </wps:wsp>
                  </a:graphicData>
                </a:graphic>
              </wp:anchor>
            </w:drawing>
          </mc:Choice>
          <mc:Fallback>
            <w:pict>
              <v:shape id="1036" o:spid="_x0000_s1026" o:spt="109" type="#_x0000_t109" style="position:absolute;left:0pt;margin-left:215.5pt;margin-top:2pt;height:25.85pt;width:111pt;z-index:251666432;mso-width-relative:page;mso-height-relative:page;" fillcolor="#FFFFFF" filled="t" stroked="t" coordsize="21600,21600" o:gfxdata="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DLlQ2AAAAAgBAAAPAAAAAAAAAAEAIAAAACIAAABkcnMvZG93bnJldi54&#10;bWxQSwECFAAUAAAACACHTuJAwDJ8ufoBAAAxBAAADgAAAAAAAAABACAAAAAnAQAAZHJzL2Uyb0Rv&#10;Yy54bWxQSwUGAAAAAAYABgBZAQAAkwUAAAAA&#10;">
                <v:fill on="t" focussize="0,0"/>
                <v:stroke color="#000000" joinstyle="miter"/>
                <v:imagedata o:title=""/>
                <o:lock v:ext="edit" aspectratio="f"/>
                <v:textbox>
                  <w:txbxContent>
                    <w:p>
                      <w:r>
                        <w:rPr>
                          <w:rFonts w:hint="eastAsia" w:ascii="宋体" w:hAnsi="宋体"/>
                          <w:sz w:val="28"/>
                          <w:szCs w:val="28"/>
                        </w:rPr>
                        <w:t>电器元件安装</w:t>
                      </w:r>
                    </w:p>
                  </w:txbxContent>
                </v:textbox>
              </v:shape>
            </w:pict>
          </mc:Fallback>
        </mc:AlternateContent>
      </w:r>
    </w:p>
    <w:p>
      <w:pPr>
        <w:spacing w:line="360" w:lineRule="auto"/>
        <w:ind w:firstLine="624" w:firstLineChars="223"/>
        <w:rPr>
          <w:rFonts w:ascii="宋体"/>
          <w:sz w:val="28"/>
          <w:szCs w:val="28"/>
        </w:rPr>
      </w:pPr>
      <w:r>
        <w:rPr>
          <w:rFonts w:ascii="宋体"/>
          <w:sz w:val="28"/>
          <w:szCs w:val="28"/>
        </w:rPr>
        <mc:AlternateContent>
          <mc:Choice Requires="wps">
            <w:drawing>
              <wp:anchor distT="0" distB="0" distL="114300" distR="114300" simplePos="0" relativeHeight="251667456" behindDoc="0" locked="0" layoutInCell="1" allowOverlap="1">
                <wp:simplePos x="0" y="0"/>
                <wp:positionH relativeFrom="column">
                  <wp:posOffset>695960</wp:posOffset>
                </wp:positionH>
                <wp:positionV relativeFrom="paragraph">
                  <wp:posOffset>327025</wp:posOffset>
                </wp:positionV>
                <wp:extent cx="1797685" cy="294005"/>
                <wp:effectExtent l="5080" t="4445" r="6985" b="6350"/>
                <wp:wrapNone/>
                <wp:docPr id="11" name="1038"/>
                <wp:cNvGraphicFramePr/>
                <a:graphic xmlns:a="http://schemas.openxmlformats.org/drawingml/2006/main">
                  <a:graphicData uri="http://schemas.microsoft.com/office/word/2010/wordprocessingShape">
                    <wps:wsp>
                      <wps:cNvSpPr/>
                      <wps:spPr>
                        <a:xfrm>
                          <a:off x="0" y="0"/>
                          <a:ext cx="1797685" cy="2940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ascii="宋体" w:hAnsi="宋体"/>
                                <w:sz w:val="28"/>
                                <w:szCs w:val="28"/>
                                <w:lang w:eastAsia="zh-CN"/>
                              </w:rPr>
                              <w:t>完成电箱的全部安装</w:t>
                            </w:r>
                          </w:p>
                        </w:txbxContent>
                      </wps:txbx>
                      <wps:bodyPr upright="1"/>
                    </wps:wsp>
                  </a:graphicData>
                </a:graphic>
              </wp:anchor>
            </w:drawing>
          </mc:Choice>
          <mc:Fallback>
            <w:pict>
              <v:shape id="1038" o:spid="_x0000_s1026" o:spt="109" type="#_x0000_t109" style="position:absolute;left:0pt;margin-left:54.8pt;margin-top:25.75pt;height:23.15pt;width:141.55pt;z-index:251667456;mso-width-relative:page;mso-height-relative:page;" fillcolor="#FFFFFF" filled="t" stroked="t" coordsize="21600,21600" o:gfxdata="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7708zZAAAACQEAAA8AAAAAAAAAAQAgAAAAIgAAAGRycy9kb3ducmV2&#10;LnhtbFBLAQIUABQAAAAIAIdO4kC+z1rt+wEAADIEAAAOAAAAAAAAAAEAIAAAACgBAABkcnMvZTJv&#10;RG9jLnhtbFBLBQYAAAAABgAGAFkBAACVBQAAAAA=&#10;">
                <v:fill on="t" focussize="0,0"/>
                <v:stroke color="#000000" joinstyle="miter"/>
                <v:imagedata o:title=""/>
                <o:lock v:ext="edit" aspectratio="f"/>
                <v:textbox>
                  <w:txbxContent>
                    <w:p>
                      <w:pPr>
                        <w:rPr>
                          <w:rFonts w:hint="eastAsia" w:eastAsia="宋体"/>
                          <w:lang w:eastAsia="zh-CN"/>
                        </w:rPr>
                      </w:pPr>
                      <w:r>
                        <w:rPr>
                          <w:rFonts w:hint="eastAsia" w:ascii="宋体" w:hAnsi="宋体"/>
                          <w:sz w:val="28"/>
                          <w:szCs w:val="28"/>
                          <w:lang w:eastAsia="zh-CN"/>
                        </w:rPr>
                        <w:t>完成电箱的全部安装</w:t>
                      </w:r>
                    </w:p>
                  </w:txbxContent>
                </v:textbox>
              </v:shape>
            </w:pict>
          </mc:Fallback>
        </mc:AlternateContent>
      </w:r>
      <w:r>
        <w:rPr>
          <w:rFonts w:ascii="宋体"/>
          <w:sz w:val="28"/>
          <w:szCs w:val="28"/>
        </w:rPr>
        <mc:AlternateContent>
          <mc:Choice Requires="wps">
            <w:drawing>
              <wp:anchor distT="0" distB="0" distL="114300" distR="114300" simplePos="0" relativeHeight="251668480" behindDoc="0" locked="0" layoutInCell="1" allowOverlap="1">
                <wp:simplePos x="0" y="0"/>
                <wp:positionH relativeFrom="column">
                  <wp:posOffset>3022600</wp:posOffset>
                </wp:positionH>
                <wp:positionV relativeFrom="paragraph">
                  <wp:posOffset>327025</wp:posOffset>
                </wp:positionV>
                <wp:extent cx="914400" cy="302260"/>
                <wp:effectExtent l="4445" t="4445" r="14605" b="17145"/>
                <wp:wrapNone/>
                <wp:docPr id="12" name="1039"/>
                <wp:cNvGraphicFramePr/>
                <a:graphic xmlns:a="http://schemas.openxmlformats.org/drawingml/2006/main">
                  <a:graphicData uri="http://schemas.microsoft.com/office/word/2010/wordprocessingShape">
                    <wps:wsp>
                      <wps:cNvSpPr/>
                      <wps:spPr>
                        <a:xfrm>
                          <a:off x="0" y="0"/>
                          <a:ext cx="914400" cy="3022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28"/>
                                <w:szCs w:val="28"/>
                              </w:rPr>
                              <w:t>导线安装</w:t>
                            </w:r>
                          </w:p>
                        </w:txbxContent>
                      </wps:txbx>
                      <wps:bodyPr upright="1"/>
                    </wps:wsp>
                  </a:graphicData>
                </a:graphic>
              </wp:anchor>
            </w:drawing>
          </mc:Choice>
          <mc:Fallback>
            <w:pict>
              <v:shape id="1039" o:spid="_x0000_s1026" o:spt="109" type="#_x0000_t109" style="position:absolute;left:0pt;margin-left:238pt;margin-top:25.75pt;height:23.8pt;width:72pt;z-index:251668480;mso-width-relative:page;mso-height-relative:page;" fillcolor="#FFFFFF" filled="t" stroked="t" coordsize="21600,21600" o:gfxdata="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uhFpPZAAAACQEAAA8AAAAAAAAAAQAgAAAAIgAAAGRycy9kb3ducmV2&#10;LnhtbFBLAQIUABQAAAAIAIdO4kC7l99r+wEAADEEAAAOAAAAAAAAAAEAIAAAACgBAABkcnMvZTJv&#10;RG9jLnhtbFBLBQYAAAAABgAGAFkBAACVBQAAAAA=&#10;">
                <v:fill on="t" focussize="0,0"/>
                <v:stroke color="#000000" joinstyle="miter"/>
                <v:imagedata o:title=""/>
                <o:lock v:ext="edit" aspectratio="f"/>
                <v:textbox>
                  <w:txbxContent>
                    <w:p>
                      <w:r>
                        <w:rPr>
                          <w:rFonts w:hint="eastAsia" w:ascii="宋体" w:hAnsi="宋体"/>
                          <w:sz w:val="28"/>
                          <w:szCs w:val="28"/>
                        </w:rPr>
                        <w:t>导线安装</w:t>
                      </w:r>
                    </w:p>
                  </w:txbxContent>
                </v:textbox>
              </v:shape>
            </w:pict>
          </mc:Fallback>
        </mc:AlternateContent>
      </w:r>
      <w:r>
        <w:rPr>
          <w:rFonts w:ascii="宋体"/>
          <w:sz w:val="28"/>
          <w:szCs w:val="28"/>
        </w:rPr>
        <mc:AlternateContent>
          <mc:Choice Requires="wps">
            <w:drawing>
              <wp:anchor distT="0" distB="0" distL="114300" distR="114300" simplePos="0" relativeHeight="251669504" behindDoc="0" locked="0" layoutInCell="1" allowOverlap="1">
                <wp:simplePos x="0" y="0"/>
                <wp:positionH relativeFrom="column">
                  <wp:posOffset>4445000</wp:posOffset>
                </wp:positionH>
                <wp:positionV relativeFrom="paragraph">
                  <wp:posOffset>327025</wp:posOffset>
                </wp:positionV>
                <wp:extent cx="914400" cy="311150"/>
                <wp:effectExtent l="4445" t="5080" r="14605" b="7620"/>
                <wp:wrapNone/>
                <wp:docPr id="13" name="1040"/>
                <wp:cNvGraphicFramePr/>
                <a:graphic xmlns:a="http://schemas.openxmlformats.org/drawingml/2006/main">
                  <a:graphicData uri="http://schemas.microsoft.com/office/word/2010/wordprocessingShape">
                    <wps:wsp>
                      <wps:cNvSpPr/>
                      <wps:spPr>
                        <a:xfrm>
                          <a:off x="0" y="0"/>
                          <a:ext cx="914400" cy="311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sz w:val="28"/>
                                <w:szCs w:val="28"/>
                              </w:rPr>
                              <w:t>接头制作</w:t>
                            </w:r>
                          </w:p>
                        </w:txbxContent>
                      </wps:txbx>
                      <wps:bodyPr upright="1"/>
                    </wps:wsp>
                  </a:graphicData>
                </a:graphic>
              </wp:anchor>
            </w:drawing>
          </mc:Choice>
          <mc:Fallback>
            <w:pict>
              <v:shape id="1040" o:spid="_x0000_s1026" o:spt="109" type="#_x0000_t109" style="position:absolute;left:0pt;margin-left:350pt;margin-top:25.75pt;height:24.5pt;width:72pt;z-index:251669504;mso-width-relative:page;mso-height-relative:page;" fillcolor="#FFFFFF" filled="t" stroked="t" coordsize="21600,21600" o:gfxdata="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mVbr3YAAAACgEAAA8AAAAAAAAAAQAgAAAAIgAAAGRycy9kb3ducmV2Lnht&#10;bFBLAQIUABQAAAAIAIdO4kDDpkOt+QEAADEEAAAOAAAAAAAAAAEAIAAAACcBAABkcnMvZTJvRG9j&#10;LnhtbFBLBQYAAAAABgAGAFkBAACSBQAAAAA=&#10;">
                <v:fill on="t" focussize="0,0"/>
                <v:stroke color="#000000" joinstyle="miter"/>
                <v:imagedata o:title=""/>
                <o:lock v:ext="edit" aspectratio="f"/>
                <v:textbox>
                  <w:txbxContent>
                    <w:p>
                      <w:r>
                        <w:rPr>
                          <w:rFonts w:ascii="宋体" w:hAnsi="宋体"/>
                          <w:sz w:val="28"/>
                          <w:szCs w:val="28"/>
                        </w:rPr>
                        <w:t>接头制作</w:t>
                      </w:r>
                    </w:p>
                  </w:txbxContent>
                </v:textbox>
              </v:shape>
            </w:pict>
          </mc:Fallback>
        </mc:AlternateContent>
      </w:r>
    </w:p>
    <w:p>
      <w:pPr>
        <w:spacing w:line="360" w:lineRule="auto"/>
        <w:rPr>
          <w:rFonts w:ascii="宋体"/>
          <w:sz w:val="28"/>
          <w:szCs w:val="28"/>
        </w:rPr>
      </w:pPr>
      <w:r>
        <w:rPr>
          <w:rFonts w:ascii="宋体"/>
          <w:sz w:val="28"/>
          <w:szCs w:val="28"/>
        </w:rPr>
        <mc:AlternateContent>
          <mc:Choice Requires="wps">
            <w:drawing>
              <wp:anchor distT="0" distB="0" distL="114300" distR="114300" simplePos="0" relativeHeight="251670528" behindDoc="0" locked="0" layoutInCell="1" allowOverlap="1">
                <wp:simplePos x="0" y="0"/>
                <wp:positionH relativeFrom="column">
                  <wp:posOffset>186055</wp:posOffset>
                </wp:positionH>
                <wp:positionV relativeFrom="paragraph">
                  <wp:posOffset>133350</wp:posOffset>
                </wp:positionV>
                <wp:extent cx="502285" cy="0"/>
                <wp:effectExtent l="0" t="4445" r="0" b="5080"/>
                <wp:wrapNone/>
                <wp:docPr id="14" name="1041"/>
                <wp:cNvGraphicFramePr/>
                <a:graphic xmlns:a="http://schemas.openxmlformats.org/drawingml/2006/main">
                  <a:graphicData uri="http://schemas.microsoft.com/office/word/2010/wordprocessingShape">
                    <wps:wsp>
                      <wps:cNvCnPr/>
                      <wps:spPr>
                        <a:xfrm>
                          <a:off x="0" y="0"/>
                          <a:ext cx="50228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1041" o:spid="_x0000_s1026" o:spt="32" type="#_x0000_t32" style="position:absolute;left:0pt;margin-left:14.65pt;margin-top:10.5pt;height:0pt;width:39.55pt;z-index:251670528;mso-width-relative:page;mso-height-relative:page;" filled="f" stroked="t" coordsize="21600,21600" o:gfxdata="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M0cmnWAAAACAEAAA8AAAAAAAAA&#10;AQAgAAAAIgAAAGRycy9kb3ducmV2LnhtbFBLAQIUABQAAAAIAIdO4kAIq/3+2gEAANkDAAAOAAAA&#10;AAAAAAEAIAAAACUBAABkcnMvZTJvRG9jLnhtbFBLBQYAAAAABgAGAFkBAABxBQAAAAA=&#10;">
                <v:fill on="f" focussize="0,0"/>
                <v:stroke color="#000000" joinstyle="round"/>
                <v:imagedata o:title=""/>
                <o:lock v:ext="edit" aspectratio="f"/>
              </v:shape>
            </w:pict>
          </mc:Fallback>
        </mc:AlternateContent>
      </w:r>
      <w:r>
        <w:rPr>
          <w:rFonts w:ascii="宋体"/>
          <w:sz w:val="28"/>
          <w:szCs w:val="28"/>
        </w:rPr>
        <mc:AlternateContent>
          <mc:Choice Requires="wps">
            <w:drawing>
              <wp:anchor distT="0" distB="0" distL="114300" distR="114300" simplePos="0" relativeHeight="251671552" behindDoc="0" locked="0" layoutInCell="1" allowOverlap="1">
                <wp:simplePos x="0" y="0"/>
                <wp:positionH relativeFrom="column">
                  <wp:posOffset>2508250</wp:posOffset>
                </wp:positionH>
                <wp:positionV relativeFrom="paragraph">
                  <wp:posOffset>127000</wp:posOffset>
                </wp:positionV>
                <wp:extent cx="514350" cy="0"/>
                <wp:effectExtent l="0" t="4445" r="0" b="5080"/>
                <wp:wrapNone/>
                <wp:docPr id="15" name="1042"/>
                <wp:cNvGraphicFramePr/>
                <a:graphic xmlns:a="http://schemas.openxmlformats.org/drawingml/2006/main">
                  <a:graphicData uri="http://schemas.microsoft.com/office/word/2010/wordprocessingShape">
                    <wps:wsp>
                      <wps:cNvCnPr/>
                      <wps:spPr>
                        <a:xfrm>
                          <a:off x="0" y="0"/>
                          <a:ext cx="514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1042" o:spid="_x0000_s1026" o:spt="32" type="#_x0000_t32" style="position:absolute;left:0pt;margin-left:197.5pt;margin-top:10pt;height:0pt;width:40.5pt;z-index:251671552;mso-width-relative:page;mso-height-relative:page;" filled="f" stroked="t" coordsize="21600,21600" o:gfxdata="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2S4LP1gAAAAkBAAAPAAAAAAAA&#10;AAEAIAAAACIAAABkcnMvZG93bnJldi54bWxQSwECFAAUAAAACACHTuJAncjjhdsBAADZAwAADgAA&#10;AAAAAAABACAAAAAlAQAAZHJzL2Uyb0RvYy54bWxQSwUGAAAAAAYABgBZAQAAcgUAAAAA&#10;">
                <v:fill on="f" focussize="0,0"/>
                <v:stroke color="#000000" joinstyle="round"/>
                <v:imagedata o:title=""/>
                <o:lock v:ext="edit" aspectratio="f"/>
              </v:shape>
            </w:pict>
          </mc:Fallback>
        </mc:AlternateContent>
      </w:r>
      <w:r>
        <w:rPr>
          <w:rFonts w:ascii="宋体"/>
          <w:sz w:val="28"/>
          <w:szCs w:val="28"/>
        </w:rPr>
        <mc:AlternateContent>
          <mc:Choice Requires="wps">
            <w:drawing>
              <wp:anchor distT="0" distB="0" distL="114300" distR="114300" simplePos="0" relativeHeight="251672576" behindDoc="0" locked="0" layoutInCell="1" allowOverlap="1">
                <wp:simplePos x="0" y="0"/>
                <wp:positionH relativeFrom="column">
                  <wp:posOffset>3937000</wp:posOffset>
                </wp:positionH>
                <wp:positionV relativeFrom="paragraph">
                  <wp:posOffset>127000</wp:posOffset>
                </wp:positionV>
                <wp:extent cx="508000" cy="0"/>
                <wp:effectExtent l="0" t="4445" r="0" b="5080"/>
                <wp:wrapNone/>
                <wp:docPr id="16" name="1043"/>
                <wp:cNvGraphicFramePr/>
                <a:graphic xmlns:a="http://schemas.openxmlformats.org/drawingml/2006/main">
                  <a:graphicData uri="http://schemas.microsoft.com/office/word/2010/wordprocessingShape">
                    <wps:wsp>
                      <wps:cNvCnPr/>
                      <wps:spPr>
                        <a:xfrm>
                          <a:off x="0" y="0"/>
                          <a:ext cx="5080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1043" o:spid="_x0000_s1026" o:spt="32" type="#_x0000_t32" style="position:absolute;left:0pt;margin-left:310pt;margin-top:10pt;height:0pt;width:40pt;z-index:251672576;mso-width-relative:page;mso-height-relative:page;" filled="f" stroked="t" coordsize="21600,21600" o:gfxdata="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ba849QAAAAJAQAADwAAAAAAAAAB&#10;ACAAAAAiAAAAZHJzL2Rvd25yZXYueG1sUEsBAhQAFAAAAAgAh07iQADv7nTbAQAA2QMAAA4AAAAA&#10;AAAAAQAgAAAAIwEAAGRycy9lMm9Eb2MueG1sUEsFBgAAAAAGAAYAWQEAAHAFAAAAAA==&#10;">
                <v:fill on="f" focussize="0,0"/>
                <v:stroke color="#000000" joinstyle="round"/>
                <v:imagedata o:title=""/>
                <o:lock v:ext="edit" aspectratio="f"/>
              </v:shape>
            </w:pict>
          </mc:Fallback>
        </mc:AlternateContent>
      </w:r>
    </w:p>
    <w:p>
      <w:pPr>
        <w:spacing w:line="360" w:lineRule="auto"/>
        <w:rPr>
          <w:rFonts w:ascii="宋体"/>
          <w:sz w:val="28"/>
          <w:szCs w:val="28"/>
        </w:rPr>
      </w:pPr>
    </w:p>
    <w:bookmarkEnd w:id="6"/>
    <w:bookmarkEnd w:id="7"/>
    <w:bookmarkEnd w:id="8"/>
    <w:bookmarkEnd w:id="9"/>
    <w:bookmarkEnd w:id="10"/>
    <w:p>
      <w:pPr>
        <w:pStyle w:val="58"/>
        <w:numPr>
          <w:ilvl w:val="0"/>
          <w:numId w:val="1"/>
        </w:numPr>
        <w:spacing w:line="360" w:lineRule="auto"/>
        <w:ind w:firstLineChars="0"/>
        <w:rPr>
          <w:rFonts w:ascii="宋体"/>
          <w:b/>
          <w:sz w:val="28"/>
          <w:szCs w:val="28"/>
        </w:rPr>
      </w:pPr>
      <w:r>
        <w:rPr>
          <w:rFonts w:hint="eastAsia" w:ascii="宋体" w:hAnsi="宋体"/>
          <w:b/>
          <w:sz w:val="28"/>
          <w:szCs w:val="28"/>
        </w:rPr>
        <w:t>裁判员和选手</w:t>
      </w:r>
      <w:bookmarkEnd w:id="11"/>
    </w:p>
    <w:p>
      <w:pPr>
        <w:pStyle w:val="58"/>
        <w:numPr>
          <w:ilvl w:val="1"/>
          <w:numId w:val="1"/>
        </w:numPr>
        <w:spacing w:line="360" w:lineRule="auto"/>
        <w:ind w:firstLineChars="0"/>
        <w:rPr>
          <w:rFonts w:ascii="宋体"/>
          <w:b/>
          <w:sz w:val="28"/>
          <w:szCs w:val="28"/>
        </w:rPr>
      </w:pPr>
      <w:bookmarkStart w:id="12" w:name="_Toc376873360"/>
      <w:bookmarkStart w:id="13" w:name="_Toc20962"/>
      <w:r>
        <w:rPr>
          <w:rFonts w:hint="eastAsia" w:ascii="宋体" w:hAnsi="宋体"/>
          <w:b/>
          <w:sz w:val="28"/>
          <w:szCs w:val="28"/>
        </w:rPr>
        <w:t>裁判组长</w:t>
      </w:r>
    </w:p>
    <w:p>
      <w:pPr>
        <w:spacing w:line="360" w:lineRule="auto"/>
        <w:rPr>
          <w:rFonts w:ascii="宋体"/>
          <w:sz w:val="28"/>
          <w:szCs w:val="28"/>
        </w:rPr>
      </w:pPr>
      <w:r>
        <w:rPr>
          <w:rFonts w:ascii="宋体" w:hAnsi="宋体"/>
          <w:sz w:val="28"/>
          <w:szCs w:val="28"/>
        </w:rPr>
        <w:t xml:space="preserve">    </w:t>
      </w:r>
      <w:r>
        <w:rPr>
          <w:rFonts w:hint="eastAsia" w:ascii="宋体" w:hAnsi="宋体"/>
          <w:sz w:val="28"/>
          <w:szCs w:val="28"/>
        </w:rPr>
        <w:t>裁判组长负责领导全体裁判员做好裁判工作，掌握竞赛进程，解决竞赛过程中可能出现的各种问题；负责协调并确保竞赛顺利进行，取得圆满成功。</w:t>
      </w:r>
    </w:p>
    <w:p>
      <w:pPr>
        <w:pStyle w:val="58"/>
        <w:numPr>
          <w:ilvl w:val="1"/>
          <w:numId w:val="1"/>
        </w:numPr>
        <w:spacing w:line="360" w:lineRule="auto"/>
        <w:ind w:firstLineChars="0"/>
        <w:rPr>
          <w:rFonts w:ascii="宋体"/>
          <w:b/>
          <w:sz w:val="28"/>
          <w:szCs w:val="28"/>
        </w:rPr>
      </w:pPr>
      <w:r>
        <w:rPr>
          <w:rFonts w:hint="eastAsia" w:ascii="宋体" w:hAnsi="宋体"/>
          <w:b/>
          <w:sz w:val="28"/>
          <w:szCs w:val="28"/>
        </w:rPr>
        <w:t>裁判员的条件和组成</w:t>
      </w:r>
    </w:p>
    <w:p>
      <w:pPr>
        <w:spacing w:line="360" w:lineRule="auto"/>
        <w:ind w:firstLine="624" w:firstLineChars="223"/>
        <w:rPr>
          <w:rFonts w:ascii="宋体"/>
          <w:sz w:val="28"/>
          <w:szCs w:val="28"/>
        </w:rPr>
      </w:pPr>
      <w:r>
        <w:rPr>
          <w:rFonts w:hint="eastAsia" w:ascii="宋体" w:hAnsi="宋体"/>
          <w:sz w:val="28"/>
          <w:szCs w:val="28"/>
        </w:rPr>
        <w:t>由江门市建筑业协会推荐，具有中级及以上职称或技师及以上职业资格，经赛前培训后组成裁判组，认真负责做好裁判工作。</w:t>
      </w:r>
    </w:p>
    <w:p>
      <w:pPr>
        <w:pStyle w:val="58"/>
        <w:numPr>
          <w:ilvl w:val="1"/>
          <w:numId w:val="1"/>
        </w:numPr>
        <w:spacing w:line="360" w:lineRule="auto"/>
        <w:ind w:firstLineChars="0"/>
        <w:rPr>
          <w:rFonts w:ascii="宋体"/>
          <w:b/>
          <w:sz w:val="28"/>
          <w:szCs w:val="28"/>
        </w:rPr>
      </w:pPr>
      <w:r>
        <w:rPr>
          <w:rFonts w:hint="eastAsia" w:ascii="宋体" w:hAnsi="宋体"/>
          <w:b/>
          <w:sz w:val="28"/>
          <w:szCs w:val="28"/>
        </w:rPr>
        <w:t>参赛选手的条件和要求</w:t>
      </w:r>
    </w:p>
    <w:p>
      <w:pPr>
        <w:spacing w:line="360" w:lineRule="auto"/>
        <w:ind w:firstLine="624" w:firstLineChars="223"/>
        <w:rPr>
          <w:rFonts w:ascii="宋体"/>
          <w:sz w:val="28"/>
          <w:szCs w:val="28"/>
        </w:rPr>
      </w:pPr>
      <w:r>
        <w:rPr>
          <w:rFonts w:hint="eastAsia" w:ascii="宋体" w:hAnsi="宋体"/>
          <w:sz w:val="28"/>
          <w:szCs w:val="28"/>
        </w:rPr>
        <w:t>按组委会统一要求。</w:t>
      </w:r>
    </w:p>
    <w:bookmarkEnd w:id="12"/>
    <w:bookmarkEnd w:id="13"/>
    <w:p>
      <w:pPr>
        <w:pStyle w:val="58"/>
        <w:numPr>
          <w:ilvl w:val="0"/>
          <w:numId w:val="1"/>
        </w:numPr>
        <w:spacing w:line="360" w:lineRule="auto"/>
        <w:ind w:firstLineChars="0"/>
        <w:rPr>
          <w:rFonts w:ascii="宋体"/>
          <w:b/>
          <w:sz w:val="28"/>
          <w:szCs w:val="28"/>
        </w:rPr>
      </w:pPr>
      <w:bookmarkStart w:id="14" w:name="_Toc26144"/>
      <w:r>
        <w:rPr>
          <w:rFonts w:hint="eastAsia" w:ascii="宋体" w:hAnsi="宋体"/>
          <w:b/>
          <w:sz w:val="28"/>
          <w:szCs w:val="28"/>
        </w:rPr>
        <w:t>试题</w:t>
      </w:r>
      <w:bookmarkEnd w:id="14"/>
    </w:p>
    <w:p>
      <w:pPr>
        <w:pStyle w:val="58"/>
        <w:numPr>
          <w:ilvl w:val="1"/>
          <w:numId w:val="1"/>
        </w:numPr>
        <w:spacing w:line="360" w:lineRule="auto"/>
        <w:ind w:firstLineChars="0"/>
        <w:rPr>
          <w:rFonts w:ascii="宋体"/>
          <w:b/>
          <w:sz w:val="28"/>
          <w:szCs w:val="28"/>
        </w:rPr>
      </w:pPr>
      <w:bookmarkStart w:id="15" w:name="_Toc27659"/>
      <w:bookmarkStart w:id="16" w:name="_Toc376873361"/>
      <w:bookmarkStart w:id="17" w:name="_Toc12855"/>
      <w:r>
        <w:rPr>
          <w:rFonts w:hint="eastAsia" w:ascii="宋体" w:hAnsi="宋体"/>
          <w:b/>
          <w:sz w:val="28"/>
          <w:szCs w:val="28"/>
        </w:rPr>
        <w:t>命题</w:t>
      </w:r>
      <w:bookmarkEnd w:id="15"/>
      <w:bookmarkEnd w:id="16"/>
      <w:r>
        <w:rPr>
          <w:rFonts w:hint="eastAsia" w:ascii="宋体" w:hAnsi="宋体"/>
          <w:b/>
          <w:sz w:val="28"/>
          <w:szCs w:val="28"/>
        </w:rPr>
        <w:t>要素或内容</w:t>
      </w:r>
      <w:bookmarkEnd w:id="17"/>
    </w:p>
    <w:p>
      <w:pPr>
        <w:pStyle w:val="58"/>
        <w:numPr>
          <w:ilvl w:val="2"/>
          <w:numId w:val="1"/>
        </w:numPr>
        <w:spacing w:line="360" w:lineRule="auto"/>
        <w:ind w:firstLineChars="0"/>
        <w:rPr>
          <w:rFonts w:ascii="宋体"/>
          <w:b/>
          <w:sz w:val="28"/>
          <w:szCs w:val="28"/>
        </w:rPr>
      </w:pPr>
      <w:r>
        <w:rPr>
          <w:rFonts w:hint="eastAsia" w:ascii="宋体" w:hAnsi="宋体"/>
          <w:b/>
          <w:sz w:val="28"/>
          <w:szCs w:val="28"/>
        </w:rPr>
        <w:t>命题原则</w:t>
      </w:r>
    </w:p>
    <w:p>
      <w:pPr>
        <w:spacing w:line="360" w:lineRule="auto"/>
        <w:ind w:firstLine="624" w:firstLineChars="223"/>
        <w:rPr>
          <w:rFonts w:ascii="宋体"/>
          <w:sz w:val="28"/>
          <w:szCs w:val="28"/>
        </w:rPr>
      </w:pPr>
      <w:r>
        <w:rPr>
          <w:rFonts w:hint="eastAsia" w:ascii="宋体" w:hAnsi="宋体"/>
          <w:sz w:val="28"/>
          <w:szCs w:val="28"/>
        </w:rPr>
        <w:t>竞赛题目依据现行规范和标准，结合竞赛场地与设备情况命题。竞赛只公布实际操作样题，公布理论总题库复习题，理论试题为客观题（选择题和判断题）。</w:t>
      </w:r>
    </w:p>
    <w:p>
      <w:pPr>
        <w:spacing w:line="360" w:lineRule="auto"/>
        <w:ind w:firstLine="624" w:firstLineChars="223"/>
        <w:rPr>
          <w:rFonts w:ascii="宋体"/>
          <w:sz w:val="28"/>
          <w:szCs w:val="28"/>
        </w:rPr>
      </w:pPr>
      <w:r>
        <w:rPr>
          <w:rFonts w:hint="eastAsia" w:ascii="宋体" w:hAnsi="宋体"/>
          <w:sz w:val="28"/>
          <w:szCs w:val="28"/>
        </w:rPr>
        <w:t>注重基本技能和专业化操作，强调质量和精度，注重操作过程和质量控制，体现最新技术，结合行业实际，考核职业综合能力，并对技能人才培养起到示范指导作用，考核选手的学习能力、理解能力、实践操作能力和职业素养等，引领和推动国内技能。</w:t>
      </w:r>
    </w:p>
    <w:p>
      <w:pPr>
        <w:pStyle w:val="58"/>
        <w:numPr>
          <w:ilvl w:val="2"/>
          <w:numId w:val="1"/>
        </w:numPr>
        <w:spacing w:line="360" w:lineRule="auto"/>
        <w:ind w:firstLineChars="0"/>
        <w:rPr>
          <w:rFonts w:ascii="宋体"/>
          <w:b/>
          <w:sz w:val="28"/>
          <w:szCs w:val="28"/>
        </w:rPr>
      </w:pPr>
      <w:r>
        <w:rPr>
          <w:rFonts w:hint="eastAsia" w:ascii="宋体" w:hAnsi="宋体"/>
          <w:b/>
          <w:sz w:val="28"/>
          <w:szCs w:val="28"/>
        </w:rPr>
        <w:t>实操命题要求</w:t>
      </w:r>
    </w:p>
    <w:p>
      <w:pPr>
        <w:spacing w:line="360" w:lineRule="auto"/>
        <w:ind w:firstLine="624" w:firstLineChars="223"/>
        <w:rPr>
          <w:rFonts w:ascii="宋体"/>
          <w:sz w:val="28"/>
          <w:szCs w:val="28"/>
        </w:rPr>
      </w:pPr>
      <w:r>
        <w:rPr>
          <w:rFonts w:hint="eastAsia" w:ascii="宋体" w:hAnsi="宋体"/>
          <w:sz w:val="28"/>
          <w:szCs w:val="28"/>
        </w:rPr>
        <w:t>本次操作比赛按人均一小时考虑，包含分配箱实体安装。</w:t>
      </w:r>
    </w:p>
    <w:p>
      <w:pPr>
        <w:pStyle w:val="58"/>
        <w:numPr>
          <w:ilvl w:val="2"/>
          <w:numId w:val="1"/>
        </w:numPr>
        <w:spacing w:line="360" w:lineRule="auto"/>
        <w:ind w:firstLineChars="0"/>
        <w:rPr>
          <w:rFonts w:ascii="宋体"/>
          <w:b/>
          <w:sz w:val="28"/>
          <w:szCs w:val="28"/>
        </w:rPr>
      </w:pPr>
      <w:r>
        <w:rPr>
          <w:rFonts w:hint="eastAsia" w:ascii="宋体" w:hAnsi="宋体"/>
          <w:b/>
          <w:sz w:val="28"/>
          <w:szCs w:val="28"/>
        </w:rPr>
        <w:t>理论试题的产生</w:t>
      </w:r>
    </w:p>
    <w:p>
      <w:pPr>
        <w:spacing w:line="360" w:lineRule="auto"/>
        <w:ind w:firstLine="560" w:firstLineChars="200"/>
        <w:rPr>
          <w:rFonts w:ascii="宋体" w:hAnsi="宋体"/>
          <w:sz w:val="28"/>
          <w:szCs w:val="28"/>
        </w:rPr>
      </w:pPr>
      <w:r>
        <w:rPr>
          <w:rFonts w:hint="eastAsia" w:ascii="宋体" w:hAnsi="宋体"/>
          <w:sz w:val="28"/>
          <w:szCs w:val="28"/>
        </w:rPr>
        <w:t>本次比赛理论试题只公布考试抽题题库中的所有内容及</w:t>
      </w:r>
      <w:r>
        <w:rPr>
          <w:rFonts w:hint="eastAsia"/>
          <w:kern w:val="0"/>
          <w:sz w:val="28"/>
          <w:szCs w:val="28"/>
        </w:rPr>
        <w:t>《</w:t>
      </w:r>
      <w:r>
        <w:rPr>
          <w:kern w:val="0"/>
          <w:sz w:val="28"/>
          <w:szCs w:val="28"/>
        </w:rPr>
        <w:t>建设工程施工现场供用电安全规范</w:t>
      </w:r>
      <w:r>
        <w:rPr>
          <w:rFonts w:hint="eastAsia"/>
          <w:kern w:val="0"/>
          <w:sz w:val="28"/>
          <w:szCs w:val="28"/>
        </w:rPr>
        <w:t>》</w:t>
      </w:r>
      <w:r>
        <w:rPr>
          <w:rFonts w:ascii="宋体" w:hAnsi="宋体"/>
          <w:kern w:val="0"/>
          <w:sz w:val="28"/>
          <w:szCs w:val="28"/>
        </w:rPr>
        <w:t>GB 50194-2014</w:t>
      </w:r>
      <w:r>
        <w:rPr>
          <w:rFonts w:hint="eastAsia" w:ascii="宋体" w:hAnsi="宋体"/>
          <w:kern w:val="0"/>
          <w:sz w:val="28"/>
          <w:szCs w:val="28"/>
        </w:rPr>
        <w:t>、</w:t>
      </w:r>
      <w:r>
        <w:rPr>
          <w:rFonts w:hint="eastAsia"/>
          <w:sz w:val="28"/>
          <w:szCs w:val="28"/>
        </w:rPr>
        <w:t>《施工现场临时用电安全技术规范》</w:t>
      </w:r>
      <w:r>
        <w:rPr>
          <w:rFonts w:hint="eastAsia" w:ascii="宋体" w:hAnsi="宋体"/>
          <w:sz w:val="28"/>
          <w:szCs w:val="28"/>
        </w:rPr>
        <w:t>JGJ46－2005、</w:t>
      </w:r>
      <w:r>
        <w:rPr>
          <w:rFonts w:hint="eastAsia" w:ascii="宋体" w:hAnsi="宋体"/>
          <w:bCs/>
          <w:sz w:val="28"/>
          <w:szCs w:val="28"/>
        </w:rPr>
        <w:t>《剩余电流动作保护装置安装和运行》</w:t>
      </w:r>
      <w:r>
        <w:rPr>
          <w:rFonts w:hint="eastAsia" w:ascii="宋体" w:hAnsi="宋体"/>
          <w:sz w:val="28"/>
          <w:szCs w:val="28"/>
        </w:rPr>
        <w:t>GB13955—2005、</w:t>
      </w:r>
      <w:r>
        <w:rPr>
          <w:rFonts w:hint="eastAsia" w:ascii="宋体" w:hAnsi="宋体"/>
          <w:bCs/>
          <w:sz w:val="28"/>
          <w:szCs w:val="28"/>
        </w:rPr>
        <w:t>《建筑施工安全检查标准》JGJ59—2011几套规范中抽取相关内容的试题。</w:t>
      </w:r>
    </w:p>
    <w:p>
      <w:pPr>
        <w:spacing w:line="360" w:lineRule="auto"/>
        <w:ind w:firstLine="560" w:firstLineChars="200"/>
        <w:rPr>
          <w:kern w:val="0"/>
          <w:sz w:val="28"/>
          <w:szCs w:val="28"/>
        </w:rPr>
      </w:pPr>
      <w:r>
        <w:rPr>
          <w:rFonts w:hint="eastAsia"/>
          <w:kern w:val="0"/>
          <w:sz w:val="28"/>
          <w:szCs w:val="28"/>
        </w:rPr>
        <w:t>本次大赛竞赛的依据：</w:t>
      </w:r>
    </w:p>
    <w:p>
      <w:pPr>
        <w:spacing w:line="360" w:lineRule="auto"/>
        <w:ind w:firstLine="560" w:firstLineChars="200"/>
        <w:rPr>
          <w:rFonts w:ascii="宋体" w:hAnsi="宋体"/>
          <w:kern w:val="0"/>
          <w:sz w:val="28"/>
          <w:szCs w:val="28"/>
        </w:rPr>
      </w:pPr>
      <w:r>
        <w:rPr>
          <w:rFonts w:hint="eastAsia"/>
          <w:kern w:val="0"/>
          <w:sz w:val="28"/>
          <w:szCs w:val="28"/>
        </w:rPr>
        <w:t>《</w:t>
      </w:r>
      <w:r>
        <w:rPr>
          <w:kern w:val="0"/>
          <w:sz w:val="28"/>
          <w:szCs w:val="28"/>
        </w:rPr>
        <w:t>建设工程施工现场供用电安全规范</w:t>
      </w:r>
      <w:r>
        <w:rPr>
          <w:rFonts w:hint="eastAsia"/>
          <w:kern w:val="0"/>
          <w:sz w:val="28"/>
          <w:szCs w:val="28"/>
        </w:rPr>
        <w:t>》</w:t>
      </w:r>
      <w:r>
        <w:rPr>
          <w:rFonts w:ascii="宋体" w:hAnsi="宋体"/>
          <w:kern w:val="0"/>
          <w:sz w:val="28"/>
          <w:szCs w:val="28"/>
        </w:rPr>
        <w:t>GB 50194-2014</w:t>
      </w:r>
    </w:p>
    <w:p>
      <w:pPr>
        <w:spacing w:line="360" w:lineRule="auto"/>
        <w:ind w:firstLine="560" w:firstLineChars="200"/>
        <w:rPr>
          <w:rFonts w:ascii="宋体" w:hAnsi="宋体"/>
          <w:sz w:val="28"/>
          <w:szCs w:val="28"/>
        </w:rPr>
      </w:pPr>
      <w:r>
        <w:rPr>
          <w:rFonts w:hint="eastAsia"/>
          <w:sz w:val="28"/>
          <w:szCs w:val="28"/>
        </w:rPr>
        <w:t>《施工现场临时用电安全技术规范》</w:t>
      </w:r>
      <w:r>
        <w:rPr>
          <w:rFonts w:hint="eastAsia" w:ascii="宋体" w:hAnsi="宋体"/>
          <w:sz w:val="28"/>
          <w:szCs w:val="28"/>
        </w:rPr>
        <w:t xml:space="preserve">JGJ46－2005 </w:t>
      </w:r>
      <w:r>
        <w:rPr>
          <w:rFonts w:ascii="宋体" w:hAnsi="宋体"/>
          <w:sz w:val="28"/>
          <w:szCs w:val="28"/>
        </w:rPr>
        <w:t xml:space="preserve"> </w:t>
      </w:r>
    </w:p>
    <w:p>
      <w:pPr>
        <w:spacing w:line="360" w:lineRule="auto"/>
        <w:ind w:firstLine="560" w:firstLineChars="200"/>
        <w:rPr>
          <w:rFonts w:ascii="宋体" w:hAnsi="宋体"/>
          <w:sz w:val="28"/>
          <w:szCs w:val="28"/>
        </w:rPr>
      </w:pPr>
      <w:r>
        <w:rPr>
          <w:rFonts w:hint="eastAsia" w:ascii="宋体" w:hAnsi="宋体"/>
          <w:bCs/>
          <w:sz w:val="28"/>
          <w:szCs w:val="28"/>
        </w:rPr>
        <w:t>《剩余电流动作保护装置安装和运行》</w:t>
      </w:r>
      <w:r>
        <w:rPr>
          <w:rFonts w:hint="eastAsia" w:ascii="宋体" w:hAnsi="宋体"/>
          <w:sz w:val="28"/>
          <w:szCs w:val="28"/>
        </w:rPr>
        <w:t>GB13955—2005</w:t>
      </w:r>
    </w:p>
    <w:p>
      <w:pPr>
        <w:spacing w:line="360" w:lineRule="auto"/>
        <w:ind w:firstLine="560" w:firstLineChars="200"/>
        <w:rPr>
          <w:rFonts w:hint="eastAsia" w:ascii="宋体" w:hAnsi="宋体"/>
          <w:bCs/>
          <w:sz w:val="28"/>
          <w:szCs w:val="28"/>
        </w:rPr>
      </w:pPr>
      <w:r>
        <w:rPr>
          <w:rFonts w:hint="eastAsia" w:ascii="宋体" w:hAnsi="宋体"/>
          <w:bCs/>
          <w:sz w:val="28"/>
          <w:szCs w:val="28"/>
        </w:rPr>
        <w:t>《建筑施工安全检查标准》JGJ59—2011</w:t>
      </w:r>
    </w:p>
    <w:p>
      <w:pPr>
        <w:spacing w:line="360" w:lineRule="auto"/>
        <w:ind w:firstLine="560" w:firstLineChars="200"/>
        <w:rPr>
          <w:rFonts w:hint="eastAsia" w:ascii="宋体" w:hAnsi="宋体"/>
          <w:bCs/>
          <w:sz w:val="28"/>
          <w:szCs w:val="28"/>
        </w:rPr>
      </w:pPr>
      <w:r>
        <w:rPr>
          <w:rFonts w:hint="eastAsia" w:ascii="宋体" w:hAnsi="宋体"/>
          <w:bCs/>
          <w:sz w:val="28"/>
          <w:szCs w:val="28"/>
        </w:rPr>
        <w:t>《</w:t>
      </w:r>
      <w:r>
        <w:rPr>
          <w:rFonts w:hint="eastAsia" w:ascii="宋体" w:hAnsi="宋体"/>
          <w:bCs/>
          <w:sz w:val="28"/>
          <w:szCs w:val="28"/>
          <w:lang w:eastAsia="zh-CN"/>
        </w:rPr>
        <w:t>国家职业技能标准</w:t>
      </w:r>
      <w:r>
        <w:rPr>
          <w:rFonts w:hint="eastAsia" w:ascii="宋体" w:hAnsi="宋体"/>
          <w:bCs/>
          <w:sz w:val="28"/>
          <w:szCs w:val="28"/>
          <w:lang w:val="en-US" w:eastAsia="zh-CN"/>
        </w:rPr>
        <w:t>-电工</w:t>
      </w:r>
      <w:r>
        <w:rPr>
          <w:rFonts w:hint="eastAsia" w:ascii="宋体" w:hAnsi="宋体"/>
          <w:bCs/>
          <w:sz w:val="28"/>
          <w:szCs w:val="28"/>
        </w:rPr>
        <w:t>》</w:t>
      </w:r>
      <w:r>
        <w:rPr>
          <w:rFonts w:hint="eastAsia" w:ascii="宋体" w:hAnsi="宋体"/>
          <w:bCs/>
          <w:sz w:val="28"/>
          <w:szCs w:val="28"/>
          <w:lang w:eastAsia="zh-CN"/>
        </w:rPr>
        <w:t>职业编码：</w:t>
      </w:r>
      <w:r>
        <w:rPr>
          <w:rFonts w:hint="eastAsia" w:ascii="宋体" w:hAnsi="宋体"/>
          <w:bCs/>
          <w:sz w:val="28"/>
          <w:szCs w:val="28"/>
          <w:lang w:val="en-US" w:eastAsia="zh-CN"/>
        </w:rPr>
        <w:t>6-31-01-03</w:t>
      </w:r>
    </w:p>
    <w:p>
      <w:pPr>
        <w:spacing w:line="360" w:lineRule="auto"/>
        <w:ind w:firstLine="560" w:firstLineChars="200"/>
        <w:rPr>
          <w:rFonts w:ascii="宋体"/>
          <w:sz w:val="28"/>
          <w:szCs w:val="28"/>
        </w:rPr>
      </w:pPr>
      <w:r>
        <w:rPr>
          <w:rFonts w:hint="eastAsia" w:ascii="宋体" w:hAnsi="宋体"/>
          <w:sz w:val="28"/>
          <w:szCs w:val="28"/>
        </w:rPr>
        <w:t>理论试题为客观题，其中单项选择题从总题库中抽40题（每题1.5分），判断题从总题库中抽40题（每题1分）。</w:t>
      </w:r>
    </w:p>
    <w:p>
      <w:pPr>
        <w:spacing w:line="360" w:lineRule="auto"/>
        <w:ind w:firstLine="560" w:firstLineChars="200"/>
        <w:rPr>
          <w:rFonts w:ascii="宋体"/>
          <w:sz w:val="28"/>
          <w:szCs w:val="28"/>
        </w:rPr>
      </w:pPr>
      <w:r>
        <w:rPr>
          <w:rFonts w:hint="eastAsia" w:ascii="宋体" w:hAnsi="宋体"/>
          <w:sz w:val="28"/>
          <w:szCs w:val="28"/>
        </w:rPr>
        <w:t>例：</w:t>
      </w:r>
    </w:p>
    <w:p>
      <w:pPr>
        <w:tabs>
          <w:tab w:val="left" w:pos="0"/>
          <w:tab w:val="left" w:pos="720"/>
        </w:tabs>
        <w:ind w:firstLine="560" w:firstLineChars="200"/>
        <w:rPr>
          <w:rFonts w:ascii="宋体" w:hAnsi="宋体"/>
          <w:sz w:val="28"/>
          <w:szCs w:val="28"/>
        </w:rPr>
      </w:pPr>
      <w:r>
        <w:rPr>
          <w:rFonts w:hint="eastAsia" w:ascii="宋体" w:hAnsi="宋体"/>
          <w:sz w:val="28"/>
          <w:szCs w:val="28"/>
        </w:rPr>
        <w:t>选择题</w:t>
      </w:r>
      <w:r>
        <w:rPr>
          <w:rFonts w:ascii="宋体" w:hAnsi="宋体"/>
          <w:sz w:val="28"/>
          <w:szCs w:val="28"/>
        </w:rPr>
        <w:t>:</w:t>
      </w:r>
      <w:r>
        <w:rPr>
          <w:rFonts w:hint="eastAsia" w:ascii="宋体" w:eastAsia="方正宋三简体" w:cs="宋体"/>
          <w:spacing w:val="8"/>
          <w:kern w:val="0"/>
          <w:sz w:val="28"/>
          <w:szCs w:val="28"/>
        </w:rPr>
        <w:t xml:space="preserve">为了不因某一设备保护零线接触不良或断线而使以下所有设备失去保护，故用电设备的保护零线应并联接地，并(  </w:t>
      </w:r>
      <w:r>
        <w:rPr>
          <w:rFonts w:ascii="宋体" w:eastAsia="方正宋三简体" w:cs="宋体"/>
          <w:spacing w:val="8"/>
          <w:kern w:val="0"/>
          <w:sz w:val="28"/>
          <w:szCs w:val="28"/>
        </w:rPr>
        <w:t>A</w:t>
      </w:r>
      <w:r>
        <w:rPr>
          <w:rFonts w:hint="eastAsia" w:ascii="宋体" w:eastAsia="方正宋三简体" w:cs="宋体"/>
          <w:spacing w:val="8"/>
          <w:kern w:val="0"/>
          <w:sz w:val="28"/>
          <w:szCs w:val="28"/>
        </w:rPr>
        <w:t xml:space="preserve">  ) 接地或接零。</w:t>
      </w:r>
    </w:p>
    <w:p>
      <w:pPr>
        <w:tabs>
          <w:tab w:val="left" w:pos="0"/>
          <w:tab w:val="left" w:pos="720"/>
        </w:tabs>
        <w:ind w:firstLine="592" w:firstLineChars="200"/>
        <w:rPr>
          <w:rFonts w:ascii="宋体" w:hAnsi="宋体"/>
          <w:sz w:val="28"/>
          <w:szCs w:val="28"/>
        </w:rPr>
      </w:pPr>
      <w:r>
        <w:rPr>
          <w:rFonts w:hint="eastAsia" w:ascii="宋体" w:eastAsia="方正宋三简体" w:cs="宋体"/>
          <w:spacing w:val="8"/>
          <w:kern w:val="0"/>
          <w:sz w:val="28"/>
          <w:szCs w:val="28"/>
        </w:rPr>
        <w:t>A、严禁串联  B、必须串联   C、可以串联   D、可以混联</w:t>
      </w:r>
    </w:p>
    <w:p>
      <w:pPr>
        <w:tabs>
          <w:tab w:val="left" w:pos="0"/>
          <w:tab w:val="left" w:pos="720"/>
        </w:tabs>
        <w:rPr>
          <w:rFonts w:ascii="宋体" w:hAnsi="宋体"/>
          <w:sz w:val="28"/>
          <w:szCs w:val="28"/>
        </w:rPr>
      </w:pPr>
    </w:p>
    <w:p>
      <w:pPr>
        <w:tabs>
          <w:tab w:val="left" w:pos="0"/>
          <w:tab w:val="left" w:pos="720"/>
        </w:tabs>
        <w:ind w:firstLine="560" w:firstLineChars="200"/>
        <w:rPr>
          <w:rFonts w:ascii="宋体" w:hAnsi="宋体" w:cs="宋体"/>
          <w:kern w:val="0"/>
          <w:sz w:val="28"/>
          <w:szCs w:val="28"/>
        </w:rPr>
      </w:pPr>
      <w:r>
        <w:rPr>
          <w:rFonts w:hint="eastAsia" w:ascii="宋体" w:hAnsi="宋体"/>
          <w:sz w:val="28"/>
          <w:szCs w:val="28"/>
        </w:rPr>
        <w:t>判断题</w:t>
      </w:r>
      <w:r>
        <w:rPr>
          <w:rFonts w:ascii="宋体" w:hAnsi="宋体"/>
          <w:sz w:val="28"/>
          <w:szCs w:val="28"/>
        </w:rPr>
        <w:t>:</w:t>
      </w:r>
      <w:r>
        <w:rPr>
          <w:rFonts w:hint="eastAsia" w:ascii="宋体" w:cs="宋体"/>
          <w:kern w:val="0"/>
          <w:sz w:val="28"/>
          <w:szCs w:val="28"/>
        </w:rPr>
        <w:t xml:space="preserve"> 安装剩余电流断路器的电气线路或设备，在正常运行时，其泄漏电流必须控制在允许范围内，同时额定剩余不动作电流应满足要求。当剩余电流大于允许值时，必须对线路或设备进行检查或更换。（  </w:t>
      </w:r>
      <w:r>
        <w:rPr>
          <w:rFonts w:hint="eastAsia" w:ascii="宋体" w:hAnsi="宋体"/>
          <w:sz w:val="28"/>
          <w:szCs w:val="28"/>
        </w:rPr>
        <w:t xml:space="preserve">√ </w:t>
      </w:r>
      <w:r>
        <w:rPr>
          <w:rFonts w:hint="eastAsia" w:ascii="宋体" w:cs="宋体"/>
          <w:kern w:val="0"/>
          <w:sz w:val="28"/>
          <w:szCs w:val="28"/>
        </w:rPr>
        <w:t xml:space="preserve"> ）</w:t>
      </w:r>
    </w:p>
    <w:p>
      <w:pPr>
        <w:spacing w:line="360" w:lineRule="auto"/>
        <w:rPr>
          <w:rStyle w:val="27"/>
        </w:rPr>
      </w:pPr>
    </w:p>
    <w:p>
      <w:pPr>
        <w:pStyle w:val="58"/>
        <w:numPr>
          <w:ilvl w:val="0"/>
          <w:numId w:val="1"/>
        </w:numPr>
        <w:spacing w:line="360" w:lineRule="auto"/>
        <w:ind w:firstLineChars="0"/>
        <w:rPr>
          <w:rFonts w:ascii="宋体"/>
          <w:b/>
          <w:sz w:val="28"/>
          <w:szCs w:val="28"/>
        </w:rPr>
      </w:pPr>
      <w:r>
        <w:rPr>
          <w:rFonts w:hint="eastAsia" w:ascii="宋体" w:hAnsi="宋体"/>
          <w:b/>
          <w:sz w:val="28"/>
          <w:szCs w:val="28"/>
        </w:rPr>
        <w:t>成绩评判的标准及要求</w:t>
      </w:r>
    </w:p>
    <w:p>
      <w:pPr>
        <w:pStyle w:val="58"/>
        <w:numPr>
          <w:ilvl w:val="1"/>
          <w:numId w:val="1"/>
        </w:numPr>
        <w:spacing w:line="360" w:lineRule="auto"/>
        <w:ind w:firstLineChars="0"/>
        <w:rPr>
          <w:rFonts w:ascii="宋体"/>
          <w:b/>
          <w:sz w:val="28"/>
          <w:szCs w:val="28"/>
        </w:rPr>
      </w:pPr>
      <w:r>
        <w:rPr>
          <w:rFonts w:hint="eastAsia" w:ascii="宋体" w:hAnsi="宋体"/>
          <w:b/>
          <w:sz w:val="28"/>
          <w:szCs w:val="28"/>
        </w:rPr>
        <w:t>竞赛采用</w:t>
      </w:r>
      <w:r>
        <w:rPr>
          <w:rFonts w:ascii="宋体" w:hAnsi="宋体"/>
          <w:b/>
          <w:sz w:val="28"/>
          <w:szCs w:val="28"/>
        </w:rPr>
        <w:t>100</w:t>
      </w:r>
      <w:r>
        <w:rPr>
          <w:rFonts w:hint="eastAsia" w:ascii="宋体" w:hAnsi="宋体"/>
          <w:b/>
          <w:sz w:val="28"/>
          <w:szCs w:val="28"/>
        </w:rPr>
        <w:t>分制评分。</w:t>
      </w:r>
    </w:p>
    <w:p>
      <w:pPr>
        <w:pStyle w:val="58"/>
        <w:numPr>
          <w:ilvl w:val="0"/>
          <w:numId w:val="1"/>
        </w:numPr>
        <w:spacing w:line="360" w:lineRule="auto"/>
        <w:ind w:firstLineChars="0"/>
        <w:rPr>
          <w:rFonts w:ascii="宋体"/>
          <w:sz w:val="28"/>
          <w:szCs w:val="28"/>
        </w:rPr>
      </w:pPr>
      <w:r>
        <w:rPr>
          <w:rFonts w:hint="eastAsia" w:ascii="宋体" w:hAnsi="宋体"/>
          <w:sz w:val="28"/>
          <w:szCs w:val="28"/>
        </w:rPr>
        <w:t>考核方案</w:t>
      </w:r>
      <w:r>
        <w:rPr>
          <w:rFonts w:hint="eastAsia" w:ascii="宋体" w:hAnsi="宋体"/>
          <w:sz w:val="28"/>
          <w:szCs w:val="28"/>
          <w:lang w:val="en-US" w:eastAsia="zh-CN"/>
        </w:rPr>
        <w:t>二</w:t>
      </w:r>
      <w:r>
        <w:rPr>
          <w:rFonts w:hint="eastAsia" w:ascii="宋体" w:hAnsi="宋体"/>
          <w:sz w:val="28"/>
          <w:szCs w:val="28"/>
        </w:rPr>
        <w:t>套</w:t>
      </w:r>
      <w:r>
        <w:rPr>
          <w:rFonts w:hint="eastAsia" w:ascii="宋体"/>
          <w:sz w:val="28"/>
          <w:szCs w:val="28"/>
        </w:rPr>
        <w:t>。评分标准</w:t>
      </w:r>
      <w:r>
        <w:rPr>
          <w:rFonts w:hint="eastAsia" w:ascii="宋体" w:hAnsi="宋体"/>
          <w:sz w:val="28"/>
          <w:szCs w:val="28"/>
        </w:rPr>
        <w:t>分主观与客观评分，其中主观分2</w:t>
      </w:r>
      <w:r>
        <w:rPr>
          <w:rFonts w:ascii="宋体" w:hAnsi="宋体"/>
          <w:sz w:val="28"/>
          <w:szCs w:val="28"/>
        </w:rPr>
        <w:t>0</w:t>
      </w:r>
      <w:r>
        <w:rPr>
          <w:rFonts w:hint="eastAsia" w:ascii="宋体" w:hAnsi="宋体"/>
          <w:sz w:val="28"/>
          <w:szCs w:val="28"/>
        </w:rPr>
        <w:t>分，客观分</w:t>
      </w:r>
      <w:r>
        <w:rPr>
          <w:rFonts w:ascii="宋体" w:hAnsi="宋体"/>
          <w:sz w:val="28"/>
          <w:szCs w:val="28"/>
        </w:rPr>
        <w:t>80</w:t>
      </w:r>
      <w:r>
        <w:rPr>
          <w:rFonts w:hint="eastAsia" w:ascii="宋体" w:hAnsi="宋体"/>
          <w:sz w:val="28"/>
          <w:szCs w:val="28"/>
        </w:rPr>
        <w:t>分，具体分值分布详见评分表。</w:t>
      </w:r>
    </w:p>
    <w:p>
      <w:pPr>
        <w:pStyle w:val="58"/>
        <w:numPr>
          <w:ilvl w:val="0"/>
          <w:numId w:val="1"/>
        </w:numPr>
        <w:spacing w:line="360" w:lineRule="auto"/>
        <w:ind w:firstLineChars="0"/>
        <w:rPr>
          <w:rFonts w:ascii="宋体"/>
          <w:sz w:val="28"/>
          <w:szCs w:val="28"/>
        </w:rPr>
      </w:pPr>
      <w:r>
        <w:rPr>
          <w:rFonts w:hint="eastAsia" w:ascii="宋体" w:hAnsi="宋体"/>
          <w:b/>
          <w:sz w:val="28"/>
          <w:szCs w:val="28"/>
        </w:rPr>
        <w:t>评分规则</w:t>
      </w:r>
    </w:p>
    <w:p>
      <w:pPr>
        <w:spacing w:line="360" w:lineRule="auto"/>
        <w:ind w:firstLine="624" w:firstLineChars="223"/>
        <w:rPr>
          <w:rFonts w:ascii="宋体"/>
          <w:sz w:val="28"/>
          <w:szCs w:val="28"/>
        </w:rPr>
      </w:pPr>
      <w:r>
        <w:rPr>
          <w:rFonts w:hint="eastAsia" w:ascii="宋体" w:hAnsi="宋体"/>
          <w:sz w:val="28"/>
          <w:szCs w:val="28"/>
        </w:rPr>
        <w:t>客观评分项包括接线杂乱、导线布局不合理、未做绑扎工艺或不工整等方面将扣一定分值，具体见评分表。</w:t>
      </w:r>
    </w:p>
    <w:p>
      <w:pPr>
        <w:spacing w:line="360" w:lineRule="auto"/>
        <w:ind w:firstLine="624" w:firstLineChars="223"/>
        <w:rPr>
          <w:rFonts w:ascii="宋体" w:hAnsi="宋体"/>
          <w:sz w:val="28"/>
          <w:szCs w:val="28"/>
        </w:rPr>
      </w:pPr>
      <w:r>
        <w:rPr>
          <w:rFonts w:hint="eastAsia" w:ascii="宋体" w:hAnsi="宋体"/>
          <w:sz w:val="28"/>
          <w:szCs w:val="28"/>
        </w:rPr>
        <w:t>主观评分项包括电箱规格的选择、电线、电缆线径选择使用错误，电箱规格的选择错误、连接、布线、箱门未做保护接零，未接编织软铜线等方面，将扣除一定的分值。客观评分（评分点）及具体评分方案将在评分前予以公布。</w:t>
      </w:r>
    </w:p>
    <w:p>
      <w:pPr>
        <w:pStyle w:val="58"/>
        <w:numPr>
          <w:ilvl w:val="1"/>
          <w:numId w:val="1"/>
        </w:numPr>
        <w:spacing w:line="360" w:lineRule="auto"/>
        <w:ind w:firstLineChars="0"/>
        <w:rPr>
          <w:rFonts w:ascii="宋体"/>
          <w:b/>
          <w:sz w:val="28"/>
          <w:szCs w:val="28"/>
        </w:rPr>
      </w:pPr>
      <w:r>
        <w:rPr>
          <w:rFonts w:hint="eastAsia" w:ascii="宋体" w:hAnsi="宋体"/>
          <w:b/>
          <w:sz w:val="28"/>
          <w:szCs w:val="28"/>
        </w:rPr>
        <w:t>比赛要求：</w:t>
      </w:r>
    </w:p>
    <w:p>
      <w:pPr>
        <w:spacing w:line="360" w:lineRule="auto"/>
        <w:ind w:firstLine="624" w:firstLineChars="223"/>
        <w:rPr>
          <w:rFonts w:ascii="宋体"/>
          <w:sz w:val="28"/>
          <w:szCs w:val="28"/>
        </w:rPr>
      </w:pPr>
      <w:r>
        <w:rPr>
          <w:rFonts w:hint="eastAsia" w:ascii="宋体" w:hAnsi="宋体"/>
          <w:sz w:val="28"/>
          <w:szCs w:val="28"/>
        </w:rPr>
        <w:t>参赛选手需服从组委会纪律、环境、健康、安全等要求，拒不服从者，将视情况严重程度取消竞赛资格。</w:t>
      </w:r>
    </w:p>
    <w:p>
      <w:pPr>
        <w:spacing w:line="360" w:lineRule="auto"/>
        <w:ind w:firstLine="624" w:firstLineChars="223"/>
        <w:rPr>
          <w:rFonts w:ascii="宋体"/>
          <w:sz w:val="28"/>
          <w:szCs w:val="28"/>
        </w:rPr>
      </w:pPr>
      <w:r>
        <w:rPr>
          <w:rFonts w:hint="eastAsia" w:ascii="宋体" w:hAnsi="宋体"/>
          <w:sz w:val="28"/>
          <w:szCs w:val="28"/>
        </w:rPr>
        <w:t>选手不允许带入或带出任何通信设备、智能设备、存储设备。</w:t>
      </w:r>
    </w:p>
    <w:p>
      <w:pPr>
        <w:spacing w:line="360" w:lineRule="auto"/>
        <w:ind w:firstLine="624" w:firstLineChars="223"/>
        <w:rPr>
          <w:rFonts w:ascii="宋体"/>
          <w:sz w:val="28"/>
          <w:szCs w:val="28"/>
        </w:rPr>
      </w:pPr>
      <w:r>
        <w:rPr>
          <w:rFonts w:hint="eastAsia" w:ascii="宋体" w:hAnsi="宋体"/>
          <w:sz w:val="28"/>
          <w:szCs w:val="28"/>
        </w:rPr>
        <w:t>裁判员在执裁过程中，应公平、公正、公开，不得出现相互串通打分，一经发现有相互串通者，将立即取消裁判资格，对其进行的评分作无效处理。</w:t>
      </w:r>
    </w:p>
    <w:p>
      <w:pPr>
        <w:pStyle w:val="58"/>
        <w:numPr>
          <w:ilvl w:val="0"/>
          <w:numId w:val="1"/>
        </w:numPr>
        <w:spacing w:line="360" w:lineRule="auto"/>
        <w:ind w:firstLineChars="0"/>
        <w:rPr>
          <w:rFonts w:ascii="宋体"/>
          <w:b/>
          <w:bCs/>
          <w:kern w:val="0"/>
          <w:sz w:val="28"/>
          <w:szCs w:val="28"/>
        </w:rPr>
      </w:pPr>
      <w:r>
        <w:rPr>
          <w:rFonts w:hint="eastAsia" w:ascii="宋体" w:hAnsi="宋体"/>
          <w:b/>
          <w:sz w:val="28"/>
          <w:szCs w:val="28"/>
        </w:rPr>
        <w:t>评判的硬件和设备要求</w:t>
      </w:r>
    </w:p>
    <w:p>
      <w:pPr>
        <w:spacing w:line="360" w:lineRule="auto"/>
        <w:ind w:firstLine="624" w:firstLineChars="223"/>
        <w:rPr>
          <w:rFonts w:ascii="宋体"/>
          <w:sz w:val="28"/>
          <w:szCs w:val="28"/>
        </w:rPr>
      </w:pPr>
      <w:r>
        <w:rPr>
          <w:rFonts w:hint="eastAsia" w:ascii="宋体" w:hAnsi="宋体"/>
          <w:sz w:val="28"/>
          <w:szCs w:val="28"/>
        </w:rPr>
        <w:t>竞赛结束后，裁判组长组织裁判员，对当天竞赛进行评判，评判时，选手不能在场，场内只有裁判人员。裁判员评判时所用的检测工具将尽量使用选手所用工具。</w:t>
      </w:r>
    </w:p>
    <w:p>
      <w:pPr>
        <w:pStyle w:val="58"/>
        <w:numPr>
          <w:ilvl w:val="1"/>
          <w:numId w:val="1"/>
        </w:numPr>
        <w:spacing w:line="360" w:lineRule="auto"/>
        <w:ind w:firstLineChars="0"/>
        <w:rPr>
          <w:rFonts w:ascii="宋体"/>
          <w:b/>
          <w:sz w:val="28"/>
          <w:szCs w:val="28"/>
        </w:rPr>
      </w:pPr>
      <w:bookmarkStart w:id="18" w:name="_Toc24564"/>
      <w:r>
        <w:rPr>
          <w:rFonts w:hint="eastAsia" w:ascii="宋体" w:hAnsi="宋体"/>
          <w:b/>
          <w:sz w:val="28"/>
          <w:szCs w:val="28"/>
        </w:rPr>
        <w:t>评判的方法</w:t>
      </w:r>
      <w:bookmarkEnd w:id="18"/>
    </w:p>
    <w:p>
      <w:pPr>
        <w:spacing w:line="360" w:lineRule="auto"/>
        <w:ind w:firstLine="624" w:firstLineChars="223"/>
        <w:rPr>
          <w:rFonts w:ascii="宋体" w:cs="宋体"/>
          <w:kern w:val="0"/>
          <w:sz w:val="28"/>
          <w:szCs w:val="28"/>
        </w:rPr>
      </w:pPr>
      <w:r>
        <w:rPr>
          <w:rFonts w:hint="eastAsia" w:ascii="宋体" w:hAnsi="宋体"/>
          <w:sz w:val="28"/>
          <w:szCs w:val="28"/>
        </w:rPr>
        <w:t>主观评分由</w:t>
      </w:r>
      <w:r>
        <w:rPr>
          <w:rFonts w:hint="eastAsia" w:ascii="宋体" w:hAnsi="宋体"/>
          <w:sz w:val="28"/>
          <w:szCs w:val="28"/>
          <w:lang w:val="en-US" w:eastAsia="zh-CN"/>
        </w:rPr>
        <w:t>3</w:t>
      </w:r>
      <w:r>
        <w:rPr>
          <w:rFonts w:hint="eastAsia" w:ascii="宋体" w:hAnsi="宋体"/>
          <w:sz w:val="28"/>
          <w:szCs w:val="28"/>
        </w:rPr>
        <w:t>人组成一组。客观评分按照抽出的评分点进行评分，客观评分由</w:t>
      </w:r>
      <w:r>
        <w:rPr>
          <w:rFonts w:hint="eastAsia" w:ascii="宋体" w:hAnsi="宋体"/>
          <w:sz w:val="28"/>
          <w:szCs w:val="28"/>
          <w:lang w:val="en-US" w:eastAsia="zh-CN"/>
        </w:rPr>
        <w:t>3</w:t>
      </w:r>
      <w:r>
        <w:rPr>
          <w:rFonts w:hint="eastAsia" w:ascii="宋体" w:hAnsi="宋体"/>
          <w:sz w:val="28"/>
          <w:szCs w:val="28"/>
        </w:rPr>
        <w:t>人说出自己的观点，每小组评判所有选手的一部分，保证公平公正。现场统一号令，裁判员开始计时，时间为每轮比赛不超过60分钟，优胜者又时间短者胜出，出现评分相同时，以完成时间最短者胜出。</w:t>
      </w:r>
    </w:p>
    <w:p>
      <w:pPr>
        <w:spacing w:line="360" w:lineRule="auto"/>
        <w:ind w:firstLine="560" w:firstLineChars="200"/>
        <w:rPr>
          <w:rFonts w:ascii="宋体"/>
          <w:sz w:val="28"/>
          <w:szCs w:val="28"/>
        </w:rPr>
      </w:pPr>
      <w:bookmarkStart w:id="19" w:name="OLE_LINK7"/>
      <w:r>
        <w:rPr>
          <w:rFonts w:hint="eastAsia" w:ascii="宋体" w:hAnsi="宋体"/>
          <w:sz w:val="28"/>
          <w:szCs w:val="28"/>
        </w:rPr>
        <w:t>出现争议，由裁判组长组织裁判员进行复议。</w:t>
      </w:r>
    </w:p>
    <w:bookmarkEnd w:id="19"/>
    <w:p>
      <w:pPr>
        <w:spacing w:line="360" w:lineRule="auto"/>
        <w:rPr>
          <w:rFonts w:ascii="宋体" w:hAnsi="宋体"/>
          <w:b/>
          <w:sz w:val="28"/>
          <w:szCs w:val="28"/>
        </w:rPr>
      </w:pPr>
      <w:r>
        <w:rPr>
          <w:rFonts w:hint="eastAsia" w:ascii="宋体" w:hAnsi="宋体"/>
          <w:b/>
          <w:sz w:val="28"/>
          <w:szCs w:val="28"/>
        </w:rPr>
        <w:t>8.2.</w:t>
      </w:r>
      <w:r>
        <w:rPr>
          <w:rFonts w:hint="eastAsia" w:ascii="宋体" w:hAnsi="宋体"/>
          <w:b/>
          <w:bCs/>
          <w:sz w:val="28"/>
          <w:szCs w:val="28"/>
        </w:rPr>
        <w:t>建筑电工竞赛</w:t>
      </w:r>
      <w:r>
        <w:rPr>
          <w:rFonts w:hint="eastAsia" w:ascii="宋体" w:hAnsi="宋体"/>
          <w:b/>
          <w:sz w:val="28"/>
          <w:szCs w:val="28"/>
        </w:rPr>
        <w:t>规则</w:t>
      </w:r>
    </w:p>
    <w:p>
      <w:pPr>
        <w:spacing w:line="360" w:lineRule="auto"/>
        <w:rPr>
          <w:rFonts w:ascii="宋体" w:hAnsi="宋体"/>
          <w:b/>
          <w:sz w:val="28"/>
          <w:szCs w:val="28"/>
        </w:rPr>
      </w:pPr>
      <w:r>
        <w:rPr>
          <w:rFonts w:hint="eastAsia" w:ascii="宋体" w:hAnsi="宋体"/>
          <w:b/>
          <w:sz w:val="28"/>
          <w:szCs w:val="28"/>
        </w:rPr>
        <w:t>8.2.1.裁判员规则</w:t>
      </w:r>
    </w:p>
    <w:p>
      <w:pPr>
        <w:spacing w:line="360" w:lineRule="auto"/>
        <w:ind w:firstLine="560" w:firstLineChars="200"/>
        <w:rPr>
          <w:rFonts w:ascii="宋体" w:hAnsi="宋体"/>
          <w:sz w:val="28"/>
          <w:szCs w:val="28"/>
        </w:rPr>
      </w:pPr>
      <w:r>
        <w:rPr>
          <w:rFonts w:hint="eastAsia" w:ascii="宋体" w:hAnsi="宋体"/>
          <w:sz w:val="28"/>
          <w:szCs w:val="28"/>
        </w:rPr>
        <w:t>1、裁判员必须有良好的职业道德修养，忠于职守，公道正派，清正廉洁，自觉遵守广东省建筑安全生产文明施工作业竞赛各项制度。</w:t>
      </w:r>
    </w:p>
    <w:p>
      <w:pPr>
        <w:spacing w:line="360" w:lineRule="auto"/>
        <w:ind w:firstLine="560" w:firstLineChars="200"/>
        <w:rPr>
          <w:rFonts w:ascii="宋体" w:hAnsi="宋体"/>
          <w:sz w:val="28"/>
          <w:szCs w:val="28"/>
        </w:rPr>
      </w:pPr>
      <w:r>
        <w:rPr>
          <w:rFonts w:hint="eastAsia" w:ascii="宋体" w:hAnsi="宋体"/>
          <w:sz w:val="28"/>
          <w:szCs w:val="28"/>
        </w:rPr>
        <w:t>2、积极参加竞赛组委会组织的裁判员培训，努力学习职业技能的有关法律、法规和政策，刻苦钻研专业理论和技术知识，不断提高政策水平和裁判水平。</w:t>
      </w:r>
    </w:p>
    <w:p>
      <w:pPr>
        <w:spacing w:line="360" w:lineRule="auto"/>
        <w:ind w:firstLine="560" w:firstLineChars="200"/>
        <w:rPr>
          <w:rFonts w:ascii="宋体" w:hAnsi="宋体"/>
          <w:sz w:val="28"/>
          <w:szCs w:val="28"/>
        </w:rPr>
      </w:pPr>
      <w:r>
        <w:rPr>
          <w:rFonts w:hint="eastAsia" w:ascii="宋体" w:hAnsi="宋体"/>
          <w:sz w:val="28"/>
          <w:szCs w:val="28"/>
        </w:rPr>
        <w:t>3、熟悉和掌握竞赛的工种、项目、内容、要求及评定标准，事前负责对竞赛场地、设备、工位和其他竞赛用料进行检验。</w:t>
      </w:r>
    </w:p>
    <w:p>
      <w:pPr>
        <w:spacing w:line="360" w:lineRule="auto"/>
        <w:ind w:firstLine="560" w:firstLineChars="200"/>
        <w:rPr>
          <w:rFonts w:ascii="宋体" w:hAnsi="宋体"/>
          <w:sz w:val="28"/>
          <w:szCs w:val="28"/>
        </w:rPr>
      </w:pPr>
      <w:r>
        <w:rPr>
          <w:rFonts w:hint="eastAsia" w:ascii="宋体" w:hAnsi="宋体"/>
          <w:sz w:val="28"/>
          <w:szCs w:val="28"/>
        </w:rPr>
        <w:t>4、独立完成工作任务，认真履行裁判职责，严格执行竞赛程序和规则。执行裁判工作时必须</w:t>
      </w:r>
      <w:r>
        <w:rPr>
          <w:rFonts w:hint="eastAsia" w:ascii="宋体" w:hAnsi="宋体"/>
          <w:sz w:val="28"/>
          <w:szCs w:val="28"/>
          <w:lang w:eastAsia="zh-CN"/>
        </w:rPr>
        <w:t>佩戴</w:t>
      </w:r>
      <w:r>
        <w:rPr>
          <w:rFonts w:hint="eastAsia" w:ascii="宋体" w:hAnsi="宋体"/>
          <w:sz w:val="28"/>
          <w:szCs w:val="28"/>
        </w:rPr>
        <w:t>裁判胸卡。</w:t>
      </w:r>
    </w:p>
    <w:p>
      <w:pPr>
        <w:spacing w:line="360" w:lineRule="auto"/>
        <w:ind w:firstLine="560" w:firstLineChars="200"/>
        <w:rPr>
          <w:rFonts w:ascii="宋体" w:hAnsi="宋体"/>
          <w:sz w:val="28"/>
          <w:szCs w:val="28"/>
        </w:rPr>
      </w:pPr>
      <w:r>
        <w:rPr>
          <w:rFonts w:hint="eastAsia" w:ascii="宋体" w:hAnsi="宋体"/>
          <w:sz w:val="28"/>
          <w:szCs w:val="28"/>
        </w:rPr>
        <w:t>5、严格按照评分标准和要求逐项检测打分，认真填写检测评定表，按要求写出评定意见。</w:t>
      </w:r>
    </w:p>
    <w:p>
      <w:pPr>
        <w:spacing w:line="360" w:lineRule="auto"/>
        <w:ind w:firstLine="560" w:firstLineChars="200"/>
        <w:rPr>
          <w:rFonts w:ascii="宋体" w:hAnsi="宋体"/>
          <w:sz w:val="28"/>
          <w:szCs w:val="28"/>
        </w:rPr>
      </w:pPr>
      <w:r>
        <w:rPr>
          <w:rFonts w:hint="eastAsia" w:ascii="宋体" w:hAnsi="宋体"/>
          <w:sz w:val="28"/>
          <w:szCs w:val="28"/>
        </w:rPr>
        <w:t>6、严肃处理违纪选手，裁判员可视其情节当场给予劝告或警告；对于违纪情节严重者，可作出终止竞赛或宣布成绩无效等处理，但应事先由裁判长向竞赛组委会办公室报告，经批准后方可执行。</w:t>
      </w:r>
    </w:p>
    <w:p>
      <w:pPr>
        <w:spacing w:line="360" w:lineRule="auto"/>
        <w:ind w:firstLine="560" w:firstLineChars="200"/>
        <w:rPr>
          <w:rFonts w:ascii="宋体" w:hAnsi="宋体"/>
          <w:sz w:val="28"/>
          <w:szCs w:val="28"/>
        </w:rPr>
      </w:pPr>
      <w:r>
        <w:rPr>
          <w:rFonts w:hint="eastAsia" w:ascii="宋体" w:hAnsi="宋体"/>
          <w:sz w:val="28"/>
          <w:szCs w:val="28"/>
        </w:rPr>
        <w:t>7、严格遵守保密制度，对集体评判工作中不应公开的内容，必须严格保密。</w:t>
      </w:r>
    </w:p>
    <w:p>
      <w:pPr>
        <w:spacing w:line="360" w:lineRule="auto"/>
        <w:ind w:firstLine="560" w:firstLineChars="200"/>
        <w:rPr>
          <w:rFonts w:ascii="宋体" w:hAnsi="宋体"/>
          <w:sz w:val="28"/>
          <w:szCs w:val="28"/>
        </w:rPr>
      </w:pPr>
      <w:r>
        <w:rPr>
          <w:rFonts w:hint="eastAsia" w:ascii="宋体" w:hAnsi="宋体"/>
          <w:sz w:val="28"/>
          <w:szCs w:val="28"/>
        </w:rPr>
        <w:t>8、严格遵守竞赛纪律，服从竞赛统一安排，严禁发生违规违纪行为，保证竞赛工作顺利进行。</w:t>
      </w:r>
    </w:p>
    <w:p>
      <w:pPr>
        <w:spacing w:line="360" w:lineRule="auto"/>
        <w:rPr>
          <w:rFonts w:ascii="宋体" w:hAnsi="宋体"/>
          <w:sz w:val="28"/>
          <w:szCs w:val="28"/>
        </w:rPr>
      </w:pPr>
    </w:p>
    <w:p>
      <w:pPr>
        <w:spacing w:line="360" w:lineRule="auto"/>
        <w:rPr>
          <w:rFonts w:ascii="宋体" w:hAnsi="宋体"/>
          <w:b/>
          <w:spacing w:val="60"/>
          <w:sz w:val="28"/>
          <w:szCs w:val="28"/>
        </w:rPr>
      </w:pPr>
      <w:r>
        <w:rPr>
          <w:rFonts w:hint="eastAsia" w:ascii="宋体" w:hAnsi="宋体"/>
          <w:b/>
          <w:sz w:val="28"/>
          <w:szCs w:val="28"/>
        </w:rPr>
        <w:t>8.2.2.</w:t>
      </w:r>
      <w:r>
        <w:rPr>
          <w:rFonts w:hint="eastAsia" w:ascii="宋体" w:hAnsi="宋体"/>
          <w:b/>
          <w:kern w:val="0"/>
          <w:sz w:val="28"/>
          <w:szCs w:val="28"/>
        </w:rPr>
        <w:t>理论考试规则</w:t>
      </w:r>
    </w:p>
    <w:p>
      <w:pPr>
        <w:spacing w:line="360" w:lineRule="auto"/>
        <w:ind w:firstLine="560" w:firstLineChars="200"/>
        <w:rPr>
          <w:rFonts w:ascii="宋体" w:hAnsi="宋体"/>
          <w:sz w:val="28"/>
          <w:szCs w:val="28"/>
        </w:rPr>
      </w:pPr>
      <w:r>
        <w:rPr>
          <w:rFonts w:hint="eastAsia" w:ascii="宋体" w:hAnsi="宋体"/>
          <w:sz w:val="28"/>
          <w:szCs w:val="28"/>
        </w:rPr>
        <w:t>1、选手由赛务组带队准时进入理论知识考试考场。进场时，由裁判组核验参赛选手胸卡及身份证，经认可后，方可进入考场。</w:t>
      </w:r>
    </w:p>
    <w:p>
      <w:pPr>
        <w:spacing w:line="360" w:lineRule="auto"/>
        <w:ind w:firstLine="560" w:firstLineChars="200"/>
        <w:rPr>
          <w:rFonts w:ascii="宋体" w:hAnsi="宋体"/>
          <w:sz w:val="28"/>
          <w:szCs w:val="28"/>
        </w:rPr>
      </w:pPr>
      <w:r>
        <w:rPr>
          <w:rFonts w:hint="eastAsia" w:ascii="宋体" w:hAnsi="宋体"/>
          <w:sz w:val="28"/>
          <w:szCs w:val="28"/>
        </w:rPr>
        <w:t>2、选手进入考场后，应按参赛选手胸卡对号入座，不得任意就坐，违犯者取消其竞赛资格。</w:t>
      </w:r>
    </w:p>
    <w:p>
      <w:pPr>
        <w:spacing w:line="360" w:lineRule="auto"/>
        <w:ind w:firstLine="560" w:firstLineChars="200"/>
        <w:rPr>
          <w:rFonts w:ascii="宋体" w:hAnsi="宋体"/>
          <w:sz w:val="28"/>
          <w:szCs w:val="28"/>
        </w:rPr>
      </w:pPr>
      <w:r>
        <w:rPr>
          <w:rFonts w:hint="eastAsia" w:ascii="宋体" w:hAnsi="宋体"/>
          <w:sz w:val="28"/>
          <w:szCs w:val="28"/>
        </w:rPr>
        <w:t>3、理论试卷在考试现场撤封后，提前五分钟发放。</w:t>
      </w:r>
    </w:p>
    <w:p>
      <w:pPr>
        <w:spacing w:line="360" w:lineRule="auto"/>
        <w:ind w:firstLine="560" w:firstLineChars="200"/>
        <w:rPr>
          <w:rFonts w:ascii="宋体" w:hAnsi="宋体"/>
          <w:sz w:val="28"/>
          <w:szCs w:val="28"/>
        </w:rPr>
      </w:pPr>
      <w:r>
        <w:rPr>
          <w:rFonts w:hint="eastAsia" w:ascii="宋体" w:hAnsi="宋体"/>
          <w:sz w:val="28"/>
          <w:szCs w:val="28"/>
        </w:rPr>
        <w:t>4、理论考试一律采用笔试、闭卷考试。答卷所用笔、纸均由监考人员统一发放。选手不得携带</w:t>
      </w:r>
      <w:r>
        <w:rPr>
          <w:rFonts w:hint="eastAsia" w:ascii="宋体" w:hAnsi="宋体"/>
          <w:sz w:val="28"/>
          <w:szCs w:val="28"/>
          <w:lang w:eastAsia="zh-CN"/>
        </w:rPr>
        <w:t>手机、</w:t>
      </w:r>
      <w:r>
        <w:rPr>
          <w:rFonts w:hint="eastAsia" w:ascii="宋体" w:hAnsi="宋体"/>
          <w:sz w:val="28"/>
          <w:szCs w:val="28"/>
        </w:rPr>
        <w:t>文具、纸张、书刊、笔记本等任何资料进入考场，</w:t>
      </w:r>
      <w:r>
        <w:rPr>
          <w:rFonts w:hint="eastAsia" w:ascii="宋体" w:hAnsi="宋体"/>
          <w:sz w:val="28"/>
          <w:szCs w:val="28"/>
          <w:lang w:eastAsia="zh-CN"/>
        </w:rPr>
        <w:t>违反者</w:t>
      </w:r>
      <w:r>
        <w:rPr>
          <w:rFonts w:hint="eastAsia" w:ascii="宋体" w:hAnsi="宋体"/>
          <w:sz w:val="28"/>
          <w:szCs w:val="28"/>
        </w:rPr>
        <w:t>取消其竞赛资格。</w:t>
      </w:r>
    </w:p>
    <w:p>
      <w:pPr>
        <w:spacing w:line="360" w:lineRule="auto"/>
        <w:ind w:firstLine="560" w:firstLineChars="200"/>
        <w:rPr>
          <w:rFonts w:ascii="宋体" w:hAnsi="宋体"/>
          <w:sz w:val="28"/>
          <w:szCs w:val="28"/>
        </w:rPr>
      </w:pPr>
      <w:r>
        <w:rPr>
          <w:rFonts w:hint="eastAsia" w:ascii="宋体" w:hAnsi="宋体"/>
          <w:sz w:val="28"/>
          <w:szCs w:val="28"/>
        </w:rPr>
        <w:t>5、试卷上按规定位置和方式填写好姓名、胸卡号及参赛代表队等。考卷其它位置不得有任何暗示选手身份的记号或符号，否则答卷作废。</w:t>
      </w:r>
    </w:p>
    <w:p>
      <w:pPr>
        <w:spacing w:line="360" w:lineRule="auto"/>
        <w:ind w:firstLine="560" w:firstLineChars="200"/>
        <w:rPr>
          <w:rFonts w:ascii="宋体" w:hAnsi="宋体"/>
          <w:sz w:val="28"/>
          <w:szCs w:val="28"/>
        </w:rPr>
      </w:pPr>
      <w:r>
        <w:rPr>
          <w:rFonts w:hint="eastAsia" w:ascii="宋体" w:hAnsi="宋体"/>
          <w:sz w:val="28"/>
          <w:szCs w:val="28"/>
        </w:rPr>
        <w:t>6、选手迟到半小时，一律按自动弃权处理；已进场的选手，考试开始半小时内，不得交卷离开。选手考试中途不得离开考场，离场视为自动放弃考试资格。</w:t>
      </w:r>
    </w:p>
    <w:p>
      <w:pPr>
        <w:spacing w:line="360" w:lineRule="auto"/>
        <w:ind w:firstLine="560" w:firstLineChars="200"/>
        <w:rPr>
          <w:rFonts w:ascii="宋体" w:hAnsi="宋体"/>
          <w:sz w:val="28"/>
          <w:szCs w:val="28"/>
        </w:rPr>
      </w:pPr>
      <w:r>
        <w:rPr>
          <w:rFonts w:hint="eastAsia" w:ascii="宋体" w:hAnsi="宋体"/>
          <w:sz w:val="28"/>
          <w:szCs w:val="28"/>
        </w:rPr>
        <w:t>7、选手应遵守考场纪律，听从监考人员的指挥，考试中考场应保持肃静，不得喧哗，考生须关闭通讯工具，不准吸烟，不准交头接耳，不准传递，不准观看他人试卷，</w:t>
      </w:r>
      <w:r>
        <w:rPr>
          <w:rFonts w:hint="eastAsia" w:ascii="宋体" w:hAnsi="宋体"/>
          <w:sz w:val="28"/>
          <w:szCs w:val="28"/>
          <w:lang w:eastAsia="zh-CN"/>
        </w:rPr>
        <w:t>以及其他</w:t>
      </w:r>
      <w:r>
        <w:rPr>
          <w:rFonts w:hint="eastAsia" w:ascii="宋体" w:hAnsi="宋体"/>
          <w:sz w:val="28"/>
          <w:szCs w:val="28"/>
        </w:rPr>
        <w:t>舞弊行为，违犯者取消其考试资格。</w:t>
      </w:r>
    </w:p>
    <w:p>
      <w:pPr>
        <w:spacing w:line="360" w:lineRule="auto"/>
        <w:ind w:firstLine="560" w:firstLineChars="200"/>
        <w:rPr>
          <w:rFonts w:ascii="宋体" w:hAnsi="宋体"/>
          <w:sz w:val="28"/>
          <w:szCs w:val="28"/>
        </w:rPr>
      </w:pPr>
      <w:r>
        <w:rPr>
          <w:rFonts w:hint="eastAsia" w:ascii="宋体" w:hAnsi="宋体"/>
          <w:sz w:val="28"/>
          <w:szCs w:val="28"/>
        </w:rPr>
        <w:t>8、考试时如有疑问者，可举手示意，由监考人员负责处理。监考人员对考题不得作任何解释或暗示，违犯者将取消其监考资格，并给予通报批评。</w:t>
      </w:r>
    </w:p>
    <w:p>
      <w:pPr>
        <w:spacing w:line="360" w:lineRule="auto"/>
        <w:ind w:firstLine="560" w:firstLineChars="200"/>
        <w:rPr>
          <w:rFonts w:ascii="宋体" w:hAnsi="宋体"/>
          <w:sz w:val="28"/>
          <w:szCs w:val="28"/>
        </w:rPr>
      </w:pPr>
      <w:r>
        <w:rPr>
          <w:rFonts w:hint="eastAsia" w:ascii="宋体" w:hAnsi="宋体"/>
          <w:sz w:val="28"/>
          <w:szCs w:val="28"/>
        </w:rPr>
        <w:t>9、考试时间为</w:t>
      </w:r>
      <w:r>
        <w:rPr>
          <w:rFonts w:ascii="宋体" w:hAnsi="宋体"/>
          <w:sz w:val="28"/>
          <w:szCs w:val="28"/>
        </w:rPr>
        <w:t>90</w:t>
      </w:r>
      <w:r>
        <w:rPr>
          <w:rFonts w:hint="eastAsia" w:ascii="宋体" w:hAnsi="宋体"/>
          <w:sz w:val="28"/>
          <w:szCs w:val="28"/>
        </w:rPr>
        <w:t>分钟，到时一律交卷（应连同草稿纸一起上交），否则答卷作废。</w:t>
      </w:r>
    </w:p>
    <w:p>
      <w:pPr>
        <w:spacing w:line="360" w:lineRule="auto"/>
        <w:ind w:firstLine="560" w:firstLineChars="200"/>
        <w:rPr>
          <w:rFonts w:ascii="宋体" w:hAnsi="宋体"/>
          <w:sz w:val="28"/>
          <w:szCs w:val="28"/>
        </w:rPr>
      </w:pPr>
      <w:r>
        <w:rPr>
          <w:rFonts w:hint="eastAsia" w:ascii="宋体" w:hAnsi="宋体"/>
          <w:sz w:val="28"/>
          <w:szCs w:val="28"/>
        </w:rPr>
        <w:t>10、选手考试完毕后，应立即远离考场，不得在考场附近高声谈论。</w:t>
      </w:r>
    </w:p>
    <w:p>
      <w:pPr>
        <w:spacing w:line="360" w:lineRule="auto"/>
        <w:ind w:firstLine="560" w:firstLineChars="200"/>
        <w:rPr>
          <w:rFonts w:ascii="宋体" w:hAnsi="宋体"/>
          <w:sz w:val="28"/>
          <w:szCs w:val="28"/>
        </w:rPr>
      </w:pPr>
      <w:r>
        <w:rPr>
          <w:rFonts w:hint="eastAsia" w:ascii="宋体" w:hAnsi="宋体"/>
          <w:sz w:val="28"/>
          <w:szCs w:val="28"/>
        </w:rPr>
        <w:t>11、考试结束后，由监考人员将答卷在考场内立即密封，统一封闭阅卷。</w:t>
      </w:r>
    </w:p>
    <w:p>
      <w:pPr>
        <w:spacing w:line="360" w:lineRule="auto"/>
        <w:ind w:firstLine="560" w:firstLineChars="200"/>
        <w:rPr>
          <w:rFonts w:ascii="宋体" w:hAnsi="宋体"/>
          <w:sz w:val="28"/>
          <w:szCs w:val="28"/>
        </w:rPr>
      </w:pPr>
      <w:r>
        <w:rPr>
          <w:rFonts w:hint="eastAsia" w:ascii="宋体" w:hAnsi="宋体"/>
          <w:sz w:val="28"/>
          <w:szCs w:val="28"/>
        </w:rPr>
        <w:t>12、本规则的解释权属竞赛组织委员会。</w:t>
      </w:r>
    </w:p>
    <w:p>
      <w:pPr>
        <w:spacing w:line="360" w:lineRule="auto"/>
        <w:rPr>
          <w:rFonts w:ascii="宋体" w:hAnsi="宋体"/>
          <w:b/>
          <w:kern w:val="0"/>
          <w:sz w:val="28"/>
          <w:szCs w:val="28"/>
        </w:rPr>
      </w:pPr>
      <w:r>
        <w:rPr>
          <w:rFonts w:hint="eastAsia" w:ascii="宋体" w:hAnsi="宋体"/>
          <w:b/>
          <w:kern w:val="0"/>
          <w:sz w:val="28"/>
          <w:szCs w:val="28"/>
        </w:rPr>
        <w:t>8.2.3.实操竞赛规则</w:t>
      </w:r>
    </w:p>
    <w:p>
      <w:pPr>
        <w:spacing w:line="360" w:lineRule="auto"/>
        <w:ind w:firstLine="537" w:firstLineChars="192"/>
        <w:rPr>
          <w:rFonts w:ascii="宋体" w:hAnsi="宋体"/>
          <w:sz w:val="28"/>
          <w:szCs w:val="28"/>
        </w:rPr>
      </w:pPr>
      <w:r>
        <w:rPr>
          <w:rFonts w:hint="eastAsia" w:ascii="宋体" w:hAnsi="宋体"/>
          <w:sz w:val="28"/>
          <w:szCs w:val="28"/>
        </w:rPr>
        <w:t>1、选手由赛务组带队准时进入实操赛场。进场时，由裁判组核验参赛选手胸卡、身份证及抽签工位号，经认可后，方可进入赛场。</w:t>
      </w:r>
    </w:p>
    <w:p>
      <w:pPr>
        <w:spacing w:line="360" w:lineRule="auto"/>
        <w:ind w:firstLine="537" w:firstLineChars="192"/>
        <w:rPr>
          <w:rFonts w:ascii="宋体" w:hAnsi="宋体"/>
          <w:sz w:val="28"/>
          <w:szCs w:val="28"/>
        </w:rPr>
      </w:pPr>
      <w:r>
        <w:rPr>
          <w:rFonts w:hint="eastAsia" w:ascii="宋体" w:hAnsi="宋体"/>
          <w:sz w:val="28"/>
          <w:szCs w:val="28"/>
        </w:rPr>
        <w:t>2、选手进入赛场后，应按抽签工位号对号入座，不得任意改变，裁判员须进行复验，发现错位即时更正，对不听指挥的选手，取消其竞赛资格。</w:t>
      </w:r>
    </w:p>
    <w:p>
      <w:pPr>
        <w:spacing w:line="360" w:lineRule="auto"/>
        <w:ind w:firstLine="537" w:firstLineChars="192"/>
        <w:rPr>
          <w:rFonts w:ascii="宋体" w:hAnsi="宋体"/>
          <w:sz w:val="28"/>
          <w:szCs w:val="28"/>
        </w:rPr>
      </w:pPr>
      <w:r>
        <w:rPr>
          <w:rFonts w:hint="eastAsia" w:ascii="宋体" w:hAnsi="宋体"/>
          <w:sz w:val="28"/>
          <w:szCs w:val="28"/>
        </w:rPr>
        <w:t>3、听到开始竞赛的信号后，选手才可开始操作。如提前操作者，裁判员有权责令其停止，对不听指挥的选手，取消其竞赛资格。</w:t>
      </w:r>
    </w:p>
    <w:p>
      <w:pPr>
        <w:spacing w:line="360" w:lineRule="auto"/>
        <w:ind w:firstLine="537" w:firstLineChars="192"/>
        <w:rPr>
          <w:rFonts w:ascii="宋体" w:hAnsi="宋体"/>
          <w:sz w:val="28"/>
          <w:szCs w:val="28"/>
        </w:rPr>
      </w:pPr>
      <w:r>
        <w:rPr>
          <w:rFonts w:hint="eastAsia" w:ascii="宋体" w:hAnsi="宋体"/>
          <w:sz w:val="28"/>
          <w:szCs w:val="28"/>
        </w:rPr>
        <w:t>4、竞赛中因个人原因中断竞赛时，则认定为该选手自动弃权。</w:t>
      </w:r>
    </w:p>
    <w:p>
      <w:pPr>
        <w:spacing w:line="360" w:lineRule="auto"/>
        <w:ind w:firstLine="537" w:firstLineChars="192"/>
        <w:rPr>
          <w:rFonts w:ascii="宋体" w:hAnsi="宋体"/>
          <w:sz w:val="28"/>
          <w:szCs w:val="28"/>
        </w:rPr>
      </w:pPr>
      <w:r>
        <w:rPr>
          <w:rFonts w:hint="eastAsia" w:ascii="宋体" w:hAnsi="宋体"/>
          <w:sz w:val="28"/>
          <w:szCs w:val="28"/>
        </w:rPr>
        <w:t>5、竞赛中如选手发生意外伤害时，经医治不影响继续参赛，并在竞赛规定时间内，经裁判组长允许，可继续参加竞赛。</w:t>
      </w:r>
    </w:p>
    <w:p>
      <w:pPr>
        <w:spacing w:line="360" w:lineRule="auto"/>
        <w:ind w:firstLine="537" w:firstLineChars="192"/>
        <w:rPr>
          <w:rFonts w:ascii="宋体" w:hAnsi="宋体"/>
          <w:sz w:val="28"/>
          <w:szCs w:val="28"/>
        </w:rPr>
      </w:pPr>
      <w:r>
        <w:rPr>
          <w:rFonts w:hint="eastAsia" w:ascii="宋体" w:hAnsi="宋体"/>
          <w:sz w:val="28"/>
          <w:szCs w:val="28"/>
        </w:rPr>
        <w:t>6、选手迟到10分钟，一律按自动弃权处理；开赛30分钟以后方可离开竞赛现场，与赛场无关人员一律不得进入竞赛现场。</w:t>
      </w:r>
    </w:p>
    <w:p>
      <w:pPr>
        <w:spacing w:line="360" w:lineRule="auto"/>
        <w:ind w:firstLine="537" w:firstLineChars="192"/>
        <w:rPr>
          <w:rFonts w:ascii="宋体" w:hAnsi="宋体"/>
          <w:sz w:val="28"/>
          <w:szCs w:val="28"/>
        </w:rPr>
      </w:pPr>
      <w:r>
        <w:rPr>
          <w:rFonts w:hint="eastAsia" w:ascii="宋体" w:hAnsi="宋体"/>
          <w:sz w:val="28"/>
          <w:szCs w:val="28"/>
        </w:rPr>
        <w:t>7、选手在实操竞赛过程中，不得无故离开操作工位，不得帮助其他选手或让其他选手帮助自己操作。</w:t>
      </w:r>
    </w:p>
    <w:p>
      <w:pPr>
        <w:spacing w:line="360" w:lineRule="auto"/>
        <w:ind w:firstLine="537" w:firstLineChars="192"/>
        <w:rPr>
          <w:rFonts w:ascii="宋体" w:hAnsi="宋体"/>
          <w:sz w:val="28"/>
          <w:szCs w:val="28"/>
        </w:rPr>
      </w:pPr>
      <w:r>
        <w:rPr>
          <w:rFonts w:hint="eastAsia" w:ascii="宋体" w:hAnsi="宋体"/>
          <w:sz w:val="28"/>
          <w:szCs w:val="28"/>
        </w:rPr>
        <w:t>8、选手所用的劳保用品、工具、安全防护设备等应自行准备。</w:t>
      </w:r>
    </w:p>
    <w:p>
      <w:pPr>
        <w:spacing w:line="360" w:lineRule="auto"/>
        <w:ind w:firstLine="537" w:firstLineChars="192"/>
        <w:rPr>
          <w:rFonts w:ascii="宋体" w:hAnsi="宋体"/>
          <w:sz w:val="28"/>
          <w:szCs w:val="28"/>
        </w:rPr>
      </w:pPr>
      <w:r>
        <w:rPr>
          <w:rFonts w:hint="eastAsia" w:ascii="宋体" w:hAnsi="宋体"/>
          <w:sz w:val="28"/>
          <w:szCs w:val="28"/>
        </w:rPr>
        <w:t>9、听到竞赛结束信号，选手应立即停止操作，退出工位离开赛场，不听指挥者，成绩按0分处理。</w:t>
      </w:r>
    </w:p>
    <w:p>
      <w:pPr>
        <w:spacing w:line="360" w:lineRule="auto"/>
        <w:ind w:firstLine="537" w:firstLineChars="192"/>
        <w:rPr>
          <w:rFonts w:ascii="宋体" w:hAnsi="宋体"/>
          <w:sz w:val="28"/>
          <w:szCs w:val="28"/>
        </w:rPr>
      </w:pPr>
      <w:r>
        <w:rPr>
          <w:rFonts w:hint="eastAsia" w:ascii="宋体" w:hAnsi="宋体"/>
          <w:sz w:val="28"/>
          <w:szCs w:val="28"/>
        </w:rPr>
        <w:t>10、选手必须严格遵守赛场纪律，对违反纪律者，按有关规定进行严肃处理。</w:t>
      </w:r>
    </w:p>
    <w:p>
      <w:pPr>
        <w:spacing w:line="360" w:lineRule="auto"/>
        <w:ind w:firstLine="560" w:firstLineChars="200"/>
        <w:rPr>
          <w:rFonts w:ascii="宋体" w:hAnsi="宋体"/>
          <w:sz w:val="28"/>
          <w:szCs w:val="28"/>
        </w:rPr>
      </w:pPr>
      <w:r>
        <w:rPr>
          <w:rFonts w:hint="eastAsia" w:ascii="宋体" w:hAnsi="宋体"/>
          <w:sz w:val="28"/>
          <w:szCs w:val="28"/>
        </w:rPr>
        <w:t>11、本规则的解释权属竞赛组织委员会。</w:t>
      </w:r>
    </w:p>
    <w:p>
      <w:pPr>
        <w:spacing w:line="360" w:lineRule="auto"/>
        <w:rPr>
          <w:rFonts w:ascii="宋体" w:hAnsi="宋体"/>
          <w:b/>
          <w:sz w:val="28"/>
          <w:szCs w:val="28"/>
        </w:rPr>
      </w:pPr>
      <w:r>
        <w:rPr>
          <w:rFonts w:hint="eastAsia" w:ascii="宋体" w:hAnsi="宋体"/>
          <w:b/>
          <w:sz w:val="28"/>
          <w:szCs w:val="28"/>
        </w:rPr>
        <w:t>8.2.4.理论考试监考人员规则</w:t>
      </w:r>
    </w:p>
    <w:p>
      <w:pPr>
        <w:spacing w:line="360" w:lineRule="auto"/>
        <w:ind w:firstLine="560" w:firstLineChars="200"/>
        <w:rPr>
          <w:rFonts w:ascii="宋体" w:hAnsi="宋体"/>
          <w:sz w:val="28"/>
          <w:szCs w:val="28"/>
        </w:rPr>
      </w:pPr>
      <w:r>
        <w:rPr>
          <w:rFonts w:hint="eastAsia" w:ascii="宋体" w:hAnsi="宋体"/>
          <w:sz w:val="28"/>
          <w:szCs w:val="28"/>
        </w:rPr>
        <w:t>1、监考员须佩戴胸卡，认真负责地做好理论考场的监督、检查工作，维护考场纪律，保证考试顺利进行。</w:t>
      </w:r>
    </w:p>
    <w:p>
      <w:pPr>
        <w:spacing w:line="360" w:lineRule="auto"/>
        <w:ind w:firstLine="560" w:firstLineChars="200"/>
        <w:rPr>
          <w:rFonts w:ascii="宋体" w:hAnsi="宋体"/>
          <w:sz w:val="28"/>
          <w:szCs w:val="28"/>
        </w:rPr>
      </w:pPr>
      <w:r>
        <w:rPr>
          <w:rFonts w:hint="eastAsia" w:ascii="宋体" w:hAnsi="宋体"/>
          <w:sz w:val="28"/>
          <w:szCs w:val="28"/>
        </w:rPr>
        <w:t>2、理论考试每个考场配置监考员不得少于2名。</w:t>
      </w:r>
    </w:p>
    <w:p>
      <w:pPr>
        <w:spacing w:line="360" w:lineRule="auto"/>
        <w:ind w:firstLine="560" w:firstLineChars="200"/>
        <w:rPr>
          <w:rFonts w:ascii="宋体" w:hAnsi="宋体"/>
          <w:sz w:val="28"/>
          <w:szCs w:val="28"/>
        </w:rPr>
      </w:pPr>
      <w:r>
        <w:rPr>
          <w:rFonts w:hint="eastAsia" w:ascii="宋体" w:hAnsi="宋体"/>
          <w:sz w:val="28"/>
          <w:szCs w:val="28"/>
        </w:rPr>
        <w:t>3、监考员应在考试前半小时到考场办公室，接受具体的监考任务，在领取试卷时，要注意检查试题袋密封质量是否符合要求。</w:t>
      </w:r>
    </w:p>
    <w:p>
      <w:pPr>
        <w:spacing w:line="360" w:lineRule="auto"/>
        <w:ind w:firstLine="560" w:firstLineChars="200"/>
        <w:rPr>
          <w:rFonts w:ascii="宋体" w:hAnsi="宋体"/>
          <w:sz w:val="28"/>
          <w:szCs w:val="28"/>
        </w:rPr>
      </w:pPr>
      <w:r>
        <w:rPr>
          <w:rFonts w:hint="eastAsia" w:ascii="宋体" w:hAnsi="宋体"/>
          <w:sz w:val="28"/>
          <w:szCs w:val="28"/>
        </w:rPr>
        <w:t>4、监考人员应在考试前15分钟进入考场，向选手宣读理论考场规则。考试开始后，提示选手在试卷规定的位置填写姓名和胸卡号，并检查每个选手与胸卡、身份证是否相符。</w:t>
      </w:r>
    </w:p>
    <w:p>
      <w:pPr>
        <w:spacing w:line="360" w:lineRule="auto"/>
        <w:ind w:firstLine="560" w:firstLineChars="200"/>
        <w:rPr>
          <w:rFonts w:ascii="宋体" w:hAnsi="宋体"/>
          <w:sz w:val="28"/>
          <w:szCs w:val="28"/>
        </w:rPr>
      </w:pPr>
      <w:r>
        <w:rPr>
          <w:rFonts w:hint="eastAsia" w:ascii="宋体" w:hAnsi="宋体"/>
          <w:sz w:val="28"/>
          <w:szCs w:val="28"/>
        </w:rPr>
        <w:t>5、监考人员对试题的内容不做任何解释，但选手对试题印刷不清之处提出询问时，应予当众答复；如遇试卷装订错漏应立即予以更换。</w:t>
      </w:r>
    </w:p>
    <w:p>
      <w:pPr>
        <w:spacing w:line="360" w:lineRule="auto"/>
        <w:ind w:firstLine="560" w:firstLineChars="200"/>
        <w:rPr>
          <w:rFonts w:ascii="宋体" w:hAnsi="宋体"/>
          <w:sz w:val="28"/>
          <w:szCs w:val="28"/>
        </w:rPr>
      </w:pPr>
      <w:r>
        <w:rPr>
          <w:rFonts w:hint="eastAsia" w:ascii="宋体" w:hAnsi="宋体"/>
          <w:sz w:val="28"/>
          <w:szCs w:val="28"/>
        </w:rPr>
        <w:t>6、监考人员发现选手作弊时，可提出口头警告，情节严重者，取消其考试资格，同时将作弊情况如实</w:t>
      </w:r>
      <w:r>
        <w:rPr>
          <w:rFonts w:hint="eastAsia" w:ascii="宋体" w:hAnsi="宋体"/>
          <w:sz w:val="28"/>
          <w:szCs w:val="28"/>
          <w:lang w:eastAsia="zh-CN"/>
        </w:rPr>
        <w:t>做好</w:t>
      </w:r>
      <w:r>
        <w:rPr>
          <w:rFonts w:hint="eastAsia" w:ascii="宋体" w:hAnsi="宋体"/>
          <w:sz w:val="28"/>
          <w:szCs w:val="28"/>
        </w:rPr>
        <w:t>记录。</w:t>
      </w:r>
    </w:p>
    <w:p>
      <w:pPr>
        <w:spacing w:line="360" w:lineRule="auto"/>
        <w:ind w:firstLine="560" w:firstLineChars="200"/>
        <w:rPr>
          <w:rFonts w:ascii="宋体" w:hAnsi="宋体"/>
          <w:sz w:val="28"/>
          <w:szCs w:val="28"/>
        </w:rPr>
      </w:pPr>
      <w:r>
        <w:rPr>
          <w:rFonts w:hint="eastAsia" w:ascii="宋体" w:hAnsi="宋体"/>
          <w:sz w:val="28"/>
          <w:szCs w:val="28"/>
        </w:rPr>
        <w:t>7、监考人员在考场内不准吸烟和谈笑，不准抄题做题。</w:t>
      </w:r>
    </w:p>
    <w:p>
      <w:pPr>
        <w:spacing w:line="360" w:lineRule="auto"/>
        <w:ind w:firstLine="560" w:firstLineChars="200"/>
        <w:rPr>
          <w:rFonts w:ascii="宋体" w:hAnsi="宋体"/>
          <w:sz w:val="28"/>
          <w:szCs w:val="28"/>
        </w:rPr>
      </w:pPr>
      <w:r>
        <w:rPr>
          <w:rFonts w:hint="eastAsia" w:ascii="宋体" w:hAnsi="宋体"/>
          <w:sz w:val="28"/>
          <w:szCs w:val="28"/>
        </w:rPr>
        <w:t>8、考试结束前15分钟，监考员应向选手通报考试时间，考试结束时，指令选手停止答题并将试卷翻转，立即组织选手有序离开考场，待选手退场后，按胸卡号顺序，依次收集试卷，装袋密封，连同《理论考场情况记录表》一并交竞赛组委会办公室。</w:t>
      </w:r>
    </w:p>
    <w:p>
      <w:pPr>
        <w:spacing w:line="360" w:lineRule="auto"/>
        <w:rPr>
          <w:rFonts w:ascii="宋体" w:hAnsi="宋体"/>
          <w:b/>
          <w:sz w:val="28"/>
          <w:szCs w:val="28"/>
        </w:rPr>
      </w:pPr>
      <w:r>
        <w:rPr>
          <w:rFonts w:hint="eastAsia" w:ascii="宋体" w:hAnsi="宋体"/>
          <w:b/>
          <w:sz w:val="28"/>
          <w:szCs w:val="28"/>
        </w:rPr>
        <w:t>8.2.5.</w:t>
      </w:r>
      <w:r>
        <w:rPr>
          <w:rFonts w:hint="eastAsia" w:ascii="宋体" w:hAnsi="宋体"/>
          <w:b/>
          <w:kern w:val="0"/>
          <w:sz w:val="28"/>
          <w:szCs w:val="28"/>
        </w:rPr>
        <w:t>阅卷人员规则</w:t>
      </w:r>
    </w:p>
    <w:p>
      <w:pPr>
        <w:spacing w:line="360" w:lineRule="auto"/>
        <w:ind w:firstLine="560" w:firstLineChars="200"/>
        <w:rPr>
          <w:rFonts w:ascii="宋体" w:hAnsi="宋体"/>
          <w:sz w:val="28"/>
          <w:szCs w:val="28"/>
        </w:rPr>
      </w:pPr>
      <w:r>
        <w:rPr>
          <w:rFonts w:hint="eastAsia" w:ascii="宋体" w:hAnsi="宋体"/>
          <w:sz w:val="28"/>
          <w:szCs w:val="28"/>
        </w:rPr>
        <w:t>1、阅卷工作由裁判员担任。阅卷人员应努力学习职业技能的有关法律、法规和政策，熟悉和掌握竞赛的工种、要求及评分标准。</w:t>
      </w:r>
    </w:p>
    <w:p>
      <w:pPr>
        <w:spacing w:line="360" w:lineRule="auto"/>
        <w:ind w:firstLine="560" w:firstLineChars="200"/>
        <w:rPr>
          <w:rFonts w:ascii="宋体" w:hAnsi="宋体"/>
          <w:sz w:val="28"/>
          <w:szCs w:val="28"/>
        </w:rPr>
      </w:pPr>
      <w:r>
        <w:rPr>
          <w:rFonts w:hint="eastAsia" w:ascii="宋体" w:hAnsi="宋体"/>
          <w:sz w:val="28"/>
          <w:szCs w:val="28"/>
        </w:rPr>
        <w:t>2、阅卷人员须按照统一的标准答案和评分标准，客观公正地阅卷、评分。</w:t>
      </w:r>
    </w:p>
    <w:p>
      <w:pPr>
        <w:spacing w:line="360" w:lineRule="auto"/>
        <w:ind w:firstLine="560" w:firstLineChars="200"/>
        <w:rPr>
          <w:rFonts w:ascii="宋体" w:hAnsi="宋体"/>
          <w:sz w:val="28"/>
          <w:szCs w:val="28"/>
        </w:rPr>
      </w:pPr>
      <w:r>
        <w:rPr>
          <w:rFonts w:hint="eastAsia" w:ascii="宋体" w:hAnsi="宋体"/>
          <w:sz w:val="28"/>
          <w:szCs w:val="28"/>
        </w:rPr>
        <w:t>3、阅卷工作应在选手姓名、考号密封的条件下进行，阅卷人员不得擅自拆开试卷密封线。</w:t>
      </w:r>
    </w:p>
    <w:p>
      <w:pPr>
        <w:spacing w:line="360" w:lineRule="auto"/>
        <w:ind w:firstLine="560" w:firstLineChars="200"/>
        <w:rPr>
          <w:rFonts w:ascii="宋体" w:hAnsi="宋体"/>
          <w:sz w:val="28"/>
          <w:szCs w:val="28"/>
        </w:rPr>
      </w:pPr>
      <w:r>
        <w:rPr>
          <w:rFonts w:hint="eastAsia" w:ascii="宋体" w:hAnsi="宋体"/>
          <w:sz w:val="28"/>
          <w:szCs w:val="28"/>
        </w:rPr>
        <w:t>4、阅卷时须按照集中流水作业的方式进行阅卷。</w:t>
      </w:r>
    </w:p>
    <w:p>
      <w:pPr>
        <w:spacing w:line="360" w:lineRule="auto"/>
        <w:ind w:firstLine="560" w:firstLineChars="200"/>
        <w:rPr>
          <w:rFonts w:ascii="宋体" w:hAnsi="宋体"/>
          <w:sz w:val="28"/>
          <w:szCs w:val="28"/>
        </w:rPr>
      </w:pPr>
      <w:r>
        <w:rPr>
          <w:rFonts w:hint="eastAsia" w:ascii="宋体" w:hAnsi="宋体"/>
          <w:sz w:val="28"/>
          <w:szCs w:val="28"/>
        </w:rPr>
        <w:t>5、阅卷须统一使用红色钢笔或签字笔，字迹要清楚易辩，禁止修改。</w:t>
      </w:r>
    </w:p>
    <w:p>
      <w:pPr>
        <w:spacing w:line="360" w:lineRule="auto"/>
        <w:ind w:firstLine="560" w:firstLineChars="200"/>
        <w:rPr>
          <w:rFonts w:ascii="宋体"/>
          <w:sz w:val="28"/>
          <w:szCs w:val="28"/>
        </w:rPr>
      </w:pPr>
      <w:r>
        <w:rPr>
          <w:rFonts w:hint="eastAsia" w:ascii="宋体" w:hAnsi="宋体"/>
          <w:sz w:val="28"/>
          <w:szCs w:val="28"/>
        </w:rPr>
        <w:t>6、阅卷人员不得修改选手试卷，不得向外界</w:t>
      </w:r>
      <w:r>
        <w:rPr>
          <w:rFonts w:hint="eastAsia" w:ascii="宋体" w:hAnsi="宋体"/>
          <w:sz w:val="28"/>
          <w:szCs w:val="28"/>
          <w:lang w:eastAsia="zh-CN"/>
        </w:rPr>
        <w:t>透露</w:t>
      </w:r>
      <w:r>
        <w:rPr>
          <w:rFonts w:hint="eastAsia" w:ascii="宋体" w:hAnsi="宋体"/>
          <w:sz w:val="28"/>
          <w:szCs w:val="28"/>
        </w:rPr>
        <w:t>有关工作情况，对徇私舞弊者，取消其阅卷资格，并视情节轻重，给予相应的处理。</w:t>
      </w:r>
    </w:p>
    <w:p>
      <w:pPr>
        <w:pStyle w:val="58"/>
        <w:numPr>
          <w:ilvl w:val="0"/>
          <w:numId w:val="1"/>
        </w:numPr>
        <w:spacing w:line="360" w:lineRule="auto"/>
        <w:ind w:firstLineChars="0"/>
        <w:rPr>
          <w:rFonts w:ascii="宋体"/>
          <w:b/>
          <w:sz w:val="28"/>
          <w:szCs w:val="28"/>
        </w:rPr>
      </w:pPr>
      <w:bookmarkStart w:id="20" w:name="_Toc376873374"/>
      <w:bookmarkStart w:id="21" w:name="_Toc30442"/>
      <w:r>
        <w:rPr>
          <w:rFonts w:hint="eastAsia" w:ascii="宋体" w:hAnsi="宋体"/>
          <w:b/>
          <w:sz w:val="28"/>
          <w:szCs w:val="28"/>
        </w:rPr>
        <w:t>竞赛的基础设施</w:t>
      </w:r>
      <w:bookmarkEnd w:id="20"/>
      <w:bookmarkEnd w:id="21"/>
    </w:p>
    <w:p>
      <w:pPr>
        <w:pStyle w:val="58"/>
        <w:numPr>
          <w:ilvl w:val="1"/>
          <w:numId w:val="1"/>
        </w:numPr>
        <w:spacing w:line="360" w:lineRule="auto"/>
        <w:ind w:firstLineChars="0"/>
        <w:rPr>
          <w:rFonts w:ascii="宋体"/>
          <w:b/>
          <w:sz w:val="28"/>
          <w:szCs w:val="28"/>
        </w:rPr>
      </w:pPr>
      <w:r>
        <w:rPr>
          <w:rFonts w:hint="eastAsia" w:ascii="宋体" w:hAnsi="宋体"/>
          <w:b/>
          <w:sz w:val="28"/>
          <w:szCs w:val="28"/>
        </w:rPr>
        <w:t>现场料具准备：</w:t>
      </w:r>
    </w:p>
    <w:p>
      <w:pPr>
        <w:spacing w:line="360" w:lineRule="auto"/>
        <w:rPr>
          <w:rFonts w:ascii="宋体" w:hAnsi="宋体"/>
          <w:sz w:val="28"/>
          <w:szCs w:val="28"/>
        </w:rPr>
      </w:pPr>
      <w:r>
        <w:rPr>
          <w:rFonts w:hint="eastAsia" w:ascii="宋体" w:hAnsi="宋体"/>
          <w:sz w:val="28"/>
          <w:szCs w:val="28"/>
        </w:rPr>
        <w:t>材料准备：</w:t>
      </w:r>
    </w:p>
    <w:tbl>
      <w:tblPr>
        <w:tblStyle w:val="22"/>
        <w:tblW w:w="9356" w:type="dxa"/>
        <w:jc w:val="center"/>
        <w:tblLayout w:type="fixed"/>
        <w:tblCellMar>
          <w:top w:w="0" w:type="dxa"/>
          <w:left w:w="108" w:type="dxa"/>
          <w:bottom w:w="0" w:type="dxa"/>
          <w:right w:w="108" w:type="dxa"/>
        </w:tblCellMar>
      </w:tblPr>
      <w:tblGrid>
        <w:gridCol w:w="560"/>
        <w:gridCol w:w="2364"/>
        <w:gridCol w:w="1896"/>
        <w:gridCol w:w="1701"/>
        <w:gridCol w:w="1081"/>
        <w:gridCol w:w="709"/>
        <w:gridCol w:w="1045"/>
      </w:tblGrid>
      <w:tr>
        <w:tblPrEx>
          <w:tblCellMar>
            <w:top w:w="0" w:type="dxa"/>
            <w:left w:w="108" w:type="dxa"/>
            <w:bottom w:w="0" w:type="dxa"/>
            <w:right w:w="108" w:type="dxa"/>
          </w:tblCellMar>
        </w:tblPrEx>
        <w:trPr>
          <w:trHeight w:val="587" w:hRule="atLeast"/>
          <w:jc w:val="center"/>
        </w:trPr>
        <w:tc>
          <w:tcPr>
            <w:tcW w:w="56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
                <w:kern w:val="0"/>
                <w:szCs w:val="21"/>
              </w:rPr>
            </w:pPr>
            <w:r>
              <w:rPr>
                <w:rFonts w:hint="eastAsia" w:ascii="仿宋_GB2312" w:hAnsi="宋体" w:eastAsia="仿宋_GB2312" w:cs="宋体"/>
                <w:b/>
                <w:kern w:val="0"/>
                <w:szCs w:val="21"/>
              </w:rPr>
              <w:t>序号</w:t>
            </w:r>
          </w:p>
        </w:tc>
        <w:tc>
          <w:tcPr>
            <w:tcW w:w="2364" w:type="dxa"/>
            <w:tcBorders>
              <w:top w:val="single" w:color="auto" w:sz="4" w:space="0"/>
              <w:left w:val="nil"/>
              <w:bottom w:val="single" w:color="auto" w:sz="4" w:space="0"/>
              <w:right w:val="single" w:color="auto" w:sz="4" w:space="0"/>
            </w:tcBorders>
            <w:vAlign w:val="center"/>
          </w:tcPr>
          <w:p>
            <w:pPr>
              <w:jc w:val="center"/>
              <w:rPr>
                <w:rFonts w:ascii="仿宋_GB2312" w:hAnsi="宋体" w:eastAsia="仿宋_GB2312" w:cs="宋体"/>
                <w:b/>
                <w:kern w:val="0"/>
                <w:szCs w:val="21"/>
              </w:rPr>
            </w:pPr>
            <w:r>
              <w:rPr>
                <w:rFonts w:hint="eastAsia" w:ascii="仿宋_GB2312" w:hAnsi="宋体" w:eastAsia="仿宋_GB2312" w:cs="宋体"/>
                <w:b/>
                <w:kern w:val="0"/>
                <w:szCs w:val="21"/>
              </w:rPr>
              <w:t>名称</w:t>
            </w:r>
          </w:p>
        </w:tc>
        <w:tc>
          <w:tcPr>
            <w:tcW w:w="3597" w:type="dxa"/>
            <w:gridSpan w:val="2"/>
            <w:tcBorders>
              <w:top w:val="single" w:color="auto" w:sz="4" w:space="0"/>
              <w:left w:val="nil"/>
              <w:bottom w:val="single" w:color="auto" w:sz="4" w:space="0"/>
              <w:right w:val="single" w:color="auto" w:sz="4" w:space="0"/>
            </w:tcBorders>
            <w:vAlign w:val="center"/>
          </w:tcPr>
          <w:p>
            <w:pPr>
              <w:jc w:val="center"/>
              <w:rPr>
                <w:rFonts w:ascii="仿宋_GB2312" w:hAnsi="宋体" w:eastAsia="仿宋_GB2312" w:cs="宋体"/>
                <w:b/>
                <w:kern w:val="0"/>
                <w:szCs w:val="21"/>
              </w:rPr>
            </w:pPr>
            <w:r>
              <w:rPr>
                <w:rFonts w:hint="eastAsia" w:ascii="仿宋_GB2312" w:hAnsi="宋体" w:eastAsia="仿宋_GB2312" w:cs="宋体"/>
                <w:b/>
                <w:kern w:val="0"/>
                <w:szCs w:val="21"/>
              </w:rPr>
              <w:t>规格</w:t>
            </w:r>
          </w:p>
        </w:tc>
        <w:tc>
          <w:tcPr>
            <w:tcW w:w="1081" w:type="dxa"/>
            <w:tcBorders>
              <w:top w:val="single" w:color="auto" w:sz="4" w:space="0"/>
              <w:left w:val="nil"/>
              <w:bottom w:val="single" w:color="auto" w:sz="4" w:space="0"/>
              <w:right w:val="single" w:color="auto" w:sz="4" w:space="0"/>
            </w:tcBorders>
            <w:vAlign w:val="center"/>
          </w:tcPr>
          <w:p>
            <w:pPr>
              <w:jc w:val="center"/>
              <w:rPr>
                <w:rFonts w:ascii="仿宋_GB2312" w:hAnsi="宋体" w:eastAsia="仿宋_GB2312" w:cs="宋体"/>
                <w:b/>
                <w:kern w:val="0"/>
                <w:szCs w:val="21"/>
              </w:rPr>
            </w:pPr>
            <w:r>
              <w:rPr>
                <w:rFonts w:hint="eastAsia" w:ascii="仿宋_GB2312" w:hAnsi="宋体" w:eastAsia="仿宋_GB2312" w:cs="宋体"/>
                <w:b/>
                <w:kern w:val="0"/>
                <w:szCs w:val="21"/>
              </w:rPr>
              <w:t>每工位</w:t>
            </w:r>
          </w:p>
          <w:p>
            <w:pPr>
              <w:jc w:val="center"/>
              <w:rPr>
                <w:rFonts w:ascii="仿宋_GB2312" w:hAnsi="宋体" w:eastAsia="仿宋_GB2312" w:cs="宋体"/>
                <w:b/>
                <w:kern w:val="0"/>
                <w:szCs w:val="21"/>
              </w:rPr>
            </w:pPr>
            <w:r>
              <w:rPr>
                <w:rFonts w:hint="eastAsia" w:ascii="仿宋_GB2312" w:hAnsi="宋体" w:eastAsia="仿宋_GB2312" w:cs="宋体"/>
                <w:b/>
                <w:kern w:val="0"/>
                <w:szCs w:val="21"/>
              </w:rPr>
              <w:t>数量</w:t>
            </w:r>
          </w:p>
        </w:tc>
        <w:tc>
          <w:tcPr>
            <w:tcW w:w="709" w:type="dxa"/>
            <w:tcBorders>
              <w:top w:val="single" w:color="auto" w:sz="4" w:space="0"/>
              <w:left w:val="nil"/>
              <w:bottom w:val="single" w:color="auto" w:sz="4" w:space="0"/>
              <w:right w:val="single" w:color="auto" w:sz="4" w:space="0"/>
            </w:tcBorders>
            <w:vAlign w:val="center"/>
          </w:tcPr>
          <w:p>
            <w:pPr>
              <w:jc w:val="center"/>
              <w:rPr>
                <w:rFonts w:ascii="仿宋_GB2312" w:hAnsi="宋体" w:eastAsia="仿宋_GB2312" w:cs="宋体"/>
                <w:b/>
                <w:kern w:val="0"/>
                <w:szCs w:val="21"/>
              </w:rPr>
            </w:pPr>
            <w:r>
              <w:rPr>
                <w:rFonts w:hint="eastAsia" w:ascii="仿宋_GB2312" w:hAnsi="宋体" w:eastAsia="仿宋_GB2312" w:cs="宋体"/>
                <w:b/>
                <w:kern w:val="0"/>
                <w:szCs w:val="21"/>
              </w:rPr>
              <w:t>单位</w:t>
            </w:r>
          </w:p>
        </w:tc>
        <w:tc>
          <w:tcPr>
            <w:tcW w:w="1045" w:type="dxa"/>
            <w:tcBorders>
              <w:top w:val="single" w:color="auto" w:sz="4" w:space="0"/>
              <w:left w:val="nil"/>
              <w:bottom w:val="single" w:color="auto" w:sz="4" w:space="0"/>
              <w:right w:val="single" w:color="auto" w:sz="4" w:space="0"/>
            </w:tcBorders>
            <w:vAlign w:val="center"/>
          </w:tcPr>
          <w:p>
            <w:pPr>
              <w:jc w:val="center"/>
              <w:rPr>
                <w:rFonts w:ascii="仿宋_GB2312" w:hAnsi="宋体" w:eastAsia="仿宋_GB2312" w:cs="宋体"/>
                <w:b/>
                <w:kern w:val="0"/>
                <w:szCs w:val="21"/>
              </w:rPr>
            </w:pPr>
            <w:r>
              <w:rPr>
                <w:rFonts w:hint="eastAsia" w:ascii="仿宋_GB2312" w:hAnsi="宋体" w:eastAsia="仿宋_GB2312" w:cs="宋体"/>
                <w:b/>
                <w:kern w:val="0"/>
                <w:szCs w:val="21"/>
                <w:lang w:val="en-US" w:eastAsia="zh-CN"/>
              </w:rPr>
              <w:t>4</w:t>
            </w:r>
            <w:r>
              <w:rPr>
                <w:rFonts w:hint="eastAsia" w:ascii="仿宋_GB2312" w:hAnsi="宋体" w:eastAsia="仿宋_GB2312" w:cs="宋体"/>
                <w:b/>
                <w:kern w:val="0"/>
                <w:szCs w:val="21"/>
              </w:rPr>
              <w:t>个工位数量</w:t>
            </w:r>
          </w:p>
        </w:tc>
      </w:tr>
      <w:tr>
        <w:tblPrEx>
          <w:tblCellMar>
            <w:top w:w="0" w:type="dxa"/>
            <w:left w:w="108" w:type="dxa"/>
            <w:bottom w:w="0" w:type="dxa"/>
            <w:right w:w="108" w:type="dxa"/>
          </w:tblCellMar>
        </w:tblPrEx>
        <w:trPr>
          <w:trHeight w:val="404"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二级配电箱</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b/>
                <w:kern w:val="0"/>
                <w:szCs w:val="21"/>
              </w:rPr>
            </w:pP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1</w:t>
            </w: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404"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二级配电箱电器安装板</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b/>
                <w:kern w:val="0"/>
                <w:szCs w:val="21"/>
              </w:rPr>
            </w:pP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1</w:t>
            </w: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404"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2364" w:type="dxa"/>
            <w:tcBorders>
              <w:top w:val="nil"/>
              <w:left w:val="nil"/>
              <w:bottom w:val="single" w:color="auto" w:sz="4" w:space="0"/>
              <w:right w:val="single" w:color="auto" w:sz="4" w:space="0"/>
            </w:tcBorders>
            <w:vAlign w:val="center"/>
          </w:tcPr>
          <w:p>
            <w:pP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分配电箱</w:t>
            </w:r>
          </w:p>
        </w:tc>
        <w:tc>
          <w:tcPr>
            <w:tcW w:w="1896"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160A含电器元件</w:t>
            </w:r>
          </w:p>
        </w:tc>
        <w:tc>
          <w:tcPr>
            <w:tcW w:w="1701"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ascii="仿宋_GB2312" w:hAnsi="宋体" w:eastAsia="仿宋_GB2312" w:cs="宋体"/>
                <w:kern w:val="0"/>
                <w:szCs w:val="21"/>
              </w:rPr>
              <w:t>须按指导定制</w:t>
            </w: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b/>
                <w:kern w:val="0"/>
                <w:szCs w:val="21"/>
              </w:rPr>
            </w:pPr>
            <w:r>
              <w:rPr>
                <w:rFonts w:hint="eastAsia" w:ascii="仿宋_GB2312" w:hAnsi="宋体" w:eastAsia="仿宋_GB2312"/>
                <w:b/>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1</w:t>
            </w:r>
            <w:r>
              <w:rPr>
                <w:rFonts w:hint="eastAsia" w:ascii="仿宋_GB2312" w:hAnsi="宋体" w:eastAsia="仿宋_GB2312" w:cs="宋体"/>
                <w:kern w:val="0"/>
                <w:szCs w:val="21"/>
              </w:rPr>
              <w:t>5</w:t>
            </w:r>
          </w:p>
        </w:tc>
      </w:tr>
      <w:tr>
        <w:tblPrEx>
          <w:tblCellMar>
            <w:top w:w="0" w:type="dxa"/>
            <w:left w:w="108" w:type="dxa"/>
            <w:bottom w:w="0" w:type="dxa"/>
            <w:right w:w="108" w:type="dxa"/>
          </w:tblCellMar>
        </w:tblPrEx>
        <w:trPr>
          <w:trHeight w:val="440"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熔断器式隔离开关</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kern w:val="0"/>
                <w:szCs w:val="21"/>
              </w:rPr>
            </w:pPr>
            <w:r>
              <w:rPr>
                <w:rFonts w:hint="eastAsia" w:ascii="仿宋_GB2312" w:hAnsi="宋体" w:eastAsia="仿宋_GB2312"/>
                <w:kern w:val="0"/>
                <w:szCs w:val="21"/>
              </w:rPr>
              <w:t>HR6-250/310</w:t>
            </w:r>
          </w:p>
          <w:p>
            <w:pPr>
              <w:jc w:val="left"/>
              <w:rPr>
                <w:rFonts w:ascii="仿宋_GB2312" w:hAnsi="宋体" w:eastAsia="仿宋_GB2312"/>
                <w:kern w:val="0"/>
                <w:szCs w:val="21"/>
              </w:rPr>
            </w:pPr>
            <w:r>
              <w:rPr>
                <w:rFonts w:hint="eastAsia" w:ascii="仿宋_GB2312" w:hAnsi="宋体" w:eastAsia="仿宋_GB2312"/>
                <w:kern w:val="0"/>
                <w:szCs w:val="21"/>
              </w:rPr>
              <w:t>RT18-63/3P</w:t>
            </w:r>
          </w:p>
          <w:p>
            <w:pPr>
              <w:jc w:val="left"/>
              <w:rPr>
                <w:rFonts w:ascii="仿宋_GB2312" w:hAnsi="宋体" w:eastAsia="仿宋_GB2312"/>
                <w:kern w:val="0"/>
                <w:szCs w:val="21"/>
              </w:rPr>
            </w:pPr>
            <w:r>
              <w:rPr>
                <w:rFonts w:hint="eastAsia" w:ascii="仿宋_GB2312" w:hAnsi="宋体" w:eastAsia="仿宋_GB2312"/>
                <w:kern w:val="0"/>
                <w:szCs w:val="21"/>
              </w:rPr>
              <w:t>RT18-63/2P</w:t>
            </w:r>
          </w:p>
          <w:p>
            <w:pPr>
              <w:jc w:val="left"/>
              <w:rPr>
                <w:rFonts w:ascii="仿宋_GB2312" w:hAnsi="宋体" w:eastAsia="仿宋_GB2312"/>
                <w:kern w:val="0"/>
                <w:szCs w:val="21"/>
              </w:rPr>
            </w:pPr>
            <w:r>
              <w:rPr>
                <w:rFonts w:hint="eastAsia" w:ascii="仿宋_GB2312" w:hAnsi="宋体" w:eastAsia="仿宋_GB2312"/>
                <w:kern w:val="0"/>
                <w:szCs w:val="21"/>
              </w:rPr>
              <w:t>RT18-125/3P</w:t>
            </w: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24</w:t>
            </w:r>
          </w:p>
          <w:p>
            <w:pPr>
              <w:jc w:val="center"/>
              <w:rPr>
                <w:rFonts w:ascii="仿宋_GB2312" w:hAnsi="宋体" w:eastAsia="仿宋_GB2312" w:cs="宋体"/>
                <w:kern w:val="0"/>
                <w:szCs w:val="21"/>
              </w:rPr>
            </w:pPr>
            <w:r>
              <w:rPr>
                <w:rFonts w:hint="eastAsia" w:ascii="仿宋_GB2312" w:hAnsi="宋体" w:eastAsia="仿宋_GB2312" w:cs="宋体"/>
                <w:kern w:val="0"/>
                <w:szCs w:val="21"/>
              </w:rPr>
              <w:t>24</w:t>
            </w:r>
          </w:p>
          <w:p>
            <w:pPr>
              <w:jc w:val="center"/>
              <w:rPr>
                <w:rFonts w:ascii="仿宋_GB2312" w:hAnsi="宋体" w:eastAsia="仿宋_GB2312" w:cs="宋体"/>
                <w:kern w:val="0"/>
                <w:szCs w:val="21"/>
              </w:rPr>
            </w:pPr>
            <w:r>
              <w:rPr>
                <w:rFonts w:hint="eastAsia" w:ascii="仿宋_GB2312" w:hAnsi="宋体" w:eastAsia="仿宋_GB2312" w:cs="宋体"/>
                <w:kern w:val="0"/>
                <w:szCs w:val="21"/>
              </w:rPr>
              <w:t>24</w:t>
            </w:r>
          </w:p>
          <w:p>
            <w:pPr>
              <w:jc w:val="center"/>
              <w:rPr>
                <w:rFonts w:ascii="仿宋_GB2312" w:hAnsi="宋体" w:eastAsia="仿宋_GB2312" w:cs="宋体"/>
                <w:kern w:val="0"/>
                <w:szCs w:val="21"/>
              </w:rPr>
            </w:pPr>
            <w:r>
              <w:rPr>
                <w:rFonts w:hint="eastAsia" w:ascii="仿宋_GB2312" w:hAnsi="宋体" w:eastAsia="仿宋_GB2312" w:cs="宋体"/>
                <w:kern w:val="0"/>
                <w:szCs w:val="21"/>
              </w:rPr>
              <w:t>24</w:t>
            </w:r>
          </w:p>
        </w:tc>
      </w:tr>
      <w:tr>
        <w:tblPrEx>
          <w:tblCellMar>
            <w:top w:w="0" w:type="dxa"/>
            <w:left w:w="108" w:type="dxa"/>
            <w:bottom w:w="0" w:type="dxa"/>
            <w:right w:w="108" w:type="dxa"/>
          </w:tblCellMar>
        </w:tblPrEx>
        <w:trPr>
          <w:trHeight w:val="440"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熔体（保险管）</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kern w:val="0"/>
                <w:szCs w:val="21"/>
              </w:rPr>
            </w:pPr>
            <w:r>
              <w:rPr>
                <w:rFonts w:hint="eastAsia" w:ascii="仿宋_GB2312" w:hAnsi="宋体" w:eastAsia="仿宋_GB2312"/>
                <w:kern w:val="0"/>
                <w:szCs w:val="21"/>
              </w:rPr>
              <w:t>40A</w:t>
            </w:r>
          </w:p>
          <w:p>
            <w:pPr>
              <w:jc w:val="left"/>
              <w:rPr>
                <w:rFonts w:ascii="仿宋_GB2312" w:hAnsi="宋体" w:eastAsia="仿宋_GB2312"/>
                <w:kern w:val="0"/>
                <w:szCs w:val="21"/>
              </w:rPr>
            </w:pPr>
            <w:r>
              <w:rPr>
                <w:rFonts w:hint="eastAsia" w:ascii="仿宋_GB2312" w:hAnsi="宋体" w:eastAsia="仿宋_GB2312"/>
                <w:kern w:val="0"/>
                <w:szCs w:val="21"/>
              </w:rPr>
              <w:t>63A</w:t>
            </w:r>
          </w:p>
          <w:p>
            <w:pPr>
              <w:jc w:val="left"/>
              <w:rPr>
                <w:rFonts w:ascii="仿宋_GB2312" w:hAnsi="宋体" w:eastAsia="仿宋_GB2312"/>
                <w:kern w:val="0"/>
                <w:szCs w:val="21"/>
              </w:rPr>
            </w:pPr>
            <w:r>
              <w:rPr>
                <w:rFonts w:hint="eastAsia" w:ascii="仿宋_GB2312" w:hAnsi="宋体" w:eastAsia="仿宋_GB2312"/>
                <w:kern w:val="0"/>
                <w:szCs w:val="21"/>
              </w:rPr>
              <w:t>100A</w:t>
            </w:r>
          </w:p>
          <w:p>
            <w:pPr>
              <w:jc w:val="left"/>
              <w:rPr>
                <w:rFonts w:ascii="仿宋_GB2312" w:hAnsi="宋体" w:eastAsia="仿宋_GB2312"/>
                <w:kern w:val="0"/>
                <w:szCs w:val="21"/>
              </w:rPr>
            </w:pPr>
            <w:r>
              <w:rPr>
                <w:rFonts w:hint="eastAsia" w:ascii="仿宋_GB2312" w:hAnsi="宋体" w:eastAsia="仿宋_GB2312"/>
                <w:kern w:val="0"/>
                <w:szCs w:val="21"/>
              </w:rPr>
              <w:t>125A</w:t>
            </w:r>
          </w:p>
          <w:p>
            <w:pPr>
              <w:jc w:val="left"/>
              <w:rPr>
                <w:rFonts w:ascii="仿宋_GB2312" w:hAnsi="宋体" w:eastAsia="仿宋_GB2312"/>
                <w:kern w:val="0"/>
                <w:szCs w:val="21"/>
              </w:rPr>
            </w:pPr>
            <w:r>
              <w:rPr>
                <w:rFonts w:hint="eastAsia" w:ascii="仿宋_GB2312" w:hAnsi="宋体" w:eastAsia="仿宋_GB2312"/>
                <w:kern w:val="0"/>
                <w:szCs w:val="21"/>
              </w:rPr>
              <w:t>200A</w:t>
            </w:r>
          </w:p>
          <w:p>
            <w:pPr>
              <w:jc w:val="left"/>
              <w:rPr>
                <w:rFonts w:ascii="仿宋_GB2312" w:hAnsi="宋体" w:eastAsia="仿宋_GB2312"/>
                <w:kern w:val="0"/>
                <w:szCs w:val="21"/>
              </w:rPr>
            </w:pPr>
            <w:r>
              <w:rPr>
                <w:rFonts w:hint="eastAsia" w:ascii="仿宋_GB2312" w:hAnsi="宋体" w:eastAsia="仿宋_GB2312"/>
                <w:kern w:val="0"/>
                <w:szCs w:val="21"/>
              </w:rPr>
              <w:t>250A</w:t>
            </w: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 w:hAnsi="仿宋" w:eastAsia="仿宋" w:cs="宋体"/>
                <w:kern w:val="0"/>
                <w:szCs w:val="21"/>
              </w:rPr>
            </w:pPr>
            <w:r>
              <w:rPr>
                <w:rFonts w:hint="eastAsia" w:ascii="仿宋" w:hAnsi="仿宋" w:eastAsia="仿宋" w:cs="宋体"/>
                <w:kern w:val="0"/>
                <w:szCs w:val="21"/>
              </w:rPr>
              <w:t>75</w:t>
            </w:r>
          </w:p>
          <w:p>
            <w:pPr>
              <w:jc w:val="center"/>
              <w:rPr>
                <w:rFonts w:ascii="仿宋" w:hAnsi="仿宋" w:eastAsia="仿宋" w:cs="宋体"/>
                <w:kern w:val="0"/>
                <w:szCs w:val="21"/>
              </w:rPr>
            </w:pPr>
            <w:r>
              <w:rPr>
                <w:rFonts w:hint="eastAsia" w:ascii="仿宋" w:hAnsi="仿宋" w:eastAsia="仿宋" w:cs="宋体"/>
                <w:kern w:val="0"/>
                <w:szCs w:val="21"/>
              </w:rPr>
              <w:t>200</w:t>
            </w:r>
          </w:p>
          <w:p>
            <w:pPr>
              <w:jc w:val="center"/>
              <w:rPr>
                <w:rFonts w:ascii="仿宋" w:hAnsi="仿宋" w:eastAsia="仿宋" w:cs="宋体"/>
                <w:kern w:val="0"/>
                <w:szCs w:val="21"/>
              </w:rPr>
            </w:pPr>
            <w:r>
              <w:rPr>
                <w:rFonts w:hint="eastAsia" w:ascii="仿宋" w:hAnsi="仿宋" w:eastAsia="仿宋" w:cs="宋体"/>
                <w:kern w:val="0"/>
                <w:szCs w:val="21"/>
              </w:rPr>
              <w:t>150</w:t>
            </w:r>
          </w:p>
          <w:p>
            <w:pPr>
              <w:jc w:val="center"/>
              <w:rPr>
                <w:rFonts w:ascii="仿宋" w:hAnsi="仿宋" w:eastAsia="仿宋" w:cs="宋体"/>
                <w:kern w:val="0"/>
                <w:szCs w:val="21"/>
              </w:rPr>
            </w:pPr>
            <w:r>
              <w:rPr>
                <w:rFonts w:hint="eastAsia" w:ascii="仿宋" w:hAnsi="仿宋" w:eastAsia="仿宋" w:cs="宋体"/>
                <w:kern w:val="0"/>
                <w:szCs w:val="21"/>
              </w:rPr>
              <w:t>150</w:t>
            </w:r>
          </w:p>
          <w:p>
            <w:pPr>
              <w:jc w:val="center"/>
              <w:rPr>
                <w:rFonts w:ascii="仿宋" w:hAnsi="仿宋" w:eastAsia="仿宋" w:cs="宋体"/>
                <w:kern w:val="0"/>
                <w:szCs w:val="21"/>
              </w:rPr>
            </w:pPr>
            <w:r>
              <w:rPr>
                <w:rFonts w:hint="eastAsia" w:ascii="仿宋" w:hAnsi="仿宋" w:eastAsia="仿宋" w:cs="宋体"/>
                <w:kern w:val="0"/>
                <w:szCs w:val="21"/>
              </w:rPr>
              <w:t>75</w:t>
            </w:r>
          </w:p>
          <w:p>
            <w:pPr>
              <w:jc w:val="center"/>
              <w:rPr>
                <w:rFonts w:ascii="仿宋" w:hAnsi="仿宋" w:eastAsia="仿宋" w:cs="宋体"/>
                <w:kern w:val="0"/>
                <w:szCs w:val="21"/>
              </w:rPr>
            </w:pPr>
            <w:r>
              <w:rPr>
                <w:rFonts w:hint="eastAsia" w:ascii="仿宋" w:hAnsi="仿宋" w:eastAsia="仿宋" w:cs="宋体"/>
                <w:kern w:val="0"/>
                <w:szCs w:val="21"/>
              </w:rPr>
              <w:t>75</w:t>
            </w:r>
          </w:p>
        </w:tc>
      </w:tr>
      <w:tr>
        <w:tblPrEx>
          <w:tblCellMar>
            <w:top w:w="0" w:type="dxa"/>
            <w:left w:w="108" w:type="dxa"/>
            <w:bottom w:w="0" w:type="dxa"/>
            <w:right w:w="108" w:type="dxa"/>
          </w:tblCellMar>
        </w:tblPrEx>
        <w:trPr>
          <w:trHeight w:val="404"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漏电断路器，规格多种</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宋体"/>
                <w:kern w:val="0"/>
                <w:sz w:val="20"/>
              </w:rPr>
            </w:pPr>
            <w:r>
              <w:rPr>
                <w:rFonts w:hint="eastAsia" w:ascii="仿宋_GB2312" w:hAnsi="宋体" w:eastAsia="仿宋_GB2312" w:cs="宋体"/>
                <w:kern w:val="0"/>
                <w:sz w:val="20"/>
              </w:rPr>
              <w:t>DZ15LE100/490 /100A/50</w:t>
            </w:r>
            <w:r>
              <w:rPr>
                <w:rFonts w:ascii="仿宋_GB2312" w:hAnsi="宋体" w:eastAsia="仿宋_GB2312" w:cs="宋体"/>
                <w:kern w:val="0"/>
                <w:sz w:val="20"/>
              </w:rPr>
              <w:t>m</w:t>
            </w:r>
            <w:r>
              <w:rPr>
                <w:rFonts w:hint="eastAsia" w:ascii="仿宋_GB2312" w:hAnsi="宋体" w:eastAsia="仿宋_GB2312" w:cs="宋体"/>
                <w:kern w:val="0"/>
                <w:sz w:val="20"/>
              </w:rPr>
              <w:t>A/0.2S</w:t>
            </w:r>
          </w:p>
          <w:p>
            <w:pPr>
              <w:jc w:val="left"/>
              <w:rPr>
                <w:rFonts w:ascii="仿宋_GB2312" w:hAnsi="宋体" w:eastAsia="仿宋_GB2312" w:cs="宋体"/>
                <w:kern w:val="0"/>
                <w:sz w:val="20"/>
              </w:rPr>
            </w:pPr>
            <w:r>
              <w:rPr>
                <w:rFonts w:hint="eastAsia" w:ascii="仿宋_GB2312" w:hAnsi="宋体" w:eastAsia="仿宋_GB2312" w:cs="宋体"/>
                <w:kern w:val="0"/>
                <w:sz w:val="20"/>
              </w:rPr>
              <w:t>DZ15LE100/490 /100A/75</w:t>
            </w:r>
            <w:r>
              <w:rPr>
                <w:rFonts w:ascii="仿宋_GB2312" w:hAnsi="宋体" w:eastAsia="仿宋_GB2312" w:cs="宋体"/>
                <w:kern w:val="0"/>
                <w:sz w:val="20"/>
              </w:rPr>
              <w:t>m</w:t>
            </w:r>
            <w:r>
              <w:rPr>
                <w:rFonts w:hint="eastAsia" w:ascii="仿宋_GB2312" w:hAnsi="宋体" w:eastAsia="仿宋_GB2312" w:cs="宋体"/>
                <w:kern w:val="0"/>
                <w:sz w:val="20"/>
              </w:rPr>
              <w:t>A/0.2S</w:t>
            </w:r>
          </w:p>
          <w:p>
            <w:pPr>
              <w:jc w:val="left"/>
              <w:rPr>
                <w:rFonts w:ascii="仿宋_GB2312" w:hAnsi="宋体" w:eastAsia="仿宋_GB2312" w:cs="宋体"/>
                <w:kern w:val="0"/>
                <w:sz w:val="20"/>
              </w:rPr>
            </w:pPr>
            <w:r>
              <w:rPr>
                <w:rFonts w:hint="eastAsia" w:ascii="仿宋_GB2312" w:hAnsi="宋体" w:eastAsia="仿宋_GB2312" w:cs="宋体"/>
                <w:kern w:val="0"/>
                <w:sz w:val="20"/>
              </w:rPr>
              <w:t>DZ15LE100/390 /63A/50</w:t>
            </w:r>
            <w:r>
              <w:rPr>
                <w:rFonts w:ascii="仿宋_GB2312" w:hAnsi="宋体" w:eastAsia="仿宋_GB2312" w:cs="宋体"/>
                <w:kern w:val="0"/>
                <w:sz w:val="20"/>
              </w:rPr>
              <w:t>m</w:t>
            </w:r>
            <w:r>
              <w:rPr>
                <w:rFonts w:hint="eastAsia" w:ascii="仿宋_GB2312" w:hAnsi="宋体" w:eastAsia="仿宋_GB2312" w:cs="宋体"/>
                <w:kern w:val="0"/>
                <w:sz w:val="20"/>
              </w:rPr>
              <w:t>A/0.2S</w:t>
            </w:r>
          </w:p>
          <w:p>
            <w:pPr>
              <w:jc w:val="left"/>
              <w:rPr>
                <w:rFonts w:ascii="仿宋_GB2312" w:hAnsi="宋体" w:eastAsia="仿宋_GB2312" w:cs="宋体"/>
                <w:kern w:val="0"/>
                <w:sz w:val="20"/>
              </w:rPr>
            </w:pPr>
            <w:r>
              <w:rPr>
                <w:rFonts w:hint="eastAsia" w:ascii="仿宋_GB2312" w:hAnsi="宋体" w:eastAsia="仿宋_GB2312" w:cs="宋体"/>
                <w:kern w:val="0"/>
                <w:sz w:val="20"/>
              </w:rPr>
              <w:t>DZ15LE100/290 /63A/50</w:t>
            </w:r>
            <w:r>
              <w:rPr>
                <w:rFonts w:ascii="仿宋_GB2312" w:hAnsi="宋体" w:eastAsia="仿宋_GB2312" w:cs="宋体"/>
                <w:kern w:val="0"/>
                <w:sz w:val="20"/>
              </w:rPr>
              <w:t>m</w:t>
            </w:r>
            <w:r>
              <w:rPr>
                <w:rFonts w:hint="eastAsia" w:ascii="仿宋_GB2312" w:hAnsi="宋体" w:eastAsia="仿宋_GB2312" w:cs="宋体"/>
                <w:kern w:val="0"/>
                <w:sz w:val="20"/>
              </w:rPr>
              <w:t>A/0.2S</w:t>
            </w:r>
          </w:p>
          <w:p>
            <w:pPr>
              <w:jc w:val="left"/>
              <w:rPr>
                <w:rFonts w:ascii="仿宋_GB2312" w:hAnsi="宋体" w:eastAsia="仿宋_GB2312" w:cs="宋体"/>
                <w:kern w:val="0"/>
                <w:sz w:val="20"/>
              </w:rPr>
            </w:pPr>
            <w:r>
              <w:rPr>
                <w:rFonts w:hint="eastAsia" w:ascii="仿宋_GB2312" w:hAnsi="宋体" w:eastAsia="仿宋_GB2312" w:cs="宋体"/>
                <w:kern w:val="0"/>
                <w:sz w:val="20"/>
              </w:rPr>
              <w:t>DZ15LE100/490 /100A/50</w:t>
            </w:r>
            <w:r>
              <w:rPr>
                <w:rFonts w:ascii="仿宋_GB2312" w:hAnsi="宋体" w:eastAsia="仿宋_GB2312" w:cs="宋体"/>
                <w:kern w:val="0"/>
                <w:sz w:val="20"/>
              </w:rPr>
              <w:t>m</w:t>
            </w:r>
            <w:r>
              <w:rPr>
                <w:rFonts w:hint="eastAsia" w:ascii="仿宋_GB2312" w:hAnsi="宋体" w:eastAsia="仿宋_GB2312" w:cs="宋体"/>
                <w:kern w:val="0"/>
                <w:sz w:val="20"/>
              </w:rPr>
              <w:t>A/0.1S</w:t>
            </w:r>
          </w:p>
          <w:p>
            <w:pPr>
              <w:jc w:val="left"/>
              <w:rPr>
                <w:rFonts w:ascii="仿宋_GB2312" w:hAnsi="宋体" w:eastAsia="仿宋_GB2312" w:cs="宋体"/>
                <w:kern w:val="0"/>
                <w:sz w:val="20"/>
              </w:rPr>
            </w:pPr>
            <w:r>
              <w:rPr>
                <w:rFonts w:hint="eastAsia" w:ascii="仿宋_GB2312" w:hAnsi="宋体" w:eastAsia="仿宋_GB2312" w:cs="宋体"/>
                <w:kern w:val="0"/>
                <w:sz w:val="20"/>
              </w:rPr>
              <w:t>DZ15LE100/490 /100A/75</w:t>
            </w:r>
            <w:r>
              <w:rPr>
                <w:rFonts w:ascii="仿宋_GB2312" w:hAnsi="宋体" w:eastAsia="仿宋_GB2312" w:cs="宋体"/>
                <w:kern w:val="0"/>
                <w:sz w:val="20"/>
              </w:rPr>
              <w:t>m</w:t>
            </w:r>
            <w:r>
              <w:rPr>
                <w:rFonts w:hint="eastAsia" w:ascii="仿宋_GB2312" w:hAnsi="宋体" w:eastAsia="仿宋_GB2312" w:cs="宋体"/>
                <w:kern w:val="0"/>
                <w:sz w:val="20"/>
              </w:rPr>
              <w:t>A/0.1S</w:t>
            </w:r>
          </w:p>
          <w:p>
            <w:pPr>
              <w:jc w:val="left"/>
              <w:rPr>
                <w:rFonts w:ascii="仿宋_GB2312" w:hAnsi="宋体" w:eastAsia="仿宋_GB2312" w:cs="宋体"/>
                <w:kern w:val="0"/>
                <w:sz w:val="20"/>
              </w:rPr>
            </w:pPr>
            <w:r>
              <w:rPr>
                <w:rFonts w:hint="eastAsia" w:ascii="仿宋_GB2312" w:hAnsi="宋体" w:eastAsia="仿宋_GB2312" w:cs="宋体"/>
                <w:kern w:val="0"/>
                <w:sz w:val="20"/>
              </w:rPr>
              <w:t>DZ15LE100/390 /63A/50</w:t>
            </w:r>
            <w:r>
              <w:rPr>
                <w:rFonts w:ascii="仿宋_GB2312" w:hAnsi="宋体" w:eastAsia="仿宋_GB2312" w:cs="宋体"/>
                <w:kern w:val="0"/>
                <w:sz w:val="20"/>
              </w:rPr>
              <w:t>m</w:t>
            </w:r>
            <w:r>
              <w:rPr>
                <w:rFonts w:hint="eastAsia" w:ascii="仿宋_GB2312" w:hAnsi="宋体" w:eastAsia="仿宋_GB2312" w:cs="宋体"/>
                <w:kern w:val="0"/>
                <w:sz w:val="20"/>
              </w:rPr>
              <w:t>A/0.1S</w:t>
            </w:r>
          </w:p>
          <w:p>
            <w:pPr>
              <w:jc w:val="left"/>
              <w:rPr>
                <w:rFonts w:ascii="仿宋_GB2312" w:hAnsi="宋体" w:eastAsia="仿宋_GB2312" w:cs="宋体"/>
                <w:kern w:val="0"/>
                <w:szCs w:val="21"/>
              </w:rPr>
            </w:pPr>
            <w:r>
              <w:rPr>
                <w:rFonts w:hint="eastAsia" w:ascii="仿宋_GB2312" w:hAnsi="宋体" w:eastAsia="仿宋_GB2312" w:cs="宋体"/>
                <w:kern w:val="0"/>
                <w:sz w:val="20"/>
              </w:rPr>
              <w:t>DZ15LE100/290 /63A/50</w:t>
            </w:r>
            <w:r>
              <w:rPr>
                <w:rFonts w:ascii="仿宋_GB2312" w:hAnsi="宋体" w:eastAsia="仿宋_GB2312" w:cs="宋体"/>
                <w:kern w:val="0"/>
                <w:sz w:val="20"/>
              </w:rPr>
              <w:t>m</w:t>
            </w:r>
            <w:r>
              <w:rPr>
                <w:rFonts w:hint="eastAsia" w:ascii="仿宋_GB2312" w:hAnsi="宋体" w:eastAsia="仿宋_GB2312" w:cs="宋体"/>
                <w:kern w:val="0"/>
                <w:sz w:val="20"/>
              </w:rPr>
              <w:t>A/0.1S</w:t>
            </w: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24</w:t>
            </w:r>
          </w:p>
          <w:p>
            <w:pPr>
              <w:jc w:val="center"/>
              <w:rPr>
                <w:rFonts w:ascii="仿宋_GB2312" w:hAnsi="宋体" w:eastAsia="仿宋_GB2312"/>
                <w:kern w:val="0"/>
                <w:szCs w:val="21"/>
              </w:rPr>
            </w:pPr>
            <w:r>
              <w:rPr>
                <w:rFonts w:hint="eastAsia" w:ascii="仿宋_GB2312" w:hAnsi="宋体" w:eastAsia="仿宋_GB2312"/>
                <w:kern w:val="0"/>
                <w:szCs w:val="21"/>
              </w:rPr>
              <w:t>24</w:t>
            </w:r>
          </w:p>
          <w:p>
            <w:pPr>
              <w:jc w:val="center"/>
              <w:rPr>
                <w:rFonts w:ascii="仿宋_GB2312" w:hAnsi="宋体" w:eastAsia="仿宋_GB2312"/>
                <w:kern w:val="0"/>
                <w:szCs w:val="21"/>
              </w:rPr>
            </w:pPr>
            <w:r>
              <w:rPr>
                <w:rFonts w:hint="eastAsia" w:ascii="仿宋_GB2312" w:hAnsi="宋体" w:eastAsia="仿宋_GB2312"/>
                <w:kern w:val="0"/>
                <w:szCs w:val="21"/>
              </w:rPr>
              <w:t>24</w:t>
            </w:r>
          </w:p>
          <w:p>
            <w:pPr>
              <w:jc w:val="center"/>
              <w:rPr>
                <w:rFonts w:ascii="仿宋_GB2312" w:hAnsi="宋体" w:eastAsia="仿宋_GB2312"/>
                <w:kern w:val="0"/>
                <w:szCs w:val="21"/>
              </w:rPr>
            </w:pPr>
            <w:r>
              <w:rPr>
                <w:rFonts w:hint="eastAsia" w:ascii="仿宋_GB2312" w:hAnsi="宋体" w:eastAsia="仿宋_GB2312"/>
                <w:kern w:val="0"/>
                <w:szCs w:val="21"/>
              </w:rPr>
              <w:t>24</w:t>
            </w:r>
          </w:p>
          <w:p>
            <w:pPr>
              <w:jc w:val="center"/>
              <w:rPr>
                <w:rFonts w:ascii="仿宋_GB2312" w:hAnsi="宋体" w:eastAsia="仿宋_GB2312"/>
                <w:kern w:val="0"/>
                <w:szCs w:val="21"/>
              </w:rPr>
            </w:pPr>
            <w:r>
              <w:rPr>
                <w:rFonts w:hint="eastAsia" w:ascii="仿宋_GB2312" w:hAnsi="宋体" w:eastAsia="仿宋_GB2312"/>
                <w:kern w:val="0"/>
                <w:szCs w:val="21"/>
              </w:rPr>
              <w:t>24</w:t>
            </w:r>
          </w:p>
          <w:p>
            <w:pPr>
              <w:jc w:val="center"/>
              <w:rPr>
                <w:rFonts w:ascii="仿宋_GB2312" w:hAnsi="宋体" w:eastAsia="仿宋_GB2312"/>
                <w:kern w:val="0"/>
                <w:szCs w:val="21"/>
              </w:rPr>
            </w:pPr>
            <w:r>
              <w:rPr>
                <w:rFonts w:hint="eastAsia" w:ascii="仿宋_GB2312" w:hAnsi="宋体" w:eastAsia="仿宋_GB2312"/>
                <w:kern w:val="0"/>
                <w:szCs w:val="21"/>
              </w:rPr>
              <w:t>24</w:t>
            </w:r>
          </w:p>
          <w:p>
            <w:pPr>
              <w:jc w:val="center"/>
              <w:rPr>
                <w:rFonts w:ascii="仿宋_GB2312" w:hAnsi="宋体" w:eastAsia="仿宋_GB2312"/>
                <w:kern w:val="0"/>
                <w:szCs w:val="21"/>
              </w:rPr>
            </w:pPr>
            <w:r>
              <w:rPr>
                <w:rFonts w:hint="eastAsia" w:ascii="仿宋_GB2312" w:hAnsi="宋体" w:eastAsia="仿宋_GB2312"/>
                <w:kern w:val="0"/>
                <w:szCs w:val="21"/>
              </w:rPr>
              <w:t>24</w:t>
            </w:r>
          </w:p>
          <w:p>
            <w:pPr>
              <w:jc w:val="center"/>
              <w:rPr>
                <w:rFonts w:ascii="仿宋_GB2312" w:hAnsi="宋体" w:eastAsia="仿宋_GB2312"/>
                <w:kern w:val="0"/>
                <w:szCs w:val="21"/>
              </w:rPr>
            </w:pPr>
            <w:r>
              <w:rPr>
                <w:rFonts w:hint="eastAsia" w:ascii="仿宋_GB2312" w:hAnsi="宋体" w:eastAsia="仿宋_GB2312"/>
                <w:kern w:val="0"/>
                <w:szCs w:val="21"/>
              </w:rPr>
              <w:t>24</w:t>
            </w:r>
          </w:p>
        </w:tc>
      </w:tr>
      <w:tr>
        <w:tblPrEx>
          <w:tblCellMar>
            <w:top w:w="0" w:type="dxa"/>
            <w:left w:w="108" w:type="dxa"/>
            <w:bottom w:w="0" w:type="dxa"/>
            <w:right w:w="108" w:type="dxa"/>
          </w:tblCellMar>
        </w:tblPrEx>
        <w:trPr>
          <w:trHeight w:val="529"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2364" w:type="dxa"/>
            <w:tcBorders>
              <w:top w:val="nil"/>
              <w:left w:val="nil"/>
              <w:bottom w:val="single" w:color="auto" w:sz="4" w:space="0"/>
              <w:right w:val="single" w:color="auto" w:sz="4" w:space="0"/>
            </w:tcBorders>
            <w:vAlign w:val="center"/>
          </w:tcPr>
          <w:p>
            <w:pPr>
              <w:rPr>
                <w:rFonts w:ascii="仿宋_GB2312" w:hAnsi="宋体" w:eastAsia="仿宋_GB2312" w:cs="宋体"/>
                <w:kern w:val="0"/>
                <w:szCs w:val="21"/>
              </w:rPr>
            </w:pPr>
            <w:r>
              <w:rPr>
                <w:rFonts w:hint="eastAsia" w:ascii="仿宋_GB2312" w:hAnsi="宋体" w:eastAsia="仿宋_GB2312" w:cs="宋体"/>
                <w:kern w:val="0"/>
                <w:szCs w:val="21"/>
              </w:rPr>
              <w:t>BV导线（若干种规格）</w:t>
            </w:r>
          </w:p>
          <w:p>
            <w:pPr>
              <w:jc w:val="center"/>
              <w:rPr>
                <w:rFonts w:ascii="仿宋_GB2312" w:hAnsi="宋体" w:eastAsia="仿宋_GB2312" w:cs="宋体"/>
                <w:kern w:val="0"/>
                <w:sz w:val="15"/>
                <w:szCs w:val="15"/>
              </w:rPr>
            </w:pPr>
            <w:r>
              <w:rPr>
                <w:rFonts w:hint="eastAsia" w:ascii="仿宋_GB2312" w:hAnsi="宋体" w:eastAsia="仿宋_GB2312" w:cs="Arial"/>
                <w:kern w:val="0"/>
                <w:sz w:val="15"/>
                <w:szCs w:val="15"/>
              </w:rPr>
              <w:t>黄、绿、红、浅蓝、绿/黄</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Arial"/>
                <w:kern w:val="0"/>
                <w:sz w:val="16"/>
                <w:szCs w:val="16"/>
              </w:rPr>
            </w:pPr>
            <w:r>
              <w:rPr>
                <w:rFonts w:hint="eastAsia" w:ascii="仿宋_GB2312" w:hAnsi="宋体" w:eastAsia="仿宋_GB2312" w:cs="Arial"/>
                <w:kern w:val="0"/>
                <w:sz w:val="16"/>
                <w:szCs w:val="16"/>
              </w:rPr>
              <w:t>黄、绿、红、</w:t>
            </w:r>
            <w:r>
              <w:rPr>
                <w:rFonts w:hint="eastAsia" w:ascii="仿宋_GB2312" w:hAnsi="宋体" w:eastAsia="仿宋_GB2312" w:cs="Arial"/>
                <w:kern w:val="0"/>
                <w:sz w:val="15"/>
                <w:szCs w:val="15"/>
              </w:rPr>
              <w:t>浅蓝、</w:t>
            </w:r>
            <w:r>
              <w:rPr>
                <w:rFonts w:hint="eastAsia" w:ascii="仿宋_GB2312" w:hAnsi="宋体" w:eastAsia="仿宋_GB2312" w:cs="Arial"/>
                <w:kern w:val="0"/>
                <w:sz w:val="16"/>
                <w:szCs w:val="16"/>
              </w:rPr>
              <w:t>6</w:t>
            </w:r>
            <w:r>
              <w:rPr>
                <w:rFonts w:hint="eastAsia" w:ascii="宋体" w:hAnsi="宋体" w:cs="宋体"/>
                <w:kern w:val="0"/>
                <w:sz w:val="16"/>
                <w:szCs w:val="16"/>
              </w:rPr>
              <w:t>²</w:t>
            </w:r>
            <w:r>
              <w:rPr>
                <w:rFonts w:hint="eastAsia" w:ascii="仿宋_GB2312" w:hAnsi="宋体" w:eastAsia="仿宋_GB2312" w:cs="Arial"/>
                <w:kern w:val="0"/>
                <w:sz w:val="16"/>
                <w:szCs w:val="16"/>
              </w:rPr>
              <w:t>10</w:t>
            </w:r>
            <w:r>
              <w:rPr>
                <w:rFonts w:hint="eastAsia" w:ascii="宋体" w:hAnsi="宋体" w:cs="宋体"/>
                <w:kern w:val="0"/>
                <w:sz w:val="16"/>
                <w:szCs w:val="16"/>
              </w:rPr>
              <w:t xml:space="preserve">²16²25²  </w:t>
            </w:r>
            <w:r>
              <w:rPr>
                <w:rFonts w:hint="eastAsia" w:ascii="仿宋_GB2312" w:hAnsi="宋体" w:eastAsia="仿宋_GB2312" w:cs="Arial"/>
                <w:kern w:val="0"/>
                <w:sz w:val="16"/>
                <w:szCs w:val="16"/>
              </w:rPr>
              <w:t>绿/黄</w:t>
            </w:r>
            <w:r>
              <w:rPr>
                <w:rFonts w:hint="eastAsia" w:ascii="宋体" w:hAnsi="宋体" w:cs="宋体"/>
                <w:kern w:val="0"/>
                <w:sz w:val="16"/>
                <w:szCs w:val="16"/>
              </w:rPr>
              <w:t>2.5²</w:t>
            </w:r>
            <w:r>
              <w:rPr>
                <w:rFonts w:hint="eastAsia" w:ascii="仿宋_GB2312" w:hAnsi="宋体" w:eastAsia="仿宋_GB2312" w:cs="Arial"/>
                <w:kern w:val="0"/>
                <w:sz w:val="16"/>
                <w:szCs w:val="16"/>
              </w:rPr>
              <w:t>10</w:t>
            </w:r>
            <w:r>
              <w:rPr>
                <w:rFonts w:hint="eastAsia" w:ascii="宋体" w:hAnsi="宋体" w:cs="宋体"/>
                <w:kern w:val="0"/>
                <w:sz w:val="16"/>
                <w:szCs w:val="16"/>
              </w:rPr>
              <w:t xml:space="preserve">²16²25²   各种规格各100米   </w:t>
            </w: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若干</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cs="宋体"/>
                <w:kern w:val="0"/>
                <w:szCs w:val="21"/>
              </w:rPr>
              <w:t>若干</w:t>
            </w:r>
          </w:p>
        </w:tc>
      </w:tr>
      <w:tr>
        <w:tblPrEx>
          <w:tblCellMar>
            <w:top w:w="0" w:type="dxa"/>
            <w:left w:w="108" w:type="dxa"/>
            <w:bottom w:w="0" w:type="dxa"/>
            <w:right w:w="108" w:type="dxa"/>
          </w:tblCellMar>
        </w:tblPrEx>
        <w:trPr>
          <w:trHeight w:val="529"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接线端子</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Arial"/>
                <w:kern w:val="0"/>
                <w:szCs w:val="21"/>
              </w:rPr>
            </w:pPr>
            <w:r>
              <w:rPr>
                <w:rFonts w:hint="eastAsia" w:ascii="宋体" w:hAnsi="宋体" w:cs="宋体"/>
                <w:kern w:val="0"/>
                <w:sz w:val="16"/>
                <w:szCs w:val="16"/>
              </w:rPr>
              <w:t>2.5²</w:t>
            </w:r>
            <w:r>
              <w:rPr>
                <w:rFonts w:hint="eastAsia" w:ascii="仿宋_GB2312" w:hAnsi="宋体" w:eastAsia="仿宋_GB2312" w:cs="Arial"/>
                <w:kern w:val="0"/>
                <w:sz w:val="16"/>
                <w:szCs w:val="16"/>
              </w:rPr>
              <w:t>10</w:t>
            </w:r>
            <w:r>
              <w:rPr>
                <w:rFonts w:hint="eastAsia" w:ascii="宋体" w:hAnsi="宋体" w:cs="宋体"/>
                <w:kern w:val="0"/>
                <w:sz w:val="16"/>
                <w:szCs w:val="16"/>
              </w:rPr>
              <w:t>²25²35²50²75²</w:t>
            </w: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各20个</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cs="宋体"/>
                <w:kern w:val="0"/>
                <w:szCs w:val="21"/>
              </w:rPr>
              <w:t>若干</w:t>
            </w:r>
          </w:p>
        </w:tc>
      </w:tr>
      <w:tr>
        <w:tblPrEx>
          <w:tblCellMar>
            <w:top w:w="0" w:type="dxa"/>
            <w:left w:w="108" w:type="dxa"/>
            <w:bottom w:w="0" w:type="dxa"/>
            <w:right w:w="108" w:type="dxa"/>
          </w:tblCellMar>
        </w:tblPrEx>
        <w:trPr>
          <w:trHeight w:val="409"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接零端子排</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Arial"/>
                <w:kern w:val="0"/>
                <w:szCs w:val="21"/>
              </w:rPr>
            </w:pP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24</w:t>
            </w:r>
          </w:p>
        </w:tc>
      </w:tr>
      <w:tr>
        <w:tblPrEx>
          <w:tblCellMar>
            <w:top w:w="0" w:type="dxa"/>
            <w:left w:w="108" w:type="dxa"/>
            <w:bottom w:w="0" w:type="dxa"/>
            <w:right w:w="108" w:type="dxa"/>
          </w:tblCellMar>
        </w:tblPrEx>
        <w:trPr>
          <w:trHeight w:val="394"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接地端子排</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Arial"/>
                <w:kern w:val="0"/>
                <w:szCs w:val="21"/>
              </w:rPr>
            </w:pP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套</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kern w:val="0"/>
                <w:szCs w:val="21"/>
              </w:rPr>
            </w:pPr>
            <w:r>
              <w:rPr>
                <w:rFonts w:hint="eastAsia" w:ascii="仿宋_GB2312" w:hAnsi="宋体" w:eastAsia="仿宋_GB2312"/>
                <w:kern w:val="0"/>
                <w:szCs w:val="21"/>
              </w:rPr>
              <w:t>24</w:t>
            </w:r>
          </w:p>
        </w:tc>
      </w:tr>
      <w:tr>
        <w:tblPrEx>
          <w:tblCellMar>
            <w:top w:w="0" w:type="dxa"/>
            <w:left w:w="108" w:type="dxa"/>
            <w:bottom w:w="0" w:type="dxa"/>
            <w:right w:w="108" w:type="dxa"/>
          </w:tblCellMar>
        </w:tblPrEx>
        <w:trPr>
          <w:trHeight w:val="419"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1</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各色绝缘胶布</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各1</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卷</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100</w:t>
            </w:r>
          </w:p>
        </w:tc>
      </w:tr>
      <w:tr>
        <w:tblPrEx>
          <w:tblCellMar>
            <w:top w:w="0" w:type="dxa"/>
            <w:left w:w="108" w:type="dxa"/>
            <w:bottom w:w="0" w:type="dxa"/>
            <w:right w:w="108" w:type="dxa"/>
          </w:tblCellMar>
        </w:tblPrEx>
        <w:trPr>
          <w:trHeight w:val="368"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2</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编织软铜线</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根</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30</w:t>
            </w:r>
          </w:p>
        </w:tc>
      </w:tr>
      <w:tr>
        <w:tblPrEx>
          <w:tblCellMar>
            <w:top w:w="0" w:type="dxa"/>
            <w:left w:w="108" w:type="dxa"/>
            <w:bottom w:w="0" w:type="dxa"/>
            <w:right w:w="108" w:type="dxa"/>
          </w:tblCellMar>
        </w:tblPrEx>
        <w:trPr>
          <w:trHeight w:val="404"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3</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套管</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Arial"/>
                <w:kern w:val="0"/>
                <w:sz w:val="15"/>
                <w:szCs w:val="15"/>
              </w:rPr>
              <w:t>黄、绿、红、浅蓝、</w:t>
            </w: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若干</w:t>
            </w: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袋</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6</w:t>
            </w:r>
          </w:p>
        </w:tc>
      </w:tr>
      <w:tr>
        <w:tblPrEx>
          <w:tblCellMar>
            <w:top w:w="0" w:type="dxa"/>
            <w:left w:w="108" w:type="dxa"/>
            <w:bottom w:w="0" w:type="dxa"/>
            <w:right w:w="108" w:type="dxa"/>
          </w:tblCellMar>
        </w:tblPrEx>
        <w:trPr>
          <w:trHeight w:val="480" w:hRule="atLeast"/>
          <w:jc w:val="center"/>
        </w:trPr>
        <w:tc>
          <w:tcPr>
            <w:tcW w:w="560" w:type="dxa"/>
            <w:tcBorders>
              <w:top w:val="nil"/>
              <w:left w:val="single" w:color="auto" w:sz="4" w:space="0"/>
              <w:bottom w:val="single" w:color="auto" w:sz="4" w:space="0"/>
              <w:right w:val="single" w:color="auto" w:sz="4" w:space="0"/>
            </w:tcBorders>
            <w:vAlign w:val="center"/>
          </w:tcPr>
          <w:p>
            <w:pPr>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4</w:t>
            </w:r>
          </w:p>
        </w:tc>
        <w:tc>
          <w:tcPr>
            <w:tcW w:w="2364" w:type="dxa"/>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r>
              <w:rPr>
                <w:rFonts w:hint="eastAsia" w:ascii="仿宋_GB2312" w:hAnsi="宋体" w:eastAsia="仿宋_GB2312" w:cs="宋体"/>
                <w:kern w:val="0"/>
                <w:szCs w:val="21"/>
              </w:rPr>
              <w:t>尼龙扎带</w:t>
            </w:r>
          </w:p>
        </w:tc>
        <w:tc>
          <w:tcPr>
            <w:tcW w:w="3597" w:type="dxa"/>
            <w:gridSpan w:val="2"/>
            <w:tcBorders>
              <w:top w:val="nil"/>
              <w:left w:val="nil"/>
              <w:bottom w:val="single" w:color="auto" w:sz="4" w:space="0"/>
              <w:right w:val="single" w:color="auto" w:sz="4" w:space="0"/>
            </w:tcBorders>
            <w:vAlign w:val="center"/>
          </w:tcPr>
          <w:p>
            <w:pPr>
              <w:jc w:val="left"/>
              <w:rPr>
                <w:rFonts w:ascii="仿宋_GB2312" w:hAnsi="宋体" w:eastAsia="仿宋_GB2312" w:cs="宋体"/>
                <w:kern w:val="0"/>
                <w:szCs w:val="21"/>
              </w:rPr>
            </w:pPr>
          </w:p>
        </w:tc>
        <w:tc>
          <w:tcPr>
            <w:tcW w:w="1081"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p>
        </w:tc>
        <w:tc>
          <w:tcPr>
            <w:tcW w:w="709"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袋</w:t>
            </w:r>
          </w:p>
        </w:tc>
        <w:tc>
          <w:tcPr>
            <w:tcW w:w="1045" w:type="dxa"/>
            <w:tcBorders>
              <w:top w:val="nil"/>
              <w:left w:val="nil"/>
              <w:bottom w:val="single" w:color="auto" w:sz="4" w:space="0"/>
              <w:right w:val="single" w:color="auto" w:sz="4" w:space="0"/>
            </w:tcBorders>
            <w:vAlign w:val="center"/>
          </w:tcPr>
          <w:p>
            <w:pPr>
              <w:jc w:val="center"/>
              <w:rPr>
                <w:rFonts w:ascii="仿宋_GB2312" w:hAnsi="宋体" w:eastAsia="仿宋_GB2312" w:cs="宋体"/>
                <w:kern w:val="0"/>
                <w:szCs w:val="21"/>
              </w:rPr>
            </w:pPr>
            <w:r>
              <w:rPr>
                <w:rFonts w:hint="eastAsia" w:ascii="仿宋_GB2312" w:hAnsi="宋体" w:eastAsia="仿宋_GB2312" w:cs="宋体"/>
                <w:kern w:val="0"/>
                <w:szCs w:val="21"/>
              </w:rPr>
              <w:t>6</w:t>
            </w:r>
          </w:p>
        </w:tc>
      </w:tr>
    </w:tbl>
    <w:p>
      <w:pPr>
        <w:pStyle w:val="58"/>
        <w:numPr>
          <w:ilvl w:val="1"/>
          <w:numId w:val="1"/>
        </w:numPr>
        <w:spacing w:line="360" w:lineRule="auto"/>
        <w:ind w:firstLineChars="0"/>
        <w:rPr>
          <w:rFonts w:ascii="宋体" w:hAnsi="宋体"/>
          <w:b/>
          <w:sz w:val="28"/>
          <w:szCs w:val="28"/>
        </w:rPr>
      </w:pPr>
      <w:r>
        <w:rPr>
          <w:rFonts w:hint="eastAsia" w:ascii="宋体" w:hAnsi="宋体"/>
          <w:b/>
          <w:sz w:val="28"/>
          <w:szCs w:val="28"/>
        </w:rPr>
        <w:t>参赛者自备以下工具：</w:t>
      </w:r>
    </w:p>
    <w:p>
      <w:pPr>
        <w:pStyle w:val="58"/>
        <w:spacing w:line="360" w:lineRule="auto"/>
        <w:ind w:left="567" w:firstLine="0" w:firstLineChars="0"/>
        <w:rPr>
          <w:rFonts w:ascii="宋体" w:hAnsi="宋体"/>
          <w:b/>
          <w:sz w:val="28"/>
          <w:szCs w:val="28"/>
        </w:rPr>
      </w:pPr>
      <w:r>
        <w:rPr>
          <w:rFonts w:hint="eastAsia" w:ascii="宋体" w:hAnsi="宋体"/>
          <w:b/>
          <w:sz w:val="28"/>
          <w:szCs w:val="28"/>
        </w:rPr>
        <w:t>安全电压电动工具、电笔、一字螺丝批、十字螺丝批、套筒板手、压线钳、剥线钳</w:t>
      </w:r>
      <w:r>
        <w:rPr>
          <w:rFonts w:hint="eastAsia" w:ascii="宋体" w:hAnsi="宋体"/>
          <w:b/>
          <w:sz w:val="28"/>
          <w:szCs w:val="28"/>
          <w:lang w:eastAsia="zh-CN"/>
        </w:rPr>
        <w:t>、量尺及与装箱有关的工具</w:t>
      </w:r>
      <w:r>
        <w:rPr>
          <w:rFonts w:hint="eastAsia" w:ascii="宋体" w:hAnsi="宋体"/>
          <w:b/>
          <w:sz w:val="28"/>
          <w:szCs w:val="28"/>
        </w:rPr>
        <w:t>。</w:t>
      </w:r>
    </w:p>
    <w:p>
      <w:pPr>
        <w:spacing w:line="360" w:lineRule="auto"/>
        <w:ind w:firstLine="560" w:firstLineChars="200"/>
        <w:rPr>
          <w:rFonts w:ascii="宋体"/>
          <w:sz w:val="28"/>
          <w:szCs w:val="28"/>
        </w:rPr>
      </w:pPr>
      <w:r>
        <w:rPr>
          <w:rFonts w:hint="eastAsia" w:ascii="宋体" w:hAnsi="宋体"/>
          <w:sz w:val="28"/>
          <w:szCs w:val="28"/>
        </w:rPr>
        <w:t>参赛者可视自身情况自行决定所带参赛工具，主办方不为参赛者提供以上工具及材料。除特殊要求外，参赛者在比赛中允许使用电动工具和测量工具。</w:t>
      </w:r>
      <w:bookmarkStart w:id="22" w:name="_Toc376873383"/>
    </w:p>
    <w:p>
      <w:pPr>
        <w:pStyle w:val="58"/>
        <w:numPr>
          <w:ilvl w:val="0"/>
          <w:numId w:val="1"/>
        </w:numPr>
        <w:spacing w:line="360" w:lineRule="auto"/>
        <w:ind w:firstLineChars="0"/>
        <w:rPr>
          <w:rFonts w:ascii="宋体"/>
          <w:b/>
          <w:sz w:val="28"/>
          <w:szCs w:val="28"/>
        </w:rPr>
      </w:pPr>
      <w:bookmarkStart w:id="23" w:name="_Toc11584"/>
      <w:bookmarkStart w:id="24" w:name="_Toc376873379"/>
      <w:r>
        <w:rPr>
          <w:rFonts w:hint="eastAsia" w:ascii="宋体" w:hAnsi="宋体"/>
          <w:b/>
          <w:sz w:val="28"/>
          <w:szCs w:val="28"/>
        </w:rPr>
        <w:t>电工竞赛场地要求</w:t>
      </w:r>
      <w:bookmarkEnd w:id="23"/>
      <w:bookmarkEnd w:id="24"/>
    </w:p>
    <w:p>
      <w:pPr>
        <w:pStyle w:val="58"/>
        <w:numPr>
          <w:ilvl w:val="1"/>
          <w:numId w:val="1"/>
        </w:numPr>
        <w:spacing w:line="360" w:lineRule="auto"/>
        <w:ind w:firstLineChars="0"/>
        <w:rPr>
          <w:rFonts w:ascii="宋体"/>
          <w:b/>
          <w:sz w:val="28"/>
          <w:szCs w:val="28"/>
        </w:rPr>
      </w:pPr>
      <w:bookmarkStart w:id="25" w:name="_Toc5927"/>
      <w:r>
        <w:rPr>
          <w:rFonts w:hint="eastAsia" w:ascii="宋体" w:hAnsi="宋体"/>
          <w:b/>
          <w:sz w:val="28"/>
          <w:szCs w:val="28"/>
        </w:rPr>
        <w:t>电工场地面积要求</w:t>
      </w:r>
      <w:bookmarkEnd w:id="25"/>
    </w:p>
    <w:p>
      <w:pPr>
        <w:spacing w:line="360" w:lineRule="auto"/>
        <w:ind w:firstLine="627" w:firstLineChars="223"/>
        <w:rPr>
          <w:rFonts w:ascii="宋体"/>
          <w:sz w:val="28"/>
          <w:szCs w:val="28"/>
        </w:rPr>
      </w:pPr>
      <w:r>
        <w:rPr>
          <w:rFonts w:hint="eastAsia" w:ascii="宋体" w:hAnsi="宋体"/>
          <w:b/>
          <w:bCs/>
          <w:sz w:val="28"/>
          <w:szCs w:val="28"/>
        </w:rPr>
        <w:t>每个工位：</w:t>
      </w:r>
      <w:r>
        <w:rPr>
          <w:rFonts w:hint="eastAsia" w:ascii="宋体" w:hAnsi="宋体"/>
          <w:sz w:val="28"/>
          <w:szCs w:val="28"/>
        </w:rPr>
        <w:t>长</w:t>
      </w:r>
      <w:r>
        <w:rPr>
          <w:rFonts w:ascii="宋体" w:hAnsi="宋体"/>
          <w:sz w:val="28"/>
          <w:szCs w:val="28"/>
        </w:rPr>
        <w:t>3</w:t>
      </w:r>
      <w:r>
        <w:rPr>
          <w:rFonts w:hint="eastAsia" w:ascii="宋体" w:hAnsi="宋体"/>
          <w:sz w:val="28"/>
          <w:szCs w:val="28"/>
        </w:rPr>
        <w:t>米，宽</w:t>
      </w:r>
      <w:r>
        <w:rPr>
          <w:rFonts w:ascii="宋体" w:hAnsi="宋体"/>
          <w:sz w:val="28"/>
          <w:szCs w:val="28"/>
        </w:rPr>
        <w:t>2</w:t>
      </w:r>
      <w:r>
        <w:rPr>
          <w:rFonts w:hint="eastAsia" w:ascii="宋体" w:hAnsi="宋体"/>
          <w:sz w:val="28"/>
          <w:szCs w:val="28"/>
        </w:rPr>
        <w:t>米，共计</w:t>
      </w:r>
      <w:r>
        <w:rPr>
          <w:rFonts w:ascii="宋体" w:hAnsi="宋体"/>
          <w:sz w:val="28"/>
          <w:szCs w:val="28"/>
        </w:rPr>
        <w:t>6</w:t>
      </w:r>
      <w:r>
        <w:rPr>
          <w:rFonts w:hint="eastAsia" w:ascii="宋体" w:hAnsi="宋体"/>
          <w:sz w:val="28"/>
          <w:szCs w:val="28"/>
        </w:rPr>
        <w:t>平方米。</w:t>
      </w:r>
    </w:p>
    <w:p>
      <w:pPr>
        <w:pStyle w:val="58"/>
        <w:numPr>
          <w:ilvl w:val="1"/>
          <w:numId w:val="1"/>
        </w:numPr>
        <w:spacing w:line="360" w:lineRule="auto"/>
        <w:ind w:firstLineChars="0"/>
        <w:rPr>
          <w:rFonts w:ascii="宋体"/>
          <w:b/>
          <w:sz w:val="28"/>
          <w:szCs w:val="28"/>
        </w:rPr>
      </w:pPr>
      <w:bookmarkStart w:id="26" w:name="_Toc16636"/>
      <w:r>
        <w:rPr>
          <w:rFonts w:hint="eastAsia" w:ascii="宋体" w:hAnsi="宋体"/>
          <w:b/>
          <w:sz w:val="28"/>
          <w:szCs w:val="28"/>
        </w:rPr>
        <w:t>场地照明要求</w:t>
      </w:r>
      <w:bookmarkEnd w:id="26"/>
    </w:p>
    <w:p>
      <w:pPr>
        <w:spacing w:line="360" w:lineRule="auto"/>
        <w:ind w:firstLine="624" w:firstLineChars="223"/>
        <w:rPr>
          <w:rFonts w:ascii="宋体"/>
          <w:sz w:val="28"/>
          <w:szCs w:val="28"/>
        </w:rPr>
      </w:pPr>
      <w:r>
        <w:rPr>
          <w:rFonts w:hint="eastAsia" w:ascii="宋体" w:hAnsi="宋体"/>
          <w:sz w:val="28"/>
          <w:szCs w:val="28"/>
        </w:rPr>
        <w:t>赛场采光、照明和通风良好，在竞赛区设置评委工作区</w:t>
      </w:r>
      <w:r>
        <w:rPr>
          <w:rFonts w:ascii="宋体" w:hAnsi="宋体"/>
          <w:sz w:val="28"/>
          <w:szCs w:val="28"/>
        </w:rPr>
        <w:t>1</w:t>
      </w:r>
      <w:r>
        <w:rPr>
          <w:rFonts w:hint="eastAsia" w:ascii="宋体" w:hAnsi="宋体"/>
          <w:sz w:val="28"/>
          <w:szCs w:val="28"/>
        </w:rPr>
        <w:t>个，光线充足，便于办公，在不影响选手竞赛的情况下，设置参观通道</w:t>
      </w:r>
      <w:r>
        <w:rPr>
          <w:rFonts w:hint="eastAsia" w:ascii="宋体" w:hAnsi="宋体"/>
          <w:sz w:val="28"/>
          <w:szCs w:val="28"/>
          <w:lang w:eastAsia="zh-CN"/>
        </w:rPr>
        <w:t>（参观通道与参赛选手应保持</w:t>
      </w:r>
      <w:r>
        <w:rPr>
          <w:rFonts w:hint="eastAsia" w:ascii="宋体" w:hAnsi="宋体"/>
          <w:sz w:val="28"/>
          <w:szCs w:val="28"/>
          <w:lang w:val="en-US" w:eastAsia="zh-CN"/>
        </w:rPr>
        <w:t>3米以上距离且有隔离措施</w:t>
      </w:r>
      <w:r>
        <w:rPr>
          <w:rFonts w:hint="eastAsia" w:ascii="宋体" w:hAnsi="宋体"/>
          <w:sz w:val="28"/>
          <w:szCs w:val="28"/>
          <w:lang w:eastAsia="zh-CN"/>
        </w:rPr>
        <w:t>）</w:t>
      </w:r>
      <w:r>
        <w:rPr>
          <w:rFonts w:hint="eastAsia" w:ascii="宋体" w:hAnsi="宋体"/>
          <w:sz w:val="28"/>
          <w:szCs w:val="28"/>
        </w:rPr>
        <w:t>。</w:t>
      </w:r>
    </w:p>
    <w:p>
      <w:pPr>
        <w:pStyle w:val="58"/>
        <w:numPr>
          <w:ilvl w:val="1"/>
          <w:numId w:val="1"/>
        </w:numPr>
        <w:spacing w:line="360" w:lineRule="auto"/>
        <w:ind w:firstLineChars="0"/>
        <w:rPr>
          <w:rFonts w:ascii="宋体"/>
          <w:b/>
          <w:sz w:val="28"/>
          <w:szCs w:val="28"/>
        </w:rPr>
      </w:pPr>
      <w:bookmarkStart w:id="27" w:name="_Toc26253"/>
      <w:r>
        <w:rPr>
          <w:rFonts w:hint="eastAsia" w:ascii="宋体" w:hAnsi="宋体"/>
          <w:b/>
          <w:sz w:val="28"/>
          <w:szCs w:val="28"/>
        </w:rPr>
        <w:t>场地消防和逃生要求</w:t>
      </w:r>
      <w:bookmarkEnd w:id="27"/>
    </w:p>
    <w:p>
      <w:pPr>
        <w:spacing w:line="360" w:lineRule="auto"/>
        <w:ind w:firstLine="624" w:firstLineChars="223"/>
        <w:rPr>
          <w:rFonts w:ascii="宋体"/>
          <w:sz w:val="28"/>
          <w:szCs w:val="28"/>
        </w:rPr>
      </w:pPr>
      <w:r>
        <w:rPr>
          <w:rFonts w:hint="eastAsia" w:ascii="宋体" w:hAnsi="宋体"/>
          <w:sz w:val="28"/>
          <w:szCs w:val="28"/>
        </w:rPr>
        <w:t>竞赛场地必须提供足够的干粉灭火器，至少保证两个消防通道畅通无阻。</w:t>
      </w:r>
    </w:p>
    <w:p>
      <w:pPr>
        <w:spacing w:line="360" w:lineRule="auto"/>
        <w:ind w:firstLine="624" w:firstLineChars="223"/>
        <w:rPr>
          <w:rFonts w:ascii="宋体"/>
          <w:sz w:val="28"/>
          <w:szCs w:val="28"/>
        </w:rPr>
      </w:pPr>
      <w:r>
        <w:rPr>
          <w:rFonts w:hint="eastAsia" w:ascii="宋体" w:hAnsi="宋体"/>
          <w:sz w:val="28"/>
          <w:szCs w:val="28"/>
        </w:rPr>
        <w:t>设置消防应急逃生路线标识，标识明显清晰，有危险的位置，要标明警示牌，必要时，要张贴设备安全使用说明书。</w:t>
      </w:r>
    </w:p>
    <w:p>
      <w:pPr>
        <w:spacing w:line="360" w:lineRule="auto"/>
        <w:ind w:firstLine="624" w:firstLineChars="223"/>
        <w:rPr>
          <w:rFonts w:ascii="宋体"/>
          <w:sz w:val="28"/>
          <w:szCs w:val="28"/>
        </w:rPr>
      </w:pPr>
      <w:r>
        <w:rPr>
          <w:rFonts w:hint="eastAsia" w:ascii="宋体" w:hAnsi="宋体"/>
          <w:sz w:val="28"/>
          <w:szCs w:val="28"/>
        </w:rPr>
        <w:t>对进入赛场的人员要逐一进行安检，防止任何易燃易爆危险物品带入赛场。</w:t>
      </w:r>
    </w:p>
    <w:p>
      <w:pPr>
        <w:spacing w:line="360" w:lineRule="auto"/>
        <w:ind w:firstLine="624" w:firstLineChars="223"/>
        <w:rPr>
          <w:rFonts w:ascii="宋体"/>
          <w:sz w:val="28"/>
          <w:szCs w:val="28"/>
        </w:rPr>
      </w:pPr>
      <w:r>
        <w:rPr>
          <w:rFonts w:hint="eastAsia" w:ascii="宋体" w:hAnsi="宋体"/>
          <w:sz w:val="28"/>
          <w:szCs w:val="28"/>
        </w:rPr>
        <w:t>赛场内禁止吸烟，张贴禁烟标识，指定专员进行赛前消防检查，并在竞赛过程中巡视检查，确保竞赛顺利进行。</w:t>
      </w:r>
      <w:bookmarkEnd w:id="22"/>
    </w:p>
    <w:p>
      <w:pPr>
        <w:pStyle w:val="58"/>
        <w:numPr>
          <w:ilvl w:val="0"/>
          <w:numId w:val="1"/>
        </w:numPr>
        <w:spacing w:line="360" w:lineRule="auto"/>
        <w:ind w:firstLineChars="0"/>
        <w:rPr>
          <w:rFonts w:ascii="宋体"/>
          <w:b/>
          <w:sz w:val="28"/>
          <w:szCs w:val="28"/>
        </w:rPr>
      </w:pPr>
      <w:bookmarkStart w:id="28" w:name="_Toc15635"/>
      <w:bookmarkStart w:id="29" w:name="_Toc4695"/>
      <w:bookmarkStart w:id="30" w:name="_Toc16283"/>
      <w:bookmarkStart w:id="31" w:name="_Toc20418"/>
      <w:bookmarkStart w:id="32" w:name="_Toc550"/>
      <w:r>
        <w:rPr>
          <w:rFonts w:hint="eastAsia" w:ascii="宋体" w:hAnsi="宋体"/>
          <w:b/>
          <w:sz w:val="28"/>
          <w:szCs w:val="28"/>
        </w:rPr>
        <w:t>竞赛安全要求</w:t>
      </w:r>
      <w:bookmarkEnd w:id="28"/>
      <w:bookmarkEnd w:id="29"/>
      <w:bookmarkEnd w:id="30"/>
      <w:bookmarkEnd w:id="31"/>
      <w:bookmarkEnd w:id="32"/>
    </w:p>
    <w:p>
      <w:pPr>
        <w:pStyle w:val="58"/>
        <w:numPr>
          <w:ilvl w:val="1"/>
          <w:numId w:val="1"/>
        </w:numPr>
        <w:spacing w:line="360" w:lineRule="auto"/>
        <w:ind w:firstLineChars="0"/>
        <w:rPr>
          <w:rFonts w:ascii="宋体"/>
          <w:b/>
          <w:sz w:val="28"/>
          <w:szCs w:val="28"/>
        </w:rPr>
      </w:pPr>
      <w:bookmarkStart w:id="33" w:name="_Toc376873384"/>
      <w:bookmarkStart w:id="34" w:name="_Toc31198"/>
      <w:bookmarkStart w:id="35" w:name="_Toc32351"/>
      <w:r>
        <w:rPr>
          <w:rFonts w:hint="eastAsia" w:ascii="宋体" w:hAnsi="宋体"/>
          <w:b/>
          <w:sz w:val="28"/>
          <w:szCs w:val="28"/>
        </w:rPr>
        <w:t>选手安全防护措施要求</w:t>
      </w:r>
      <w:bookmarkEnd w:id="33"/>
      <w:bookmarkEnd w:id="34"/>
      <w:bookmarkEnd w:id="35"/>
    </w:p>
    <w:p>
      <w:pPr>
        <w:pStyle w:val="58"/>
        <w:numPr>
          <w:ilvl w:val="2"/>
          <w:numId w:val="1"/>
        </w:numPr>
        <w:spacing w:line="360" w:lineRule="auto"/>
        <w:ind w:firstLineChars="0"/>
        <w:rPr>
          <w:rFonts w:ascii="宋体"/>
          <w:b/>
          <w:sz w:val="28"/>
          <w:szCs w:val="28"/>
        </w:rPr>
      </w:pPr>
      <w:r>
        <w:rPr>
          <w:rFonts w:hint="eastAsia" w:ascii="宋体" w:hAnsi="宋体"/>
          <w:b/>
          <w:sz w:val="28"/>
          <w:szCs w:val="28"/>
        </w:rPr>
        <w:t>安全意识</w:t>
      </w:r>
    </w:p>
    <w:p>
      <w:pPr>
        <w:spacing w:line="360" w:lineRule="auto"/>
        <w:ind w:firstLine="624" w:firstLineChars="223"/>
        <w:rPr>
          <w:rFonts w:ascii="宋体"/>
          <w:sz w:val="28"/>
          <w:szCs w:val="28"/>
        </w:rPr>
      </w:pPr>
      <w:r>
        <w:rPr>
          <w:rFonts w:hint="eastAsia" w:ascii="宋体" w:hAnsi="宋体"/>
          <w:sz w:val="28"/>
          <w:szCs w:val="28"/>
        </w:rPr>
        <w:t>每位选手必须配备个人防护用品，包括安全防护手套。</w:t>
      </w:r>
    </w:p>
    <w:p>
      <w:pPr>
        <w:spacing w:line="360" w:lineRule="auto"/>
        <w:ind w:firstLine="624" w:firstLineChars="223"/>
        <w:rPr>
          <w:rFonts w:ascii="宋体"/>
          <w:sz w:val="28"/>
          <w:szCs w:val="28"/>
        </w:rPr>
      </w:pPr>
      <w:r>
        <w:rPr>
          <w:rFonts w:hint="eastAsia" w:ascii="宋体" w:hAnsi="宋体"/>
          <w:sz w:val="28"/>
          <w:szCs w:val="28"/>
        </w:rPr>
        <w:t>所有选手在竞赛期间必须穿绝缘鞋</w:t>
      </w:r>
      <w:r>
        <w:rPr>
          <w:rFonts w:hint="eastAsia" w:ascii="宋体" w:hAnsi="宋体"/>
          <w:sz w:val="28"/>
          <w:szCs w:val="28"/>
          <w:lang w:eastAsia="zh-CN"/>
        </w:rPr>
        <w:t>、戴安全帽</w:t>
      </w:r>
      <w:r>
        <w:rPr>
          <w:rFonts w:hint="eastAsia" w:ascii="宋体" w:hAnsi="宋体"/>
          <w:sz w:val="28"/>
          <w:szCs w:val="28"/>
        </w:rPr>
        <w:t>。</w:t>
      </w:r>
    </w:p>
    <w:p>
      <w:pPr>
        <w:pStyle w:val="58"/>
        <w:numPr>
          <w:ilvl w:val="2"/>
          <w:numId w:val="1"/>
        </w:numPr>
        <w:spacing w:line="360" w:lineRule="auto"/>
        <w:ind w:firstLineChars="0"/>
        <w:rPr>
          <w:rFonts w:ascii="宋体"/>
          <w:sz w:val="28"/>
          <w:szCs w:val="28"/>
        </w:rPr>
      </w:pPr>
      <w:r>
        <w:rPr>
          <w:rFonts w:hint="eastAsia" w:ascii="宋体" w:hAnsi="宋体"/>
          <w:b/>
          <w:sz w:val="28"/>
          <w:szCs w:val="28"/>
        </w:rPr>
        <w:t>熟知有关用电安全说明</w:t>
      </w:r>
    </w:p>
    <w:p>
      <w:pPr>
        <w:spacing w:line="360" w:lineRule="auto"/>
        <w:ind w:firstLine="624" w:firstLineChars="223"/>
        <w:rPr>
          <w:rFonts w:ascii="宋体"/>
          <w:sz w:val="28"/>
          <w:szCs w:val="28"/>
        </w:rPr>
      </w:pPr>
      <w:r>
        <w:rPr>
          <w:rFonts w:hint="eastAsia" w:ascii="宋体" w:hAnsi="宋体"/>
          <w:sz w:val="28"/>
          <w:szCs w:val="28"/>
        </w:rPr>
        <w:t>现场电力规格为单相</w:t>
      </w:r>
      <w:r>
        <w:rPr>
          <w:rFonts w:ascii="宋体" w:hAnsi="宋体"/>
          <w:sz w:val="28"/>
          <w:szCs w:val="28"/>
        </w:rPr>
        <w:t>220V</w:t>
      </w:r>
      <w:r>
        <w:rPr>
          <w:rFonts w:hint="eastAsia" w:ascii="宋体" w:hAnsi="宋体"/>
          <w:sz w:val="28"/>
          <w:szCs w:val="28"/>
        </w:rPr>
        <w:t>交流电，安全用电，禁止使用不符合安全要求的产品，禁止使用直接连接</w:t>
      </w:r>
      <w:r>
        <w:rPr>
          <w:rFonts w:ascii="宋体" w:hAnsi="宋体"/>
          <w:sz w:val="28"/>
          <w:szCs w:val="28"/>
        </w:rPr>
        <w:t>220V</w:t>
      </w:r>
      <w:r>
        <w:rPr>
          <w:rFonts w:hint="eastAsia" w:ascii="宋体" w:hAnsi="宋体"/>
          <w:sz w:val="28"/>
          <w:szCs w:val="28"/>
        </w:rPr>
        <w:t>电线供电的手电钻，禁止滥用电气设备。</w:t>
      </w:r>
    </w:p>
    <w:p>
      <w:pPr>
        <w:pStyle w:val="58"/>
        <w:numPr>
          <w:ilvl w:val="2"/>
          <w:numId w:val="1"/>
        </w:numPr>
        <w:spacing w:line="360" w:lineRule="auto"/>
        <w:ind w:firstLineChars="0"/>
        <w:rPr>
          <w:rFonts w:ascii="宋体"/>
          <w:b/>
          <w:sz w:val="28"/>
          <w:szCs w:val="28"/>
        </w:rPr>
      </w:pPr>
      <w:r>
        <w:rPr>
          <w:rFonts w:hint="eastAsia" w:ascii="宋体" w:hAnsi="宋体"/>
          <w:b/>
          <w:sz w:val="28"/>
          <w:szCs w:val="28"/>
        </w:rPr>
        <w:t>竞赛工位隔离</w:t>
      </w:r>
    </w:p>
    <w:p>
      <w:pPr>
        <w:spacing w:line="360" w:lineRule="auto"/>
        <w:ind w:firstLine="624" w:firstLineChars="223"/>
        <w:rPr>
          <w:rFonts w:ascii="宋体"/>
          <w:sz w:val="28"/>
          <w:szCs w:val="28"/>
        </w:rPr>
      </w:pPr>
      <w:r>
        <w:rPr>
          <w:rFonts w:hint="eastAsia" w:ascii="宋体" w:hAnsi="宋体"/>
          <w:sz w:val="28"/>
          <w:szCs w:val="28"/>
        </w:rPr>
        <w:t>参赛选手在本竞赛工位内操作，赛位</w:t>
      </w:r>
      <w:r>
        <w:rPr>
          <w:rFonts w:hint="eastAsia" w:ascii="宋体" w:hAnsi="宋体"/>
          <w:sz w:val="28"/>
          <w:szCs w:val="28"/>
          <w:lang w:eastAsia="zh-CN"/>
        </w:rPr>
        <w:t>之间应有隔离措施</w:t>
      </w:r>
      <w:r>
        <w:rPr>
          <w:rFonts w:hint="eastAsia" w:ascii="宋体" w:hAnsi="宋体"/>
          <w:sz w:val="28"/>
          <w:szCs w:val="28"/>
        </w:rPr>
        <w:t>，要互不影响操作。</w:t>
      </w:r>
    </w:p>
    <w:p>
      <w:pPr>
        <w:pStyle w:val="58"/>
        <w:numPr>
          <w:ilvl w:val="2"/>
          <w:numId w:val="1"/>
        </w:numPr>
        <w:spacing w:line="360" w:lineRule="auto"/>
        <w:ind w:firstLineChars="0"/>
        <w:rPr>
          <w:rFonts w:ascii="宋体"/>
          <w:b/>
          <w:sz w:val="28"/>
          <w:szCs w:val="28"/>
        </w:rPr>
      </w:pPr>
      <w:r>
        <w:rPr>
          <w:rFonts w:hint="eastAsia" w:ascii="宋体" w:hAnsi="宋体"/>
          <w:b/>
          <w:sz w:val="28"/>
          <w:szCs w:val="28"/>
        </w:rPr>
        <w:t>环境卫生</w:t>
      </w:r>
    </w:p>
    <w:p>
      <w:pPr>
        <w:spacing w:line="360" w:lineRule="auto"/>
        <w:ind w:firstLine="624" w:firstLineChars="223"/>
        <w:rPr>
          <w:rFonts w:ascii="宋体"/>
          <w:sz w:val="28"/>
          <w:szCs w:val="28"/>
        </w:rPr>
      </w:pPr>
      <w:r>
        <w:rPr>
          <w:rFonts w:hint="eastAsia" w:ascii="宋体" w:hAnsi="宋体"/>
          <w:sz w:val="28"/>
          <w:szCs w:val="28"/>
        </w:rPr>
        <w:t>保持地面整洁，环境卫生，做到整理、整顿、清洁。</w:t>
      </w:r>
    </w:p>
    <w:p>
      <w:pPr>
        <w:pStyle w:val="58"/>
        <w:numPr>
          <w:ilvl w:val="1"/>
          <w:numId w:val="1"/>
        </w:numPr>
        <w:spacing w:line="360" w:lineRule="auto"/>
        <w:ind w:firstLineChars="0"/>
        <w:rPr>
          <w:rFonts w:ascii="宋体"/>
          <w:b/>
          <w:sz w:val="28"/>
          <w:szCs w:val="28"/>
        </w:rPr>
      </w:pPr>
      <w:bookmarkStart w:id="36" w:name="_Toc11956"/>
      <w:bookmarkStart w:id="37" w:name="_Toc4760"/>
      <w:bookmarkStart w:id="38" w:name="_Toc376873385"/>
      <w:r>
        <w:rPr>
          <w:rFonts w:hint="eastAsia" w:ascii="宋体" w:hAnsi="宋体"/>
          <w:b/>
          <w:sz w:val="28"/>
          <w:szCs w:val="28"/>
        </w:rPr>
        <w:t>有毒有害物品的管理和限制</w:t>
      </w:r>
      <w:bookmarkEnd w:id="36"/>
      <w:bookmarkEnd w:id="37"/>
      <w:bookmarkEnd w:id="38"/>
    </w:p>
    <w:p>
      <w:pPr>
        <w:spacing w:line="360" w:lineRule="auto"/>
        <w:ind w:firstLine="624" w:firstLineChars="223"/>
        <w:rPr>
          <w:rFonts w:ascii="宋体"/>
          <w:sz w:val="28"/>
          <w:szCs w:val="28"/>
        </w:rPr>
      </w:pPr>
      <w:r>
        <w:rPr>
          <w:rFonts w:hint="eastAsia" w:ascii="宋体" w:hAnsi="宋体"/>
          <w:sz w:val="28"/>
          <w:szCs w:val="28"/>
        </w:rPr>
        <w:t>妥善保管一切易燃易爆危险品，竞赛场地只能存放当日所需数量的易燃材料，避免任何堆积的废纸或者其他易燃材料，废弃物，如纸张、包装等必须摆放在专门的垃圾箱中，垃圾箱要及时清理。</w:t>
      </w:r>
    </w:p>
    <w:p>
      <w:pPr>
        <w:pStyle w:val="58"/>
        <w:numPr>
          <w:ilvl w:val="1"/>
          <w:numId w:val="1"/>
        </w:numPr>
        <w:spacing w:line="360" w:lineRule="auto"/>
        <w:ind w:firstLineChars="0"/>
        <w:rPr>
          <w:rFonts w:ascii="宋体"/>
          <w:b/>
          <w:sz w:val="28"/>
          <w:szCs w:val="28"/>
        </w:rPr>
      </w:pPr>
      <w:bookmarkStart w:id="39" w:name="_Toc376873386"/>
      <w:bookmarkStart w:id="40" w:name="_Toc13191"/>
      <w:bookmarkStart w:id="41" w:name="_Toc14469"/>
      <w:r>
        <w:rPr>
          <w:rFonts w:hint="eastAsia" w:ascii="宋体" w:hAnsi="宋体"/>
          <w:b/>
          <w:sz w:val="28"/>
          <w:szCs w:val="28"/>
        </w:rPr>
        <w:t>医疗设备和措施</w:t>
      </w:r>
      <w:bookmarkEnd w:id="39"/>
      <w:bookmarkEnd w:id="40"/>
      <w:bookmarkEnd w:id="41"/>
    </w:p>
    <w:p>
      <w:pPr>
        <w:spacing w:line="360" w:lineRule="auto"/>
        <w:ind w:firstLine="624" w:firstLineChars="223"/>
        <w:rPr>
          <w:rFonts w:ascii="宋体"/>
          <w:sz w:val="28"/>
          <w:szCs w:val="28"/>
        </w:rPr>
      </w:pPr>
      <w:r>
        <w:rPr>
          <w:rFonts w:hint="eastAsia" w:ascii="宋体" w:hAnsi="宋体"/>
          <w:sz w:val="28"/>
          <w:szCs w:val="28"/>
        </w:rPr>
        <w:t>赛场有值班医护人员，备有医药急救箱，包括外伤处理和急救药物。</w:t>
      </w:r>
    </w:p>
    <w:p>
      <w:pPr>
        <w:pStyle w:val="58"/>
        <w:numPr>
          <w:ilvl w:val="0"/>
          <w:numId w:val="1"/>
        </w:numPr>
        <w:spacing w:line="360" w:lineRule="auto"/>
        <w:ind w:firstLineChars="0"/>
        <w:rPr>
          <w:rFonts w:ascii="宋体"/>
          <w:b/>
          <w:sz w:val="28"/>
          <w:szCs w:val="28"/>
        </w:rPr>
      </w:pPr>
      <w:bookmarkStart w:id="42" w:name="_Toc26774"/>
      <w:bookmarkStart w:id="43" w:name="_Toc376873387"/>
      <w:r>
        <w:rPr>
          <w:rFonts w:hint="eastAsia" w:ascii="宋体" w:hAnsi="宋体"/>
          <w:b/>
          <w:sz w:val="28"/>
          <w:szCs w:val="28"/>
        </w:rPr>
        <w:t>竞赛流程</w:t>
      </w:r>
      <w:bookmarkEnd w:id="42"/>
      <w:bookmarkEnd w:id="43"/>
    </w:p>
    <w:p>
      <w:pPr>
        <w:pStyle w:val="58"/>
        <w:numPr>
          <w:ilvl w:val="1"/>
          <w:numId w:val="1"/>
        </w:numPr>
        <w:spacing w:line="360" w:lineRule="auto"/>
        <w:ind w:firstLineChars="0"/>
        <w:rPr>
          <w:rFonts w:ascii="宋体"/>
          <w:b/>
          <w:sz w:val="28"/>
          <w:szCs w:val="28"/>
        </w:rPr>
      </w:pPr>
      <w:bookmarkStart w:id="44" w:name="_Toc22025"/>
      <w:bookmarkStart w:id="45" w:name="_Toc376873388"/>
      <w:r>
        <w:rPr>
          <w:rFonts w:hint="eastAsia" w:ascii="宋体" w:hAnsi="宋体"/>
          <w:b/>
          <w:sz w:val="28"/>
          <w:szCs w:val="28"/>
        </w:rPr>
        <w:t>竞赛原则</w:t>
      </w:r>
      <w:bookmarkEnd w:id="44"/>
    </w:p>
    <w:p>
      <w:pPr>
        <w:pStyle w:val="58"/>
        <w:numPr>
          <w:ilvl w:val="2"/>
          <w:numId w:val="1"/>
        </w:numPr>
        <w:spacing w:line="360" w:lineRule="auto"/>
        <w:ind w:firstLineChars="0"/>
        <w:rPr>
          <w:rFonts w:ascii="宋体"/>
          <w:b/>
          <w:sz w:val="28"/>
          <w:szCs w:val="28"/>
        </w:rPr>
      </w:pPr>
      <w:r>
        <w:rPr>
          <w:rFonts w:hint="eastAsia" w:ascii="宋体" w:hAnsi="宋体"/>
          <w:b/>
          <w:sz w:val="28"/>
          <w:szCs w:val="28"/>
        </w:rPr>
        <w:t>竞赛流程</w:t>
      </w:r>
      <w:bookmarkEnd w:id="45"/>
    </w:p>
    <w:p>
      <w:pPr>
        <w:spacing w:line="360" w:lineRule="auto"/>
        <w:ind w:firstLine="624" w:firstLineChars="223"/>
        <w:rPr>
          <w:rFonts w:ascii="宋体"/>
          <w:sz w:val="28"/>
          <w:szCs w:val="28"/>
        </w:rPr>
      </w:pPr>
      <w:r>
        <w:rPr>
          <w:rFonts w:hint="eastAsia" w:ascii="宋体" w:hAnsi="宋体"/>
          <w:sz w:val="28"/>
          <w:szCs w:val="28"/>
        </w:rPr>
        <w:t>赛前。选手将有</w:t>
      </w:r>
      <w:r>
        <w:rPr>
          <w:rFonts w:hint="eastAsia" w:ascii="宋体" w:hAnsi="宋体"/>
          <w:sz w:val="28"/>
          <w:szCs w:val="28"/>
          <w:lang w:val="en-US" w:eastAsia="zh-CN"/>
        </w:rPr>
        <w:t>1</w:t>
      </w:r>
      <w:r>
        <w:rPr>
          <w:rFonts w:ascii="宋体" w:hAnsi="宋体"/>
          <w:sz w:val="28"/>
          <w:szCs w:val="28"/>
        </w:rPr>
        <w:t>0</w:t>
      </w:r>
      <w:r>
        <w:rPr>
          <w:rFonts w:hint="eastAsia" w:ascii="宋体" w:hAnsi="宋体"/>
          <w:sz w:val="28"/>
          <w:szCs w:val="28"/>
        </w:rPr>
        <w:t>分钟时间熟悉竞赛场地和主要设备，熟悉总电源开关、插座开关、手电钻等赛位电气设备，熟悉安全撤离路线。</w:t>
      </w:r>
    </w:p>
    <w:p>
      <w:pPr>
        <w:spacing w:line="360" w:lineRule="auto"/>
        <w:ind w:firstLine="624" w:firstLineChars="223"/>
        <w:rPr>
          <w:rFonts w:ascii="宋体"/>
          <w:sz w:val="28"/>
          <w:szCs w:val="28"/>
        </w:rPr>
      </w:pPr>
      <w:r>
        <w:rPr>
          <w:rFonts w:hint="eastAsia" w:ascii="宋体" w:hAnsi="宋体"/>
          <w:sz w:val="28"/>
          <w:szCs w:val="28"/>
        </w:rPr>
        <w:t>赛中。竞赛的开始与结束时间，选手在竞赛中不得接受场外指导，选手在竞赛中遇到突发问题及时向裁判员汇报。</w:t>
      </w:r>
    </w:p>
    <w:p>
      <w:pPr>
        <w:spacing w:line="360" w:lineRule="auto"/>
        <w:ind w:firstLine="624" w:firstLineChars="223"/>
        <w:rPr>
          <w:rFonts w:ascii="宋体"/>
          <w:sz w:val="28"/>
          <w:szCs w:val="28"/>
        </w:rPr>
      </w:pPr>
      <w:r>
        <w:rPr>
          <w:rFonts w:hint="eastAsia" w:ascii="宋体" w:hAnsi="宋体"/>
          <w:sz w:val="28"/>
          <w:szCs w:val="28"/>
        </w:rPr>
        <w:t>赛后。裁判员根据评分规则进行评分，选手对竞赛结果有异议时向裁判长进行</w:t>
      </w:r>
      <w:r>
        <w:rPr>
          <w:rFonts w:hint="eastAsia" w:ascii="宋体" w:hAnsi="宋体"/>
          <w:sz w:val="28"/>
          <w:szCs w:val="28"/>
          <w:lang w:eastAsia="zh-CN"/>
        </w:rPr>
        <w:t>申诉</w:t>
      </w:r>
      <w:r>
        <w:rPr>
          <w:rFonts w:hint="eastAsia" w:ascii="宋体" w:hAnsi="宋体"/>
          <w:sz w:val="28"/>
          <w:szCs w:val="28"/>
        </w:rPr>
        <w:t>，裁判长组织裁判员对结果进行复核后予以答复。</w:t>
      </w:r>
    </w:p>
    <w:p>
      <w:pPr>
        <w:pStyle w:val="58"/>
        <w:numPr>
          <w:ilvl w:val="2"/>
          <w:numId w:val="1"/>
        </w:numPr>
        <w:spacing w:line="360" w:lineRule="auto"/>
        <w:ind w:firstLineChars="0"/>
        <w:rPr>
          <w:rFonts w:ascii="宋体"/>
          <w:b/>
          <w:sz w:val="28"/>
          <w:szCs w:val="28"/>
        </w:rPr>
      </w:pPr>
      <w:r>
        <w:rPr>
          <w:rFonts w:hint="eastAsia" w:ascii="宋体" w:hAnsi="宋体"/>
          <w:b/>
          <w:sz w:val="28"/>
          <w:szCs w:val="28"/>
        </w:rPr>
        <w:t>裁判现场培训</w:t>
      </w:r>
    </w:p>
    <w:p>
      <w:pPr>
        <w:spacing w:line="360" w:lineRule="auto"/>
        <w:ind w:firstLine="624" w:firstLineChars="223"/>
        <w:rPr>
          <w:rFonts w:ascii="宋体"/>
          <w:sz w:val="28"/>
          <w:szCs w:val="28"/>
        </w:rPr>
      </w:pPr>
      <w:r>
        <w:rPr>
          <w:rFonts w:hint="eastAsia" w:ascii="宋体" w:hAnsi="宋体"/>
          <w:sz w:val="28"/>
          <w:szCs w:val="28"/>
        </w:rPr>
        <w:t>裁判员培训时间</w:t>
      </w:r>
      <w:r>
        <w:rPr>
          <w:rFonts w:hint="eastAsia" w:ascii="宋体" w:hAnsi="宋体"/>
          <w:sz w:val="28"/>
          <w:szCs w:val="28"/>
          <w:lang w:eastAsia="zh-CN"/>
        </w:rPr>
        <w:t>在赛前</w:t>
      </w:r>
      <w:r>
        <w:rPr>
          <w:rFonts w:hint="eastAsia" w:ascii="宋体" w:hAnsi="宋体"/>
          <w:sz w:val="28"/>
          <w:szCs w:val="28"/>
          <w:lang w:val="en-US" w:eastAsia="zh-CN"/>
        </w:rPr>
        <w:t>5天内</w:t>
      </w:r>
      <w:r>
        <w:rPr>
          <w:rFonts w:hint="eastAsia" w:ascii="宋体" w:hAnsi="宋体"/>
          <w:sz w:val="28"/>
          <w:szCs w:val="28"/>
        </w:rPr>
        <w:t>不少于</w:t>
      </w:r>
      <w:r>
        <w:rPr>
          <w:rFonts w:ascii="宋体" w:hAnsi="宋体"/>
          <w:sz w:val="28"/>
          <w:szCs w:val="28"/>
        </w:rPr>
        <w:t>2</w:t>
      </w:r>
      <w:r>
        <w:rPr>
          <w:rFonts w:hint="eastAsia" w:ascii="宋体" w:hAnsi="宋体"/>
          <w:sz w:val="28"/>
          <w:szCs w:val="28"/>
        </w:rPr>
        <w:t>小时。主要讲解裁判守则与纪律，讲解技术文件、竞赛规则、竞赛流程、评判方法、讨论确定赛题，裁判分组等。</w:t>
      </w:r>
    </w:p>
    <w:p>
      <w:pPr>
        <w:pStyle w:val="58"/>
        <w:numPr>
          <w:ilvl w:val="2"/>
          <w:numId w:val="1"/>
        </w:numPr>
        <w:spacing w:line="360" w:lineRule="auto"/>
        <w:ind w:firstLineChars="0"/>
        <w:rPr>
          <w:rFonts w:ascii="宋体"/>
          <w:b/>
          <w:sz w:val="28"/>
          <w:szCs w:val="28"/>
        </w:rPr>
      </w:pPr>
      <w:r>
        <w:rPr>
          <w:rFonts w:hint="eastAsia" w:ascii="宋体" w:hAnsi="宋体"/>
          <w:b/>
          <w:sz w:val="28"/>
          <w:szCs w:val="28"/>
        </w:rPr>
        <w:t>抽签决定赛位</w:t>
      </w:r>
    </w:p>
    <w:p>
      <w:pPr>
        <w:spacing w:line="360" w:lineRule="auto"/>
        <w:ind w:firstLine="624" w:firstLineChars="223"/>
        <w:rPr>
          <w:rFonts w:ascii="宋体"/>
          <w:sz w:val="28"/>
          <w:szCs w:val="28"/>
        </w:rPr>
      </w:pPr>
      <w:r>
        <w:rPr>
          <w:rFonts w:hint="eastAsia" w:ascii="宋体" w:hAnsi="宋体"/>
          <w:sz w:val="28"/>
          <w:szCs w:val="28"/>
        </w:rPr>
        <w:t>在公开监督下，由裁判长主持抽签工作，采用抽签方式决定比赛顺序号</w:t>
      </w:r>
      <w:r>
        <w:rPr>
          <w:rFonts w:hint="eastAsia" w:ascii="宋体" w:hAnsi="宋体"/>
          <w:sz w:val="28"/>
          <w:szCs w:val="28"/>
          <w:lang w:eastAsia="zh-CN"/>
        </w:rPr>
        <w:t>、</w:t>
      </w:r>
      <w:r>
        <w:rPr>
          <w:rFonts w:hint="eastAsia" w:ascii="宋体" w:hAnsi="宋体"/>
          <w:sz w:val="28"/>
          <w:szCs w:val="28"/>
        </w:rPr>
        <w:t>赛位及</w:t>
      </w:r>
      <w:r>
        <w:rPr>
          <w:rFonts w:hint="eastAsia" w:ascii="宋体" w:hAnsi="宋体"/>
          <w:sz w:val="28"/>
          <w:szCs w:val="28"/>
          <w:lang w:eastAsia="zh-CN"/>
        </w:rPr>
        <w:t>实操方案</w:t>
      </w:r>
      <w:r>
        <w:rPr>
          <w:rFonts w:hint="eastAsia" w:ascii="宋体" w:hAnsi="宋体"/>
          <w:sz w:val="28"/>
          <w:szCs w:val="28"/>
        </w:rPr>
        <w:t>。</w:t>
      </w:r>
    </w:p>
    <w:p>
      <w:pPr>
        <w:pStyle w:val="58"/>
        <w:numPr>
          <w:ilvl w:val="2"/>
          <w:numId w:val="1"/>
        </w:numPr>
        <w:spacing w:line="360" w:lineRule="auto"/>
        <w:ind w:firstLineChars="0"/>
        <w:rPr>
          <w:rFonts w:ascii="宋体"/>
          <w:b/>
          <w:sz w:val="28"/>
          <w:szCs w:val="28"/>
        </w:rPr>
      </w:pPr>
      <w:r>
        <w:rPr>
          <w:rFonts w:hint="eastAsia" w:ascii="宋体" w:hAnsi="宋体"/>
          <w:b/>
          <w:sz w:val="28"/>
          <w:szCs w:val="28"/>
        </w:rPr>
        <w:t>选手熟悉场地</w:t>
      </w:r>
    </w:p>
    <w:p>
      <w:pPr>
        <w:spacing w:line="360" w:lineRule="auto"/>
        <w:ind w:firstLine="624" w:firstLineChars="223"/>
        <w:rPr>
          <w:rFonts w:ascii="宋体"/>
          <w:sz w:val="28"/>
          <w:szCs w:val="28"/>
        </w:rPr>
      </w:pPr>
      <w:r>
        <w:rPr>
          <w:rFonts w:hint="eastAsia" w:ascii="宋体" w:hAnsi="宋体"/>
          <w:sz w:val="28"/>
          <w:szCs w:val="28"/>
        </w:rPr>
        <w:t>讲解竞赛规则，竞赛流程，设备使用，安全条例，选手须知，注意事项，选手熟悉设备设施，必要时，赛场技术人员讲解工具、材料的使用规范要求。</w:t>
      </w:r>
    </w:p>
    <w:p>
      <w:pPr>
        <w:pStyle w:val="58"/>
        <w:numPr>
          <w:ilvl w:val="2"/>
          <w:numId w:val="1"/>
        </w:numPr>
        <w:spacing w:line="360" w:lineRule="auto"/>
        <w:ind w:firstLineChars="0"/>
        <w:rPr>
          <w:rFonts w:ascii="宋体"/>
          <w:b/>
          <w:sz w:val="28"/>
          <w:szCs w:val="28"/>
        </w:rPr>
      </w:pPr>
      <w:r>
        <w:rPr>
          <w:rFonts w:hint="eastAsia" w:ascii="宋体" w:hAnsi="宋体"/>
          <w:b/>
          <w:sz w:val="28"/>
          <w:szCs w:val="28"/>
        </w:rPr>
        <w:t>宣布竞赛开幕</w:t>
      </w:r>
    </w:p>
    <w:p>
      <w:pPr>
        <w:spacing w:line="360" w:lineRule="auto"/>
        <w:ind w:firstLine="624" w:firstLineChars="223"/>
        <w:rPr>
          <w:rFonts w:ascii="宋体"/>
          <w:sz w:val="28"/>
          <w:szCs w:val="28"/>
        </w:rPr>
      </w:pPr>
      <w:r>
        <w:rPr>
          <w:rFonts w:hint="eastAsia" w:ascii="宋体" w:hAnsi="宋体"/>
          <w:sz w:val="28"/>
          <w:szCs w:val="28"/>
        </w:rPr>
        <w:t>选手入场，裁判员对选手进行安全性检查，开赛前，选手有一定的时间检查和准备工具和材料，选手可以在指引下尽可能地熟悉设备、工具、材料和工作流程，并使用大赛允许的材料进行练习操作。</w:t>
      </w:r>
    </w:p>
    <w:p>
      <w:pPr>
        <w:pStyle w:val="58"/>
        <w:numPr>
          <w:ilvl w:val="2"/>
          <w:numId w:val="1"/>
        </w:numPr>
        <w:spacing w:line="360" w:lineRule="auto"/>
        <w:ind w:firstLineChars="0"/>
        <w:rPr>
          <w:rFonts w:ascii="宋体"/>
          <w:b/>
          <w:sz w:val="28"/>
          <w:szCs w:val="28"/>
        </w:rPr>
      </w:pPr>
      <w:r>
        <w:rPr>
          <w:rFonts w:hint="eastAsia" w:ascii="宋体" w:hAnsi="宋体"/>
          <w:b/>
          <w:sz w:val="28"/>
          <w:szCs w:val="28"/>
        </w:rPr>
        <w:t>正式竞赛</w:t>
      </w:r>
    </w:p>
    <w:p>
      <w:pPr>
        <w:spacing w:line="360" w:lineRule="auto"/>
        <w:ind w:firstLine="624" w:firstLineChars="223"/>
        <w:rPr>
          <w:rFonts w:ascii="宋体"/>
          <w:sz w:val="28"/>
          <w:szCs w:val="28"/>
        </w:rPr>
      </w:pPr>
      <w:r>
        <w:rPr>
          <w:rFonts w:hint="eastAsia" w:ascii="宋体" w:hAnsi="宋体"/>
          <w:sz w:val="28"/>
          <w:szCs w:val="28"/>
        </w:rPr>
        <w:t>竞赛时间：</w:t>
      </w:r>
    </w:p>
    <w:p>
      <w:pPr>
        <w:spacing w:line="360" w:lineRule="auto"/>
        <w:ind w:firstLine="624" w:firstLineChars="223"/>
        <w:rPr>
          <w:rFonts w:ascii="宋体"/>
          <w:sz w:val="28"/>
          <w:szCs w:val="28"/>
        </w:rPr>
      </w:pPr>
      <w:r>
        <w:rPr>
          <w:rFonts w:hint="eastAsia" w:ascii="宋体" w:hAnsi="宋体"/>
          <w:sz w:val="28"/>
          <w:szCs w:val="28"/>
        </w:rPr>
        <w:t>按照组委会统一安排。</w:t>
      </w:r>
    </w:p>
    <w:p>
      <w:pPr>
        <w:spacing w:line="360" w:lineRule="auto"/>
        <w:ind w:firstLine="624" w:firstLineChars="223"/>
        <w:rPr>
          <w:rFonts w:ascii="宋体"/>
          <w:sz w:val="28"/>
          <w:szCs w:val="28"/>
        </w:rPr>
      </w:pPr>
      <w:r>
        <w:rPr>
          <w:rFonts w:hint="eastAsia" w:ascii="宋体" w:hAnsi="宋体"/>
          <w:sz w:val="28"/>
          <w:szCs w:val="28"/>
        </w:rPr>
        <w:t>竞赛形式：</w:t>
      </w:r>
    </w:p>
    <w:p>
      <w:pPr>
        <w:spacing w:line="360" w:lineRule="auto"/>
        <w:ind w:firstLine="624" w:firstLineChars="223"/>
        <w:rPr>
          <w:rFonts w:ascii="宋体"/>
          <w:sz w:val="28"/>
          <w:szCs w:val="28"/>
        </w:rPr>
      </w:pPr>
      <w:r>
        <w:rPr>
          <w:rFonts w:hint="eastAsia" w:ascii="宋体" w:hAnsi="宋体"/>
          <w:sz w:val="28"/>
          <w:szCs w:val="28"/>
        </w:rPr>
        <w:t>本竞赛项目采用单人竞赛形式，考核实践操作能力和理论知识，参赛选手在指定的竞赛工位内，按照竞赛题目要求，在规定的时间内独立完成竞赛任务。</w:t>
      </w:r>
    </w:p>
    <w:p>
      <w:pPr>
        <w:pStyle w:val="58"/>
        <w:numPr>
          <w:ilvl w:val="2"/>
          <w:numId w:val="1"/>
        </w:numPr>
        <w:spacing w:line="360" w:lineRule="auto"/>
        <w:ind w:firstLineChars="0"/>
        <w:rPr>
          <w:rFonts w:ascii="宋体"/>
          <w:b/>
          <w:sz w:val="28"/>
          <w:szCs w:val="28"/>
        </w:rPr>
      </w:pPr>
      <w:r>
        <w:rPr>
          <w:rFonts w:hint="eastAsia" w:ascii="宋体" w:hAnsi="宋体"/>
          <w:b/>
          <w:sz w:val="28"/>
          <w:szCs w:val="28"/>
        </w:rPr>
        <w:t>成绩评判</w:t>
      </w:r>
    </w:p>
    <w:p>
      <w:pPr>
        <w:spacing w:line="360" w:lineRule="auto"/>
        <w:ind w:firstLine="624" w:firstLineChars="223"/>
        <w:rPr>
          <w:rFonts w:ascii="宋体"/>
          <w:sz w:val="28"/>
          <w:szCs w:val="28"/>
        </w:rPr>
      </w:pPr>
      <w:r>
        <w:rPr>
          <w:rFonts w:hint="eastAsia" w:ascii="宋体" w:hAnsi="宋体"/>
          <w:sz w:val="28"/>
          <w:szCs w:val="28"/>
        </w:rPr>
        <w:t>裁判员按照评分标准规定进行评判，裁判长、裁判员对各选手成绩进行签字确认。</w:t>
      </w:r>
    </w:p>
    <w:p>
      <w:pPr>
        <w:pStyle w:val="58"/>
        <w:numPr>
          <w:ilvl w:val="1"/>
          <w:numId w:val="1"/>
        </w:numPr>
        <w:spacing w:line="360" w:lineRule="auto"/>
        <w:ind w:firstLineChars="0"/>
        <w:rPr>
          <w:rFonts w:ascii="宋体"/>
          <w:b/>
          <w:sz w:val="28"/>
          <w:szCs w:val="28"/>
        </w:rPr>
      </w:pPr>
      <w:bookmarkStart w:id="46" w:name="_Toc8754"/>
      <w:bookmarkStart w:id="47" w:name="_Toc11640"/>
      <w:bookmarkStart w:id="48" w:name="_Toc376873389"/>
      <w:r>
        <w:rPr>
          <w:rFonts w:hint="eastAsia" w:ascii="宋体" w:hAnsi="宋体"/>
          <w:b/>
          <w:sz w:val="28"/>
          <w:szCs w:val="28"/>
        </w:rPr>
        <w:t>裁判员的工作内容</w:t>
      </w:r>
      <w:bookmarkEnd w:id="46"/>
      <w:bookmarkEnd w:id="47"/>
      <w:bookmarkEnd w:id="48"/>
    </w:p>
    <w:p>
      <w:pPr>
        <w:spacing w:line="360" w:lineRule="auto"/>
        <w:ind w:firstLine="624" w:firstLineChars="223"/>
        <w:rPr>
          <w:rFonts w:ascii="宋体"/>
          <w:sz w:val="28"/>
          <w:szCs w:val="28"/>
        </w:rPr>
      </w:pPr>
      <w:r>
        <w:rPr>
          <w:rFonts w:hint="eastAsia" w:ascii="宋体" w:hAnsi="宋体"/>
          <w:sz w:val="28"/>
          <w:szCs w:val="28"/>
        </w:rPr>
        <w:t>裁判员在竞赛中，坚持公平公正的评判原则，严格执行竞赛流程，按照评判规则对竞赛过程进行管理和成绩评判。</w:t>
      </w:r>
    </w:p>
    <w:p>
      <w:pPr>
        <w:spacing w:line="360" w:lineRule="auto"/>
        <w:ind w:firstLine="624" w:firstLineChars="223"/>
        <w:rPr>
          <w:rFonts w:ascii="宋体"/>
          <w:sz w:val="28"/>
          <w:szCs w:val="28"/>
        </w:rPr>
      </w:pPr>
      <w:r>
        <w:rPr>
          <w:rFonts w:hint="eastAsia" w:ascii="宋体" w:hAnsi="宋体"/>
          <w:sz w:val="28"/>
          <w:szCs w:val="28"/>
        </w:rPr>
        <w:t>评判时如果出现争议，首先按照评判标准规定，协商讨论达成一致意见，坚持技术问题技术手段解决的原则，如果不能达成一致意见时，及时报告裁判长解决。</w:t>
      </w:r>
    </w:p>
    <w:p>
      <w:pPr>
        <w:pStyle w:val="58"/>
        <w:numPr>
          <w:ilvl w:val="1"/>
          <w:numId w:val="1"/>
        </w:numPr>
        <w:spacing w:line="360" w:lineRule="auto"/>
        <w:ind w:firstLineChars="0"/>
        <w:rPr>
          <w:rFonts w:ascii="宋体"/>
          <w:b/>
          <w:sz w:val="28"/>
          <w:szCs w:val="28"/>
        </w:rPr>
      </w:pPr>
      <w:bookmarkStart w:id="49" w:name="_Toc6112"/>
      <w:r>
        <w:rPr>
          <w:rFonts w:hint="eastAsia" w:ascii="宋体" w:hAnsi="宋体"/>
          <w:b/>
          <w:sz w:val="28"/>
          <w:szCs w:val="28"/>
        </w:rPr>
        <w:t>选手的工作内容</w:t>
      </w:r>
      <w:bookmarkEnd w:id="49"/>
    </w:p>
    <w:p>
      <w:pPr>
        <w:spacing w:line="360" w:lineRule="auto"/>
        <w:ind w:firstLine="624" w:firstLineChars="223"/>
        <w:rPr>
          <w:rFonts w:ascii="宋体"/>
          <w:sz w:val="28"/>
          <w:szCs w:val="28"/>
        </w:rPr>
      </w:pPr>
      <w:r>
        <w:rPr>
          <w:rFonts w:hint="eastAsia" w:ascii="宋体" w:hAnsi="宋体"/>
          <w:sz w:val="28"/>
          <w:szCs w:val="28"/>
        </w:rPr>
        <w:t>选手在竞赛中，严格遵守竞赛各项规章制度，按照竞赛题目要求进行分配电箱的选型、装配等工作。</w:t>
      </w:r>
    </w:p>
    <w:p>
      <w:pPr>
        <w:spacing w:line="360" w:lineRule="auto"/>
        <w:ind w:firstLine="624" w:firstLineChars="223"/>
        <w:rPr>
          <w:rFonts w:ascii="宋体"/>
          <w:sz w:val="28"/>
          <w:szCs w:val="28"/>
        </w:rPr>
      </w:pPr>
      <w:r>
        <w:rPr>
          <w:rFonts w:hint="eastAsia" w:ascii="宋体" w:hAnsi="宋体"/>
          <w:sz w:val="28"/>
          <w:szCs w:val="28"/>
        </w:rPr>
        <w:t>选手必须严格遵守安全操作规范，正确规范使用设备和工具，竞赛时间到，立即停止作品的操作。</w:t>
      </w:r>
    </w:p>
    <w:p>
      <w:pPr>
        <w:pStyle w:val="58"/>
        <w:numPr>
          <w:ilvl w:val="1"/>
          <w:numId w:val="1"/>
        </w:numPr>
        <w:spacing w:line="360" w:lineRule="auto"/>
        <w:ind w:firstLineChars="0"/>
        <w:rPr>
          <w:rFonts w:ascii="宋体"/>
          <w:b/>
          <w:sz w:val="28"/>
          <w:szCs w:val="28"/>
        </w:rPr>
      </w:pPr>
      <w:bookmarkStart w:id="50" w:name="_Toc8521"/>
      <w:bookmarkStart w:id="51" w:name="_Toc376873391"/>
      <w:r>
        <w:rPr>
          <w:rFonts w:hint="eastAsia" w:ascii="宋体" w:hAnsi="宋体"/>
          <w:b/>
          <w:sz w:val="28"/>
          <w:szCs w:val="28"/>
        </w:rPr>
        <w:t>赛场纪律</w:t>
      </w:r>
      <w:bookmarkEnd w:id="50"/>
      <w:bookmarkEnd w:id="51"/>
    </w:p>
    <w:p>
      <w:pPr>
        <w:spacing w:line="360" w:lineRule="auto"/>
        <w:ind w:firstLine="624" w:firstLineChars="223"/>
        <w:rPr>
          <w:rFonts w:ascii="宋体"/>
          <w:sz w:val="28"/>
          <w:szCs w:val="28"/>
        </w:rPr>
      </w:pPr>
      <w:bookmarkStart w:id="52" w:name="_Toc376873392"/>
      <w:bookmarkStart w:id="53" w:name="OLE_LINK10"/>
      <w:r>
        <w:rPr>
          <w:rFonts w:hint="eastAsia" w:ascii="宋体" w:hAnsi="宋体"/>
          <w:sz w:val="28"/>
          <w:szCs w:val="28"/>
        </w:rPr>
        <w:t>参赛选手守则：</w:t>
      </w:r>
    </w:p>
    <w:p>
      <w:pPr>
        <w:spacing w:line="360" w:lineRule="auto"/>
        <w:ind w:firstLine="624" w:firstLineChars="223"/>
        <w:rPr>
          <w:rFonts w:ascii="宋体"/>
          <w:sz w:val="28"/>
          <w:szCs w:val="28"/>
        </w:rPr>
      </w:pPr>
      <w:r>
        <w:rPr>
          <w:rFonts w:hint="eastAsia" w:ascii="宋体" w:hAnsi="宋体"/>
          <w:sz w:val="28"/>
          <w:szCs w:val="28"/>
        </w:rPr>
        <w:t>选手必须持本人身份证、工作证（胸卡）和组委会签发的参赛证参加竞赛。</w:t>
      </w:r>
    </w:p>
    <w:p>
      <w:pPr>
        <w:spacing w:line="360" w:lineRule="auto"/>
        <w:ind w:firstLine="624" w:firstLineChars="223"/>
        <w:rPr>
          <w:rFonts w:ascii="宋体"/>
          <w:sz w:val="28"/>
          <w:szCs w:val="28"/>
        </w:rPr>
      </w:pPr>
      <w:r>
        <w:rPr>
          <w:rFonts w:hint="eastAsia" w:ascii="宋体" w:hAnsi="宋体"/>
          <w:sz w:val="28"/>
          <w:szCs w:val="28"/>
        </w:rPr>
        <w:t>选手要衣冠整洁，符合劳动保护要求，戴好安全帽进入场地，可以自备工具腰带、腰包、工具箱。</w:t>
      </w:r>
    </w:p>
    <w:p>
      <w:pPr>
        <w:spacing w:line="360" w:lineRule="auto"/>
        <w:ind w:firstLine="624" w:firstLineChars="223"/>
        <w:rPr>
          <w:rFonts w:ascii="宋体"/>
          <w:sz w:val="28"/>
          <w:szCs w:val="28"/>
        </w:rPr>
      </w:pPr>
      <w:r>
        <w:rPr>
          <w:rFonts w:hint="eastAsia" w:ascii="宋体" w:hAnsi="宋体"/>
          <w:sz w:val="28"/>
          <w:szCs w:val="28"/>
        </w:rPr>
        <w:t>在竞赛前进行抽签来决定竞赛工位，参赛队在竞赛前</w:t>
      </w:r>
      <w:r>
        <w:rPr>
          <w:rFonts w:ascii="宋体" w:hAnsi="宋体"/>
          <w:sz w:val="28"/>
          <w:szCs w:val="28"/>
        </w:rPr>
        <w:t>30</w:t>
      </w:r>
      <w:r>
        <w:rPr>
          <w:rFonts w:hint="eastAsia" w:ascii="宋体" w:hAnsi="宋体"/>
          <w:sz w:val="28"/>
          <w:szCs w:val="28"/>
        </w:rPr>
        <w:t>分钟到赛场检录，竞赛前</w:t>
      </w:r>
      <w:r>
        <w:rPr>
          <w:rFonts w:ascii="宋体" w:hAnsi="宋体"/>
          <w:sz w:val="28"/>
          <w:szCs w:val="28"/>
        </w:rPr>
        <w:t>20</w:t>
      </w:r>
      <w:r>
        <w:rPr>
          <w:rFonts w:hint="eastAsia" w:ascii="宋体" w:hAnsi="宋体"/>
          <w:sz w:val="28"/>
          <w:szCs w:val="28"/>
        </w:rPr>
        <w:t>分钟进入赛场，核对现场提供的材料。</w:t>
      </w:r>
    </w:p>
    <w:p>
      <w:pPr>
        <w:spacing w:line="360" w:lineRule="auto"/>
        <w:ind w:firstLine="624" w:firstLineChars="223"/>
        <w:rPr>
          <w:rFonts w:ascii="宋体"/>
          <w:sz w:val="28"/>
          <w:szCs w:val="28"/>
        </w:rPr>
      </w:pPr>
      <w:r>
        <w:rPr>
          <w:rFonts w:hint="eastAsia" w:ascii="宋体" w:hAnsi="宋体"/>
          <w:sz w:val="28"/>
          <w:szCs w:val="28"/>
        </w:rPr>
        <w:t>选手自带的工具要经过现场审核，符合竞赛规定和安全要求方可使用。</w:t>
      </w:r>
    </w:p>
    <w:p>
      <w:pPr>
        <w:spacing w:line="360" w:lineRule="auto"/>
        <w:ind w:firstLine="624" w:firstLineChars="223"/>
        <w:rPr>
          <w:rFonts w:ascii="宋体"/>
          <w:sz w:val="28"/>
          <w:szCs w:val="28"/>
        </w:rPr>
      </w:pPr>
      <w:r>
        <w:rPr>
          <w:rFonts w:hint="eastAsia" w:ascii="宋体" w:hAnsi="宋体"/>
          <w:sz w:val="28"/>
          <w:szCs w:val="28"/>
        </w:rPr>
        <w:t>竞赛期间选手不得擅自离场，需要</w:t>
      </w:r>
      <w:r>
        <w:rPr>
          <w:rFonts w:hint="eastAsia" w:ascii="宋体" w:hAnsi="宋体"/>
          <w:sz w:val="28"/>
          <w:szCs w:val="28"/>
          <w:lang w:eastAsia="zh-CN"/>
        </w:rPr>
        <w:t>如厕</w:t>
      </w:r>
      <w:r>
        <w:rPr>
          <w:rFonts w:hint="eastAsia" w:ascii="宋体" w:hAnsi="宋体"/>
          <w:sz w:val="28"/>
          <w:szCs w:val="28"/>
        </w:rPr>
        <w:t>时举手示意裁判，征得裁判同意后才能离开赛位。</w:t>
      </w:r>
    </w:p>
    <w:p>
      <w:pPr>
        <w:spacing w:line="360" w:lineRule="auto"/>
        <w:ind w:firstLine="624" w:firstLineChars="223"/>
        <w:rPr>
          <w:rFonts w:ascii="宋体"/>
          <w:sz w:val="28"/>
          <w:szCs w:val="28"/>
        </w:rPr>
      </w:pPr>
      <w:r>
        <w:rPr>
          <w:rFonts w:hint="eastAsia" w:ascii="宋体" w:hAnsi="宋体"/>
          <w:sz w:val="28"/>
          <w:szCs w:val="28"/>
        </w:rPr>
        <w:t>竞赛过程中严禁接受任何形式的场外指导。</w:t>
      </w:r>
    </w:p>
    <w:p>
      <w:pPr>
        <w:spacing w:line="360" w:lineRule="auto"/>
        <w:ind w:firstLine="624" w:firstLineChars="223"/>
        <w:rPr>
          <w:rFonts w:ascii="宋体"/>
          <w:sz w:val="28"/>
          <w:szCs w:val="28"/>
        </w:rPr>
      </w:pPr>
      <w:r>
        <w:rPr>
          <w:rFonts w:hint="eastAsia" w:ascii="宋体" w:hAnsi="宋体"/>
          <w:sz w:val="28"/>
          <w:szCs w:val="28"/>
        </w:rPr>
        <w:t>赛场统一提供饮用水。</w:t>
      </w:r>
    </w:p>
    <w:p>
      <w:pPr>
        <w:spacing w:line="360" w:lineRule="auto"/>
        <w:ind w:firstLine="624" w:firstLineChars="223"/>
        <w:rPr>
          <w:rFonts w:ascii="宋体"/>
          <w:sz w:val="28"/>
          <w:szCs w:val="28"/>
        </w:rPr>
      </w:pPr>
      <w:r>
        <w:rPr>
          <w:rFonts w:hint="eastAsia" w:ascii="宋体" w:hAnsi="宋体"/>
          <w:sz w:val="28"/>
          <w:szCs w:val="28"/>
        </w:rPr>
        <w:t>选手休息、饮食或入厕时间均计算在竞赛时间内（</w:t>
      </w:r>
      <w:r>
        <w:rPr>
          <w:rFonts w:ascii="宋体" w:hAnsi="宋体"/>
          <w:sz w:val="28"/>
          <w:szCs w:val="28"/>
        </w:rPr>
        <w:t>12:</w:t>
      </w:r>
      <w:r>
        <w:rPr>
          <w:rFonts w:hint="eastAsia" w:ascii="宋体" w:hAnsi="宋体"/>
          <w:sz w:val="28"/>
          <w:szCs w:val="28"/>
          <w:lang w:val="en-US" w:eastAsia="zh-CN"/>
        </w:rPr>
        <w:t>3</w:t>
      </w:r>
      <w:r>
        <w:rPr>
          <w:rFonts w:ascii="宋体" w:hAnsi="宋体"/>
          <w:sz w:val="28"/>
          <w:szCs w:val="28"/>
        </w:rPr>
        <w:t>0—13:</w:t>
      </w:r>
      <w:r>
        <w:rPr>
          <w:rFonts w:hint="eastAsia" w:ascii="宋体" w:hAnsi="宋体"/>
          <w:sz w:val="28"/>
          <w:szCs w:val="28"/>
          <w:lang w:val="en-US" w:eastAsia="zh-CN"/>
        </w:rPr>
        <w:t>3</w:t>
      </w:r>
      <w:r>
        <w:rPr>
          <w:rFonts w:ascii="宋体" w:hAnsi="宋体"/>
          <w:sz w:val="28"/>
          <w:szCs w:val="28"/>
        </w:rPr>
        <w:t>0</w:t>
      </w:r>
      <w:r>
        <w:rPr>
          <w:rFonts w:hint="eastAsia" w:ascii="宋体" w:hAnsi="宋体"/>
          <w:sz w:val="28"/>
          <w:szCs w:val="28"/>
        </w:rPr>
        <w:t>为午餐及休息时间，不计算在竞赛时间内）。</w:t>
      </w:r>
    </w:p>
    <w:p>
      <w:pPr>
        <w:spacing w:line="360" w:lineRule="auto"/>
        <w:ind w:firstLine="624" w:firstLineChars="223"/>
        <w:rPr>
          <w:rFonts w:ascii="宋体"/>
          <w:sz w:val="28"/>
          <w:szCs w:val="28"/>
        </w:rPr>
      </w:pPr>
      <w:r>
        <w:rPr>
          <w:rFonts w:hint="eastAsia" w:ascii="宋体" w:hAnsi="宋体"/>
          <w:sz w:val="28"/>
          <w:szCs w:val="28"/>
        </w:rPr>
        <w:t>选手须严格遵守安全操作规程及劳动保护要求，接受裁判员、现场技术服务人员的监督和警示，确保设备及人身安全。</w:t>
      </w:r>
    </w:p>
    <w:p>
      <w:pPr>
        <w:spacing w:line="360" w:lineRule="auto"/>
        <w:ind w:firstLine="624" w:firstLineChars="223"/>
        <w:rPr>
          <w:rFonts w:ascii="宋体"/>
          <w:sz w:val="28"/>
          <w:szCs w:val="28"/>
        </w:rPr>
      </w:pPr>
      <w:r>
        <w:rPr>
          <w:rFonts w:hint="eastAsia" w:ascii="宋体" w:hAnsi="宋体"/>
          <w:sz w:val="28"/>
          <w:szCs w:val="28"/>
        </w:rPr>
        <w:t>选手若提前结束竞赛，应向裁判员举手示意，竞赛终止时间由裁判员记录，选手在结束竞赛后不得再进行任何操作。</w:t>
      </w:r>
    </w:p>
    <w:p>
      <w:pPr>
        <w:spacing w:line="360" w:lineRule="auto"/>
        <w:ind w:firstLine="624" w:firstLineChars="223"/>
        <w:rPr>
          <w:rFonts w:ascii="宋体"/>
          <w:sz w:val="28"/>
          <w:szCs w:val="28"/>
        </w:rPr>
      </w:pPr>
      <w:r>
        <w:rPr>
          <w:rFonts w:hint="eastAsia" w:ascii="宋体" w:hAnsi="宋体"/>
          <w:sz w:val="28"/>
          <w:szCs w:val="28"/>
        </w:rPr>
        <w:t>选手需按照竞赛任务书要求完成比赛，并清理现场卫生。</w:t>
      </w:r>
    </w:p>
    <w:bookmarkEnd w:id="52"/>
    <w:bookmarkEnd w:id="53"/>
    <w:p>
      <w:pPr>
        <w:pStyle w:val="58"/>
        <w:numPr>
          <w:ilvl w:val="1"/>
          <w:numId w:val="1"/>
        </w:numPr>
        <w:spacing w:line="360" w:lineRule="auto"/>
        <w:ind w:firstLineChars="0"/>
        <w:rPr>
          <w:rFonts w:ascii="宋体"/>
          <w:b/>
          <w:sz w:val="28"/>
          <w:szCs w:val="28"/>
        </w:rPr>
      </w:pPr>
      <w:bookmarkStart w:id="54" w:name="_Toc11527"/>
      <w:bookmarkStart w:id="55" w:name="_Toc376873393"/>
      <w:r>
        <w:rPr>
          <w:rFonts w:hint="eastAsia" w:ascii="宋体" w:hAnsi="宋体"/>
          <w:b/>
          <w:sz w:val="28"/>
          <w:szCs w:val="28"/>
        </w:rPr>
        <w:t>对于公众开放的要求</w:t>
      </w:r>
      <w:bookmarkEnd w:id="54"/>
      <w:bookmarkEnd w:id="55"/>
    </w:p>
    <w:p>
      <w:pPr>
        <w:spacing w:line="360" w:lineRule="auto"/>
        <w:ind w:firstLine="624" w:firstLineChars="223"/>
        <w:rPr>
          <w:rFonts w:ascii="宋体"/>
          <w:sz w:val="28"/>
          <w:szCs w:val="28"/>
        </w:rPr>
      </w:pPr>
      <w:r>
        <w:rPr>
          <w:rFonts w:hint="eastAsia" w:ascii="宋体" w:hAnsi="宋体"/>
          <w:sz w:val="28"/>
          <w:szCs w:val="28"/>
        </w:rPr>
        <w:t>在竞赛过程中，尝试开放式竞赛方式，广泛宣传，开放赛场首先注意各项安全事项。</w:t>
      </w:r>
    </w:p>
    <w:p>
      <w:pPr>
        <w:spacing w:line="360" w:lineRule="auto"/>
        <w:ind w:firstLine="624" w:firstLineChars="223"/>
        <w:rPr>
          <w:rFonts w:ascii="宋体"/>
          <w:sz w:val="28"/>
          <w:szCs w:val="28"/>
        </w:rPr>
      </w:pPr>
      <w:bookmarkStart w:id="56" w:name="OLE_LINK11"/>
      <w:r>
        <w:rPr>
          <w:rFonts w:hint="eastAsia" w:ascii="宋体" w:hAnsi="宋体"/>
          <w:sz w:val="28"/>
          <w:szCs w:val="28"/>
        </w:rPr>
        <w:t>积极组织院校师生、企业员工等人员进行现场观摩，营造参与技能学习、实现技能成才的氛围。</w:t>
      </w:r>
      <w:bookmarkEnd w:id="56"/>
      <w:r>
        <w:rPr>
          <w:rFonts w:hint="eastAsia" w:ascii="宋体" w:hAnsi="宋体"/>
          <w:sz w:val="28"/>
          <w:szCs w:val="28"/>
        </w:rPr>
        <w:t>参观人员进入赛场前必须征得裁判长同意，在志愿者带领下参观，根据裁判长安排的时间和路线参观。参观人员只能在赛场参观通道内行走观摩，严禁进入选手竞赛工位，不得影响参赛选手的比赛。</w:t>
      </w:r>
    </w:p>
    <w:p>
      <w:pPr>
        <w:spacing w:line="360" w:lineRule="auto"/>
        <w:ind w:firstLine="624" w:firstLineChars="223"/>
        <w:rPr>
          <w:rFonts w:ascii="宋体"/>
          <w:sz w:val="28"/>
          <w:szCs w:val="28"/>
        </w:rPr>
      </w:pPr>
      <w:r>
        <w:rPr>
          <w:rFonts w:hint="eastAsia" w:ascii="宋体" w:hAnsi="宋体"/>
          <w:sz w:val="28"/>
          <w:szCs w:val="28"/>
        </w:rPr>
        <w:t>裁判组、安全组、场地主管负责维护现场秩序，赛场严禁吸烟，大声喧哗。</w:t>
      </w:r>
    </w:p>
    <w:p>
      <w:pPr>
        <w:pStyle w:val="58"/>
        <w:numPr>
          <w:ilvl w:val="0"/>
          <w:numId w:val="1"/>
        </w:numPr>
        <w:spacing w:line="360" w:lineRule="auto"/>
        <w:ind w:firstLineChars="0"/>
        <w:rPr>
          <w:rFonts w:ascii="宋体"/>
          <w:b/>
          <w:sz w:val="28"/>
          <w:szCs w:val="28"/>
        </w:rPr>
      </w:pPr>
      <w:bookmarkStart w:id="57" w:name="_Toc376873396"/>
      <w:bookmarkStart w:id="58" w:name="_Toc31189"/>
      <w:r>
        <w:rPr>
          <w:rFonts w:hint="eastAsia" w:ascii="宋体" w:hAnsi="宋体"/>
          <w:b/>
          <w:sz w:val="28"/>
          <w:szCs w:val="28"/>
        </w:rPr>
        <w:t>绿色环保</w:t>
      </w:r>
      <w:bookmarkEnd w:id="57"/>
      <w:bookmarkEnd w:id="58"/>
    </w:p>
    <w:p>
      <w:pPr>
        <w:pStyle w:val="58"/>
        <w:numPr>
          <w:ilvl w:val="1"/>
          <w:numId w:val="1"/>
        </w:numPr>
        <w:spacing w:line="360" w:lineRule="auto"/>
        <w:ind w:firstLineChars="0"/>
        <w:rPr>
          <w:rFonts w:ascii="宋体"/>
          <w:b/>
          <w:sz w:val="28"/>
          <w:szCs w:val="28"/>
        </w:rPr>
      </w:pPr>
      <w:bookmarkStart w:id="59" w:name="_Toc16715"/>
      <w:bookmarkStart w:id="60" w:name="_Toc376873397"/>
      <w:r>
        <w:rPr>
          <w:rFonts w:hint="eastAsia" w:ascii="宋体" w:hAnsi="宋体"/>
          <w:b/>
          <w:sz w:val="28"/>
          <w:szCs w:val="28"/>
        </w:rPr>
        <w:t>环境保护</w:t>
      </w:r>
      <w:bookmarkEnd w:id="59"/>
      <w:bookmarkEnd w:id="60"/>
    </w:p>
    <w:p>
      <w:pPr>
        <w:spacing w:line="360" w:lineRule="auto"/>
        <w:ind w:firstLine="624" w:firstLineChars="223"/>
        <w:rPr>
          <w:rFonts w:ascii="宋体"/>
          <w:sz w:val="28"/>
          <w:szCs w:val="28"/>
        </w:rPr>
      </w:pPr>
      <w:r>
        <w:rPr>
          <w:rFonts w:hint="eastAsia" w:ascii="宋体" w:hAnsi="宋体"/>
          <w:sz w:val="28"/>
          <w:szCs w:val="28"/>
        </w:rPr>
        <w:t>环境整洁卫生，体现绿色环保，严格遵守竞赛规则，</w:t>
      </w:r>
      <w:r>
        <w:rPr>
          <w:rFonts w:hint="eastAsia" w:ascii="宋体" w:hAnsi="宋体"/>
          <w:sz w:val="28"/>
          <w:szCs w:val="28"/>
          <w:lang w:eastAsia="zh-CN"/>
        </w:rPr>
        <w:t>增强</w:t>
      </w:r>
      <w:r>
        <w:rPr>
          <w:rFonts w:hint="eastAsia" w:ascii="宋体" w:hAnsi="宋体"/>
          <w:sz w:val="28"/>
          <w:szCs w:val="28"/>
        </w:rPr>
        <w:t>安全意识和卫生意识，按照要求穿戴工作服装、安全鞋、手套、安全眼镜等劳保用品，遵守职业规范。</w:t>
      </w:r>
    </w:p>
    <w:p>
      <w:pPr>
        <w:spacing w:line="360" w:lineRule="auto"/>
        <w:ind w:firstLine="624" w:firstLineChars="223"/>
        <w:rPr>
          <w:rFonts w:ascii="宋体"/>
          <w:sz w:val="28"/>
          <w:szCs w:val="28"/>
        </w:rPr>
      </w:pPr>
      <w:r>
        <w:rPr>
          <w:rFonts w:hint="eastAsia" w:ascii="宋体" w:hAnsi="宋体"/>
          <w:sz w:val="28"/>
          <w:szCs w:val="28"/>
        </w:rPr>
        <w:t>所有竞赛相关人员必须保持场地整洁。交通路线、走廊、楼梯、紧急疏散通道、灭火器及其他救生设备周边必须保持畅通无障碍，竞赛结束后，选手要整理好竞赛工位的卫生，赛场保洁人员要保障赛场整体的环境卫生，体现安全、整洁、有序，将垃圾分类处理。</w:t>
      </w:r>
    </w:p>
    <w:p>
      <w:pPr>
        <w:pStyle w:val="58"/>
        <w:numPr>
          <w:ilvl w:val="1"/>
          <w:numId w:val="1"/>
        </w:numPr>
        <w:spacing w:line="360" w:lineRule="auto"/>
        <w:ind w:firstLineChars="0"/>
        <w:rPr>
          <w:rFonts w:ascii="宋体"/>
          <w:b/>
          <w:sz w:val="28"/>
          <w:szCs w:val="28"/>
        </w:rPr>
      </w:pPr>
      <w:bookmarkStart w:id="61" w:name="_Toc22940"/>
      <w:bookmarkStart w:id="62" w:name="_Toc376873398"/>
      <w:r>
        <w:rPr>
          <w:rFonts w:hint="eastAsia" w:ascii="宋体" w:hAnsi="宋体"/>
          <w:b/>
          <w:sz w:val="28"/>
          <w:szCs w:val="28"/>
        </w:rPr>
        <w:t>循环利用</w:t>
      </w:r>
      <w:bookmarkEnd w:id="61"/>
      <w:bookmarkEnd w:id="62"/>
    </w:p>
    <w:p>
      <w:pPr>
        <w:spacing w:line="360" w:lineRule="auto"/>
        <w:ind w:firstLine="624" w:firstLineChars="223"/>
        <w:rPr>
          <w:rFonts w:ascii="宋体" w:hAnsi="宋体"/>
          <w:sz w:val="28"/>
          <w:szCs w:val="28"/>
        </w:rPr>
      </w:pPr>
      <w:r>
        <w:rPr>
          <w:rFonts w:hint="eastAsia" w:ascii="宋体" w:hAnsi="宋体"/>
          <w:sz w:val="28"/>
          <w:szCs w:val="28"/>
        </w:rPr>
        <w:t>竞赛项目设计和筹备工作要遵循可持续发展原则，耗材回收有序，设备循环。</w:t>
      </w:r>
      <w:bookmarkEnd w:id="0"/>
      <w:bookmarkEnd w:id="1"/>
      <w:bookmarkEnd w:id="2"/>
      <w:bookmarkEnd w:id="3"/>
      <w:bookmarkEnd w:id="4"/>
      <w:bookmarkEnd w:id="5"/>
    </w:p>
    <w:p>
      <w:pPr>
        <w:spacing w:line="360" w:lineRule="auto"/>
        <w:ind w:firstLine="624" w:firstLineChars="223"/>
        <w:rPr>
          <w:rFonts w:ascii="宋体" w:hAnsi="宋体"/>
          <w:sz w:val="28"/>
          <w:szCs w:val="28"/>
        </w:rPr>
      </w:pPr>
    </w:p>
    <w:p>
      <w:pPr>
        <w:spacing w:line="240" w:lineRule="auto"/>
        <w:rPr>
          <w:rFonts w:hint="eastAsia" w:ascii="宋体" w:hAnsi="宋体"/>
          <w:sz w:val="28"/>
          <w:szCs w:val="28"/>
        </w:rPr>
      </w:pPr>
      <w:r>
        <w:rPr>
          <w:rFonts w:hint="eastAsia" w:ascii="宋体" w:hAnsi="宋体"/>
          <w:sz w:val="28"/>
          <w:szCs w:val="28"/>
        </w:rPr>
        <w:br w:type="page"/>
      </w:r>
    </w:p>
    <w:p>
      <w:pPr>
        <w:spacing w:line="360" w:lineRule="auto"/>
        <w:rPr>
          <w:rFonts w:hint="eastAsia" w:ascii="宋体" w:hAnsi="宋体"/>
          <w:sz w:val="28"/>
          <w:szCs w:val="28"/>
        </w:rPr>
      </w:pPr>
    </w:p>
    <w:p>
      <w:pPr>
        <w:rPr>
          <w:rFonts w:hint="eastAsia" w:ascii="宋体" w:hAnsi="宋体"/>
          <w:b/>
          <w:sz w:val="44"/>
          <w:szCs w:val="44"/>
        </w:rPr>
      </w:pPr>
      <w:r>
        <w:rPr>
          <w:rFonts w:ascii="宋体" w:hAnsi="宋体"/>
          <w:b/>
          <w:sz w:val="44"/>
          <w:szCs w:val="44"/>
        </w:rPr>
        <w:t>2023</w:t>
      </w:r>
      <w:r>
        <w:rPr>
          <w:rFonts w:hint="eastAsia" w:ascii="宋体" w:hAnsi="宋体"/>
          <w:b/>
          <w:sz w:val="44"/>
          <w:szCs w:val="44"/>
        </w:rPr>
        <w:t>年江门市</w:t>
      </w:r>
      <w:r>
        <w:rPr>
          <w:rFonts w:hint="eastAsia" w:ascii="宋体" w:hAnsi="宋体"/>
          <w:b/>
          <w:sz w:val="44"/>
          <w:szCs w:val="44"/>
          <w:lang w:eastAsia="zh-CN"/>
        </w:rPr>
        <w:t>建筑工匠大比武职业技能竞</w:t>
      </w:r>
      <w:r>
        <w:rPr>
          <w:rFonts w:hint="eastAsia" w:ascii="宋体" w:hAnsi="宋体"/>
          <w:b/>
          <w:sz w:val="44"/>
          <w:szCs w:val="44"/>
        </w:rPr>
        <w:t>赛</w:t>
      </w:r>
    </w:p>
    <w:p>
      <w:pPr>
        <w:jc w:val="center"/>
        <w:rPr>
          <w:rFonts w:ascii="宋体"/>
          <w:b/>
          <w:sz w:val="44"/>
          <w:szCs w:val="44"/>
        </w:rPr>
      </w:pPr>
      <w:r>
        <w:rPr>
          <w:rFonts w:hint="eastAsia" w:ascii="宋体" w:hAnsi="宋体"/>
          <w:b/>
          <w:sz w:val="44"/>
          <w:szCs w:val="44"/>
        </w:rPr>
        <w:t>建筑电工竞赛方案</w:t>
      </w:r>
    </w:p>
    <w:p>
      <w:pPr>
        <w:rPr>
          <w:b/>
          <w:bCs/>
          <w:szCs w:val="21"/>
        </w:rPr>
      </w:pPr>
      <w:r>
        <w:rPr>
          <w:rFonts w:hint="eastAsia" w:ascii="宋体" w:hAnsi="宋体"/>
          <w:b/>
          <w:szCs w:val="21"/>
        </w:rPr>
        <w:t>根据图纸提供信息，现场装配一</w:t>
      </w:r>
      <w:r>
        <w:rPr>
          <w:rFonts w:hint="eastAsia" w:ascii="宋体" w:hAnsi="宋体"/>
          <w:b/>
          <w:szCs w:val="21"/>
          <w:lang w:eastAsia="zh-CN"/>
        </w:rPr>
        <w:t>个</w:t>
      </w:r>
      <w:r>
        <w:rPr>
          <w:rFonts w:hint="eastAsia" w:ascii="宋体" w:hAnsi="宋体"/>
          <w:b/>
          <w:szCs w:val="21"/>
        </w:rPr>
        <w:t>二级配电箱</w:t>
      </w:r>
      <w:r>
        <w:rPr>
          <w:rFonts w:hint="eastAsia"/>
          <w:b/>
          <w:bCs/>
          <w:szCs w:val="21"/>
        </w:rPr>
        <w:t xml:space="preserve"> 。</w:t>
      </w:r>
    </w:p>
    <w:p>
      <w:pPr>
        <w:rPr>
          <w:b/>
          <w:bCs/>
          <w:szCs w:val="21"/>
        </w:rPr>
      </w:pPr>
      <w:r>
        <w:rPr>
          <w:b/>
          <w:bCs/>
          <w:szCs w:val="21"/>
        </w:rPr>
        <w:drawing>
          <wp:inline distT="0" distB="0" distL="0" distR="0">
            <wp:extent cx="5731510" cy="406527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srcRect/>
                    <a:stretch>
                      <a:fillRect/>
                    </a:stretch>
                  </pic:blipFill>
                  <pic:spPr>
                    <a:xfrm>
                      <a:off x="0" y="0"/>
                      <a:ext cx="5731510" cy="4065357"/>
                    </a:xfrm>
                    <a:prstGeom prst="rect">
                      <a:avLst/>
                    </a:prstGeom>
                    <a:noFill/>
                    <a:ln w="9525">
                      <a:noFill/>
                      <a:miter lim="800000"/>
                      <a:headEnd/>
                      <a:tailEnd/>
                    </a:ln>
                  </pic:spPr>
                </pic:pic>
              </a:graphicData>
            </a:graphic>
          </wp:inline>
        </w:drawing>
      </w:r>
    </w:p>
    <w:p>
      <w:pPr>
        <w:rPr>
          <w:b/>
          <w:bCs/>
          <w:szCs w:val="21"/>
        </w:rPr>
      </w:pPr>
    </w:p>
    <w:p>
      <w:pPr>
        <w:jc w:val="center"/>
        <w:rPr>
          <w:b/>
          <w:bCs/>
          <w:szCs w:val="21"/>
        </w:rPr>
      </w:pPr>
    </w:p>
    <w:p>
      <w:pPr>
        <w:jc w:val="center"/>
        <w:rPr>
          <w:rFonts w:hint="eastAsia"/>
          <w:b/>
          <w:bCs/>
          <w:szCs w:val="21"/>
        </w:rPr>
      </w:pPr>
      <w:r>
        <w:rPr>
          <w:rFonts w:hint="eastAsia"/>
          <w:b/>
          <w:bCs/>
          <w:szCs w:val="21"/>
        </w:rPr>
        <w:t>上图元器件排列位置图（非比赛时使用图纸电器元件选择和安装标准），此处只作提示参考</w:t>
      </w:r>
    </w:p>
    <w:p>
      <w:pPr>
        <w:jc w:val="center"/>
        <w:rPr>
          <w:rFonts w:hint="eastAsia"/>
          <w:b/>
          <w:bCs/>
          <w:szCs w:val="21"/>
        </w:rPr>
      </w:pPr>
      <w:r>
        <w:rPr>
          <w:rFonts w:hint="eastAsia"/>
          <w:b/>
          <w:bCs/>
          <w:szCs w:val="21"/>
        </w:rPr>
        <w:br w:type="textWrapping"/>
      </w:r>
      <w:r>
        <w:rPr>
          <w:rFonts w:hint="eastAsia"/>
          <w:b/>
          <w:bCs/>
          <w:szCs w:val="21"/>
        </w:rPr>
        <w:br w:type="textWrapping"/>
      </w:r>
      <w:r>
        <w:rPr>
          <w:rFonts w:hint="eastAsia"/>
          <w:b/>
          <w:bCs/>
          <w:szCs w:val="21"/>
        </w:rPr>
        <w:br w:type="textWrapping"/>
      </w:r>
      <w:r>
        <w:rPr>
          <w:rFonts w:hint="eastAsia"/>
          <w:b/>
          <w:bCs/>
          <w:szCs w:val="21"/>
        </w:rPr>
        <w:br w:type="textWrapping"/>
      </w:r>
      <w:r>
        <w:rPr>
          <w:rFonts w:hint="eastAsia"/>
          <w:b/>
          <w:bCs/>
          <w:szCs w:val="21"/>
        </w:rPr>
        <w:drawing>
          <wp:inline distT="0" distB="0" distL="114300" distR="114300">
            <wp:extent cx="3845560" cy="4807585"/>
            <wp:effectExtent l="0" t="0" r="2540" b="12065"/>
            <wp:docPr id="17" name="图片 17" descr="微信图片_2023110310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1103105419"/>
                    <pic:cNvPicPr>
                      <a:picLocks noChangeAspect="1"/>
                    </pic:cNvPicPr>
                  </pic:nvPicPr>
                  <pic:blipFill>
                    <a:blip r:embed="rId10"/>
                    <a:stretch>
                      <a:fillRect/>
                    </a:stretch>
                  </pic:blipFill>
                  <pic:spPr>
                    <a:xfrm>
                      <a:off x="0" y="0"/>
                      <a:ext cx="3845560" cy="4807585"/>
                    </a:xfrm>
                    <a:prstGeom prst="rect">
                      <a:avLst/>
                    </a:prstGeom>
                  </pic:spPr>
                </pic:pic>
              </a:graphicData>
            </a:graphic>
          </wp:inline>
        </w:drawing>
      </w:r>
    </w:p>
    <w:p>
      <w:pPr>
        <w:jc w:val="center"/>
        <w:rPr>
          <w:rFonts w:hint="eastAsia"/>
          <w:b/>
          <w:bCs/>
          <w:szCs w:val="21"/>
        </w:rPr>
      </w:pPr>
    </w:p>
    <w:p>
      <w:pPr>
        <w:jc w:val="center"/>
        <w:rPr>
          <w:rFonts w:hint="eastAsia"/>
          <w:b/>
          <w:bCs/>
          <w:szCs w:val="21"/>
        </w:rPr>
      </w:pPr>
    </w:p>
    <w:p>
      <w:pPr>
        <w:jc w:val="center"/>
        <w:rPr>
          <w:b/>
          <w:bCs/>
          <w:szCs w:val="21"/>
        </w:rPr>
      </w:pPr>
      <w:r>
        <w:rPr>
          <w:rFonts w:hint="eastAsia"/>
          <w:b/>
          <w:bCs/>
          <w:szCs w:val="21"/>
        </w:rPr>
        <w:t>上图元器件排列位置图</w:t>
      </w:r>
      <w:bookmarkStart w:id="63" w:name="_GoBack"/>
      <w:bookmarkEnd w:id="63"/>
      <w:r>
        <w:rPr>
          <w:rFonts w:hint="eastAsia"/>
          <w:b/>
          <w:bCs/>
          <w:szCs w:val="21"/>
        </w:rPr>
        <w:t>（非比赛时使用图纸电器元件选择和安装标准），此处只作提示参考</w:t>
      </w:r>
    </w:p>
    <w:sectPr>
      <w:headerReference r:id="rId5" w:type="default"/>
      <w:footerReference r:id="rId6" w:type="default"/>
      <w:footerReference r:id="rId7" w:type="even"/>
      <w:pgSz w:w="11906" w:h="16838"/>
      <w:pgMar w:top="1418" w:right="1440" w:bottom="1797" w:left="1440"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T6Do00">
    <w:altName w:val="Times New Roman"/>
    <w:panose1 w:val="00000000000000000000"/>
    <w:charset w:val="00"/>
    <w:family w:val="roman"/>
    <w:pitch w:val="default"/>
    <w:sig w:usb0="00000000" w:usb1="00000000" w:usb2="00000000" w:usb3="00000000" w:csb0="00000001" w:csb1="00000000"/>
  </w:font>
  <w:font w:name="TT6Ao00">
    <w:altName w:val="Times New Roman"/>
    <w:panose1 w:val="00000000000000000000"/>
    <w:charset w:val="00"/>
    <w:family w:val="roman"/>
    <w:pitch w:val="default"/>
    <w:sig w:usb0="00000000" w:usb1="00000000" w:usb2="00000000" w:usb3="00000000" w:csb0="00000001" w:csb1="00000000"/>
  </w:font>
  <w:font w:name="文鼎大标宋简">
    <w:altName w:val="微软雅黑"/>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方正宋三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6"/>
      </w:rPr>
    </w:pPr>
    <w:r>
      <w:rPr>
        <w:rStyle w:val="26"/>
      </w:rPr>
      <w:fldChar w:fldCharType="begin"/>
    </w:r>
    <w:r>
      <w:rPr>
        <w:rStyle w:val="26"/>
      </w:rPr>
      <w:instrText xml:space="preserve">PAGE  </w:instrText>
    </w:r>
    <w:r>
      <w:rPr>
        <w:rStyle w:val="26"/>
      </w:rP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6"/>
      </w:rPr>
    </w:pPr>
    <w:r>
      <w:rPr>
        <w:rStyle w:val="26"/>
      </w:rPr>
      <w:fldChar w:fldCharType="begin"/>
    </w:r>
    <w:r>
      <w:rPr>
        <w:rStyle w:val="26"/>
      </w:rPr>
      <w:instrText xml:space="preserve">PAGE  </w:instrText>
    </w:r>
    <w:r>
      <w:rPr>
        <w:rStyle w:val="26"/>
      </w:rPr>
      <w:fldChar w:fldCharType="separate"/>
    </w:r>
    <w:r>
      <w:rPr>
        <w:rStyle w:val="26"/>
      </w:rPr>
      <w:t>- 8 -</w:t>
    </w:r>
    <w:r>
      <w:rPr>
        <w:rStyle w:val="26"/>
      </w:rP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6"/>
      </w:rPr>
    </w:pPr>
    <w:r>
      <w:rPr>
        <w:rStyle w:val="26"/>
      </w:rPr>
      <w:fldChar w:fldCharType="begin"/>
    </w:r>
    <w:r>
      <w:rPr>
        <w:rStyle w:val="26"/>
      </w:rPr>
      <w:instrText xml:space="preserve">PAGE  </w:instrText>
    </w:r>
    <w:r>
      <w:rPr>
        <w:rStyle w:val="26"/>
      </w:rPr>
      <w:fldChar w:fldCharType="end"/>
    </w:r>
  </w:p>
  <w:p>
    <w:pPr>
      <w:pStyle w:val="1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spacing w:line="240" w:lineRule="auto"/>
      <w:ind w:firstLine="0"/>
      <w:jc w:val="center"/>
      <w:rPr>
        <w:rFonts w:hAnsi="宋体"/>
        <w:bCs/>
        <w:color w:val="000000"/>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B"/>
    <w:multiLevelType w:val="multilevel"/>
    <w:tmpl w:val="0000001B"/>
    <w:lvl w:ilvl="0" w:tentative="0">
      <w:start w:val="1"/>
      <w:numFmt w:val="decimal"/>
      <w:lvlText w:val="%1."/>
      <w:lvlJc w:val="left"/>
      <w:pPr>
        <w:ind w:left="425" w:hanging="425"/>
      </w:pPr>
      <w:rPr>
        <w:rFonts w:cs="Times New Roman"/>
      </w:rPr>
    </w:lvl>
    <w:lvl w:ilvl="1" w:tentative="0">
      <w:start w:val="1"/>
      <w:numFmt w:val="decimal"/>
      <w:lvlText w:val="%1.%2."/>
      <w:lvlJc w:val="left"/>
      <w:pPr>
        <w:ind w:left="567" w:hanging="567"/>
      </w:pPr>
      <w:rPr>
        <w:rFonts w:cs="Times New Roman"/>
        <w:b/>
      </w:rPr>
    </w:lvl>
    <w:lvl w:ilvl="2" w:tentative="0">
      <w:start w:val="1"/>
      <w:numFmt w:val="decimal"/>
      <w:lvlText w:val="%1.%2.%3."/>
      <w:lvlJc w:val="left"/>
      <w:pPr>
        <w:ind w:left="709" w:hanging="709"/>
      </w:pPr>
      <w:rPr>
        <w:rFonts w:cs="Times New Roman"/>
        <w:b/>
      </w:rPr>
    </w:lvl>
    <w:lvl w:ilvl="3" w:tentative="0">
      <w:start w:val="1"/>
      <w:numFmt w:val="decimal"/>
      <w:lvlText w:val="%1.%2.%3.%4."/>
      <w:lvlJc w:val="left"/>
      <w:pPr>
        <w:ind w:left="851" w:hanging="851"/>
      </w:pPr>
      <w:rPr>
        <w:rFonts w:cs="Times New Roman"/>
      </w:rPr>
    </w:lvl>
    <w:lvl w:ilvl="4" w:tentative="0">
      <w:start w:val="1"/>
      <w:numFmt w:val="decimal"/>
      <w:lvlText w:val="%1.%2.%3.%4.%5."/>
      <w:lvlJc w:val="left"/>
      <w:pPr>
        <w:ind w:left="992" w:hanging="992"/>
      </w:pPr>
      <w:rPr>
        <w:rFonts w:cs="Times New Roman"/>
      </w:rPr>
    </w:lvl>
    <w:lvl w:ilvl="5" w:tentative="0">
      <w:start w:val="1"/>
      <w:numFmt w:val="decimal"/>
      <w:lvlText w:val="%1.%2.%3.%4.%5.%6."/>
      <w:lvlJc w:val="left"/>
      <w:pPr>
        <w:ind w:left="1134" w:hanging="1134"/>
      </w:pPr>
      <w:rPr>
        <w:rFonts w:cs="Times New Roman"/>
      </w:rPr>
    </w:lvl>
    <w:lvl w:ilvl="6" w:tentative="0">
      <w:start w:val="1"/>
      <w:numFmt w:val="decimal"/>
      <w:lvlText w:val="%1.%2.%3.%4.%5.%6.%7."/>
      <w:lvlJc w:val="left"/>
      <w:pPr>
        <w:ind w:left="1276" w:hanging="1276"/>
      </w:pPr>
      <w:rPr>
        <w:rFonts w:cs="Times New Roman"/>
      </w:rPr>
    </w:lvl>
    <w:lvl w:ilvl="7" w:tentative="0">
      <w:start w:val="1"/>
      <w:numFmt w:val="decimal"/>
      <w:lvlText w:val="%1.%2.%3.%4.%5.%6.%7.%8."/>
      <w:lvlJc w:val="left"/>
      <w:pPr>
        <w:ind w:left="1418" w:hanging="1418"/>
      </w:pPr>
      <w:rPr>
        <w:rFonts w:cs="Times New Roman"/>
      </w:rPr>
    </w:lvl>
    <w:lvl w:ilvl="8" w:tentative="0">
      <w:start w:val="1"/>
      <w:numFmt w:val="decimal"/>
      <w:lvlText w:val="%1.%2.%3.%4.%5.%6.%7.%8.%9."/>
      <w:lvlJc w:val="left"/>
      <w:pPr>
        <w:ind w:left="1559" w:hanging="1559"/>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5MGZkYTQ3MGRhMTc4MGU1ZDYzYjAxNzljYjA3NDMifQ=="/>
  </w:docVars>
  <w:rsids>
    <w:rsidRoot w:val="006A14CD"/>
    <w:rsid w:val="000222F7"/>
    <w:rsid w:val="00026340"/>
    <w:rsid w:val="000328EB"/>
    <w:rsid w:val="0009200D"/>
    <w:rsid w:val="0011390A"/>
    <w:rsid w:val="00203A2C"/>
    <w:rsid w:val="00226330"/>
    <w:rsid w:val="002C745A"/>
    <w:rsid w:val="00305E5B"/>
    <w:rsid w:val="003357A2"/>
    <w:rsid w:val="00355D2B"/>
    <w:rsid w:val="00382306"/>
    <w:rsid w:val="003A7D28"/>
    <w:rsid w:val="003D2F54"/>
    <w:rsid w:val="004A0407"/>
    <w:rsid w:val="004B2E65"/>
    <w:rsid w:val="004F29A7"/>
    <w:rsid w:val="00647485"/>
    <w:rsid w:val="00650444"/>
    <w:rsid w:val="00651399"/>
    <w:rsid w:val="006A14CD"/>
    <w:rsid w:val="006B74BF"/>
    <w:rsid w:val="0073418C"/>
    <w:rsid w:val="00781835"/>
    <w:rsid w:val="007844EE"/>
    <w:rsid w:val="007E2EF7"/>
    <w:rsid w:val="00806A8F"/>
    <w:rsid w:val="00827994"/>
    <w:rsid w:val="008723B1"/>
    <w:rsid w:val="00875A6E"/>
    <w:rsid w:val="008F0D12"/>
    <w:rsid w:val="0090283A"/>
    <w:rsid w:val="00924288"/>
    <w:rsid w:val="009577C2"/>
    <w:rsid w:val="009873F6"/>
    <w:rsid w:val="009D1737"/>
    <w:rsid w:val="00A03DCF"/>
    <w:rsid w:val="00B01D8A"/>
    <w:rsid w:val="00B55BE2"/>
    <w:rsid w:val="00BA573F"/>
    <w:rsid w:val="00BD4ABF"/>
    <w:rsid w:val="00BF32C1"/>
    <w:rsid w:val="00C04792"/>
    <w:rsid w:val="00CE675D"/>
    <w:rsid w:val="00CF5302"/>
    <w:rsid w:val="00D610F5"/>
    <w:rsid w:val="00DB7160"/>
    <w:rsid w:val="00E144C2"/>
    <w:rsid w:val="00E62AC1"/>
    <w:rsid w:val="00E64D9E"/>
    <w:rsid w:val="00EA0876"/>
    <w:rsid w:val="00F2312E"/>
    <w:rsid w:val="00FC7C19"/>
    <w:rsid w:val="00FD380B"/>
    <w:rsid w:val="0143022B"/>
    <w:rsid w:val="08566A1E"/>
    <w:rsid w:val="0E1A069B"/>
    <w:rsid w:val="0FB32196"/>
    <w:rsid w:val="1308230D"/>
    <w:rsid w:val="198804EA"/>
    <w:rsid w:val="1BEC36E2"/>
    <w:rsid w:val="1D1F17EE"/>
    <w:rsid w:val="1FAC0D50"/>
    <w:rsid w:val="227823C0"/>
    <w:rsid w:val="25837D1B"/>
    <w:rsid w:val="26084E8D"/>
    <w:rsid w:val="261A72A5"/>
    <w:rsid w:val="2A152FFA"/>
    <w:rsid w:val="2C505482"/>
    <w:rsid w:val="2DB120EA"/>
    <w:rsid w:val="2EA878DC"/>
    <w:rsid w:val="34B933B0"/>
    <w:rsid w:val="354F371B"/>
    <w:rsid w:val="36900F74"/>
    <w:rsid w:val="36BE7F6E"/>
    <w:rsid w:val="379F5E28"/>
    <w:rsid w:val="38447FA6"/>
    <w:rsid w:val="3B525FF0"/>
    <w:rsid w:val="3B9D352A"/>
    <w:rsid w:val="3FAB716A"/>
    <w:rsid w:val="413D1916"/>
    <w:rsid w:val="415C159E"/>
    <w:rsid w:val="42D86796"/>
    <w:rsid w:val="43805C0B"/>
    <w:rsid w:val="44BD4C3D"/>
    <w:rsid w:val="47E66365"/>
    <w:rsid w:val="47ED0560"/>
    <w:rsid w:val="4AC5484B"/>
    <w:rsid w:val="4BF420F6"/>
    <w:rsid w:val="4CF0094B"/>
    <w:rsid w:val="502827D7"/>
    <w:rsid w:val="54F44707"/>
    <w:rsid w:val="561646DB"/>
    <w:rsid w:val="56C34BB0"/>
    <w:rsid w:val="5B4B4D6C"/>
    <w:rsid w:val="5B5002C3"/>
    <w:rsid w:val="5DD15589"/>
    <w:rsid w:val="5F466134"/>
    <w:rsid w:val="60974C13"/>
    <w:rsid w:val="63A30B76"/>
    <w:rsid w:val="65E11BE3"/>
    <w:rsid w:val="67316974"/>
    <w:rsid w:val="677F4C7F"/>
    <w:rsid w:val="6790224F"/>
    <w:rsid w:val="6A432172"/>
    <w:rsid w:val="6AEB2313"/>
    <w:rsid w:val="6B127C81"/>
    <w:rsid w:val="6BC51650"/>
    <w:rsid w:val="6C6165E8"/>
    <w:rsid w:val="761E0453"/>
    <w:rsid w:val="7B592F3D"/>
    <w:rsid w:val="7F8B36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33"/>
    <w:qFormat/>
    <w:uiPriority w:val="99"/>
    <w:pPr>
      <w:keepNext/>
      <w:keepLines/>
      <w:spacing w:before="240" w:after="240" w:line="380" w:lineRule="exact"/>
      <w:jc w:val="center"/>
      <w:outlineLvl w:val="2"/>
    </w:pPr>
    <w:rPr>
      <w:rFonts w:ascii="宋体" w:hAnsi="宋体"/>
      <w:b/>
      <w:spacing w:val="-2"/>
      <w:sz w:val="30"/>
      <w:shd w:val="pct10" w:color="auto" w:fill="FFFFFF"/>
    </w:rPr>
  </w:style>
  <w:style w:type="paragraph" w:styleId="5">
    <w:name w:val="heading 4"/>
    <w:basedOn w:val="1"/>
    <w:next w:val="6"/>
    <w:link w:val="34"/>
    <w:qFormat/>
    <w:uiPriority w:val="99"/>
    <w:pPr>
      <w:widowControl/>
      <w:tabs>
        <w:tab w:val="left" w:pos="0"/>
      </w:tabs>
      <w:overflowPunct w:val="0"/>
      <w:autoSpaceDE w:val="0"/>
      <w:autoSpaceDN w:val="0"/>
      <w:adjustRightInd w:val="0"/>
      <w:spacing w:line="360" w:lineRule="auto"/>
      <w:textAlignment w:val="baseline"/>
      <w:outlineLvl w:val="3"/>
    </w:pPr>
    <w:rPr>
      <w:rFonts w:ascii="黑体" w:eastAsia="黑体"/>
      <w:color w:val="000080"/>
      <w:spacing w:val="20"/>
      <w:kern w:val="0"/>
      <w:sz w:val="24"/>
      <w:szCs w:val="24"/>
    </w:rPr>
  </w:style>
  <w:style w:type="paragraph" w:styleId="7">
    <w:name w:val="heading 5"/>
    <w:basedOn w:val="1"/>
    <w:next w:val="6"/>
    <w:link w:val="35"/>
    <w:qFormat/>
    <w:uiPriority w:val="99"/>
    <w:pPr>
      <w:widowControl/>
      <w:tabs>
        <w:tab w:val="left" w:pos="0"/>
      </w:tabs>
      <w:overflowPunct w:val="0"/>
      <w:autoSpaceDE w:val="0"/>
      <w:autoSpaceDN w:val="0"/>
      <w:adjustRightInd w:val="0"/>
      <w:spacing w:before="120" w:line="360" w:lineRule="auto"/>
      <w:textAlignment w:val="baseline"/>
      <w:outlineLvl w:val="4"/>
    </w:pPr>
    <w:rPr>
      <w:b/>
      <w:color w:val="FFFF00"/>
      <w:spacing w:val="20"/>
      <w:kern w:val="0"/>
      <w:sz w:val="24"/>
    </w:rPr>
  </w:style>
  <w:style w:type="paragraph" w:styleId="8">
    <w:name w:val="heading 6"/>
    <w:basedOn w:val="1"/>
    <w:next w:val="6"/>
    <w:link w:val="36"/>
    <w:qFormat/>
    <w:uiPriority w:val="99"/>
    <w:pPr>
      <w:widowControl/>
      <w:tabs>
        <w:tab w:val="left" w:pos="0"/>
      </w:tabs>
      <w:overflowPunct w:val="0"/>
      <w:autoSpaceDE w:val="0"/>
      <w:autoSpaceDN w:val="0"/>
      <w:adjustRightInd w:val="0"/>
      <w:spacing w:before="120" w:line="360" w:lineRule="auto"/>
      <w:textAlignment w:val="baseline"/>
      <w:outlineLvl w:val="5"/>
    </w:pPr>
    <w:rPr>
      <w:color w:val="FFFF00"/>
      <w:spacing w:val="20"/>
      <w:kern w:val="0"/>
      <w:sz w:val="24"/>
      <w:u w:val="single"/>
    </w:rPr>
  </w:style>
  <w:style w:type="paragraph" w:styleId="9">
    <w:name w:val="heading 7"/>
    <w:basedOn w:val="1"/>
    <w:next w:val="6"/>
    <w:link w:val="37"/>
    <w:qFormat/>
    <w:uiPriority w:val="99"/>
    <w:pPr>
      <w:widowControl/>
      <w:tabs>
        <w:tab w:val="left" w:pos="0"/>
      </w:tabs>
      <w:overflowPunct w:val="0"/>
      <w:autoSpaceDE w:val="0"/>
      <w:autoSpaceDN w:val="0"/>
      <w:adjustRightInd w:val="0"/>
      <w:spacing w:before="120" w:line="360" w:lineRule="auto"/>
      <w:textAlignment w:val="baseline"/>
      <w:outlineLvl w:val="6"/>
    </w:pPr>
    <w:rPr>
      <w:i/>
      <w:color w:val="FFFFFF"/>
      <w:spacing w:val="20"/>
      <w:kern w:val="0"/>
      <w:sz w:val="24"/>
    </w:rPr>
  </w:style>
  <w:style w:type="paragraph" w:styleId="10">
    <w:name w:val="heading 8"/>
    <w:basedOn w:val="1"/>
    <w:next w:val="6"/>
    <w:link w:val="38"/>
    <w:qFormat/>
    <w:uiPriority w:val="99"/>
    <w:pPr>
      <w:widowControl/>
      <w:tabs>
        <w:tab w:val="left" w:pos="0"/>
      </w:tabs>
      <w:overflowPunct w:val="0"/>
      <w:autoSpaceDE w:val="0"/>
      <w:autoSpaceDN w:val="0"/>
      <w:adjustRightInd w:val="0"/>
      <w:spacing w:before="120" w:line="360" w:lineRule="auto"/>
      <w:textAlignment w:val="baseline"/>
      <w:outlineLvl w:val="7"/>
    </w:pPr>
    <w:rPr>
      <w:i/>
      <w:color w:val="FFFFFF"/>
      <w:spacing w:val="20"/>
      <w:kern w:val="0"/>
      <w:sz w:val="24"/>
    </w:rPr>
  </w:style>
  <w:style w:type="paragraph" w:styleId="11">
    <w:name w:val="heading 9"/>
    <w:basedOn w:val="1"/>
    <w:next w:val="6"/>
    <w:link w:val="39"/>
    <w:qFormat/>
    <w:uiPriority w:val="99"/>
    <w:pPr>
      <w:widowControl/>
      <w:tabs>
        <w:tab w:val="left" w:pos="0"/>
      </w:tabs>
      <w:overflowPunct w:val="0"/>
      <w:autoSpaceDE w:val="0"/>
      <w:autoSpaceDN w:val="0"/>
      <w:adjustRightInd w:val="0"/>
      <w:spacing w:before="120" w:line="360" w:lineRule="auto"/>
      <w:textAlignment w:val="baseline"/>
      <w:outlineLvl w:val="8"/>
    </w:pPr>
    <w:rPr>
      <w:i/>
      <w:color w:val="FFFFFF"/>
      <w:spacing w:val="20"/>
      <w:kern w:val="0"/>
      <w:sz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ind w:firstLine="420" w:firstLineChars="200"/>
    </w:pPr>
    <w:rPr>
      <w:szCs w:val="24"/>
    </w:rPr>
  </w:style>
  <w:style w:type="paragraph" w:styleId="12">
    <w:name w:val="annotation text"/>
    <w:basedOn w:val="1"/>
    <w:link w:val="40"/>
    <w:qFormat/>
    <w:uiPriority w:val="99"/>
    <w:pPr>
      <w:jc w:val="left"/>
    </w:pPr>
  </w:style>
  <w:style w:type="paragraph" w:styleId="13">
    <w:name w:val="Body Text"/>
    <w:basedOn w:val="1"/>
    <w:link w:val="41"/>
    <w:qFormat/>
    <w:uiPriority w:val="99"/>
    <w:pPr>
      <w:spacing w:after="120"/>
    </w:pPr>
  </w:style>
  <w:style w:type="paragraph" w:styleId="14">
    <w:name w:val="Body Text Indent"/>
    <w:basedOn w:val="1"/>
    <w:link w:val="42"/>
    <w:qFormat/>
    <w:uiPriority w:val="99"/>
    <w:pPr>
      <w:spacing w:after="120"/>
      <w:ind w:left="420" w:leftChars="200"/>
    </w:pPr>
  </w:style>
  <w:style w:type="paragraph" w:styleId="15">
    <w:name w:val="Body Text Indent 2"/>
    <w:basedOn w:val="1"/>
    <w:link w:val="43"/>
    <w:qFormat/>
    <w:uiPriority w:val="99"/>
    <w:pPr>
      <w:ind w:firstLine="435"/>
    </w:pPr>
    <w:rPr>
      <w:rFonts w:ascii="仿宋_GB2312" w:eastAsia="仿宋_GB2312"/>
      <w:sz w:val="28"/>
    </w:rPr>
  </w:style>
  <w:style w:type="paragraph" w:styleId="16">
    <w:name w:val="Balloon Text"/>
    <w:basedOn w:val="1"/>
    <w:link w:val="44"/>
    <w:qFormat/>
    <w:uiPriority w:val="99"/>
    <w:rPr>
      <w:sz w:val="18"/>
    </w:rPr>
  </w:style>
  <w:style w:type="paragraph" w:styleId="17">
    <w:name w:val="footer"/>
    <w:basedOn w:val="1"/>
    <w:link w:val="45"/>
    <w:qFormat/>
    <w:uiPriority w:val="0"/>
    <w:pPr>
      <w:tabs>
        <w:tab w:val="center" w:pos="4153"/>
        <w:tab w:val="right" w:pos="8306"/>
      </w:tabs>
      <w:snapToGrid w:val="0"/>
      <w:jc w:val="left"/>
    </w:pPr>
    <w:rPr>
      <w:rFonts w:ascii="Calibri" w:hAnsi="Calibri"/>
      <w:kern w:val="0"/>
      <w:sz w:val="18"/>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rFonts w:ascii="Calibri" w:hAnsi="Calibri"/>
      <w:kern w:val="0"/>
      <w:sz w:val="18"/>
    </w:rPr>
  </w:style>
  <w:style w:type="paragraph" w:styleId="19">
    <w:name w:val="HTML Preformatted"/>
    <w:basedOn w:val="1"/>
    <w:link w:val="4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link w:val="48"/>
    <w:qFormat/>
    <w:uiPriority w:val="99"/>
    <w:pPr>
      <w:spacing w:before="240" w:after="60"/>
      <w:jc w:val="center"/>
      <w:outlineLvl w:val="0"/>
    </w:pPr>
    <w:rPr>
      <w:rFonts w:ascii="Cambria" w:hAnsi="Cambria"/>
      <w:b/>
      <w:bCs/>
      <w:kern w:val="0"/>
      <w:sz w:val="32"/>
      <w:szCs w:val="32"/>
    </w:rPr>
  </w:style>
  <w:style w:type="table" w:styleId="23">
    <w:name w:val="Table Grid"/>
    <w:basedOn w:val="2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style>
  <w:style w:type="character" w:styleId="26">
    <w:name w:val="page number"/>
    <w:basedOn w:val="24"/>
    <w:qFormat/>
    <w:uiPriority w:val="0"/>
    <w:rPr>
      <w:rFonts w:cs="Times New Roman"/>
    </w:rPr>
  </w:style>
  <w:style w:type="character" w:styleId="27">
    <w:name w:val="Emphasis"/>
    <w:basedOn w:val="24"/>
    <w:qFormat/>
    <w:uiPriority w:val="0"/>
    <w:rPr>
      <w:i/>
      <w:iCs/>
    </w:rPr>
  </w:style>
  <w:style w:type="character" w:styleId="28">
    <w:name w:val="Hyperlink"/>
    <w:basedOn w:val="24"/>
    <w:qFormat/>
    <w:uiPriority w:val="99"/>
    <w:rPr>
      <w:rFonts w:cs="Times New Roman"/>
      <w:color w:val="0000FF"/>
      <w:u w:val="single"/>
    </w:rPr>
  </w:style>
  <w:style w:type="character" w:styleId="29">
    <w:name w:val="annotation reference"/>
    <w:basedOn w:val="24"/>
    <w:qFormat/>
    <w:uiPriority w:val="99"/>
    <w:rPr>
      <w:rFonts w:cs="Times New Roman"/>
      <w:sz w:val="21"/>
      <w:szCs w:val="21"/>
    </w:rPr>
  </w:style>
  <w:style w:type="character" w:customStyle="1" w:styleId="30">
    <w:name w:val="标题 1 Char"/>
    <w:qFormat/>
    <w:uiPriority w:val="0"/>
    <w:rPr>
      <w:b/>
      <w:bCs/>
      <w:kern w:val="44"/>
      <w:sz w:val="44"/>
      <w:szCs w:val="44"/>
    </w:rPr>
  </w:style>
  <w:style w:type="character" w:customStyle="1" w:styleId="31">
    <w:name w:val="标题 1 字符"/>
    <w:basedOn w:val="24"/>
    <w:link w:val="2"/>
    <w:qFormat/>
    <w:uiPriority w:val="99"/>
    <w:rPr>
      <w:rFonts w:ascii="Times New Roman" w:hAnsi="Times New Roman" w:eastAsia="宋体" w:cs="Times New Roman"/>
      <w:b/>
      <w:bCs/>
      <w:kern w:val="44"/>
      <w:sz w:val="44"/>
      <w:szCs w:val="44"/>
    </w:rPr>
  </w:style>
  <w:style w:type="character" w:customStyle="1" w:styleId="32">
    <w:name w:val="标题 2 字符"/>
    <w:basedOn w:val="24"/>
    <w:link w:val="3"/>
    <w:qFormat/>
    <w:uiPriority w:val="99"/>
    <w:rPr>
      <w:rFonts w:ascii="Cambria" w:hAnsi="Cambria" w:eastAsia="宋体" w:cs="Times New Roman"/>
      <w:b/>
      <w:bCs/>
      <w:sz w:val="32"/>
      <w:szCs w:val="32"/>
    </w:rPr>
  </w:style>
  <w:style w:type="character" w:customStyle="1" w:styleId="33">
    <w:name w:val="标题 3 字符"/>
    <w:basedOn w:val="24"/>
    <w:link w:val="4"/>
    <w:qFormat/>
    <w:uiPriority w:val="99"/>
    <w:rPr>
      <w:rFonts w:ascii="宋体" w:hAnsi="宋体" w:eastAsia="宋体" w:cs="Times New Roman"/>
      <w:b/>
      <w:spacing w:val="-2"/>
      <w:sz w:val="20"/>
      <w:szCs w:val="20"/>
    </w:rPr>
  </w:style>
  <w:style w:type="character" w:customStyle="1" w:styleId="34">
    <w:name w:val="标题 4 字符"/>
    <w:basedOn w:val="24"/>
    <w:link w:val="5"/>
    <w:qFormat/>
    <w:uiPriority w:val="99"/>
    <w:rPr>
      <w:rFonts w:ascii="黑体" w:hAnsi="Times New Roman" w:eastAsia="黑体" w:cs="Times New Roman"/>
      <w:color w:val="000080"/>
      <w:spacing w:val="20"/>
      <w:kern w:val="0"/>
      <w:sz w:val="24"/>
      <w:szCs w:val="24"/>
    </w:rPr>
  </w:style>
  <w:style w:type="character" w:customStyle="1" w:styleId="35">
    <w:name w:val="标题 5 字符"/>
    <w:basedOn w:val="24"/>
    <w:link w:val="7"/>
    <w:qFormat/>
    <w:uiPriority w:val="99"/>
    <w:rPr>
      <w:rFonts w:ascii="Times New Roman" w:hAnsi="Times New Roman" w:eastAsia="宋体" w:cs="Times New Roman"/>
      <w:b/>
      <w:color w:val="FFFF00"/>
      <w:spacing w:val="20"/>
      <w:kern w:val="0"/>
      <w:sz w:val="20"/>
      <w:szCs w:val="20"/>
    </w:rPr>
  </w:style>
  <w:style w:type="character" w:customStyle="1" w:styleId="36">
    <w:name w:val="标题 6 字符"/>
    <w:basedOn w:val="24"/>
    <w:link w:val="8"/>
    <w:qFormat/>
    <w:uiPriority w:val="99"/>
    <w:rPr>
      <w:rFonts w:ascii="Times New Roman" w:hAnsi="Times New Roman" w:eastAsia="宋体" w:cs="Times New Roman"/>
      <w:color w:val="FFFF00"/>
      <w:spacing w:val="20"/>
      <w:kern w:val="0"/>
      <w:sz w:val="20"/>
      <w:szCs w:val="20"/>
      <w:u w:val="single"/>
    </w:rPr>
  </w:style>
  <w:style w:type="character" w:customStyle="1" w:styleId="37">
    <w:name w:val="标题 7 字符"/>
    <w:basedOn w:val="24"/>
    <w:link w:val="9"/>
    <w:qFormat/>
    <w:uiPriority w:val="99"/>
    <w:rPr>
      <w:rFonts w:ascii="Times New Roman" w:hAnsi="Times New Roman" w:eastAsia="宋体" w:cs="Times New Roman"/>
      <w:i/>
      <w:color w:val="FFFFFF"/>
      <w:spacing w:val="20"/>
      <w:kern w:val="0"/>
      <w:sz w:val="20"/>
      <w:szCs w:val="20"/>
    </w:rPr>
  </w:style>
  <w:style w:type="character" w:customStyle="1" w:styleId="38">
    <w:name w:val="标题 8 字符"/>
    <w:basedOn w:val="24"/>
    <w:link w:val="10"/>
    <w:qFormat/>
    <w:uiPriority w:val="99"/>
    <w:rPr>
      <w:rFonts w:ascii="Times New Roman" w:hAnsi="Times New Roman" w:eastAsia="宋体" w:cs="Times New Roman"/>
      <w:i/>
      <w:color w:val="FFFFFF"/>
      <w:spacing w:val="20"/>
      <w:kern w:val="0"/>
      <w:sz w:val="20"/>
      <w:szCs w:val="20"/>
    </w:rPr>
  </w:style>
  <w:style w:type="character" w:customStyle="1" w:styleId="39">
    <w:name w:val="标题 9 字符"/>
    <w:basedOn w:val="24"/>
    <w:link w:val="11"/>
    <w:qFormat/>
    <w:uiPriority w:val="99"/>
    <w:rPr>
      <w:rFonts w:ascii="Times New Roman" w:hAnsi="Times New Roman" w:eastAsia="宋体" w:cs="Times New Roman"/>
      <w:i/>
      <w:color w:val="FFFFFF"/>
      <w:spacing w:val="20"/>
      <w:kern w:val="0"/>
      <w:sz w:val="20"/>
      <w:szCs w:val="20"/>
    </w:rPr>
  </w:style>
  <w:style w:type="character" w:customStyle="1" w:styleId="40">
    <w:name w:val="批注文字 字符"/>
    <w:basedOn w:val="24"/>
    <w:link w:val="12"/>
    <w:qFormat/>
    <w:uiPriority w:val="99"/>
    <w:rPr>
      <w:rFonts w:ascii="Times New Roman" w:hAnsi="Times New Roman"/>
      <w:szCs w:val="20"/>
    </w:rPr>
  </w:style>
  <w:style w:type="character" w:customStyle="1" w:styleId="41">
    <w:name w:val="正文文本 字符"/>
    <w:basedOn w:val="24"/>
    <w:link w:val="13"/>
    <w:qFormat/>
    <w:uiPriority w:val="99"/>
    <w:rPr>
      <w:rFonts w:ascii="Times New Roman" w:hAnsi="Times New Roman" w:eastAsia="宋体" w:cs="Times New Roman"/>
      <w:sz w:val="20"/>
      <w:szCs w:val="20"/>
    </w:rPr>
  </w:style>
  <w:style w:type="character" w:customStyle="1" w:styleId="42">
    <w:name w:val="正文文本缩进 字符"/>
    <w:basedOn w:val="24"/>
    <w:link w:val="14"/>
    <w:qFormat/>
    <w:uiPriority w:val="99"/>
    <w:rPr>
      <w:rFonts w:ascii="Times New Roman" w:hAnsi="Times New Roman" w:eastAsia="宋体" w:cs="Times New Roman"/>
      <w:sz w:val="20"/>
      <w:szCs w:val="20"/>
    </w:rPr>
  </w:style>
  <w:style w:type="character" w:customStyle="1" w:styleId="43">
    <w:name w:val="正文文本缩进 2 字符"/>
    <w:basedOn w:val="24"/>
    <w:link w:val="15"/>
    <w:qFormat/>
    <w:uiPriority w:val="99"/>
    <w:rPr>
      <w:rFonts w:ascii="仿宋_GB2312" w:hAnsi="Times New Roman" w:eastAsia="仿宋_GB2312" w:cs="Times New Roman"/>
      <w:sz w:val="20"/>
      <w:szCs w:val="20"/>
    </w:rPr>
  </w:style>
  <w:style w:type="character" w:customStyle="1" w:styleId="44">
    <w:name w:val="批注框文本 字符"/>
    <w:basedOn w:val="24"/>
    <w:link w:val="16"/>
    <w:qFormat/>
    <w:uiPriority w:val="99"/>
    <w:rPr>
      <w:rFonts w:ascii="Times New Roman" w:hAnsi="Times New Roman" w:eastAsia="宋体" w:cs="Times New Roman"/>
      <w:sz w:val="20"/>
      <w:szCs w:val="20"/>
    </w:rPr>
  </w:style>
  <w:style w:type="character" w:customStyle="1" w:styleId="45">
    <w:name w:val="页脚 字符"/>
    <w:basedOn w:val="24"/>
    <w:link w:val="17"/>
    <w:qFormat/>
    <w:uiPriority w:val="99"/>
    <w:rPr>
      <w:sz w:val="18"/>
    </w:rPr>
  </w:style>
  <w:style w:type="character" w:customStyle="1" w:styleId="46">
    <w:name w:val="页眉 字符"/>
    <w:basedOn w:val="24"/>
    <w:link w:val="18"/>
    <w:qFormat/>
    <w:uiPriority w:val="99"/>
    <w:rPr>
      <w:sz w:val="18"/>
    </w:rPr>
  </w:style>
  <w:style w:type="character" w:customStyle="1" w:styleId="47">
    <w:name w:val="HTML 预设格式 字符"/>
    <w:basedOn w:val="24"/>
    <w:link w:val="19"/>
    <w:qFormat/>
    <w:uiPriority w:val="99"/>
    <w:rPr>
      <w:rFonts w:ascii="宋体" w:hAnsi="宋体" w:eastAsia="宋体" w:cs="宋体"/>
      <w:kern w:val="0"/>
      <w:sz w:val="24"/>
      <w:szCs w:val="24"/>
    </w:rPr>
  </w:style>
  <w:style w:type="character" w:customStyle="1" w:styleId="48">
    <w:name w:val="标题 字符"/>
    <w:basedOn w:val="24"/>
    <w:link w:val="21"/>
    <w:qFormat/>
    <w:uiPriority w:val="99"/>
    <w:rPr>
      <w:rFonts w:ascii="Cambria" w:hAnsi="Cambria"/>
      <w:b/>
      <w:sz w:val="32"/>
    </w:rPr>
  </w:style>
  <w:style w:type="character" w:customStyle="1" w:styleId="49">
    <w:name w:val="页眉 Char1"/>
    <w:basedOn w:val="24"/>
    <w:qFormat/>
    <w:uiPriority w:val="99"/>
    <w:rPr>
      <w:rFonts w:ascii="Times New Roman" w:hAnsi="Times New Roman" w:eastAsia="宋体" w:cs="Times New Roman"/>
      <w:sz w:val="18"/>
      <w:szCs w:val="18"/>
    </w:rPr>
  </w:style>
  <w:style w:type="character" w:customStyle="1" w:styleId="50">
    <w:name w:val="页脚 Char1"/>
    <w:basedOn w:val="24"/>
    <w:qFormat/>
    <w:uiPriority w:val="99"/>
    <w:rPr>
      <w:rFonts w:ascii="Times New Roman" w:hAnsi="Times New Roman" w:eastAsia="宋体" w:cs="Times New Roman"/>
      <w:sz w:val="18"/>
      <w:szCs w:val="18"/>
    </w:rPr>
  </w:style>
  <w:style w:type="character" w:customStyle="1" w:styleId="51">
    <w:name w:val="标题 Char1"/>
    <w:basedOn w:val="24"/>
    <w:qFormat/>
    <w:uiPriority w:val="99"/>
    <w:rPr>
      <w:rFonts w:ascii="Cambria" w:hAnsi="Cambria" w:eastAsia="宋体" w:cs="Times New Roman"/>
      <w:b/>
      <w:bCs/>
      <w:sz w:val="32"/>
      <w:szCs w:val="32"/>
    </w:rPr>
  </w:style>
  <w:style w:type="paragraph" w:customStyle="1" w:styleId="52">
    <w:name w:val="Char"/>
    <w:basedOn w:val="1"/>
    <w:qFormat/>
    <w:uiPriority w:val="99"/>
    <w:pPr>
      <w:widowControl/>
      <w:spacing w:after="160" w:line="240" w:lineRule="exact"/>
      <w:jc w:val="left"/>
    </w:pPr>
    <w:rPr>
      <w:sz w:val="18"/>
    </w:rPr>
  </w:style>
  <w:style w:type="paragraph" w:customStyle="1" w:styleId="53">
    <w:name w:val="样式"/>
    <w:qFormat/>
    <w:uiPriority w:val="99"/>
    <w:pPr>
      <w:widowControl w:val="0"/>
      <w:autoSpaceDE w:val="0"/>
      <w:autoSpaceDN w:val="0"/>
      <w:adjustRightInd w:val="0"/>
    </w:pPr>
    <w:rPr>
      <w:rFonts w:ascii="宋体" w:hAnsi="宋体" w:eastAsia="宋体" w:cs="Times New Roman"/>
      <w:sz w:val="24"/>
      <w:lang w:val="en-US" w:eastAsia="zh-CN" w:bidi="ar-SA"/>
    </w:rPr>
  </w:style>
  <w:style w:type="paragraph" w:customStyle="1" w:styleId="54">
    <w:name w:val="Text"/>
    <w:basedOn w:val="1"/>
    <w:qFormat/>
    <w:uiPriority w:val="99"/>
    <w:pPr>
      <w:widowControl/>
      <w:overflowPunct w:val="0"/>
      <w:autoSpaceDE w:val="0"/>
      <w:autoSpaceDN w:val="0"/>
      <w:adjustRightInd w:val="0"/>
      <w:spacing w:line="360" w:lineRule="atLeast"/>
      <w:ind w:firstLine="540"/>
      <w:textAlignment w:val="baseline"/>
    </w:pPr>
    <w:rPr>
      <w:rFonts w:ascii="宋体"/>
      <w:spacing w:val="-5"/>
      <w:kern w:val="0"/>
      <w:sz w:val="24"/>
    </w:rPr>
  </w:style>
  <w:style w:type="character" w:customStyle="1" w:styleId="55">
    <w:name w:val="fontstyle01"/>
    <w:qFormat/>
    <w:uiPriority w:val="99"/>
    <w:rPr>
      <w:rFonts w:ascii="TT6Do00" w:hAnsi="TT6Do00" w:eastAsia="宋体"/>
      <w:color w:val="000000"/>
      <w:sz w:val="32"/>
    </w:rPr>
  </w:style>
  <w:style w:type="character" w:customStyle="1" w:styleId="56">
    <w:name w:val="fontstyle11"/>
    <w:qFormat/>
    <w:uiPriority w:val="99"/>
    <w:rPr>
      <w:rFonts w:ascii="TT6Ao00" w:hAnsi="TT6Ao00" w:eastAsia="宋体"/>
      <w:color w:val="000000"/>
      <w:sz w:val="32"/>
    </w:rPr>
  </w:style>
  <w:style w:type="table" w:customStyle="1" w:styleId="57">
    <w:name w:val="网格型1"/>
    <w:qFormat/>
    <w:uiPriority w:val="9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8">
    <w:name w:val="列出段落1"/>
    <w:basedOn w:val="1"/>
    <w:qFormat/>
    <w:uiPriority w:val="99"/>
    <w:pPr>
      <w:ind w:firstLine="420" w:firstLineChars="200"/>
    </w:pPr>
  </w:style>
  <w:style w:type="paragraph" w:customStyle="1" w:styleId="59">
    <w:name w:val="p0"/>
    <w:basedOn w:val="1"/>
    <w:qFormat/>
    <w:uiPriority w:val="99"/>
    <w:pPr>
      <w:widowControl/>
      <w:spacing w:after="200" w:line="273" w:lineRule="auto"/>
      <w:jc w:val="left"/>
    </w:pPr>
    <w:rPr>
      <w:rFonts w:ascii="Calibri" w:hAnsi="Calibri" w:cs="宋体"/>
      <w:kern w:val="0"/>
      <w:sz w:val="22"/>
      <w:szCs w:val="22"/>
    </w:rPr>
  </w:style>
  <w:style w:type="paragraph" w:styleId="60">
    <w:name w:val="List Paragraph"/>
    <w:basedOn w:val="1"/>
    <w:qFormat/>
    <w:uiPriority w:val="99"/>
    <w:pPr>
      <w:ind w:firstLine="420" w:firstLineChars="200"/>
    </w:pPr>
  </w:style>
  <w:style w:type="character" w:customStyle="1" w:styleId="61">
    <w:name w:val="页眉 Char"/>
    <w:qFormat/>
    <w:uiPriority w:val="0"/>
    <w:rPr>
      <w:kern w:val="2"/>
      <w:sz w:val="18"/>
      <w:szCs w:val="18"/>
    </w:rPr>
  </w:style>
  <w:style w:type="character" w:customStyle="1" w:styleId="62">
    <w:name w:val="页脚 Char"/>
    <w:qFormat/>
    <w:uiPriority w:val="0"/>
    <w:rPr>
      <w:kern w:val="2"/>
      <w:sz w:val="18"/>
      <w:szCs w:val="18"/>
    </w:rPr>
  </w:style>
  <w:style w:type="character" w:customStyle="1" w:styleId="63">
    <w:name w:val="标题 2 Char"/>
    <w:qFormat/>
    <w:uiPriority w:val="0"/>
    <w:rPr>
      <w:rFonts w:ascii="宋体" w:hAnsi="宋体" w:cs="宋体"/>
      <w:b/>
      <w:bCs/>
      <w:sz w:val="24"/>
      <w:szCs w:val="24"/>
    </w:rPr>
  </w:style>
  <w:style w:type="character" w:customStyle="1" w:styleId="64">
    <w:name w:val="t_tag"/>
    <w:basedOn w:val="24"/>
    <w:qFormat/>
    <w:uiPriority w:val="0"/>
  </w:style>
  <w:style w:type="paragraph" w:customStyle="1" w:styleId="65">
    <w:name w:val="正文2008"/>
    <w:basedOn w:val="1"/>
    <w:link w:val="66"/>
    <w:qFormat/>
    <w:uiPriority w:val="0"/>
    <w:pPr>
      <w:autoSpaceDE w:val="0"/>
      <w:autoSpaceDN w:val="0"/>
      <w:adjustRightInd w:val="0"/>
      <w:jc w:val="left"/>
    </w:pPr>
    <w:rPr>
      <w:rFonts w:ascii="宋体"/>
      <w:color w:val="000000"/>
      <w:spacing w:val="1"/>
      <w:kern w:val="0"/>
      <w:szCs w:val="21"/>
    </w:rPr>
  </w:style>
  <w:style w:type="character" w:customStyle="1" w:styleId="66">
    <w:name w:val="正文2008 Char"/>
    <w:link w:val="65"/>
    <w:qFormat/>
    <w:uiPriority w:val="0"/>
    <w:rPr>
      <w:rFonts w:ascii="宋体" w:hAnsi="Times New Roman"/>
      <w:color w:val="000000"/>
      <w:spacing w:val="1"/>
      <w:sz w:val="21"/>
      <w:szCs w:val="21"/>
    </w:rPr>
  </w:style>
  <w:style w:type="character" w:customStyle="1" w:styleId="67">
    <w:name w:val="HTML 预设格式 Char"/>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8078A-E45E-42A4-B71D-7947E1DE8E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Pages>
  <Words>8122</Words>
  <Characters>8699</Characters>
  <Lines>65</Lines>
  <Paragraphs>18</Paragraphs>
  <TotalTime>7</TotalTime>
  <ScaleCrop>false</ScaleCrop>
  <LinksUpToDate>false</LinksUpToDate>
  <CharactersWithSpaces>8776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2023-10-17T10:06:00Z</dcterms:created>
  <dc:creator>劳动和经济部-挂职</dc:creator>
  <cp:lastModifiedBy>Monica</cp:lastModifiedBy>
  <cp:lastPrinted>2018-06-11T01:51:00Z</cp:lastPrinted>
  <dcterms:modified xsi:type="dcterms:W3CDTF">2023-11-03T07:46:31Z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CA38F053DF9646368F64DE53D8686174_13</vt:lpwstr>
  </property>
</Properties>
</file>