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eastAsia" w:eastAsia="黑体" w:cs="Times New Roman"/>
          <w:sz w:val="32"/>
          <w:szCs w:val="32"/>
          <w:lang w:val="en-US" w:eastAsia="zh-CN"/>
        </w:rPr>
        <w:t>2</w:t>
      </w:r>
      <w:r>
        <w:rPr>
          <w:rFonts w:hint="default" w:ascii="Times New Roman" w:hAnsi="Times New Roman" w:eastAsia="黑体" w:cs="Times New Roman"/>
          <w:sz w:val="32"/>
          <w:szCs w:val="32"/>
        </w:rPr>
        <w:t>：</w:t>
      </w: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附表：</w:t>
      </w:r>
      <w:r>
        <w:rPr>
          <w:rFonts w:hint="default" w:ascii="Times New Roman" w:hAnsi="Times New Roman" w:eastAsia="方正小标宋_GBK" w:cs="Times New Roman"/>
          <w:sz w:val="36"/>
          <w:szCs w:val="36"/>
          <w:lang w:val="en-US" w:eastAsia="zh-CN"/>
        </w:rPr>
        <w:t>江门市潭江“一河一策”总氮治理技术研究报告编制项目</w:t>
      </w:r>
      <w:r>
        <w:rPr>
          <w:rFonts w:hint="default" w:ascii="Times New Roman" w:hAnsi="Times New Roman" w:eastAsia="方正小标宋_GBK" w:cs="Times New Roman"/>
          <w:sz w:val="36"/>
          <w:szCs w:val="36"/>
        </w:rPr>
        <w:t>招标</w:t>
      </w:r>
      <w:bookmarkStart w:id="0" w:name="_GoBack"/>
      <w:r>
        <w:rPr>
          <w:rFonts w:hint="default" w:ascii="Times New Roman" w:hAnsi="Times New Roman" w:eastAsia="方正小标宋_GBK" w:cs="Times New Roman"/>
          <w:sz w:val="36"/>
          <w:szCs w:val="36"/>
        </w:rPr>
        <w:t>评分表</w:t>
      </w:r>
      <w:bookmarkEnd w:id="0"/>
    </w:p>
    <w:tbl>
      <w:tblPr>
        <w:tblStyle w:val="5"/>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982"/>
        <w:gridCol w:w="1701"/>
        <w:gridCol w:w="993"/>
        <w:gridCol w:w="8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081" w:type="dxa"/>
            <w:vAlign w:val="center"/>
          </w:tcPr>
          <w:p>
            <w:pPr>
              <w:widowControl/>
              <w:jc w:val="center"/>
              <w:rPr>
                <w:rFonts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类别</w:t>
            </w:r>
          </w:p>
        </w:tc>
        <w:tc>
          <w:tcPr>
            <w:tcW w:w="3683" w:type="dxa"/>
            <w:gridSpan w:val="2"/>
            <w:vAlign w:val="center"/>
          </w:tcPr>
          <w:p>
            <w:pPr>
              <w:widowControl/>
              <w:jc w:val="center"/>
              <w:rPr>
                <w:rFonts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评审分项</w:t>
            </w:r>
          </w:p>
        </w:tc>
        <w:tc>
          <w:tcPr>
            <w:tcW w:w="993" w:type="dxa"/>
            <w:vAlign w:val="center"/>
          </w:tcPr>
          <w:p>
            <w:pPr>
              <w:widowControl/>
              <w:jc w:val="center"/>
              <w:rPr>
                <w:rFonts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分值</w:t>
            </w:r>
          </w:p>
        </w:tc>
        <w:tc>
          <w:tcPr>
            <w:tcW w:w="8418" w:type="dxa"/>
            <w:vAlign w:val="center"/>
          </w:tcPr>
          <w:p>
            <w:pPr>
              <w:widowControl/>
              <w:jc w:val="center"/>
              <w:rPr>
                <w:rFonts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评审说明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1" w:type="dxa"/>
            <w:vMerge w:val="restart"/>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技术评审（</w:t>
            </w:r>
            <w:r>
              <w:rPr>
                <w:rFonts w:hint="default" w:ascii="Times New Roman" w:hAnsi="Times New Roman" w:eastAsia="仿宋" w:cs="Times New Roman"/>
                <w:bCs/>
                <w:color w:val="000000"/>
                <w:kern w:val="0"/>
                <w:sz w:val="21"/>
                <w:szCs w:val="21"/>
                <w:lang w:val="en-US" w:eastAsia="zh-CN"/>
              </w:rPr>
              <w:t>50</w:t>
            </w:r>
            <w:r>
              <w:rPr>
                <w:rFonts w:hint="default" w:ascii="Times New Roman" w:hAnsi="Times New Roman" w:eastAsia="仿宋" w:cs="Times New Roman"/>
                <w:bCs/>
                <w:color w:val="000000"/>
                <w:kern w:val="0"/>
                <w:sz w:val="21"/>
                <w:szCs w:val="21"/>
              </w:rPr>
              <w:t>分）</w:t>
            </w:r>
          </w:p>
        </w:tc>
        <w:tc>
          <w:tcPr>
            <w:tcW w:w="1982" w:type="dxa"/>
            <w:vMerge w:val="restart"/>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根据供应商项目服务方案，了解供应商对</w:t>
            </w:r>
            <w:r>
              <w:rPr>
                <w:rFonts w:hint="default" w:ascii="Times New Roman" w:hAnsi="Times New Roman" w:eastAsia="仿宋" w:cs="Times New Roman"/>
                <w:bCs/>
                <w:color w:val="000000"/>
                <w:kern w:val="0"/>
                <w:sz w:val="21"/>
                <w:szCs w:val="21"/>
                <w:lang w:val="en-US" w:eastAsia="zh-CN"/>
              </w:rPr>
              <w:t>江门市潭江“一河一策”总氮治理技术研究报告编制项目</w:t>
            </w:r>
            <w:r>
              <w:rPr>
                <w:rFonts w:hint="default" w:ascii="Times New Roman" w:hAnsi="Times New Roman" w:eastAsia="仿宋" w:cs="Times New Roman"/>
                <w:bCs/>
                <w:color w:val="000000"/>
                <w:kern w:val="0"/>
                <w:sz w:val="21"/>
                <w:szCs w:val="21"/>
              </w:rPr>
              <w:t>的工作思路与原则、技术路线、主要内容、质量保证措施等进行综合分析与评审。（未提供方案该项不得分）</w:t>
            </w:r>
          </w:p>
        </w:tc>
        <w:tc>
          <w:tcPr>
            <w:tcW w:w="1701" w:type="dxa"/>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项目的理解情况</w:t>
            </w:r>
          </w:p>
        </w:tc>
        <w:tc>
          <w:tcPr>
            <w:tcW w:w="993" w:type="dxa"/>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10</w:t>
            </w:r>
          </w:p>
        </w:tc>
        <w:tc>
          <w:tcPr>
            <w:tcW w:w="8418" w:type="dxa"/>
            <w:vAlign w:val="center"/>
          </w:tcPr>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供应商对本项目的总体理解和把握（具体包括对国家省相关政策、项目背景、项目需求的理解是否充分和对招标文件的满足程度等），与本项目实际情况的符合性进行综合评审：</w:t>
            </w:r>
          </w:p>
          <w:p>
            <w:pPr>
              <w:widowControl/>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rPr>
              <w:t>项目理解深刻、合理，得</w:t>
            </w:r>
            <w:r>
              <w:rPr>
                <w:rFonts w:hint="default" w:ascii="Times New Roman" w:hAnsi="Times New Roman" w:eastAsia="仿宋" w:cs="Times New Roman"/>
                <w:bCs/>
                <w:color w:val="000000"/>
                <w:kern w:val="0"/>
                <w:sz w:val="21"/>
                <w:szCs w:val="21"/>
                <w:lang w:val="en-US" w:eastAsia="zh-CN"/>
              </w:rPr>
              <w:t>10</w:t>
            </w:r>
            <w:r>
              <w:rPr>
                <w:rFonts w:hint="default" w:ascii="Times New Roman" w:hAnsi="Times New Roman" w:eastAsia="仿宋" w:cs="Times New Roman"/>
                <w:bCs/>
                <w:color w:val="000000"/>
                <w:kern w:val="0"/>
                <w:sz w:val="21"/>
                <w:szCs w:val="21"/>
              </w:rPr>
              <w:t>分；项目理解一般，得</w:t>
            </w:r>
            <w:r>
              <w:rPr>
                <w:rFonts w:hint="default" w:ascii="Times New Roman" w:hAnsi="Times New Roman" w:eastAsia="仿宋" w:cs="Times New Roman"/>
                <w:bCs/>
                <w:color w:val="000000"/>
                <w:kern w:val="0"/>
                <w:sz w:val="21"/>
                <w:szCs w:val="21"/>
                <w:lang w:val="en-US" w:eastAsia="zh-CN"/>
              </w:rPr>
              <w:t>7</w:t>
            </w:r>
            <w:r>
              <w:rPr>
                <w:rFonts w:hint="default" w:ascii="Times New Roman" w:hAnsi="Times New Roman" w:eastAsia="仿宋" w:cs="Times New Roman"/>
                <w:bCs/>
                <w:color w:val="000000"/>
                <w:kern w:val="0"/>
                <w:sz w:val="21"/>
                <w:szCs w:val="21"/>
              </w:rPr>
              <w:t>分；项目理解较差，得</w:t>
            </w:r>
            <w:r>
              <w:rPr>
                <w:rFonts w:hint="default" w:ascii="Times New Roman" w:hAnsi="Times New Roman" w:eastAsia="仿宋" w:cs="Times New Roman"/>
                <w:bCs/>
                <w:color w:val="000000"/>
                <w:kern w:val="0"/>
                <w:sz w:val="21"/>
                <w:szCs w:val="21"/>
                <w:lang w:val="en-US" w:eastAsia="zh-CN"/>
              </w:rPr>
              <w:t>3</w:t>
            </w:r>
            <w:r>
              <w:rPr>
                <w:rFonts w:hint="default" w:ascii="Times New Roman" w:hAnsi="Times New Roman" w:eastAsia="仿宋" w:cs="Times New Roman"/>
                <w:bCs/>
                <w:color w:val="000000"/>
                <w:kern w:val="0"/>
                <w:sz w:val="21"/>
                <w:szCs w:val="21"/>
              </w:rPr>
              <w:t>分。</w:t>
            </w:r>
            <w:r>
              <w:rPr>
                <w:rFonts w:hint="default" w:ascii="Times New Roman" w:hAnsi="Times New Roman" w:eastAsia="仿宋" w:cs="Times New Roman"/>
                <w:bCs/>
                <w:color w:val="000000"/>
                <w:kern w:val="0"/>
                <w:sz w:val="21"/>
                <w:szCs w:val="21"/>
                <w:lang w:eastAsia="zh-CN"/>
              </w:rPr>
              <w:t>没有</w:t>
            </w:r>
            <w:r>
              <w:rPr>
                <w:rFonts w:hint="default" w:ascii="Times New Roman" w:hAnsi="Times New Roman" w:eastAsia="仿宋" w:cs="Times New Roman"/>
                <w:bCs/>
                <w:color w:val="000000"/>
                <w:kern w:val="0"/>
                <w:sz w:val="21"/>
                <w:szCs w:val="21"/>
              </w:rPr>
              <w:t>项目的理解情况</w:t>
            </w:r>
            <w:r>
              <w:rPr>
                <w:rFonts w:hint="default" w:ascii="Times New Roman" w:hAnsi="Times New Roman" w:eastAsia="仿宋" w:cs="Times New Roman"/>
                <w:bCs/>
                <w:color w:val="000000"/>
                <w:kern w:val="0"/>
                <w:sz w:val="21"/>
                <w:szCs w:val="21"/>
                <w:lang w:eastAsia="zh-CN"/>
              </w:rPr>
              <w:t>的，得</w:t>
            </w:r>
            <w:r>
              <w:rPr>
                <w:rFonts w:hint="default" w:ascii="Times New Roman" w:hAnsi="Times New Roman" w:eastAsia="仿宋" w:cs="Times New Roman"/>
                <w:bCs/>
                <w:color w:val="000000"/>
                <w:kern w:val="0"/>
                <w:sz w:val="21"/>
                <w:szCs w:val="21"/>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1"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982"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701" w:type="dxa"/>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项目重点、难点分析及应对措施</w:t>
            </w:r>
          </w:p>
        </w:tc>
        <w:tc>
          <w:tcPr>
            <w:tcW w:w="993" w:type="dxa"/>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10</w:t>
            </w:r>
          </w:p>
        </w:tc>
        <w:tc>
          <w:tcPr>
            <w:tcW w:w="8418" w:type="dxa"/>
            <w:vAlign w:val="center"/>
          </w:tcPr>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考查对比项目重点、难点分析是否全面、合理，应对措施是否得当、具体：</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能够对项目实施过程中的难点重点以及现场实际情况进行充分的理解和分析，并提出相应对策，有较强的专业性和可行性，得</w:t>
            </w:r>
            <w:r>
              <w:rPr>
                <w:rFonts w:hint="default" w:ascii="Times New Roman" w:hAnsi="Times New Roman" w:eastAsia="仿宋" w:cs="Times New Roman"/>
                <w:bCs/>
                <w:color w:val="000000"/>
                <w:kern w:val="0"/>
                <w:sz w:val="21"/>
                <w:szCs w:val="21"/>
                <w:lang w:val="en-US" w:eastAsia="zh-CN"/>
              </w:rPr>
              <w:t>10</w:t>
            </w:r>
            <w:r>
              <w:rPr>
                <w:rFonts w:hint="default" w:ascii="Times New Roman" w:hAnsi="Times New Roman" w:eastAsia="仿宋" w:cs="Times New Roman"/>
                <w:bCs/>
                <w:color w:val="000000"/>
                <w:kern w:val="0"/>
                <w:sz w:val="21"/>
                <w:szCs w:val="21"/>
              </w:rPr>
              <w:t>分；</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能够对项目实施过程中的难点重点以及现场实际情况进行基本的理解和分析，但理解不透彻，对策专业性和可行性一般，得</w:t>
            </w:r>
            <w:r>
              <w:rPr>
                <w:rFonts w:hint="default" w:ascii="Times New Roman" w:hAnsi="Times New Roman" w:eastAsia="仿宋" w:cs="Times New Roman"/>
                <w:bCs/>
                <w:color w:val="000000"/>
                <w:kern w:val="0"/>
                <w:sz w:val="21"/>
                <w:szCs w:val="21"/>
                <w:lang w:val="en-US" w:eastAsia="zh-CN"/>
              </w:rPr>
              <w:t>7</w:t>
            </w:r>
            <w:r>
              <w:rPr>
                <w:rFonts w:hint="default" w:ascii="Times New Roman" w:hAnsi="Times New Roman" w:eastAsia="仿宋" w:cs="Times New Roman"/>
                <w:bCs/>
                <w:color w:val="000000"/>
                <w:kern w:val="0"/>
                <w:sz w:val="21"/>
                <w:szCs w:val="21"/>
              </w:rPr>
              <w:t>分；</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对项目实施过程中的难点重点以及现场实际情况进行理解和分析简单、不深入，相应对策可行性差，得</w:t>
            </w:r>
            <w:r>
              <w:rPr>
                <w:rFonts w:hint="default" w:ascii="Times New Roman" w:hAnsi="Times New Roman" w:eastAsia="仿宋" w:cs="Times New Roman"/>
                <w:bCs/>
                <w:color w:val="000000"/>
                <w:kern w:val="0"/>
                <w:sz w:val="21"/>
                <w:szCs w:val="21"/>
                <w:lang w:val="en-US" w:eastAsia="zh-CN"/>
              </w:rPr>
              <w:t>3</w:t>
            </w:r>
            <w:r>
              <w:rPr>
                <w:rFonts w:hint="default" w:ascii="Times New Roman" w:hAnsi="Times New Roman" w:eastAsia="仿宋" w:cs="Times New Roman"/>
                <w:bCs/>
                <w:color w:val="000000"/>
                <w:kern w:val="0"/>
                <w:sz w:val="21"/>
                <w:szCs w:val="21"/>
              </w:rPr>
              <w:t>分；</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没有项目重点、难点分析及应对措施</w:t>
            </w:r>
            <w:r>
              <w:rPr>
                <w:rFonts w:hint="default" w:ascii="Times New Roman" w:hAnsi="Times New Roman" w:eastAsia="仿宋" w:cs="Times New Roman"/>
                <w:bCs/>
                <w:color w:val="000000"/>
                <w:kern w:val="0"/>
                <w:sz w:val="21"/>
                <w:szCs w:val="21"/>
                <w:lang w:eastAsia="zh-CN"/>
              </w:rPr>
              <w:t>的</w:t>
            </w:r>
            <w:r>
              <w:rPr>
                <w:rFonts w:hint="default" w:ascii="Times New Roman" w:hAnsi="Times New Roman" w:eastAsia="仿宋" w:cs="Times New Roman"/>
                <w:bCs/>
                <w:color w:val="000000"/>
                <w:kern w:val="0"/>
                <w:sz w:val="21"/>
                <w:szCs w:val="21"/>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1"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982"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701" w:type="dxa"/>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项目技术实施方案</w:t>
            </w:r>
          </w:p>
        </w:tc>
        <w:tc>
          <w:tcPr>
            <w:tcW w:w="993" w:type="dxa"/>
            <w:vAlign w:val="center"/>
          </w:tcPr>
          <w:p>
            <w:pPr>
              <w:widowControl/>
              <w:jc w:val="center"/>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rPr>
              <w:t>1</w:t>
            </w:r>
            <w:r>
              <w:rPr>
                <w:rFonts w:hint="default" w:ascii="Times New Roman" w:hAnsi="Times New Roman" w:eastAsia="仿宋" w:cs="Times New Roman"/>
                <w:bCs/>
                <w:color w:val="000000"/>
                <w:kern w:val="0"/>
                <w:sz w:val="21"/>
                <w:szCs w:val="21"/>
                <w:lang w:val="en-US" w:eastAsia="zh-CN"/>
              </w:rPr>
              <w:t>0</w:t>
            </w:r>
          </w:p>
        </w:tc>
        <w:tc>
          <w:tcPr>
            <w:tcW w:w="8418" w:type="dxa"/>
            <w:vAlign w:val="center"/>
          </w:tcPr>
          <w:p>
            <w:pPr>
              <w:widowControl/>
              <w:rPr>
                <w:rFonts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考查对比项目技术实施方案是否合理、可行并具备针对性，是否符合现有技术规范要求等：</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项目技术实施方案科学、可行，得</w:t>
            </w:r>
            <w:r>
              <w:rPr>
                <w:rFonts w:hint="default" w:ascii="Times New Roman" w:hAnsi="Times New Roman" w:eastAsia="仿宋" w:cs="Times New Roman"/>
                <w:bCs/>
                <w:color w:val="000000"/>
                <w:kern w:val="0"/>
                <w:sz w:val="21"/>
                <w:szCs w:val="21"/>
                <w:lang w:val="en-US" w:eastAsia="zh-CN"/>
              </w:rPr>
              <w:t>10</w:t>
            </w:r>
            <w:r>
              <w:rPr>
                <w:rFonts w:hint="default" w:ascii="Times New Roman" w:hAnsi="Times New Roman" w:eastAsia="仿宋" w:cs="Times New Roman"/>
                <w:bCs/>
                <w:color w:val="000000"/>
                <w:kern w:val="0"/>
                <w:sz w:val="21"/>
                <w:szCs w:val="21"/>
              </w:rPr>
              <w:t>分；项目技术实施方案一般，得</w:t>
            </w:r>
            <w:r>
              <w:rPr>
                <w:rFonts w:hint="default" w:ascii="Times New Roman" w:hAnsi="Times New Roman" w:eastAsia="仿宋" w:cs="Times New Roman"/>
                <w:bCs/>
                <w:color w:val="000000"/>
                <w:kern w:val="0"/>
                <w:sz w:val="21"/>
                <w:szCs w:val="21"/>
                <w:lang w:val="en-US" w:eastAsia="zh-CN"/>
              </w:rPr>
              <w:t>7</w:t>
            </w:r>
            <w:r>
              <w:rPr>
                <w:rFonts w:hint="default" w:ascii="Times New Roman" w:hAnsi="Times New Roman" w:eastAsia="仿宋" w:cs="Times New Roman"/>
                <w:bCs/>
                <w:color w:val="000000"/>
                <w:kern w:val="0"/>
                <w:sz w:val="21"/>
                <w:szCs w:val="21"/>
              </w:rPr>
              <w:t>分；项目技术实施方案较差，得</w:t>
            </w:r>
            <w:r>
              <w:rPr>
                <w:rFonts w:hint="default" w:ascii="Times New Roman" w:hAnsi="Times New Roman" w:eastAsia="仿宋" w:cs="Times New Roman"/>
                <w:bCs/>
                <w:color w:val="000000"/>
                <w:kern w:val="0"/>
                <w:sz w:val="21"/>
                <w:szCs w:val="21"/>
                <w:lang w:val="en-US" w:eastAsia="zh-CN"/>
              </w:rPr>
              <w:t>3</w:t>
            </w:r>
            <w:r>
              <w:rPr>
                <w:rFonts w:hint="default" w:ascii="Times New Roman" w:hAnsi="Times New Roman" w:eastAsia="仿宋" w:cs="Times New Roman"/>
                <w:bCs/>
                <w:color w:val="000000"/>
                <w:kern w:val="0"/>
                <w:sz w:val="21"/>
                <w:szCs w:val="21"/>
              </w:rPr>
              <w:t>分。没有项目技术实施方案</w:t>
            </w:r>
            <w:r>
              <w:rPr>
                <w:rFonts w:hint="default" w:ascii="Times New Roman" w:hAnsi="Times New Roman" w:eastAsia="仿宋" w:cs="Times New Roman"/>
                <w:bCs/>
                <w:color w:val="000000"/>
                <w:kern w:val="0"/>
                <w:sz w:val="21"/>
                <w:szCs w:val="21"/>
                <w:lang w:eastAsia="zh-CN"/>
              </w:rPr>
              <w:t>的</w:t>
            </w:r>
            <w:r>
              <w:rPr>
                <w:rFonts w:hint="default" w:ascii="Times New Roman" w:hAnsi="Times New Roman" w:eastAsia="仿宋" w:cs="Times New Roman"/>
                <w:bCs/>
                <w:color w:val="000000"/>
                <w:kern w:val="0"/>
                <w:sz w:val="21"/>
                <w:szCs w:val="21"/>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1"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982"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701" w:type="dxa"/>
            <w:vAlign w:val="center"/>
          </w:tcPr>
          <w:p>
            <w:pPr>
              <w:widowControl/>
              <w:jc w:val="center"/>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lang w:val="en-US" w:eastAsia="zh-CN"/>
              </w:rPr>
              <w:t>项目进度保障措施</w:t>
            </w:r>
          </w:p>
        </w:tc>
        <w:tc>
          <w:tcPr>
            <w:tcW w:w="993" w:type="dxa"/>
            <w:vAlign w:val="center"/>
          </w:tcPr>
          <w:p>
            <w:pPr>
              <w:widowControl/>
              <w:jc w:val="center"/>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lang w:val="en-US" w:eastAsia="zh-CN"/>
              </w:rPr>
              <w:t>10</w:t>
            </w:r>
          </w:p>
        </w:tc>
        <w:tc>
          <w:tcPr>
            <w:tcW w:w="8418" w:type="dxa"/>
            <w:vAlign w:val="center"/>
          </w:tcPr>
          <w:p>
            <w:pPr>
              <w:widowControl/>
              <w:rPr>
                <w:rFonts w:hint="default" w:ascii="Times New Roman" w:hAnsi="Times New Roman" w:eastAsia="仿宋" w:cs="Times New Roman"/>
                <w:bCs/>
                <w:color w:val="000000"/>
                <w:kern w:val="0"/>
                <w:sz w:val="21"/>
                <w:szCs w:val="21"/>
                <w:lang w:eastAsia="zh-CN"/>
              </w:rPr>
            </w:pPr>
            <w:r>
              <w:rPr>
                <w:rFonts w:hint="default" w:ascii="Times New Roman" w:hAnsi="Times New Roman" w:eastAsia="仿宋" w:cs="Times New Roman"/>
                <w:bCs/>
                <w:color w:val="000000"/>
                <w:kern w:val="0"/>
                <w:sz w:val="21"/>
                <w:szCs w:val="21"/>
              </w:rPr>
              <w:t>考查项目管理、进度</w:t>
            </w:r>
            <w:r>
              <w:rPr>
                <w:rFonts w:hint="default" w:ascii="Times New Roman" w:hAnsi="Times New Roman" w:eastAsia="仿宋" w:cs="Times New Roman"/>
                <w:bCs/>
                <w:color w:val="000000"/>
                <w:kern w:val="0"/>
                <w:sz w:val="21"/>
                <w:szCs w:val="21"/>
                <w:lang w:eastAsia="zh-CN"/>
              </w:rPr>
              <w:t>是否</w:t>
            </w:r>
            <w:r>
              <w:rPr>
                <w:rFonts w:hint="default" w:ascii="Times New Roman" w:hAnsi="Times New Roman" w:eastAsia="仿宋" w:cs="Times New Roman"/>
                <w:bCs/>
                <w:color w:val="000000"/>
                <w:kern w:val="0"/>
                <w:sz w:val="21"/>
                <w:szCs w:val="21"/>
              </w:rPr>
              <w:t>安排完善、具体、全面，项目管理安排</w:t>
            </w:r>
            <w:r>
              <w:rPr>
                <w:rFonts w:hint="default" w:ascii="Times New Roman" w:hAnsi="Times New Roman" w:eastAsia="仿宋" w:cs="Times New Roman"/>
                <w:bCs/>
                <w:color w:val="000000"/>
                <w:kern w:val="0"/>
                <w:sz w:val="21"/>
                <w:szCs w:val="21"/>
                <w:lang w:eastAsia="zh-CN"/>
              </w:rPr>
              <w:t>是否</w:t>
            </w:r>
            <w:r>
              <w:rPr>
                <w:rFonts w:hint="default" w:ascii="Times New Roman" w:hAnsi="Times New Roman" w:eastAsia="仿宋" w:cs="Times New Roman"/>
                <w:bCs/>
                <w:color w:val="000000"/>
                <w:kern w:val="0"/>
                <w:sz w:val="21"/>
                <w:szCs w:val="21"/>
              </w:rPr>
              <w:t>合理高效、可操作性强，有计划保障及进度</w:t>
            </w:r>
            <w:r>
              <w:rPr>
                <w:rFonts w:hint="default" w:ascii="Times New Roman" w:hAnsi="Times New Roman" w:eastAsia="仿宋" w:cs="Times New Roman"/>
                <w:bCs/>
                <w:color w:val="000000"/>
                <w:kern w:val="0"/>
                <w:sz w:val="21"/>
                <w:szCs w:val="21"/>
                <w:lang w:eastAsia="zh-CN"/>
              </w:rPr>
              <w:t>等：</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项目管理、进度安排完善、具体、全面，项目管理及进度安排合理高效、可操作性强，有计划保障，得</w:t>
            </w:r>
            <w:r>
              <w:rPr>
                <w:rFonts w:hint="default" w:ascii="Times New Roman" w:hAnsi="Times New Roman" w:eastAsia="仿宋" w:cs="Times New Roman"/>
                <w:bCs/>
                <w:color w:val="000000"/>
                <w:kern w:val="0"/>
                <w:sz w:val="21"/>
                <w:szCs w:val="21"/>
                <w:lang w:val="en-US" w:eastAsia="zh-CN"/>
              </w:rPr>
              <w:t>10</w:t>
            </w:r>
            <w:r>
              <w:rPr>
                <w:rFonts w:hint="default" w:ascii="Times New Roman" w:hAnsi="Times New Roman" w:eastAsia="仿宋" w:cs="Times New Roman"/>
                <w:bCs/>
                <w:color w:val="000000"/>
                <w:kern w:val="0"/>
                <w:sz w:val="21"/>
                <w:szCs w:val="21"/>
              </w:rPr>
              <w:t>分；</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项目管理、进度安排较完善，项目管理及进度安排较合理高效、可操作性较强，得</w:t>
            </w:r>
            <w:r>
              <w:rPr>
                <w:rFonts w:hint="default" w:ascii="Times New Roman" w:hAnsi="Times New Roman" w:eastAsia="仿宋" w:cs="Times New Roman"/>
                <w:bCs/>
                <w:color w:val="000000"/>
                <w:kern w:val="0"/>
                <w:sz w:val="21"/>
                <w:szCs w:val="21"/>
                <w:lang w:val="en-US" w:eastAsia="zh-CN"/>
              </w:rPr>
              <w:t>7</w:t>
            </w:r>
            <w:r>
              <w:rPr>
                <w:rFonts w:hint="default" w:ascii="Times New Roman" w:hAnsi="Times New Roman" w:eastAsia="仿宋" w:cs="Times New Roman"/>
                <w:bCs/>
                <w:color w:val="000000"/>
                <w:kern w:val="0"/>
                <w:sz w:val="21"/>
                <w:szCs w:val="21"/>
              </w:rPr>
              <w:t>分；</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项目管理、进度安排不完善，项目管理及进度安排不合理、可操作性低，得</w:t>
            </w:r>
            <w:r>
              <w:rPr>
                <w:rFonts w:hint="default" w:ascii="Times New Roman" w:hAnsi="Times New Roman" w:eastAsia="仿宋" w:cs="Times New Roman"/>
                <w:bCs/>
                <w:color w:val="000000"/>
                <w:kern w:val="0"/>
                <w:sz w:val="21"/>
                <w:szCs w:val="21"/>
                <w:lang w:val="en-US" w:eastAsia="zh-CN"/>
              </w:rPr>
              <w:t>3</w:t>
            </w:r>
            <w:r>
              <w:rPr>
                <w:rFonts w:hint="default" w:ascii="Times New Roman" w:hAnsi="Times New Roman" w:eastAsia="仿宋" w:cs="Times New Roman"/>
                <w:bCs/>
                <w:color w:val="000000"/>
                <w:kern w:val="0"/>
                <w:sz w:val="21"/>
                <w:szCs w:val="21"/>
              </w:rPr>
              <w:t>分；</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没有项目管理、进度安排，得0分。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1"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982"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701" w:type="dxa"/>
            <w:vAlign w:val="center"/>
          </w:tcPr>
          <w:p>
            <w:pPr>
              <w:widowControl/>
              <w:jc w:val="center"/>
              <w:rPr>
                <w:rFonts w:hint="default" w:ascii="Times New Roman" w:hAnsi="Times New Roman" w:eastAsia="仿宋" w:cs="Times New Roman"/>
                <w:bCs/>
                <w:color w:val="000000"/>
                <w:kern w:val="0"/>
                <w:sz w:val="21"/>
                <w:szCs w:val="21"/>
                <w:lang w:eastAsia="zh-CN"/>
              </w:rPr>
            </w:pPr>
            <w:r>
              <w:rPr>
                <w:rFonts w:hint="default" w:ascii="Times New Roman" w:hAnsi="Times New Roman" w:eastAsia="仿宋" w:cs="Times New Roman"/>
                <w:bCs/>
                <w:color w:val="000000"/>
                <w:kern w:val="0"/>
                <w:sz w:val="21"/>
                <w:szCs w:val="21"/>
                <w:lang w:eastAsia="zh-CN"/>
              </w:rPr>
              <w:t>项目成果质量</w:t>
            </w:r>
            <w:r>
              <w:rPr>
                <w:rFonts w:hint="default" w:ascii="Times New Roman" w:hAnsi="Times New Roman" w:eastAsia="仿宋" w:cs="Times New Roman"/>
                <w:bCs/>
                <w:color w:val="000000"/>
                <w:kern w:val="0"/>
                <w:sz w:val="21"/>
                <w:szCs w:val="21"/>
              </w:rPr>
              <w:t>控制保障措施</w:t>
            </w:r>
          </w:p>
        </w:tc>
        <w:tc>
          <w:tcPr>
            <w:tcW w:w="993" w:type="dxa"/>
            <w:vAlign w:val="center"/>
          </w:tcPr>
          <w:p>
            <w:pPr>
              <w:widowControl/>
              <w:jc w:val="center"/>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lang w:val="en-US" w:eastAsia="zh-CN"/>
              </w:rPr>
              <w:t>10</w:t>
            </w:r>
          </w:p>
        </w:tc>
        <w:tc>
          <w:tcPr>
            <w:tcW w:w="8418" w:type="dxa"/>
            <w:vAlign w:val="center"/>
          </w:tcPr>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考查项目成果质量控制保障措施</w:t>
            </w:r>
            <w:r>
              <w:rPr>
                <w:rFonts w:hint="default" w:ascii="Times New Roman" w:hAnsi="Times New Roman" w:eastAsia="仿宋" w:cs="Times New Roman"/>
                <w:bCs/>
                <w:color w:val="000000"/>
                <w:kern w:val="0"/>
                <w:sz w:val="21"/>
                <w:szCs w:val="21"/>
                <w:lang w:eastAsia="zh-CN"/>
              </w:rPr>
              <w:t>是否</w:t>
            </w:r>
            <w:r>
              <w:rPr>
                <w:rFonts w:hint="default" w:ascii="Times New Roman" w:hAnsi="Times New Roman" w:eastAsia="仿宋" w:cs="Times New Roman"/>
                <w:bCs/>
                <w:color w:val="000000"/>
                <w:kern w:val="0"/>
                <w:sz w:val="21"/>
                <w:szCs w:val="21"/>
              </w:rPr>
              <w:t>全面、合理、得当：</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项目成果质量控制保障措施全面、合理、得当的，得</w:t>
            </w:r>
            <w:r>
              <w:rPr>
                <w:rFonts w:hint="default" w:ascii="Times New Roman" w:hAnsi="Times New Roman" w:eastAsia="仿宋" w:cs="Times New Roman"/>
                <w:bCs/>
                <w:color w:val="000000"/>
                <w:kern w:val="0"/>
                <w:sz w:val="21"/>
                <w:szCs w:val="21"/>
                <w:lang w:val="en-US" w:eastAsia="zh-CN"/>
              </w:rPr>
              <w:t>10</w:t>
            </w:r>
            <w:r>
              <w:rPr>
                <w:rFonts w:hint="default" w:ascii="Times New Roman" w:hAnsi="Times New Roman" w:eastAsia="仿宋" w:cs="Times New Roman"/>
                <w:bCs/>
                <w:color w:val="000000"/>
                <w:kern w:val="0"/>
                <w:sz w:val="21"/>
                <w:szCs w:val="21"/>
              </w:rPr>
              <w:t>分；</w:t>
            </w:r>
            <w:r>
              <w:rPr>
                <w:rFonts w:hint="default" w:ascii="Times New Roman" w:hAnsi="Times New Roman" w:eastAsia="仿宋" w:cs="Times New Roman"/>
                <w:bCs/>
                <w:color w:val="000000"/>
                <w:kern w:val="0"/>
                <w:sz w:val="21"/>
                <w:szCs w:val="21"/>
                <w:lang w:eastAsia="zh-CN"/>
              </w:rPr>
              <w:t>项目成果质量</w:t>
            </w:r>
            <w:r>
              <w:rPr>
                <w:rFonts w:hint="default" w:ascii="Times New Roman" w:hAnsi="Times New Roman" w:eastAsia="仿宋" w:cs="Times New Roman"/>
                <w:bCs/>
                <w:color w:val="000000"/>
                <w:kern w:val="0"/>
                <w:sz w:val="21"/>
                <w:szCs w:val="21"/>
              </w:rPr>
              <w:t>控制保障措施一般的，得</w:t>
            </w:r>
            <w:r>
              <w:rPr>
                <w:rFonts w:hint="default" w:ascii="Times New Roman" w:hAnsi="Times New Roman" w:eastAsia="仿宋" w:cs="Times New Roman"/>
                <w:bCs/>
                <w:color w:val="000000"/>
                <w:kern w:val="0"/>
                <w:sz w:val="21"/>
                <w:szCs w:val="21"/>
                <w:lang w:val="en-US" w:eastAsia="zh-CN"/>
              </w:rPr>
              <w:t>7</w:t>
            </w:r>
            <w:r>
              <w:rPr>
                <w:rFonts w:hint="default" w:ascii="Times New Roman" w:hAnsi="Times New Roman" w:eastAsia="仿宋" w:cs="Times New Roman"/>
                <w:bCs/>
                <w:color w:val="000000"/>
                <w:kern w:val="0"/>
                <w:sz w:val="21"/>
                <w:szCs w:val="21"/>
              </w:rPr>
              <w:t>分；</w:t>
            </w:r>
            <w:r>
              <w:rPr>
                <w:rFonts w:hint="default" w:ascii="Times New Roman" w:hAnsi="Times New Roman" w:eastAsia="仿宋" w:cs="Times New Roman"/>
                <w:bCs/>
                <w:color w:val="000000"/>
                <w:kern w:val="0"/>
                <w:sz w:val="21"/>
                <w:szCs w:val="21"/>
                <w:lang w:eastAsia="zh-CN"/>
              </w:rPr>
              <w:t>项目成果质量</w:t>
            </w:r>
            <w:r>
              <w:rPr>
                <w:rFonts w:hint="default" w:ascii="Times New Roman" w:hAnsi="Times New Roman" w:eastAsia="仿宋" w:cs="Times New Roman"/>
                <w:bCs/>
                <w:color w:val="000000"/>
                <w:kern w:val="0"/>
                <w:sz w:val="21"/>
                <w:szCs w:val="21"/>
              </w:rPr>
              <w:t>控制保障措施较差的，得</w:t>
            </w:r>
            <w:r>
              <w:rPr>
                <w:rFonts w:hint="default" w:ascii="Times New Roman" w:hAnsi="Times New Roman" w:eastAsia="仿宋" w:cs="Times New Roman"/>
                <w:bCs/>
                <w:color w:val="000000"/>
                <w:kern w:val="0"/>
                <w:sz w:val="21"/>
                <w:szCs w:val="21"/>
                <w:lang w:val="en-US" w:eastAsia="zh-CN"/>
              </w:rPr>
              <w:t>3</w:t>
            </w:r>
            <w:r>
              <w:rPr>
                <w:rFonts w:hint="default" w:ascii="Times New Roman" w:hAnsi="Times New Roman" w:eastAsia="仿宋" w:cs="Times New Roman"/>
                <w:bCs/>
                <w:color w:val="000000"/>
                <w:kern w:val="0"/>
                <w:sz w:val="21"/>
                <w:szCs w:val="21"/>
              </w:rPr>
              <w:t>分。没有</w:t>
            </w:r>
            <w:r>
              <w:rPr>
                <w:rFonts w:hint="default" w:ascii="Times New Roman" w:hAnsi="Times New Roman" w:eastAsia="仿宋" w:cs="Times New Roman"/>
                <w:bCs/>
                <w:color w:val="000000"/>
                <w:kern w:val="0"/>
                <w:sz w:val="21"/>
                <w:szCs w:val="21"/>
                <w:lang w:eastAsia="zh-CN"/>
              </w:rPr>
              <w:t>项目成果质量</w:t>
            </w:r>
            <w:r>
              <w:rPr>
                <w:rFonts w:hint="default" w:ascii="Times New Roman" w:hAnsi="Times New Roman" w:eastAsia="仿宋" w:cs="Times New Roman"/>
                <w:bCs/>
                <w:color w:val="000000"/>
                <w:kern w:val="0"/>
                <w:sz w:val="21"/>
                <w:szCs w:val="21"/>
              </w:rPr>
              <w:t>控制保障措施</w:t>
            </w:r>
            <w:r>
              <w:rPr>
                <w:rFonts w:hint="default" w:ascii="Times New Roman" w:hAnsi="Times New Roman" w:eastAsia="仿宋" w:cs="Times New Roman"/>
                <w:bCs/>
                <w:color w:val="000000"/>
                <w:kern w:val="0"/>
                <w:sz w:val="21"/>
                <w:szCs w:val="21"/>
                <w:lang w:eastAsia="zh-CN"/>
              </w:rPr>
              <w:t>的</w:t>
            </w:r>
            <w:r>
              <w:rPr>
                <w:rFonts w:hint="default" w:ascii="Times New Roman" w:hAnsi="Times New Roman" w:eastAsia="仿宋" w:cs="Times New Roman"/>
                <w:bCs/>
                <w:color w:val="000000"/>
                <w:kern w:val="0"/>
                <w:sz w:val="21"/>
                <w:szCs w:val="21"/>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1" w:type="dxa"/>
            <w:vMerge w:val="restart"/>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商务评审（</w:t>
            </w:r>
            <w:r>
              <w:rPr>
                <w:rFonts w:hint="default" w:ascii="Times New Roman" w:hAnsi="Times New Roman" w:eastAsia="仿宋" w:cs="Times New Roman"/>
                <w:bCs/>
                <w:color w:val="000000"/>
                <w:kern w:val="0"/>
                <w:sz w:val="21"/>
                <w:szCs w:val="21"/>
                <w:lang w:val="en-US" w:eastAsia="zh-CN"/>
              </w:rPr>
              <w:t>40</w:t>
            </w:r>
            <w:r>
              <w:rPr>
                <w:rFonts w:hint="default" w:ascii="Times New Roman" w:hAnsi="Times New Roman" w:eastAsia="仿宋" w:cs="Times New Roman"/>
                <w:bCs/>
                <w:color w:val="000000"/>
                <w:kern w:val="0"/>
                <w:sz w:val="21"/>
                <w:szCs w:val="21"/>
              </w:rPr>
              <w:t>分）</w:t>
            </w:r>
          </w:p>
        </w:tc>
        <w:tc>
          <w:tcPr>
            <w:tcW w:w="3683" w:type="dxa"/>
            <w:gridSpan w:val="2"/>
            <w:vMerge w:val="restart"/>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团队力量</w:t>
            </w:r>
          </w:p>
        </w:tc>
        <w:tc>
          <w:tcPr>
            <w:tcW w:w="993" w:type="dxa"/>
            <w:vAlign w:val="center"/>
          </w:tcPr>
          <w:p>
            <w:pPr>
              <w:widowControl/>
              <w:jc w:val="center"/>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lang w:val="en-US" w:eastAsia="zh-CN"/>
              </w:rPr>
              <w:t>10</w:t>
            </w:r>
          </w:p>
        </w:tc>
        <w:tc>
          <w:tcPr>
            <w:tcW w:w="8418" w:type="dxa"/>
            <w:vAlign w:val="center"/>
          </w:tcPr>
          <w:p>
            <w:pPr>
              <w:widowControl/>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供应商拟投入的项目负责人具备环保类或</w:t>
            </w:r>
            <w:r>
              <w:rPr>
                <w:rFonts w:hint="default" w:ascii="Times New Roman" w:hAnsi="Times New Roman" w:eastAsia="仿宋" w:cs="Times New Roman"/>
                <w:kern w:val="0"/>
                <w:sz w:val="21"/>
                <w:szCs w:val="21"/>
                <w:lang w:eastAsia="zh-CN"/>
              </w:rPr>
              <w:t>检测类</w:t>
            </w:r>
            <w:r>
              <w:rPr>
                <w:rFonts w:hint="default" w:ascii="Times New Roman" w:hAnsi="Times New Roman" w:eastAsia="仿宋" w:cs="Times New Roman"/>
                <w:kern w:val="0"/>
                <w:sz w:val="21"/>
                <w:szCs w:val="21"/>
              </w:rPr>
              <w:t>高级工程师以上职称的，得</w:t>
            </w:r>
            <w:r>
              <w:rPr>
                <w:rFonts w:hint="default" w:ascii="Times New Roman" w:hAnsi="Times New Roman" w:eastAsia="仿宋" w:cs="Times New Roman"/>
                <w:kern w:val="0"/>
                <w:sz w:val="21"/>
                <w:szCs w:val="21"/>
                <w:lang w:val="en-US" w:eastAsia="zh-CN"/>
              </w:rPr>
              <w:t>10</w:t>
            </w:r>
            <w:r>
              <w:rPr>
                <w:rFonts w:hint="default" w:ascii="Times New Roman" w:hAnsi="Times New Roman" w:eastAsia="仿宋" w:cs="Times New Roman"/>
                <w:kern w:val="0"/>
                <w:sz w:val="21"/>
                <w:szCs w:val="21"/>
              </w:rPr>
              <w:t>分；否则，得0分。</w:t>
            </w:r>
          </w:p>
          <w:p>
            <w:pPr>
              <w:widowControl/>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【须提供相关职称证书以及社会保障部门出具的投标截止月（不含投标当月）前六个月任意</w:t>
            </w:r>
            <w:r>
              <w:rPr>
                <w:rFonts w:hint="default" w:ascii="Times New Roman" w:hAnsi="Times New Roman" w:eastAsia="仿宋" w:cs="Times New Roman"/>
                <w:kern w:val="0"/>
                <w:sz w:val="21"/>
                <w:szCs w:val="21"/>
                <w:lang w:eastAsia="zh-CN"/>
              </w:rPr>
              <w:t>一</w:t>
            </w:r>
            <w:r>
              <w:rPr>
                <w:rFonts w:hint="default" w:ascii="Times New Roman" w:hAnsi="Times New Roman" w:eastAsia="仿宋" w:cs="Times New Roman"/>
                <w:kern w:val="0"/>
                <w:sz w:val="21"/>
                <w:szCs w:val="21"/>
              </w:rPr>
              <w:t>个月在本单位缴纳社会养老保险的有效凭证复印件并加盖单位公章，以上未按要求提供相应资料的不得分。】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1"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3683" w:type="dxa"/>
            <w:gridSpan w:val="2"/>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993" w:type="dxa"/>
            <w:vAlign w:val="center"/>
          </w:tcPr>
          <w:p>
            <w:pPr>
              <w:widowControl/>
              <w:jc w:val="center"/>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lang w:val="en-US" w:eastAsia="zh-CN"/>
              </w:rPr>
              <w:t>12</w:t>
            </w:r>
          </w:p>
        </w:tc>
        <w:tc>
          <w:tcPr>
            <w:tcW w:w="8418" w:type="dxa"/>
            <w:vAlign w:val="center"/>
          </w:tcPr>
          <w:p>
            <w:pPr>
              <w:widowControl/>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供应商拟投入本项目团队人员（除项目负责人外），具有环保类或</w:t>
            </w:r>
            <w:r>
              <w:rPr>
                <w:rFonts w:hint="default" w:ascii="Times New Roman" w:hAnsi="Times New Roman" w:eastAsia="仿宋" w:cs="Times New Roman"/>
                <w:kern w:val="0"/>
                <w:sz w:val="21"/>
                <w:szCs w:val="21"/>
                <w:lang w:eastAsia="zh-CN"/>
              </w:rPr>
              <w:t>检测类</w:t>
            </w:r>
            <w:r>
              <w:rPr>
                <w:rFonts w:hint="default" w:ascii="Times New Roman" w:hAnsi="Times New Roman" w:eastAsia="仿宋" w:cs="Times New Roman"/>
                <w:kern w:val="0"/>
                <w:sz w:val="21"/>
                <w:szCs w:val="21"/>
              </w:rPr>
              <w:t>专业</w:t>
            </w:r>
            <w:r>
              <w:rPr>
                <w:rFonts w:hint="default" w:ascii="Times New Roman" w:hAnsi="Times New Roman" w:eastAsia="仿宋" w:cs="Times New Roman"/>
                <w:kern w:val="0"/>
                <w:sz w:val="21"/>
                <w:szCs w:val="21"/>
                <w:lang w:eastAsia="zh-CN"/>
              </w:rPr>
              <w:t>中级以上</w:t>
            </w:r>
            <w:r>
              <w:rPr>
                <w:rFonts w:hint="default" w:ascii="Times New Roman" w:hAnsi="Times New Roman" w:eastAsia="仿宋" w:cs="Times New Roman"/>
                <w:kern w:val="0"/>
                <w:sz w:val="21"/>
                <w:szCs w:val="21"/>
              </w:rPr>
              <w:t>技术职称的，每人得</w:t>
            </w:r>
            <w:r>
              <w:rPr>
                <w:rFonts w:hint="default" w:ascii="Times New Roman" w:hAnsi="Times New Roman" w:eastAsia="仿宋" w:cs="Times New Roman"/>
                <w:kern w:val="0"/>
                <w:sz w:val="21"/>
                <w:szCs w:val="21"/>
                <w:lang w:val="en-US" w:eastAsia="zh-CN"/>
              </w:rPr>
              <w:t>4</w:t>
            </w:r>
            <w:r>
              <w:rPr>
                <w:rFonts w:hint="default" w:ascii="Times New Roman" w:hAnsi="Times New Roman" w:eastAsia="仿宋" w:cs="Times New Roman"/>
                <w:kern w:val="0"/>
                <w:sz w:val="21"/>
                <w:szCs w:val="21"/>
              </w:rPr>
              <w:t>分。如一人具有多个同一等级技术职称的，按一个技术职称评审；不重复计分。本小项最高得</w:t>
            </w:r>
            <w:r>
              <w:rPr>
                <w:rFonts w:hint="default" w:ascii="Times New Roman" w:hAnsi="Times New Roman" w:eastAsia="仿宋" w:cs="Times New Roman"/>
                <w:kern w:val="0"/>
                <w:sz w:val="21"/>
                <w:szCs w:val="21"/>
                <w:lang w:val="en-US" w:eastAsia="zh-CN"/>
              </w:rPr>
              <w:t>12</w:t>
            </w:r>
            <w:r>
              <w:rPr>
                <w:rFonts w:hint="default" w:ascii="Times New Roman" w:hAnsi="Times New Roman" w:eastAsia="仿宋" w:cs="Times New Roman"/>
                <w:kern w:val="0"/>
                <w:sz w:val="21"/>
                <w:szCs w:val="21"/>
              </w:rPr>
              <w:t>分；无不得分。</w:t>
            </w:r>
          </w:p>
          <w:p>
            <w:pPr>
              <w:widowControl/>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【一人多证只按一人计，须提供相关职称证书以及社会保障部门出具的投标截止月（不含投标当月）前六个月任意</w:t>
            </w:r>
            <w:r>
              <w:rPr>
                <w:rFonts w:hint="default" w:ascii="Times New Roman" w:hAnsi="Times New Roman" w:eastAsia="仿宋" w:cs="Times New Roman"/>
                <w:kern w:val="0"/>
                <w:sz w:val="21"/>
                <w:szCs w:val="21"/>
                <w:lang w:eastAsia="zh-CN"/>
              </w:rPr>
              <w:t>一</w:t>
            </w:r>
            <w:r>
              <w:rPr>
                <w:rFonts w:hint="default" w:ascii="Times New Roman" w:hAnsi="Times New Roman" w:eastAsia="仿宋" w:cs="Times New Roman"/>
                <w:kern w:val="0"/>
                <w:sz w:val="21"/>
                <w:szCs w:val="21"/>
              </w:rPr>
              <w:t>个月在本单位缴纳社会养老保险的有效凭证复印件并加盖单位公章，以上未按要求提供相应资料的不得分。】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jc w:val="center"/>
        </w:trPr>
        <w:tc>
          <w:tcPr>
            <w:tcW w:w="1081"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3683" w:type="dxa"/>
            <w:gridSpan w:val="2"/>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项目业绩</w:t>
            </w:r>
          </w:p>
        </w:tc>
        <w:tc>
          <w:tcPr>
            <w:tcW w:w="993" w:type="dxa"/>
            <w:vAlign w:val="center"/>
          </w:tcPr>
          <w:p>
            <w:pPr>
              <w:widowControl/>
              <w:jc w:val="center"/>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lang w:val="en-US" w:eastAsia="zh-CN"/>
              </w:rPr>
              <w:t>18</w:t>
            </w:r>
          </w:p>
        </w:tc>
        <w:tc>
          <w:tcPr>
            <w:tcW w:w="8418" w:type="dxa"/>
            <w:vAlign w:val="center"/>
          </w:tcPr>
          <w:p>
            <w:pPr>
              <w:widowControl/>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供应商近五年来承担过类似的项目：每个项目（以签订合同为准）得</w:t>
            </w:r>
            <w:r>
              <w:rPr>
                <w:rFonts w:hint="default" w:ascii="Times New Roman" w:hAnsi="Times New Roman" w:eastAsia="仿宋" w:cs="Times New Roman"/>
                <w:kern w:val="0"/>
                <w:sz w:val="21"/>
                <w:szCs w:val="21"/>
                <w:lang w:val="en-US" w:eastAsia="zh-CN"/>
              </w:rPr>
              <w:t>6</w:t>
            </w:r>
            <w:r>
              <w:rPr>
                <w:rFonts w:hint="default" w:ascii="Times New Roman" w:hAnsi="Times New Roman" w:eastAsia="仿宋" w:cs="Times New Roman"/>
                <w:kern w:val="0"/>
                <w:sz w:val="21"/>
                <w:szCs w:val="21"/>
              </w:rPr>
              <w:t>分，最高得</w:t>
            </w:r>
            <w:r>
              <w:rPr>
                <w:rFonts w:hint="default" w:ascii="Times New Roman" w:hAnsi="Times New Roman" w:eastAsia="仿宋" w:cs="Times New Roman"/>
                <w:kern w:val="0"/>
                <w:sz w:val="21"/>
                <w:szCs w:val="21"/>
                <w:lang w:val="en-US" w:eastAsia="zh-CN"/>
              </w:rPr>
              <w:t>18</w:t>
            </w:r>
            <w:r>
              <w:rPr>
                <w:rFonts w:hint="default" w:ascii="Times New Roman" w:hAnsi="Times New Roman" w:eastAsia="仿宋" w:cs="Times New Roman"/>
                <w:kern w:val="0"/>
                <w:sz w:val="21"/>
                <w:szCs w:val="21"/>
              </w:rPr>
              <w:t>分。</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kern w:val="0"/>
                <w:sz w:val="21"/>
                <w:szCs w:val="21"/>
              </w:rPr>
              <w:t>【注：须附上合同或其他证明文件的关键页（含资金下达文件或签订合同双方的单位名称、合同项目名称、项目金额与含签订合同双方的落款盖章、签订日期的关键页）复印件加盖供应商单位公章作为业绩评价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1" w:type="dxa"/>
            <w:vAlign w:val="center"/>
          </w:tcPr>
          <w:p>
            <w:pPr>
              <w:widowControl/>
              <w:jc w:val="center"/>
              <w:rPr>
                <w:rFonts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价格评审（</w:t>
            </w:r>
            <w:r>
              <w:rPr>
                <w:rFonts w:hint="default" w:ascii="Times New Roman" w:hAnsi="Times New Roman" w:eastAsia="仿宋" w:cs="Times New Roman"/>
                <w:color w:val="000000"/>
                <w:kern w:val="0"/>
                <w:sz w:val="21"/>
                <w:szCs w:val="21"/>
                <w:lang w:val="en-US" w:eastAsia="zh-CN"/>
              </w:rPr>
              <w:t>10</w:t>
            </w:r>
            <w:r>
              <w:rPr>
                <w:rFonts w:hint="default" w:ascii="Times New Roman" w:hAnsi="Times New Roman" w:eastAsia="仿宋" w:cs="Times New Roman"/>
                <w:color w:val="000000"/>
                <w:kern w:val="0"/>
                <w:sz w:val="21"/>
                <w:szCs w:val="21"/>
              </w:rPr>
              <w:t>分）</w:t>
            </w:r>
          </w:p>
        </w:tc>
        <w:tc>
          <w:tcPr>
            <w:tcW w:w="3683" w:type="dxa"/>
            <w:gridSpan w:val="2"/>
            <w:vAlign w:val="center"/>
          </w:tcPr>
          <w:p>
            <w:pPr>
              <w:widowControl/>
              <w:jc w:val="center"/>
              <w:rPr>
                <w:rFonts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项目报价情况</w:t>
            </w:r>
          </w:p>
        </w:tc>
        <w:tc>
          <w:tcPr>
            <w:tcW w:w="993" w:type="dxa"/>
            <w:vAlign w:val="center"/>
          </w:tcPr>
          <w:p>
            <w:pPr>
              <w:widowControl/>
              <w:jc w:val="center"/>
              <w:rPr>
                <w:rFonts w:hint="default"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lang w:val="en-US" w:eastAsia="zh-CN"/>
              </w:rPr>
              <w:t>10</w:t>
            </w:r>
          </w:p>
        </w:tc>
        <w:tc>
          <w:tcPr>
            <w:tcW w:w="8418" w:type="dxa"/>
            <w:vAlign w:val="center"/>
          </w:tcPr>
          <w:p>
            <w:pPr>
              <w:widowControl/>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rPr>
              <w:t>取满足采购文件要求且价格扣除后的最低投标报价作为评标基准价，其价格分为满分。其他供应商的价格分统一按照下列公式计算：价格扣除后的投标报价得分=（评标基准价/价格扣除后的投标报价）×1</w:t>
            </w:r>
            <w:r>
              <w:rPr>
                <w:rFonts w:hint="default" w:ascii="Times New Roman" w:hAnsi="Times New Roman" w:eastAsia="仿宋" w:cs="Times New Roman"/>
                <w:kern w:val="0"/>
                <w:sz w:val="21"/>
                <w:szCs w:val="21"/>
                <w:lang w:val="en-US" w:eastAsia="zh-CN"/>
              </w:rPr>
              <w:t>0</w:t>
            </w:r>
          </w:p>
          <w:p>
            <w:pPr>
              <w:widowControl/>
              <w:rPr>
                <w:rFonts w:ascii="Times New Roman" w:hAnsi="Times New Roman" w:eastAsia="仿宋" w:cs="Times New Roman"/>
                <w:color w:val="000000"/>
                <w:kern w:val="0"/>
                <w:sz w:val="21"/>
                <w:szCs w:val="21"/>
              </w:rPr>
            </w:pPr>
            <w:r>
              <w:rPr>
                <w:rFonts w:hint="default" w:ascii="Times New Roman" w:hAnsi="Times New Roman" w:eastAsia="仿宋" w:cs="Times New Roman"/>
                <w:kern w:val="0"/>
                <w:sz w:val="21"/>
                <w:szCs w:val="21"/>
                <w:lang w:eastAsia="zh-CN"/>
              </w:rPr>
              <w:t>【注：</w:t>
            </w:r>
            <w:r>
              <w:rPr>
                <w:rFonts w:hint="default" w:ascii="Times New Roman" w:hAnsi="Times New Roman" w:eastAsia="仿宋" w:cs="Times New Roman"/>
                <w:kern w:val="0"/>
                <w:sz w:val="21"/>
                <w:szCs w:val="21"/>
              </w:rPr>
              <w:t>对符合规定的小型和微型企业（监狱企业、残疾人福利单位视同小型、微型企业）报价给予1</w:t>
            </w:r>
            <w:r>
              <w:rPr>
                <w:rFonts w:hint="default" w:ascii="Times New Roman" w:hAnsi="Times New Roman" w:eastAsia="仿宋" w:cs="Times New Roman"/>
                <w:kern w:val="0"/>
                <w:sz w:val="21"/>
                <w:szCs w:val="21"/>
                <w:lang w:val="en-US" w:eastAsia="zh-CN"/>
              </w:rPr>
              <w:t>5</w:t>
            </w:r>
            <w:r>
              <w:rPr>
                <w:rFonts w:hint="default" w:ascii="Times New Roman" w:hAnsi="Times New Roman" w:eastAsia="仿宋" w:cs="Times New Roman"/>
                <w:kern w:val="0"/>
                <w:sz w:val="21"/>
                <w:szCs w:val="21"/>
              </w:rPr>
              <w:t>%的价格扣除</w:t>
            </w:r>
            <w:r>
              <w:rPr>
                <w:rFonts w:hint="default" w:ascii="Times New Roman" w:hAnsi="Times New Roman" w:eastAsia="仿宋"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64" w:type="dxa"/>
            <w:gridSpan w:val="3"/>
            <w:vAlign w:val="center"/>
          </w:tcPr>
          <w:p>
            <w:pPr>
              <w:widowControl/>
              <w:jc w:val="center"/>
              <w:rPr>
                <w:rFonts w:ascii="Times New Roman" w:hAnsi="Times New Roman" w:eastAsia="仿宋" w:cs="Times New Roman"/>
                <w:b/>
                <w:bCs/>
                <w:color w:val="000000"/>
                <w:kern w:val="0"/>
                <w:sz w:val="21"/>
                <w:szCs w:val="21"/>
              </w:rPr>
            </w:pPr>
            <w:r>
              <w:rPr>
                <w:rFonts w:hint="default" w:ascii="Times New Roman" w:hAnsi="Times New Roman" w:eastAsia="仿宋" w:cs="Times New Roman"/>
                <w:b/>
                <w:bCs/>
                <w:color w:val="000000"/>
                <w:kern w:val="0"/>
                <w:sz w:val="21"/>
                <w:szCs w:val="21"/>
              </w:rPr>
              <w:t>合计</w:t>
            </w:r>
          </w:p>
        </w:tc>
        <w:tc>
          <w:tcPr>
            <w:tcW w:w="993" w:type="dxa"/>
            <w:vAlign w:val="center"/>
          </w:tcPr>
          <w:p>
            <w:pPr>
              <w:widowControl/>
              <w:jc w:val="center"/>
              <w:rPr>
                <w:rFonts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100</w:t>
            </w:r>
          </w:p>
        </w:tc>
        <w:tc>
          <w:tcPr>
            <w:tcW w:w="8418" w:type="dxa"/>
            <w:vAlign w:val="center"/>
          </w:tcPr>
          <w:p>
            <w:pPr>
              <w:widowControl/>
              <w:jc w:val="center"/>
              <w:rPr>
                <w:rFonts w:ascii="Times New Roman" w:hAnsi="Times New Roman" w:eastAsia="仿宋" w:cs="Times New Roman"/>
                <w:b/>
                <w:bCs/>
                <w:color w:val="000000"/>
                <w:kern w:val="0"/>
                <w:sz w:val="21"/>
                <w:szCs w:val="21"/>
              </w:rPr>
            </w:pPr>
            <w:r>
              <w:rPr>
                <w:rFonts w:hint="default" w:ascii="Times New Roman" w:hAnsi="Times New Roman" w:eastAsia="仿宋" w:cs="Times New Roman"/>
                <w:b/>
                <w:bCs/>
                <w:color w:val="000000"/>
                <w:kern w:val="0"/>
                <w:sz w:val="21"/>
                <w:szCs w:val="21"/>
              </w:rPr>
              <w:t>——</w:t>
            </w:r>
          </w:p>
        </w:tc>
      </w:tr>
    </w:tbl>
    <w:p>
      <w:pPr>
        <w:spacing w:line="400" w:lineRule="exact"/>
        <w:jc w:val="left"/>
        <w:rPr>
          <w:rFonts w:hint="default" w:ascii="Times New Roman" w:hAnsi="Times New Roman" w:eastAsia="仿宋" w:cs="Times New Roman"/>
          <w:b/>
          <w:sz w:val="24"/>
        </w:rPr>
      </w:pPr>
      <w:r>
        <w:rPr>
          <w:rFonts w:hint="default" w:ascii="Times New Roman" w:hAnsi="Times New Roman" w:eastAsia="仿宋" w:cs="Times New Roman"/>
          <w:b/>
          <w:sz w:val="24"/>
        </w:rPr>
        <w:t>注：1、以上提供的响应资料需在中标后提供原件核查，如经核查后存在弄虚作假行为的，将取消服务资格。</w:t>
      </w:r>
    </w:p>
    <w:p>
      <w:pPr>
        <w:spacing w:line="400" w:lineRule="exact"/>
        <w:ind w:firstLine="482" w:firstLineChars="200"/>
        <w:jc w:val="left"/>
        <w:rPr>
          <w:rFonts w:hint="default" w:ascii="Times New Roman" w:hAnsi="Times New Roman" w:eastAsia="仿宋" w:cs="Times New Roman"/>
          <w:b/>
          <w:sz w:val="24"/>
        </w:rPr>
      </w:pPr>
      <w:r>
        <w:rPr>
          <w:rFonts w:hint="default" w:ascii="Times New Roman" w:hAnsi="Times New Roman" w:eastAsia="仿宋" w:cs="Times New Roman"/>
          <w:b/>
          <w:sz w:val="24"/>
        </w:rPr>
        <w:t>2、请投标人在投标文件中标注以上评分项目证明资料对应的页码。</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E02E1"/>
    <w:rsid w:val="60AE0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footer"/>
    <w:basedOn w:val="1"/>
    <w:unhideWhenUsed/>
    <w:uiPriority w:val="99"/>
    <w:pPr>
      <w:tabs>
        <w:tab w:val="center" w:pos="4153"/>
        <w:tab w:val="right" w:pos="8306"/>
      </w:tabs>
      <w:snapToGrid w:val="0"/>
      <w:spacing w:line="240" w:lineRule="atLeast"/>
      <w:jc w:val="left"/>
    </w:pPr>
    <w:rPr>
      <w:rFonts w:ascii="Calibri" w:hAnsi="Calibri"/>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2023-11-16T09:16:00Z</dcterms:created>
  <dc:creator>李耀明</dc:creator>
  <cp:lastModifiedBy>李耀明</cp:lastModifiedBy>
  <dcterms:modified xsi:type="dcterms:W3CDTF">2023-11-16T09:17:22Z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