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</w:rPr>
        <w:t>评分表</w:t>
      </w:r>
    </w:p>
    <w:bookmarkEnd w:id="0"/>
    <w:tbl>
      <w:tblPr>
        <w:tblStyle w:val="6"/>
        <w:tblW w:w="99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87"/>
        <w:gridCol w:w="6775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highlight w:val="none"/>
              </w:rPr>
              <w:t>评分项目及权重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highlight w:val="none"/>
              </w:rPr>
              <w:t>评分标准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价格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（10分）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取满足采购文件要求且价格扣除后的最低投标报价作为评标基准价，其价格分为满分。其他供应商的价格分统一按照下列公式计算：价格扣除后的投标报价得分=（评标基准价/价格扣除后的投标报价）×10 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（对符合规定的小型和微型企业（监狱企业、残疾人福利单位视同小型、微型企业）报价给予10%的价格扣除。）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ind w:left="1" w:firstLine="0" w:firstLineChars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实施方案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（2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left="1" w:firstLine="0" w:firstLineChars="0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根据投标人响应文件提供的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演练策划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实施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 xml:space="preserve">方案进行评审： </w:t>
            </w:r>
          </w:p>
          <w:p>
            <w:pPr>
              <w:pStyle w:val="7"/>
              <w:spacing w:line="360" w:lineRule="exact"/>
              <w:ind w:left="1" w:firstLine="0" w:firstLineChars="0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优：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方案技术可行，内容完整，针对性强，完全满足招标需求，得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分；</w:t>
            </w:r>
          </w:p>
          <w:p>
            <w:pPr>
              <w:pStyle w:val="7"/>
              <w:spacing w:line="360" w:lineRule="exact"/>
              <w:ind w:left="1" w:firstLine="0" w:firstLineChars="0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良：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方案技术较可行，内容较完整，针对性较强，能够满足招标需求，得1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分；</w:t>
            </w:r>
          </w:p>
          <w:p>
            <w:pPr>
              <w:pStyle w:val="7"/>
              <w:spacing w:line="360" w:lineRule="exact"/>
              <w:ind w:left="1" w:firstLine="0" w:firstLineChars="0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中：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方案一般，技术基本可行，内容基本完整，针对性一般，基本满足招标需求，得12分；</w:t>
            </w:r>
          </w:p>
          <w:p>
            <w:pPr>
              <w:pStyle w:val="7"/>
              <w:spacing w:line="360" w:lineRule="exact"/>
              <w:ind w:left="1" w:firstLine="0" w:firstLineChars="0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差：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方案差，技术基本不可行，内容缺失，针对性差，基本未满足招标需求，得6分。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highlight w:val="none"/>
              </w:rPr>
              <w:t>未提供不得分。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00" w:lineRule="exact"/>
              <w:ind w:left="1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服务计划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15分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left="1" w:firstLine="0" w:firstLineChars="0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服务计划完善、切合实际，利于项目开展工作，便于实施的得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分；</w:t>
            </w:r>
          </w:p>
          <w:p>
            <w:pPr>
              <w:pStyle w:val="7"/>
              <w:spacing w:line="360" w:lineRule="exact"/>
              <w:ind w:left="1" w:firstLine="0" w:firstLineChars="0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服务计划基本可行、基本满足实际需求，可以开展工作，可以实施的得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分；</w:t>
            </w:r>
          </w:p>
          <w:p>
            <w:pPr>
              <w:pStyle w:val="7"/>
              <w:spacing w:line="360" w:lineRule="exact"/>
              <w:ind w:left="1" w:firstLine="0" w:firstLineChars="0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服务计划一般、与实际情况有所出入，基本可以开展工作，实施效果一般的得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分；</w:t>
            </w:r>
          </w:p>
          <w:p>
            <w:pPr>
              <w:pStyle w:val="7"/>
              <w:spacing w:line="360" w:lineRule="exact"/>
              <w:ind w:left="1" w:firstLine="0" w:firstLineChars="0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服务计划混乱、与实际情况不符，无法开展工作，无法实施的得0分。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kern w:val="0"/>
                <w:sz w:val="22"/>
                <w:szCs w:val="22"/>
                <w:highlight w:val="none"/>
                <w:lang w:val="en" w:eastAsia="zh-CN" w:bidi="ar-SA"/>
              </w:rPr>
              <w:t>项目投入人员（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kern w:val="0"/>
                <w:sz w:val="22"/>
                <w:szCs w:val="22"/>
                <w:highlight w:val="none"/>
                <w:lang w:val="en-US" w:eastAsia="zh-CN" w:bidi="ar-SA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kern w:val="0"/>
                <w:sz w:val="22"/>
                <w:szCs w:val="22"/>
                <w:highlight w:val="none"/>
                <w:lang w:val="en" w:eastAsia="zh-CN" w:bidi="ar-SA"/>
              </w:rPr>
              <w:t>分）</w:t>
            </w:r>
          </w:p>
        </w:tc>
        <w:tc>
          <w:tcPr>
            <w:tcW w:w="6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ascii="Times New Roman" w:hAnsi="Times New Roman" w:eastAsia="仿宋_GB2312" w:cs="Times New Roman"/>
                <w:kern w:val="0"/>
                <w:sz w:val="22"/>
                <w:szCs w:val="22"/>
                <w:highlight w:val="no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lang w:val="e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lang w:val="en" w:eastAsia="zh-CN"/>
              </w:rPr>
              <w:t>项目负责人具有生态环境类专业技术高级或以上职称的，得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lang w:val="en" w:eastAsia="zh-CN"/>
              </w:rPr>
              <w:t>分；其余不得分；</w:t>
            </w:r>
          </w:p>
          <w:p>
            <w:pPr>
              <w:pStyle w:val="7"/>
              <w:spacing w:line="360" w:lineRule="exact"/>
              <w:ind w:left="1" w:firstLine="0" w:firstLineChars="0"/>
              <w:rPr>
                <w:rFonts w:ascii="Times New Roman" w:hAnsi="Times New Roman" w:cs="Times New Roman"/>
                <w:kern w:val="0"/>
                <w:sz w:val="22"/>
                <w:szCs w:val="22"/>
                <w:highlight w:val="none"/>
                <w:lang w:val="e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"/>
              </w:rPr>
              <w:t>2、项目其他人员（负责人除外），具有生态环境类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" w:eastAsia="zh-CN"/>
              </w:rPr>
              <w:t>、化工类中级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"/>
              </w:rPr>
              <w:t>及以上职称的，每提供一人得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分，最高得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分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"/>
              </w:rPr>
              <w:t>注：须提供上述人员相应证书复印件，最近3个月任意1个月在该供应商单位缴纳的社保证明复印件并加盖公章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14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"/>
              </w:rPr>
              <w:t>同类项目业绩（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20分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"/>
              </w:rPr>
              <w:t>）</w:t>
            </w:r>
          </w:p>
        </w:tc>
        <w:tc>
          <w:tcPr>
            <w:tcW w:w="67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自2020年1月1日起至投标截止时间前，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投标人有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开展同类业绩的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，以投标人名义签订协议/合同的并完成，每个得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分，最高得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分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2、投标人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有组织现场拍摄活动项目的，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得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分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；能组织50人以上现场拍摄活动项目的，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得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分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最高得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分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注：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须提供合同/协议关键页或中标通知书复印件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并加盖投标人公章，以合同签订时间为准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，没有提供不计分。</w:t>
            </w: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6</w:t>
            </w:r>
          </w:p>
        </w:tc>
        <w:tc>
          <w:tcPr>
            <w:tcW w:w="14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企业服务能力（15分）</w:t>
            </w:r>
          </w:p>
        </w:tc>
        <w:tc>
          <w:tcPr>
            <w:tcW w:w="67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1、投标人具有有效期内环境管理体系认证、职业健康安全管理体系认证，每有一项得3分，本项最高得6分。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-US" w:eastAsia="zh-CN"/>
              </w:rPr>
              <w:t>2、投标人有环境应急物资储备能力，有租借或自有专业作业车辆的、或投标人单位建立环境应急综合救援队伍，每有一项得3分，本项最高得9分，不满足的得0分。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" w:eastAsia="zh-CN"/>
              </w:rPr>
              <w:t>注：须提供以上证明材料复印件，并加盖公章，不提供的不得分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en"/>
              </w:rPr>
              <w:t>。</w:t>
            </w: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default" w:ascii="Times New Roman" w:hAnsi="Times New Roman" w:eastAsia="华文仿宋" w:cs="Times New Roman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0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0"/>
                <w:szCs w:val="3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"/>
              </w:rPr>
              <w:t>综合得分</w:t>
            </w:r>
          </w:p>
        </w:tc>
        <w:tc>
          <w:tcPr>
            <w:tcW w:w="67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30"/>
                <w:szCs w:val="3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30"/>
                <w:szCs w:val="30"/>
                <w:highlight w:val="none"/>
                <w:lang w:val="en-US" w:eastAsia="zh-CN" w:bidi="ar"/>
              </w:rPr>
              <w:t>——</w:t>
            </w: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30"/>
                <w:szCs w:val="30"/>
                <w:highlight w:val="none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84289"/>
    <w:rsid w:val="344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outlineLvl w:val="0"/>
    </w:pPr>
    <w:rPr>
      <w:rFonts w:ascii="Arial Black" w:hAnsi="Arial Black" w:eastAsia="黑体"/>
      <w:b/>
      <w:spacing w:val="20"/>
      <w:sz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60" w:lineRule="auto"/>
      <w:ind w:firstLine="420"/>
    </w:pPr>
    <w:rPr>
      <w:rFonts w:ascii="宋体" w:eastAsia="宋体"/>
      <w:sz w:val="21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customStyle="1" w:styleId="7">
    <w:name w:val="正文缩进2格"/>
    <w:basedOn w:val="1"/>
    <w:next w:val="1"/>
    <w:qFormat/>
    <w:uiPriority w:val="99"/>
    <w:pPr>
      <w:spacing w:line="600" w:lineRule="exact"/>
      <w:ind w:firstLine="639" w:firstLineChars="206"/>
    </w:pPr>
    <w:rPr>
      <w:rFonts w:ascii="仿宋_GB2312" w:hAnsi="宋体"/>
      <w:sz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2023-11-24T03:33:00Z</dcterms:created>
  <dc:creator>李耀明</dc:creator>
  <cp:lastModifiedBy>李耀明</cp:lastModifiedBy>
  <dcterms:modified xsi:type="dcterms:W3CDTF">2023-11-24T03:33:52Z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