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供应商评分表（自评）</w:t>
      </w: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tbl>
      <w:tblPr>
        <w:tblStyle w:val="4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22"/>
        <w:gridCol w:w="574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评分项目及权重</w:t>
            </w:r>
          </w:p>
        </w:tc>
        <w:tc>
          <w:tcPr>
            <w:tcW w:w="3460" w:type="pct"/>
            <w:vAlign w:val="center"/>
          </w:tcPr>
          <w:p>
            <w:pPr>
              <w:pStyle w:val="3"/>
              <w:snapToGrid w:val="0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462" w:type="pct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实施方案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（15分）</w:t>
            </w:r>
          </w:p>
        </w:tc>
        <w:tc>
          <w:tcPr>
            <w:tcW w:w="3460" w:type="pct"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项目实施方案对项目要求分析准确，具体方案全面、详细合理；服务实施流程科学、可行、完全满足用户需求，得15分；</w:t>
            </w:r>
          </w:p>
          <w:p>
            <w:pPr>
              <w:widowControl/>
              <w:spacing w:line="240" w:lineRule="atLeast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对项目要求分析较准确，具体方案较全面、较合理；服务实施流程较可行、满足用户需求，得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widowControl/>
              <w:spacing w:line="240" w:lineRule="atLeast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对项目要求分析基本准确，具体方案基本全面、合理；服务实施流程基本可行、基本满足用户需求，得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widowControl/>
              <w:spacing w:line="240" w:lineRule="atLeast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对项目要求分析一般，具体方案不够全面、合理；服务实施流程有一定可行性、基本满足用户需求，得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shd w:val="clear" w:color="auto" w:fill="FFFFFF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对项目要求分析不准确，具体方案不合理；服务实施流程可行性低，无法满足用户需求或未提供技术方案的，得</w:t>
            </w:r>
            <w:r>
              <w:rPr>
                <w:rFonts w:ascii="仿宋_GB2312" w:hAnsi="宋体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462" w:type="pct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质量控制措施（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分）</w:t>
            </w:r>
          </w:p>
        </w:tc>
        <w:tc>
          <w:tcPr>
            <w:tcW w:w="3460" w:type="pct"/>
            <w:vAlign w:val="center"/>
          </w:tcPr>
          <w:p>
            <w:pPr>
              <w:spacing w:line="276" w:lineRule="auto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针对本项目有提供完善到位的质量保证和质量控制措施，制定质量控制方案，方案完全满足本项目要求的，得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spacing w:line="276" w:lineRule="auto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针对本项目有提供较完善到位的质量保证和质量控制措施，制定质量控制方案，方案较能满足本项目要求的，得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spacing w:line="276" w:lineRule="auto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针对本项目提供的质量保证和质量控制措施不够完善，制定质量控制方案，方案基本能满足本项目要求的，得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spacing w:line="276" w:lineRule="auto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针对本项目的质量保证和质量控制措施不完善，未制定质量控制方案，方案大部分无法满足本项目要求的，得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分；</w:t>
            </w:r>
          </w:p>
          <w:p>
            <w:pPr>
              <w:snapToGrid w:val="0"/>
              <w:spacing w:line="240" w:lineRule="atLeast"/>
              <w:jc w:val="both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未提供得</w:t>
            </w:r>
            <w:r>
              <w:rPr>
                <w:rFonts w:ascii="仿宋_GB2312" w:hAnsi="宋体" w:cs="宋体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462" w:type="pct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技术能力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分）</w:t>
            </w:r>
          </w:p>
        </w:tc>
        <w:tc>
          <w:tcPr>
            <w:tcW w:w="3460" w:type="pct"/>
            <w:vAlign w:val="center"/>
          </w:tcPr>
          <w:p>
            <w:pPr>
              <w:pStyle w:val="3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（1）响应单位有完善的组织架构为优，得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分；次得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分；其他得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  <w:p>
            <w:pPr>
              <w:pStyle w:val="3"/>
              <w:snapToGrid w:val="0"/>
              <w:jc w:val="both"/>
              <w:rPr>
                <w:rFonts w:ascii="仿宋_GB2312" w:eastAsia="仿宋_GB2312" w:cs="宋体"/>
                <w:color w:val="FF0000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（2）投标人的服务响应时间短，有对采购人有利的服务承诺，得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分；无得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/>
              </w:rPr>
              <w:t>分。</w:t>
            </w:r>
          </w:p>
        </w:tc>
        <w:tc>
          <w:tcPr>
            <w:tcW w:w="462" w:type="pct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工作经验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分）</w:t>
            </w:r>
          </w:p>
        </w:tc>
        <w:tc>
          <w:tcPr>
            <w:tcW w:w="3460" w:type="pct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供应商完成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土壤污染隐患排查、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土壤污染状况调查类或地下水监测项目的，每项得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分，本项最高得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分。（须提供合同复印件并加盖公章）。</w:t>
            </w:r>
          </w:p>
        </w:tc>
        <w:tc>
          <w:tcPr>
            <w:tcW w:w="462" w:type="pct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341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价格评分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分）</w:t>
            </w:r>
          </w:p>
        </w:tc>
        <w:tc>
          <w:tcPr>
            <w:tcW w:w="3460" w:type="pct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取满足采购文件要求且价格扣除后的最低投标报价作为评标基准价，其价格分为满分。其他供应商的价格分统一按照下列公式计算：价格扣除后的投标报价得分=（评标基准价/价格扣除后的投标报价）×10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%</w:t>
            </w:r>
          </w:p>
          <w:p>
            <w:pPr>
              <w:pStyle w:val="2"/>
              <w:snapToGrid w:val="0"/>
              <w:ind w:firstLine="480"/>
              <w:rPr>
                <w:rFonts w:ascii="仿宋_GB2312" w:hAnsi="宋体" w:cs="宋体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462" w:type="pct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07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"/>
              </w:rPr>
              <w:t>综合得分</w:t>
            </w:r>
          </w:p>
        </w:tc>
        <w:tc>
          <w:tcPr>
            <w:tcW w:w="3460" w:type="pct"/>
            <w:vAlign w:val="center"/>
          </w:tcPr>
          <w:p>
            <w:pPr>
              <w:pStyle w:val="3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4"/>
                <w:lang w:val="e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"/>
              </w:rPr>
              <w:t>——</w:t>
            </w:r>
          </w:p>
        </w:tc>
        <w:tc>
          <w:tcPr>
            <w:tcW w:w="462" w:type="pct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A443A-8DDF-43E9-AD6B-4D2D327AD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B34059-782B-4ADE-8E07-72D2B615CD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79B746-85CB-4112-8933-82EF57F439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78EC400-F269-4474-B560-ABF6860222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DCD66E-4A98-46F8-B374-C9C9E31629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QzNDIwZTc2ODk5ZDQ2MWU5MDBkNjYzYzIwOTYifQ=="/>
  </w:docVars>
  <w:rsids>
    <w:rsidRoot w:val="11F434AE"/>
    <w:rsid w:val="11F434AE"/>
    <w:rsid w:val="411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宋体" w:eastAsia="宋体" w:cs="Courier New"/>
      <w:color w:val="000000"/>
      <w:kern w:val="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2023-11-27T09:08:00Z</dcterms:created>
  <dc:creator>Jonathan</dc:creator>
  <cp:lastModifiedBy>Jonathan</cp:lastModifiedBy>
  <dcterms:modified xsi:type="dcterms:W3CDTF">2023-11-27T09:09:34Z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E300871F706E4366B919D463A5884606_13</vt:lpwstr>
  </property>
</Properties>
</file>