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江门市台山公路局端芬养护中心关于江门台山市普通省道S275、S276线公路安全提升工程（平安村口、一清一灯一带、机非隔离专项整治二期工程）采购标线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材料报价函</w:t>
      </w:r>
    </w:p>
    <w:p>
      <w:pPr>
        <w:spacing w:line="560" w:lineRule="exact"/>
        <w:jc w:val="center"/>
        <w:rPr>
          <w:rFonts w:hint="default" w:eastAsia="宋体"/>
          <w:u w:val="single"/>
          <w:lang w:val="en-US" w:eastAsia="zh-CN"/>
        </w:rPr>
      </w:pPr>
      <w:r>
        <w:rPr>
          <w:rFonts w:hint="eastAsia"/>
        </w:rPr>
        <w:t>询价</w:t>
      </w:r>
      <w:r>
        <w:rPr>
          <w:rFonts w:hint="eastAsia"/>
          <w:color w:val="auto"/>
        </w:rPr>
        <w:t>函编号：Y</w:t>
      </w:r>
      <w:r>
        <w:rPr>
          <w:rFonts w:hint="eastAsia"/>
          <w:color w:val="auto"/>
          <w:u w:val="single"/>
        </w:rPr>
        <w:t>202</w:t>
      </w:r>
      <w:r>
        <w:rPr>
          <w:rFonts w:hint="eastAsia"/>
          <w:color w:val="auto"/>
          <w:u w:val="single"/>
          <w:lang w:val="en-US" w:eastAsia="zh-CN"/>
        </w:rPr>
        <w:t>31211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江门台山市普通省道S275、S276线公路安全提升工程（平安村口、一清一灯一带、机非隔离专项整治二期工程），位于江门台山市内，设计路线为省道275、省道276，设计全长约57.22公里，在沿线的相关村道路口设置减速标线、停车让行标线，对原有破碎、残缺的标线进行翻修更新，在隐患路口两侧设置减速带。</w:t>
      </w:r>
      <w:r>
        <w:rPr>
          <w:rFonts w:hint="eastAsia" w:ascii="仿宋" w:hAnsi="仿宋" w:eastAsia="仿宋"/>
          <w:sz w:val="28"/>
          <w:szCs w:val="28"/>
        </w:rPr>
        <w:t>采购总价估算金额约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sz w:val="28"/>
          <w:szCs w:val="28"/>
        </w:rPr>
        <w:t>万元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（以上费用包含税费、运输费及卸货费，具体以实际结算）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询价内容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auto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路面标</w:t>
      </w:r>
      <w:r>
        <w:rPr>
          <w:rFonts w:hint="eastAsia" w:ascii="仿宋" w:hAnsi="仿宋" w:eastAsia="仿宋"/>
          <w:color w:val="auto"/>
          <w:sz w:val="28"/>
          <w:szCs w:val="28"/>
        </w:rPr>
        <w:t>线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热熔型</w:t>
      </w:r>
      <w:r>
        <w:rPr>
          <w:rFonts w:hint="eastAsia" w:ascii="仿宋" w:hAnsi="仿宋" w:eastAsia="仿宋"/>
          <w:color w:val="auto"/>
          <w:sz w:val="28"/>
          <w:szCs w:val="28"/>
        </w:rPr>
        <w:t>涂料(国标白色)；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auto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路面标线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热熔型</w:t>
      </w:r>
      <w:r>
        <w:rPr>
          <w:rFonts w:hint="eastAsia" w:ascii="仿宋" w:hAnsi="仿宋" w:eastAsia="仿宋"/>
          <w:color w:val="auto"/>
          <w:sz w:val="28"/>
          <w:szCs w:val="28"/>
        </w:rPr>
        <w:t>涂料(国标黄色)；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路面标线用玻璃珠(国标非镀膜)；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标线下涂料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收货地点：江门市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台山公路局端芬养护中心材料储备仓库或汶村养护站</w:t>
      </w:r>
      <w:r>
        <w:rPr>
          <w:rFonts w:hint="eastAsia" w:ascii="仿宋" w:hAnsi="仿宋" w:eastAsia="仿宋"/>
          <w:sz w:val="28"/>
          <w:szCs w:val="28"/>
          <w:lang w:eastAsia="zh-CN"/>
        </w:rPr>
        <w:t>材料储备仓库及指定的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我养护中心</w:t>
      </w:r>
      <w:r>
        <w:rPr>
          <w:rFonts w:hint="eastAsia" w:ascii="仿宋" w:hAnsi="仿宋" w:eastAsia="仿宋"/>
          <w:sz w:val="28"/>
          <w:szCs w:val="28"/>
          <w:lang w:eastAsia="zh-CN"/>
        </w:rPr>
        <w:t>辖区内国省道周边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符合《中华人民共和国政府采购法》第二十二条的规定。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具备独立承担民事责任及履行合同的能力。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供应商必须具有本次所采购材料(商品)的销售经营许可证，没有不良记录。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1.报名时间：202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28"/>
          <w:szCs w:val="28"/>
        </w:rPr>
        <w:t>日至202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/>
          <w:color w:val="auto"/>
          <w:sz w:val="28"/>
          <w:szCs w:val="28"/>
        </w:rPr>
        <w:t>日15:00时止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（北京时间）</w:t>
      </w:r>
      <w:r>
        <w:rPr>
          <w:rFonts w:hint="eastAsia" w:ascii="仿宋" w:hAnsi="仿宋" w:eastAsia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报名地点：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江门市台山公路局端芬养护中心汶村养护站（汶村镇双龙路5-1号）。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报名方式：现场递交报名材料或邮寄。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报名材料：单位法人资格证明文件（如营业执照或经营许可证等）。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5.商务标书要求：提供报价单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注明单价并盖章，不可更改表格格式和顺序。以上报价材料统一密封，封面加盖骑缝章。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/>
          <w:color w:val="auto"/>
          <w:sz w:val="28"/>
          <w:szCs w:val="28"/>
          <w:lang w:val="en-US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6.提供适量施划标线的实体原材料即：涂料、玻璃珠、标线下涂料（底油）等材料和同类型涂料性能检验单，主要抗压强度、色度性能、玻璃珠含量、软化点等检验数据。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五、同类商品参考江门市场信息价：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color w:val="auto"/>
          <w:sz w:val="28"/>
          <w:szCs w:val="28"/>
        </w:rPr>
        <w:t>路面标线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热熔型</w:t>
      </w:r>
      <w:r>
        <w:rPr>
          <w:rFonts w:hint="eastAsia" w:ascii="仿宋" w:hAnsi="仿宋" w:eastAsia="仿宋"/>
          <w:color w:val="auto"/>
          <w:sz w:val="28"/>
          <w:szCs w:val="28"/>
        </w:rPr>
        <w:t>涂料(白色)单价不得超过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4200</w:t>
      </w:r>
      <w:r>
        <w:rPr>
          <w:rFonts w:hint="eastAsia" w:ascii="仿宋" w:hAnsi="仿宋" w:eastAsia="仿宋"/>
          <w:color w:val="auto"/>
          <w:sz w:val="28"/>
          <w:szCs w:val="28"/>
        </w:rPr>
        <w:t>元/吨；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color w:val="auto"/>
          <w:sz w:val="28"/>
          <w:szCs w:val="28"/>
        </w:rPr>
        <w:t>路面标线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热熔型</w:t>
      </w:r>
      <w:r>
        <w:rPr>
          <w:rFonts w:hint="eastAsia" w:ascii="仿宋" w:hAnsi="仿宋" w:eastAsia="仿宋"/>
          <w:color w:val="auto"/>
          <w:sz w:val="28"/>
          <w:szCs w:val="28"/>
        </w:rPr>
        <w:t>涂料(黄色)单价不得超过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4200</w:t>
      </w:r>
      <w:r>
        <w:rPr>
          <w:rFonts w:hint="eastAsia" w:ascii="仿宋" w:hAnsi="仿宋" w:eastAsia="仿宋"/>
          <w:color w:val="auto"/>
          <w:sz w:val="28"/>
          <w:szCs w:val="28"/>
        </w:rPr>
        <w:t>元/吨；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/>
          <w:color w:val="auto"/>
          <w:sz w:val="28"/>
          <w:szCs w:val="28"/>
        </w:rPr>
        <w:t>路面标线用玻璃珠(非镀膜)单价不得超过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385</w:t>
      </w:r>
      <w:r>
        <w:rPr>
          <w:rFonts w:hint="eastAsia" w:ascii="仿宋" w:hAnsi="仿宋" w:eastAsia="仿宋"/>
          <w:color w:val="auto"/>
          <w:sz w:val="28"/>
          <w:szCs w:val="28"/>
        </w:rPr>
        <w:t>0元/吨；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/>
          <w:color w:val="auto"/>
          <w:sz w:val="28"/>
          <w:szCs w:val="28"/>
        </w:rPr>
        <w:t>标线下涂料单价不得超过1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48</w:t>
      </w:r>
      <w:r>
        <w:rPr>
          <w:rFonts w:hint="eastAsia" w:ascii="仿宋" w:hAnsi="仿宋" w:eastAsia="仿宋"/>
          <w:color w:val="auto"/>
          <w:sz w:val="28"/>
          <w:szCs w:val="28"/>
        </w:rPr>
        <w:t>00元/吨；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六、确定成交供应商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采购方将综合考虑供应商的报价、经营范围、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原材料质量</w:t>
      </w:r>
      <w:r>
        <w:rPr>
          <w:rFonts w:hint="eastAsia" w:ascii="仿宋" w:hAnsi="仿宋" w:eastAsia="仿宋"/>
          <w:color w:val="auto"/>
          <w:sz w:val="28"/>
          <w:szCs w:val="28"/>
        </w:rPr>
        <w:t>进行选取。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28"/>
          <w:szCs w:val="28"/>
        </w:rPr>
        <w:t>.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原则先通过材料质量符合《路面标结涂料》JT/T280-2022标准审核后，再按价低者得原则确定中选供应商，但如果该供应商提供的实体原材料质量较差者，采购单位有权调整中选的供应商。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仿宋" w:hAnsi="仿宋" w:eastAsia="仿宋"/>
          <w:color w:val="0000FF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3.中选的供应商签订合同后，供货的材料质量要与提供比选的材料质量一致，且符合设计要求。若供应商供货的实体原材料与比选材料质量不一致 ，采购单位有权与中选的供应商终止合同。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骆</w:t>
      </w:r>
      <w:r>
        <w:rPr>
          <w:rFonts w:hint="eastAsia" w:ascii="仿宋" w:hAnsi="仿宋" w:eastAsia="仿宋"/>
          <w:sz w:val="28"/>
          <w:szCs w:val="28"/>
        </w:rPr>
        <w:t>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电话：0750-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5719799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江门市台山公路局端芬养护中心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0"/>
        <w:jc w:val="right"/>
        <w:textAlignment w:val="auto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202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28"/>
          <w:szCs w:val="28"/>
        </w:rPr>
        <w:t>日</w:t>
      </w:r>
    </w:p>
    <w:p>
      <w:pPr>
        <w:widowControl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widowControl/>
        <w:jc w:val="right"/>
        <w:rPr>
          <w:rFonts w:hint="default" w:ascii="仿宋" w:hAnsi="仿宋" w:eastAsia="仿宋"/>
          <w:color w:val="auto"/>
          <w:sz w:val="28"/>
          <w:szCs w:val="28"/>
          <w:lang w:val="en-US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询价函编号：Y202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31211</w:t>
      </w:r>
      <w:bookmarkStart w:id="0" w:name="_GoBack"/>
      <w:bookmarkEnd w:id="0"/>
    </w:p>
    <w:p>
      <w:pPr>
        <w:widowControl/>
        <w:jc w:val="right"/>
        <w:rPr>
          <w:rFonts w:ascii="方正小标宋简体" w:hAnsi="宋体" w:eastAsia="方正小标宋简体"/>
          <w:sz w:val="24"/>
          <w:szCs w:val="24"/>
        </w:rPr>
      </w:pPr>
    </w:p>
    <w:p>
      <w:pPr>
        <w:widowControl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 价 单</w:t>
      </w:r>
    </w:p>
    <w:p>
      <w:pPr>
        <w:widowControl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报价单位（章）：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联系人：             联系电话：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报价有效日期至：     年   月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61"/>
        <w:gridCol w:w="851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报价项目说明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权重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单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价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（元/吨）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路面标线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热熔型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涂料(国标白色)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路面标线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热熔型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涂料(国标黄色)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路面标线用玻璃珠(国标非镀膜)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标线下涂剂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atLeast"/>
        </w:trPr>
        <w:tc>
          <w:tcPr>
            <w:tcW w:w="8522" w:type="dxa"/>
            <w:gridSpan w:val="4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备注：1.报价为含税含运费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含卸货费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单价。</w:t>
            </w:r>
          </w:p>
          <w:p>
            <w:pPr>
              <w:pStyle w:val="9"/>
              <w:spacing w:line="360" w:lineRule="auto"/>
              <w:ind w:left="359" w:leftChars="171" w:firstLine="56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2.标线材料包装规格：</w:t>
            </w:r>
          </w:p>
          <w:p>
            <w:pPr>
              <w:spacing w:line="360" w:lineRule="auto"/>
              <w:ind w:firstLine="1260" w:firstLineChars="45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路面标线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热熔型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涂料(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25kg/袋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)</w:t>
            </w:r>
          </w:p>
          <w:p>
            <w:pPr>
              <w:spacing w:line="360" w:lineRule="auto"/>
              <w:ind w:firstLine="1260" w:firstLineChars="45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路面标线用玻璃珠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(25kg/袋)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标线下涂剂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(20kg/桶)</w:t>
            </w:r>
          </w:p>
        </w:tc>
      </w:tr>
    </w:tbl>
    <w:p>
      <w:pPr>
        <w:wordWrap w:val="0"/>
        <w:spacing w:line="360" w:lineRule="auto"/>
        <w:ind w:right="560" w:firstLine="3920" w:firstLineChars="14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报价日期：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FC063D"/>
    <w:multiLevelType w:val="singleLevel"/>
    <w:tmpl w:val="ADFC063D"/>
    <w:lvl w:ilvl="0" w:tentative="0">
      <w:start w:val="1"/>
      <w:numFmt w:val="chineseCounting"/>
      <w:suff w:val="nothing"/>
      <w:lvlText w:val="%1、"/>
      <w:lvlJc w:val="left"/>
      <w:rPr>
        <w:rFonts w:hint="eastAsia" w:ascii="宋体" w:hAnsi="宋体" w:eastAsia="宋体" w:cs="宋体"/>
      </w:rPr>
    </w:lvl>
  </w:abstractNum>
  <w:abstractNum w:abstractNumId="1">
    <w:nsid w:val="606249F0"/>
    <w:multiLevelType w:val="multilevel"/>
    <w:tmpl w:val="606249F0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4N2QyNzdkYmY4ZmYzYzc0Y2ZiNjY2NTliMDhjOTAifQ=="/>
  </w:docVars>
  <w:rsids>
    <w:rsidRoot w:val="002F2D06"/>
    <w:rsid w:val="000335EA"/>
    <w:rsid w:val="0006374C"/>
    <w:rsid w:val="00114454"/>
    <w:rsid w:val="001449CA"/>
    <w:rsid w:val="0016215C"/>
    <w:rsid w:val="001963FF"/>
    <w:rsid w:val="001A72E3"/>
    <w:rsid w:val="001C1242"/>
    <w:rsid w:val="0020065A"/>
    <w:rsid w:val="00233666"/>
    <w:rsid w:val="002471DA"/>
    <w:rsid w:val="002F04FE"/>
    <w:rsid w:val="002F2D06"/>
    <w:rsid w:val="00300E67"/>
    <w:rsid w:val="00327E29"/>
    <w:rsid w:val="003B5111"/>
    <w:rsid w:val="003D2B2D"/>
    <w:rsid w:val="003F2FA2"/>
    <w:rsid w:val="0043267F"/>
    <w:rsid w:val="00454C23"/>
    <w:rsid w:val="00474A52"/>
    <w:rsid w:val="00496F63"/>
    <w:rsid w:val="004E2611"/>
    <w:rsid w:val="004E394F"/>
    <w:rsid w:val="004F251B"/>
    <w:rsid w:val="00543A7A"/>
    <w:rsid w:val="00583054"/>
    <w:rsid w:val="0058646E"/>
    <w:rsid w:val="005960E8"/>
    <w:rsid w:val="005A604E"/>
    <w:rsid w:val="005E2F29"/>
    <w:rsid w:val="00607EAF"/>
    <w:rsid w:val="00623ED3"/>
    <w:rsid w:val="00653D16"/>
    <w:rsid w:val="00672B52"/>
    <w:rsid w:val="006A54E5"/>
    <w:rsid w:val="006C07C7"/>
    <w:rsid w:val="006D491F"/>
    <w:rsid w:val="006F6871"/>
    <w:rsid w:val="0076476A"/>
    <w:rsid w:val="007933F4"/>
    <w:rsid w:val="007B3BF7"/>
    <w:rsid w:val="007F3309"/>
    <w:rsid w:val="00812788"/>
    <w:rsid w:val="00875900"/>
    <w:rsid w:val="00887D85"/>
    <w:rsid w:val="00897F2B"/>
    <w:rsid w:val="00911EE6"/>
    <w:rsid w:val="00913BD5"/>
    <w:rsid w:val="00917063"/>
    <w:rsid w:val="0094265B"/>
    <w:rsid w:val="009B4B4D"/>
    <w:rsid w:val="009B7422"/>
    <w:rsid w:val="00A14CA9"/>
    <w:rsid w:val="00A94C9B"/>
    <w:rsid w:val="00AC040D"/>
    <w:rsid w:val="00AC4302"/>
    <w:rsid w:val="00B21F11"/>
    <w:rsid w:val="00B873AD"/>
    <w:rsid w:val="00BA115D"/>
    <w:rsid w:val="00BF52BD"/>
    <w:rsid w:val="00C9072F"/>
    <w:rsid w:val="00CA4E56"/>
    <w:rsid w:val="00CE0741"/>
    <w:rsid w:val="00D05F5F"/>
    <w:rsid w:val="00D12B17"/>
    <w:rsid w:val="00D203CC"/>
    <w:rsid w:val="00D603BC"/>
    <w:rsid w:val="00DE6F59"/>
    <w:rsid w:val="00E12170"/>
    <w:rsid w:val="00E52914"/>
    <w:rsid w:val="00E5579A"/>
    <w:rsid w:val="00E66629"/>
    <w:rsid w:val="00E914F5"/>
    <w:rsid w:val="00EB179F"/>
    <w:rsid w:val="00F372EB"/>
    <w:rsid w:val="00F430A6"/>
    <w:rsid w:val="00F6360E"/>
    <w:rsid w:val="00FF4333"/>
    <w:rsid w:val="0162697C"/>
    <w:rsid w:val="01E66FA5"/>
    <w:rsid w:val="05257DE5"/>
    <w:rsid w:val="059E1945"/>
    <w:rsid w:val="07801893"/>
    <w:rsid w:val="08A74FB5"/>
    <w:rsid w:val="0983157E"/>
    <w:rsid w:val="0A99714F"/>
    <w:rsid w:val="0BB21CA6"/>
    <w:rsid w:val="0BB91287"/>
    <w:rsid w:val="0D2A3ABE"/>
    <w:rsid w:val="0D7D191E"/>
    <w:rsid w:val="0F847DFE"/>
    <w:rsid w:val="10417A9D"/>
    <w:rsid w:val="10545A22"/>
    <w:rsid w:val="105570A4"/>
    <w:rsid w:val="1083107D"/>
    <w:rsid w:val="14812537"/>
    <w:rsid w:val="15F0514C"/>
    <w:rsid w:val="1609105D"/>
    <w:rsid w:val="17D15BAA"/>
    <w:rsid w:val="18212BC0"/>
    <w:rsid w:val="18761B40"/>
    <w:rsid w:val="1C817B9F"/>
    <w:rsid w:val="1CAC2742"/>
    <w:rsid w:val="1D455816"/>
    <w:rsid w:val="1D765C90"/>
    <w:rsid w:val="1F3524DE"/>
    <w:rsid w:val="1F784B5D"/>
    <w:rsid w:val="21571350"/>
    <w:rsid w:val="237C4C1C"/>
    <w:rsid w:val="23FB184B"/>
    <w:rsid w:val="2483647E"/>
    <w:rsid w:val="270F7B55"/>
    <w:rsid w:val="273B3040"/>
    <w:rsid w:val="27BF5A1F"/>
    <w:rsid w:val="28F93369"/>
    <w:rsid w:val="298B3ED2"/>
    <w:rsid w:val="29D84357"/>
    <w:rsid w:val="2AC11AAE"/>
    <w:rsid w:val="2D270DB0"/>
    <w:rsid w:val="2D880CBA"/>
    <w:rsid w:val="2EF266DA"/>
    <w:rsid w:val="2F200AD9"/>
    <w:rsid w:val="2FAD48B8"/>
    <w:rsid w:val="2FE57FED"/>
    <w:rsid w:val="31B939EE"/>
    <w:rsid w:val="323B3EF4"/>
    <w:rsid w:val="32D22AAA"/>
    <w:rsid w:val="32DE4299"/>
    <w:rsid w:val="333948D8"/>
    <w:rsid w:val="351A0346"/>
    <w:rsid w:val="353F3CFB"/>
    <w:rsid w:val="36581519"/>
    <w:rsid w:val="37526B7E"/>
    <w:rsid w:val="377A54BF"/>
    <w:rsid w:val="37A42790"/>
    <w:rsid w:val="37D5513E"/>
    <w:rsid w:val="37FC4126"/>
    <w:rsid w:val="40E612BA"/>
    <w:rsid w:val="41423F32"/>
    <w:rsid w:val="41650F8E"/>
    <w:rsid w:val="41C070E5"/>
    <w:rsid w:val="429F7177"/>
    <w:rsid w:val="44CC6C2E"/>
    <w:rsid w:val="44FE14DD"/>
    <w:rsid w:val="459953B3"/>
    <w:rsid w:val="461C1222"/>
    <w:rsid w:val="46AC1BE6"/>
    <w:rsid w:val="479F614C"/>
    <w:rsid w:val="47DD7AD0"/>
    <w:rsid w:val="481000D8"/>
    <w:rsid w:val="48AC1250"/>
    <w:rsid w:val="48F21359"/>
    <w:rsid w:val="48FD1AAC"/>
    <w:rsid w:val="49AF299B"/>
    <w:rsid w:val="4A35432E"/>
    <w:rsid w:val="4A82495E"/>
    <w:rsid w:val="4AE61558"/>
    <w:rsid w:val="4B116160"/>
    <w:rsid w:val="4C58147E"/>
    <w:rsid w:val="4CA94424"/>
    <w:rsid w:val="4CD62D3F"/>
    <w:rsid w:val="4DFE254E"/>
    <w:rsid w:val="4EB26E94"/>
    <w:rsid w:val="4F436574"/>
    <w:rsid w:val="4FE76D2B"/>
    <w:rsid w:val="50175B49"/>
    <w:rsid w:val="50760AC1"/>
    <w:rsid w:val="5119769F"/>
    <w:rsid w:val="5161703F"/>
    <w:rsid w:val="51AF590D"/>
    <w:rsid w:val="53E915AA"/>
    <w:rsid w:val="540D34EB"/>
    <w:rsid w:val="547E2B59"/>
    <w:rsid w:val="54BC6CBF"/>
    <w:rsid w:val="58F22CAF"/>
    <w:rsid w:val="59FE6D52"/>
    <w:rsid w:val="5A954032"/>
    <w:rsid w:val="5AE76118"/>
    <w:rsid w:val="5B3A4863"/>
    <w:rsid w:val="5B495134"/>
    <w:rsid w:val="5B5A6076"/>
    <w:rsid w:val="5C58551F"/>
    <w:rsid w:val="5DB744C7"/>
    <w:rsid w:val="5E341674"/>
    <w:rsid w:val="5E40270F"/>
    <w:rsid w:val="5E68756F"/>
    <w:rsid w:val="5FB54A36"/>
    <w:rsid w:val="60793CB6"/>
    <w:rsid w:val="60917251"/>
    <w:rsid w:val="615E35D8"/>
    <w:rsid w:val="61AB4343"/>
    <w:rsid w:val="61B218C7"/>
    <w:rsid w:val="642D7291"/>
    <w:rsid w:val="64D771FD"/>
    <w:rsid w:val="64DF4A2F"/>
    <w:rsid w:val="65901886"/>
    <w:rsid w:val="662D69E6"/>
    <w:rsid w:val="66C2376F"/>
    <w:rsid w:val="6764746E"/>
    <w:rsid w:val="67E23B54"/>
    <w:rsid w:val="68A1569B"/>
    <w:rsid w:val="6AA335F1"/>
    <w:rsid w:val="6ABA73A5"/>
    <w:rsid w:val="6B2626B5"/>
    <w:rsid w:val="6B584B9D"/>
    <w:rsid w:val="6C223664"/>
    <w:rsid w:val="6C635F46"/>
    <w:rsid w:val="6DC42A14"/>
    <w:rsid w:val="6ECB7DD2"/>
    <w:rsid w:val="6EE40E94"/>
    <w:rsid w:val="6EF015E7"/>
    <w:rsid w:val="6F7B35A7"/>
    <w:rsid w:val="6FAB550E"/>
    <w:rsid w:val="709E433C"/>
    <w:rsid w:val="71502254"/>
    <w:rsid w:val="7463525A"/>
    <w:rsid w:val="749B0247"/>
    <w:rsid w:val="753D30AC"/>
    <w:rsid w:val="757E5B1E"/>
    <w:rsid w:val="76164029"/>
    <w:rsid w:val="76C021E7"/>
    <w:rsid w:val="76F93840"/>
    <w:rsid w:val="771306F8"/>
    <w:rsid w:val="78857244"/>
    <w:rsid w:val="789C45CA"/>
    <w:rsid w:val="79DB3543"/>
    <w:rsid w:val="7AE85868"/>
    <w:rsid w:val="7B14665D"/>
    <w:rsid w:val="7C266648"/>
    <w:rsid w:val="7D056BA5"/>
    <w:rsid w:val="7EBD53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jhstudio</Company>
  <Pages>3</Pages>
  <Words>976</Words>
  <Characters>1086</Characters>
  <Lines>7</Lines>
  <Paragraphs>2</Paragraphs>
  <TotalTime>0</TotalTime>
  <ScaleCrop>false</ScaleCrop>
  <LinksUpToDate>false</LinksUpToDate>
  <CharactersWithSpaces>1132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2020-10-27T06:22:00Z</dcterms:created>
  <dc:creator>iwinyeah</dc:creator>
  <cp:lastModifiedBy>端芬养护中心收文员</cp:lastModifiedBy>
  <cp:lastPrinted>2022-08-05T06:39:00Z</cp:lastPrinted>
  <dcterms:modified xsi:type="dcterms:W3CDTF">2023-12-11T08:30:39Z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562AF95410324AFF999F3AA85FF4C3DB_13</vt:lpwstr>
  </property>
</Properties>
</file>