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小标宋_GBK" w:cs="Times New Roman"/>
          <w:sz w:val="36"/>
          <w:szCs w:val="36"/>
          <w:lang w:val="en-US" w:eastAsia="zh-CN"/>
        </w:rPr>
      </w:pPr>
      <w:r>
        <w:rPr>
          <w:rFonts w:hint="eastAsia" w:eastAsia="方正小标宋_GBK" w:cs="Times New Roman"/>
          <w:sz w:val="36"/>
          <w:szCs w:val="36"/>
          <w:lang w:eastAsia="zh-CN"/>
        </w:rPr>
        <w:t>附件</w:t>
      </w:r>
      <w:r>
        <w:rPr>
          <w:rFonts w:hint="eastAsia" w:eastAsia="方正小标宋_GBK" w:cs="Times New Roman"/>
          <w:sz w:val="36"/>
          <w:szCs w:val="36"/>
          <w:lang w:val="en-US" w:eastAsia="zh-CN"/>
        </w:rPr>
        <w:t>2</w:t>
      </w:r>
      <w:bookmarkStart w:id="0" w:name="_GoBack"/>
      <w:bookmarkEnd w:id="0"/>
    </w:p>
    <w:p>
      <w:pPr>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江门市涉海</w:t>
      </w:r>
      <w:r>
        <w:rPr>
          <w:rFonts w:hint="default" w:ascii="Times New Roman" w:hAnsi="Times New Roman" w:eastAsia="方正小标宋_GBK" w:cs="Times New Roman"/>
          <w:sz w:val="36"/>
          <w:szCs w:val="36"/>
          <w:lang w:eastAsia="zh-CN"/>
        </w:rPr>
        <w:t>环境</w:t>
      </w:r>
      <w:r>
        <w:rPr>
          <w:rFonts w:hint="default" w:ascii="Times New Roman" w:hAnsi="Times New Roman" w:eastAsia="方正小标宋_GBK" w:cs="Times New Roman"/>
          <w:sz w:val="36"/>
          <w:szCs w:val="36"/>
        </w:rPr>
        <w:t>风险源排查项目招标评分表</w:t>
      </w:r>
    </w:p>
    <w:tbl>
      <w:tblPr>
        <w:tblStyle w:val="5"/>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573"/>
        <w:gridCol w:w="1205"/>
        <w:gridCol w:w="1131"/>
        <w:gridCol w:w="9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01"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类别</w:t>
            </w:r>
          </w:p>
        </w:tc>
        <w:tc>
          <w:tcPr>
            <w:tcW w:w="2778" w:type="dxa"/>
            <w:gridSpan w:val="2"/>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评审分项</w:t>
            </w:r>
          </w:p>
        </w:tc>
        <w:tc>
          <w:tcPr>
            <w:tcW w:w="1131" w:type="dxa"/>
            <w:vAlign w:val="center"/>
          </w:tcPr>
          <w:p>
            <w:pPr>
              <w:widowControl/>
              <w:jc w:val="center"/>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分值</w:t>
            </w:r>
          </w:p>
        </w:tc>
        <w:tc>
          <w:tcPr>
            <w:tcW w:w="9458"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评审说明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技术评审（</w:t>
            </w:r>
            <w:r>
              <w:rPr>
                <w:rFonts w:hint="default" w:ascii="Times New Roman" w:hAnsi="Times New Roman" w:eastAsia="仿宋" w:cs="Times New Roman"/>
                <w:bCs/>
                <w:color w:val="000000"/>
                <w:kern w:val="0"/>
                <w:sz w:val="21"/>
                <w:szCs w:val="21"/>
                <w:lang w:val="en-US" w:eastAsia="zh-CN"/>
              </w:rPr>
              <w:t>40</w:t>
            </w:r>
            <w:r>
              <w:rPr>
                <w:rFonts w:hint="default" w:ascii="Times New Roman" w:hAnsi="Times New Roman" w:eastAsia="仿宋" w:cs="Times New Roman"/>
                <w:bCs/>
                <w:color w:val="000000"/>
                <w:kern w:val="0"/>
                <w:sz w:val="21"/>
                <w:szCs w:val="21"/>
              </w:rPr>
              <w:t>分）</w:t>
            </w:r>
          </w:p>
        </w:tc>
        <w:tc>
          <w:tcPr>
            <w:tcW w:w="1573"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根据供应商项目服务方案，了解供应商对江门市涉海</w:t>
            </w:r>
            <w:r>
              <w:rPr>
                <w:rFonts w:hint="default" w:ascii="Times New Roman" w:hAnsi="Times New Roman" w:eastAsia="仿宋" w:cs="Times New Roman"/>
                <w:bCs/>
                <w:color w:val="000000"/>
                <w:kern w:val="0"/>
                <w:sz w:val="21"/>
                <w:szCs w:val="21"/>
                <w:lang w:eastAsia="zh-CN"/>
              </w:rPr>
              <w:t>环境</w:t>
            </w:r>
            <w:r>
              <w:rPr>
                <w:rFonts w:hint="default" w:ascii="Times New Roman" w:hAnsi="Times New Roman" w:eastAsia="仿宋" w:cs="Times New Roman"/>
                <w:bCs/>
                <w:color w:val="000000"/>
                <w:kern w:val="0"/>
                <w:sz w:val="21"/>
                <w:szCs w:val="21"/>
              </w:rPr>
              <w:t>风险源排查项目的工作思路与原则、技术路线、主要内容、质量保证措施等进行综合分析与评审。（未提供方案该项不得分）</w:t>
            </w:r>
          </w:p>
        </w:tc>
        <w:tc>
          <w:tcPr>
            <w:tcW w:w="1205"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项目的理解情况</w:t>
            </w:r>
          </w:p>
        </w:tc>
        <w:tc>
          <w:tcPr>
            <w:tcW w:w="1131"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10</w:t>
            </w:r>
          </w:p>
        </w:tc>
        <w:tc>
          <w:tcPr>
            <w:tcW w:w="945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供应商对江门市涉海</w:t>
            </w:r>
            <w:r>
              <w:rPr>
                <w:rFonts w:hint="default" w:ascii="Times New Roman" w:hAnsi="Times New Roman" w:eastAsia="仿宋" w:cs="Times New Roman"/>
                <w:bCs/>
                <w:color w:val="000000"/>
                <w:kern w:val="0"/>
                <w:sz w:val="21"/>
                <w:szCs w:val="21"/>
                <w:lang w:eastAsia="zh-CN"/>
              </w:rPr>
              <w:t>环境</w:t>
            </w:r>
            <w:r>
              <w:rPr>
                <w:rFonts w:hint="default" w:ascii="Times New Roman" w:hAnsi="Times New Roman" w:eastAsia="仿宋" w:cs="Times New Roman"/>
                <w:bCs/>
                <w:color w:val="000000"/>
                <w:kern w:val="0"/>
                <w:sz w:val="21"/>
                <w:szCs w:val="21"/>
              </w:rPr>
              <w:t>风险源排查项目的总体理解和把握（具体包括对国家省相关政策、项目背景、项目需求的理解是否充分和对招标文件的满足程度等），与本项目实际情况的符合性进行综合评审：</w:t>
            </w:r>
          </w:p>
          <w:p>
            <w:pPr>
              <w:widowControl/>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项目理解深刻、合理，得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分；项目理解一般，得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分；项目理解较差，得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r>
              <w:rPr>
                <w:rFonts w:hint="default" w:ascii="Times New Roman" w:hAnsi="Times New Roman" w:eastAsia="仿宋" w:cs="Times New Roman"/>
                <w:bCs/>
                <w:color w:val="000000"/>
                <w:kern w:val="0"/>
                <w:sz w:val="21"/>
                <w:szCs w:val="21"/>
                <w:lang w:eastAsia="zh-CN"/>
              </w:rPr>
              <w:t>没有</w:t>
            </w:r>
            <w:r>
              <w:rPr>
                <w:rFonts w:hint="default" w:ascii="Times New Roman" w:hAnsi="Times New Roman" w:eastAsia="仿宋" w:cs="Times New Roman"/>
                <w:bCs/>
                <w:color w:val="000000"/>
                <w:kern w:val="0"/>
                <w:sz w:val="21"/>
                <w:szCs w:val="21"/>
              </w:rPr>
              <w:t>项目的理解情况</w:t>
            </w:r>
            <w:r>
              <w:rPr>
                <w:rFonts w:hint="default" w:ascii="Times New Roman" w:hAnsi="Times New Roman" w:eastAsia="仿宋" w:cs="Times New Roman"/>
                <w:bCs/>
                <w:color w:val="000000"/>
                <w:kern w:val="0"/>
                <w:sz w:val="21"/>
                <w:szCs w:val="21"/>
                <w:lang w:eastAsia="zh-CN"/>
              </w:rPr>
              <w:t>的，得</w:t>
            </w:r>
            <w:r>
              <w:rPr>
                <w:rFonts w:hint="default" w:ascii="Times New Roman" w:hAnsi="Times New Roman" w:eastAsia="仿宋" w:cs="Times New Roman"/>
                <w:bCs/>
                <w:color w:val="000000"/>
                <w:kern w:val="0"/>
                <w:sz w:val="21"/>
                <w:szCs w:val="21"/>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573"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205"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项目重点、难点分析及应对措施</w:t>
            </w: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15</w:t>
            </w:r>
          </w:p>
        </w:tc>
        <w:tc>
          <w:tcPr>
            <w:tcW w:w="9458" w:type="dxa"/>
            <w:vAlign w:val="center"/>
          </w:tcPr>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考查对比江门市涉海</w:t>
            </w:r>
            <w:r>
              <w:rPr>
                <w:rFonts w:hint="default" w:ascii="Times New Roman" w:hAnsi="Times New Roman" w:eastAsia="仿宋" w:cs="Times New Roman"/>
                <w:bCs/>
                <w:color w:val="000000"/>
                <w:kern w:val="0"/>
                <w:sz w:val="21"/>
                <w:szCs w:val="21"/>
                <w:lang w:eastAsia="zh-CN"/>
              </w:rPr>
              <w:t>环境</w:t>
            </w:r>
            <w:r>
              <w:rPr>
                <w:rFonts w:hint="default" w:ascii="Times New Roman" w:hAnsi="Times New Roman" w:eastAsia="仿宋" w:cs="Times New Roman"/>
                <w:bCs/>
                <w:color w:val="000000"/>
                <w:kern w:val="0"/>
                <w:sz w:val="21"/>
                <w:szCs w:val="21"/>
              </w:rPr>
              <w:t>风险源排查项目重点、难点分析是否全面、合理，应对措施是否得当、具体：</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能够对项目实施过程中的难点重点以及现场实际情况进行充分的理解和分析，并提出相应对策，有较强的专业性和可行性，得</w:t>
            </w:r>
            <w:r>
              <w:rPr>
                <w:rFonts w:hint="default" w:ascii="Times New Roman" w:hAnsi="Times New Roman" w:eastAsia="仿宋" w:cs="Times New Roman"/>
                <w:bCs/>
                <w:color w:val="000000"/>
                <w:kern w:val="0"/>
                <w:sz w:val="21"/>
                <w:szCs w:val="21"/>
                <w:lang w:val="en-US" w:eastAsia="zh-CN"/>
              </w:rPr>
              <w:t>15</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能够对项目实施过程中的难点重点以及现场实际情况进行基本的理解和分析，但理解不透彻，对策专业性和可行性一般，得</w:t>
            </w:r>
            <w:r>
              <w:rPr>
                <w:rFonts w:hint="default" w:ascii="Times New Roman" w:hAnsi="Times New Roman" w:eastAsia="仿宋" w:cs="Times New Roman"/>
                <w:bCs/>
                <w:color w:val="000000"/>
                <w:kern w:val="0"/>
                <w:sz w:val="21"/>
                <w:szCs w:val="21"/>
                <w:lang w:val="en-US" w:eastAsia="zh-CN"/>
              </w:rPr>
              <w:t>12</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对项目实施过程中的难点重点以及现场实际情况进行理解和分析简单、不深入，相应对策可行性差，得</w:t>
            </w:r>
            <w:r>
              <w:rPr>
                <w:rFonts w:hint="default" w:ascii="Times New Roman" w:hAnsi="Times New Roman" w:eastAsia="仿宋" w:cs="Times New Roman"/>
                <w:bCs/>
                <w:color w:val="000000"/>
                <w:kern w:val="0"/>
                <w:sz w:val="21"/>
                <w:szCs w:val="21"/>
                <w:lang w:val="en-US" w:eastAsia="zh-CN"/>
              </w:rPr>
              <w:t>8</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没有项目重点、难点分析及应对措施</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573"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205" w:type="dxa"/>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w:t>
            </w: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rPr>
              <w:t>1</w:t>
            </w:r>
            <w:r>
              <w:rPr>
                <w:rFonts w:hint="default" w:ascii="Times New Roman" w:hAnsi="Times New Roman" w:eastAsia="仿宋" w:cs="Times New Roman"/>
                <w:bCs/>
                <w:color w:val="000000"/>
                <w:kern w:val="0"/>
                <w:sz w:val="21"/>
                <w:szCs w:val="21"/>
                <w:lang w:val="en-US" w:eastAsia="zh-CN"/>
              </w:rPr>
              <w:t>0</w:t>
            </w:r>
          </w:p>
        </w:tc>
        <w:tc>
          <w:tcPr>
            <w:tcW w:w="9458" w:type="dxa"/>
            <w:vAlign w:val="center"/>
          </w:tcPr>
          <w:p>
            <w:pPr>
              <w:widowControl/>
              <w:rPr>
                <w:rFonts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考查对比江门市涉海</w:t>
            </w:r>
            <w:r>
              <w:rPr>
                <w:rFonts w:hint="default" w:ascii="Times New Roman" w:hAnsi="Times New Roman" w:eastAsia="仿宋" w:cs="Times New Roman"/>
                <w:bCs/>
                <w:color w:val="000000"/>
                <w:kern w:val="0"/>
                <w:sz w:val="21"/>
                <w:szCs w:val="21"/>
                <w:lang w:eastAsia="zh-CN"/>
              </w:rPr>
              <w:t>环境</w:t>
            </w:r>
            <w:r>
              <w:rPr>
                <w:rFonts w:hint="default" w:ascii="Times New Roman" w:hAnsi="Times New Roman" w:eastAsia="仿宋" w:cs="Times New Roman"/>
                <w:bCs/>
                <w:color w:val="000000"/>
                <w:kern w:val="0"/>
                <w:sz w:val="21"/>
                <w:szCs w:val="21"/>
              </w:rPr>
              <w:t>风险源排查项目技术实施方案是否合理、可行并具备针对性，是否符合现有技术规范要求等：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项目技术实施方案科学、可行，得</w:t>
            </w:r>
            <w:r>
              <w:rPr>
                <w:rFonts w:hint="default"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rPr>
              <w:t>分；项目技术实施方案一般，得</w:t>
            </w:r>
            <w:r>
              <w:rPr>
                <w:rFonts w:hint="default" w:ascii="Times New Roman" w:hAnsi="Times New Roman" w:eastAsia="仿宋" w:cs="Times New Roman"/>
                <w:bCs/>
                <w:color w:val="000000"/>
                <w:kern w:val="0"/>
                <w:sz w:val="21"/>
                <w:szCs w:val="21"/>
                <w:lang w:val="en-US" w:eastAsia="zh-CN"/>
              </w:rPr>
              <w:t>7</w:t>
            </w:r>
            <w:r>
              <w:rPr>
                <w:rFonts w:hint="default" w:ascii="Times New Roman" w:hAnsi="Times New Roman" w:eastAsia="仿宋" w:cs="Times New Roman"/>
                <w:bCs/>
                <w:color w:val="000000"/>
                <w:kern w:val="0"/>
                <w:sz w:val="21"/>
                <w:szCs w:val="21"/>
              </w:rPr>
              <w:t>分；项目技术实施方案较差，得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分。没有项目技术实施方案</w:t>
            </w:r>
            <w:r>
              <w:rPr>
                <w:rFonts w:hint="default" w:ascii="Times New Roman" w:hAnsi="Times New Roman" w:eastAsia="仿宋" w:cs="Times New Roman"/>
                <w:bCs/>
                <w:color w:val="000000"/>
                <w:kern w:val="0"/>
                <w:sz w:val="21"/>
                <w:szCs w:val="21"/>
                <w:lang w:eastAsia="zh-CN"/>
              </w:rPr>
              <w:t>的</w:t>
            </w:r>
            <w:r>
              <w:rPr>
                <w:rFonts w:hint="default" w:ascii="Times New Roman" w:hAnsi="Times New Roman" w:eastAsia="仿宋" w:cs="Times New Roman"/>
                <w:bCs/>
                <w:color w:val="000000"/>
                <w:kern w:val="0"/>
                <w:sz w:val="21"/>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573"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205"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项目进度保障措施</w:t>
            </w: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5</w:t>
            </w:r>
          </w:p>
        </w:tc>
        <w:tc>
          <w:tcPr>
            <w:tcW w:w="9458" w:type="dxa"/>
            <w:vAlign w:val="center"/>
          </w:tcPr>
          <w:p>
            <w:pPr>
              <w:widowControl/>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rPr>
              <w:t>考查江门市涉海</w:t>
            </w:r>
            <w:r>
              <w:rPr>
                <w:rFonts w:hint="default" w:ascii="Times New Roman" w:hAnsi="Times New Roman" w:eastAsia="仿宋" w:cs="Times New Roman"/>
                <w:bCs/>
                <w:color w:val="000000"/>
                <w:kern w:val="0"/>
                <w:sz w:val="21"/>
                <w:szCs w:val="21"/>
                <w:lang w:eastAsia="zh-CN"/>
              </w:rPr>
              <w:t>环境</w:t>
            </w:r>
            <w:r>
              <w:rPr>
                <w:rFonts w:hint="default" w:ascii="Times New Roman" w:hAnsi="Times New Roman" w:eastAsia="仿宋" w:cs="Times New Roman"/>
                <w:bCs/>
                <w:color w:val="000000"/>
                <w:kern w:val="0"/>
                <w:sz w:val="21"/>
                <w:szCs w:val="21"/>
              </w:rPr>
              <w:t>风险源排查项目管理、进度</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安排完善、具体、全面，项目管理安排</w:t>
            </w:r>
            <w:r>
              <w:rPr>
                <w:rFonts w:hint="default" w:ascii="Times New Roman" w:hAnsi="Times New Roman" w:eastAsia="仿宋" w:cs="Times New Roman"/>
                <w:bCs/>
                <w:color w:val="000000"/>
                <w:kern w:val="0"/>
                <w:sz w:val="21"/>
                <w:szCs w:val="21"/>
                <w:lang w:eastAsia="zh-CN"/>
              </w:rPr>
              <w:t>是否</w:t>
            </w:r>
            <w:r>
              <w:rPr>
                <w:rFonts w:hint="default" w:ascii="Times New Roman" w:hAnsi="Times New Roman" w:eastAsia="仿宋" w:cs="Times New Roman"/>
                <w:bCs/>
                <w:color w:val="000000"/>
                <w:kern w:val="0"/>
                <w:sz w:val="21"/>
                <w:szCs w:val="21"/>
              </w:rPr>
              <w:t>合理高效、可操作性强，有计划保障及进度</w:t>
            </w:r>
            <w:r>
              <w:rPr>
                <w:rFonts w:hint="default" w:ascii="Times New Roman" w:hAnsi="Times New Roman" w:eastAsia="仿宋" w:cs="Times New Roman"/>
                <w:bCs/>
                <w:color w:val="000000"/>
                <w:kern w:val="0"/>
                <w:sz w:val="21"/>
                <w:szCs w:val="21"/>
                <w:lang w:eastAsia="zh-CN"/>
              </w:rPr>
              <w:t>等：</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项目管理、进度安排完善、具体、全面，项目管理及进度安排合理高效、可操作性强，有计划保障，得</w:t>
            </w:r>
            <w:r>
              <w:rPr>
                <w:rFonts w:hint="default" w:ascii="Times New Roman" w:hAnsi="Times New Roman" w:eastAsia="仿宋" w:cs="Times New Roman"/>
                <w:bCs/>
                <w:color w:val="000000"/>
                <w:kern w:val="0"/>
                <w:sz w:val="21"/>
                <w:szCs w:val="21"/>
                <w:lang w:val="en-US" w:eastAsia="zh-CN"/>
              </w:rPr>
              <w:t>5</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项目管理、进度安排较完善，项目管理及进度安排较合理高效、可操作性较强，得</w:t>
            </w:r>
            <w:r>
              <w:rPr>
                <w:rFonts w:hint="default" w:ascii="Times New Roman" w:hAnsi="Times New Roman" w:eastAsia="仿宋" w:cs="Times New Roman"/>
                <w:bCs/>
                <w:color w:val="000000"/>
                <w:kern w:val="0"/>
                <w:sz w:val="21"/>
                <w:szCs w:val="21"/>
                <w:lang w:val="en-US" w:eastAsia="zh-CN"/>
              </w:rPr>
              <w:t>3</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项目管理、进度安排不完善，项目管理及进度安排不合理、可操作性低，得</w:t>
            </w:r>
            <w:r>
              <w:rPr>
                <w:rFonts w:hint="default" w:ascii="Times New Roman" w:hAnsi="Times New Roman" w:eastAsia="仿宋" w:cs="Times New Roman"/>
                <w:bCs/>
                <w:color w:val="000000"/>
                <w:kern w:val="0"/>
                <w:sz w:val="21"/>
                <w:szCs w:val="21"/>
                <w:lang w:val="en-US" w:eastAsia="zh-CN"/>
              </w:rPr>
              <w:t>1</w:t>
            </w:r>
            <w:r>
              <w:rPr>
                <w:rFonts w:hint="default" w:ascii="Times New Roman" w:hAnsi="Times New Roman" w:eastAsia="仿宋" w:cs="Times New Roman"/>
                <w:bCs/>
                <w:color w:val="000000"/>
                <w:kern w:val="0"/>
                <w:sz w:val="21"/>
                <w:szCs w:val="21"/>
              </w:rPr>
              <w:t>分；</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没有项目管理、进度安排，得0分。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商务评审（</w:t>
            </w:r>
            <w:r>
              <w:rPr>
                <w:rFonts w:hint="default" w:ascii="Times New Roman" w:hAnsi="Times New Roman" w:eastAsia="仿宋" w:cs="Times New Roman"/>
                <w:bCs/>
                <w:color w:val="000000"/>
                <w:kern w:val="0"/>
                <w:sz w:val="21"/>
                <w:szCs w:val="21"/>
                <w:lang w:val="en-US" w:eastAsia="zh-CN"/>
              </w:rPr>
              <w:t>50</w:t>
            </w:r>
            <w:r>
              <w:rPr>
                <w:rFonts w:hint="default" w:ascii="Times New Roman" w:hAnsi="Times New Roman" w:eastAsia="仿宋" w:cs="Times New Roman"/>
                <w:bCs/>
                <w:color w:val="000000"/>
                <w:kern w:val="0"/>
                <w:sz w:val="21"/>
                <w:szCs w:val="21"/>
              </w:rPr>
              <w:t>分）</w:t>
            </w:r>
          </w:p>
        </w:tc>
        <w:tc>
          <w:tcPr>
            <w:tcW w:w="2778" w:type="dxa"/>
            <w:gridSpan w:val="2"/>
            <w:vMerge w:val="restart"/>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团队力量</w:t>
            </w: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945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供应商拟投入的项目负责人具备环保类或</w:t>
            </w:r>
            <w:r>
              <w:rPr>
                <w:rFonts w:hint="default" w:ascii="Times New Roman" w:hAnsi="Times New Roman" w:eastAsia="仿宋" w:cs="Times New Roman"/>
                <w:kern w:val="0"/>
                <w:sz w:val="21"/>
                <w:szCs w:val="21"/>
                <w:lang w:eastAsia="zh-CN"/>
              </w:rPr>
              <w:t>测绘类</w:t>
            </w:r>
            <w:r>
              <w:rPr>
                <w:rFonts w:hint="default" w:ascii="Times New Roman" w:hAnsi="Times New Roman" w:eastAsia="仿宋" w:cs="Times New Roman"/>
                <w:kern w:val="0"/>
                <w:sz w:val="21"/>
                <w:szCs w:val="21"/>
              </w:rPr>
              <w:t>高级工程师以上职称的，得</w:t>
            </w:r>
            <w:r>
              <w:rPr>
                <w:rFonts w:hint="default" w:ascii="Times New Roman" w:hAnsi="Times New Roman" w:eastAsia="仿宋" w:cs="Times New Roman"/>
                <w:kern w:val="0"/>
                <w:sz w:val="21"/>
                <w:szCs w:val="21"/>
                <w:lang w:val="en-US" w:eastAsia="zh-CN"/>
              </w:rPr>
              <w:t>10</w:t>
            </w:r>
            <w:r>
              <w:rPr>
                <w:rFonts w:hint="default" w:ascii="Times New Roman" w:hAnsi="Times New Roman" w:eastAsia="仿宋" w:cs="Times New Roman"/>
                <w:kern w:val="0"/>
                <w:sz w:val="21"/>
                <w:szCs w:val="21"/>
              </w:rPr>
              <w:t>分；具备环保类或</w:t>
            </w:r>
            <w:r>
              <w:rPr>
                <w:rFonts w:hint="default" w:ascii="Times New Roman" w:hAnsi="Times New Roman" w:eastAsia="仿宋" w:cs="Times New Roman"/>
                <w:kern w:val="0"/>
                <w:sz w:val="21"/>
                <w:szCs w:val="21"/>
                <w:lang w:eastAsia="zh-CN"/>
              </w:rPr>
              <w:t>测绘类</w:t>
            </w:r>
            <w:r>
              <w:rPr>
                <w:rFonts w:hint="default" w:ascii="Times New Roman" w:hAnsi="Times New Roman" w:eastAsia="仿宋" w:cs="Times New Roman"/>
                <w:kern w:val="0"/>
                <w:sz w:val="21"/>
                <w:szCs w:val="21"/>
              </w:rPr>
              <w:t>工程师职称的，得</w:t>
            </w:r>
            <w:r>
              <w:rPr>
                <w:rFonts w:hint="default" w:ascii="Times New Roman" w:hAnsi="Times New Roman" w:eastAsia="仿宋" w:cs="Times New Roman"/>
                <w:kern w:val="0"/>
                <w:sz w:val="21"/>
                <w:szCs w:val="21"/>
                <w:lang w:val="en-US" w:eastAsia="zh-CN"/>
              </w:rPr>
              <w:t>5</w:t>
            </w:r>
            <w:r>
              <w:rPr>
                <w:rFonts w:hint="default" w:ascii="Times New Roman" w:hAnsi="Times New Roman" w:eastAsia="仿宋" w:cs="Times New Roman"/>
                <w:kern w:val="0"/>
                <w:sz w:val="21"/>
                <w:szCs w:val="21"/>
              </w:rPr>
              <w:t>分</w:t>
            </w:r>
            <w:r>
              <w:rPr>
                <w:rFonts w:hint="default" w:ascii="Times New Roman" w:hAnsi="Times New Roman" w:eastAsia="仿宋" w:cs="Times New Roman"/>
                <w:kern w:val="0"/>
                <w:sz w:val="21"/>
                <w:szCs w:val="21"/>
                <w:lang w:eastAsia="zh-CN"/>
              </w:rPr>
              <w:t>；</w:t>
            </w:r>
            <w:r>
              <w:rPr>
                <w:rFonts w:hint="default" w:ascii="Times New Roman" w:hAnsi="Times New Roman" w:eastAsia="仿宋" w:cs="Times New Roman"/>
                <w:kern w:val="0"/>
                <w:sz w:val="21"/>
                <w:szCs w:val="21"/>
              </w:rPr>
              <w:t>否则，得0分。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【须提供相关职称证书以及社会保障部门出具的投标截止月（不含投标当月）前六个月任意</w:t>
            </w:r>
            <w:r>
              <w:rPr>
                <w:rFonts w:hint="default" w:ascii="Times New Roman" w:hAnsi="Times New Roman" w:eastAsia="仿宋" w:cs="Times New Roman"/>
                <w:kern w:val="0"/>
                <w:sz w:val="21"/>
                <w:szCs w:val="21"/>
                <w:lang w:eastAsia="zh-CN"/>
              </w:rPr>
              <w:t>一</w:t>
            </w:r>
            <w:r>
              <w:rPr>
                <w:rFonts w:hint="default" w:ascii="Times New Roman" w:hAnsi="Times New Roman" w:eastAsia="仿宋" w:cs="Times New Roman"/>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2778" w:type="dxa"/>
            <w:gridSpan w:val="2"/>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10</w:t>
            </w:r>
          </w:p>
        </w:tc>
        <w:tc>
          <w:tcPr>
            <w:tcW w:w="945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1、投标人具备3台（或以上）航拍无人机的，得5分；具备2台航拍无人机的，得3分；具备1台航拍无人机的，得1分；不具备的，得0分。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2、投标人具备3个（或以上）无人机操作合格证的，得5分；具备2个无人机操作合格证的，得3分；具备1个无人机操作合格证的，得1分；不具备的，得0分。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注：1.提供无人机购买</w:t>
            </w:r>
            <w:r>
              <w:rPr>
                <w:rFonts w:hint="default" w:ascii="Times New Roman" w:hAnsi="Times New Roman" w:eastAsia="仿宋" w:cs="Times New Roman"/>
                <w:kern w:val="0"/>
                <w:sz w:val="21"/>
                <w:szCs w:val="21"/>
                <w:lang w:val="en-US" w:eastAsia="zh-CN"/>
              </w:rPr>
              <w:t>合同或购买</w:t>
            </w:r>
            <w:r>
              <w:rPr>
                <w:rFonts w:hint="default" w:ascii="Times New Roman" w:hAnsi="Times New Roman" w:eastAsia="仿宋" w:cs="Times New Roman"/>
                <w:kern w:val="0"/>
                <w:sz w:val="21"/>
                <w:szCs w:val="21"/>
              </w:rPr>
              <w:t>发票复印件</w:t>
            </w:r>
            <w:r>
              <w:rPr>
                <w:rFonts w:hint="default" w:ascii="Times New Roman" w:hAnsi="Times New Roman" w:eastAsia="仿宋" w:cs="Times New Roman"/>
                <w:kern w:val="0"/>
                <w:sz w:val="21"/>
                <w:szCs w:val="21"/>
                <w:lang w:val="en-US" w:eastAsia="zh-CN"/>
              </w:rPr>
              <w:t>或租赁合同</w:t>
            </w:r>
            <w:r>
              <w:rPr>
                <w:rFonts w:hint="default" w:ascii="Times New Roman" w:hAnsi="Times New Roman" w:eastAsia="仿宋" w:cs="Times New Roman"/>
                <w:kern w:val="0"/>
                <w:sz w:val="21"/>
                <w:szCs w:val="21"/>
              </w:rPr>
              <w:t>并加盖公章。</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2.提供无人机操作合格证复印件、持证人在投标人单位2023年以来任意1个月的社保证明或投保单复印件并加盖公章（如依法免交社保，须提供相关证明材料）。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2778" w:type="dxa"/>
            <w:gridSpan w:val="2"/>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12</w:t>
            </w:r>
          </w:p>
        </w:tc>
        <w:tc>
          <w:tcPr>
            <w:tcW w:w="9458" w:type="dxa"/>
            <w:vAlign w:val="center"/>
          </w:tcPr>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供应商拟投入本项目团队人员（除项目负责人外），具有环保类或</w:t>
            </w:r>
            <w:r>
              <w:rPr>
                <w:rFonts w:hint="default" w:ascii="Times New Roman" w:hAnsi="Times New Roman" w:eastAsia="仿宋" w:cs="Times New Roman"/>
                <w:kern w:val="0"/>
                <w:sz w:val="21"/>
                <w:szCs w:val="21"/>
                <w:lang w:eastAsia="zh-CN"/>
              </w:rPr>
              <w:t>测绘类</w:t>
            </w:r>
            <w:r>
              <w:rPr>
                <w:rFonts w:hint="default" w:ascii="Times New Roman" w:hAnsi="Times New Roman" w:eastAsia="仿宋" w:cs="Times New Roman"/>
                <w:kern w:val="0"/>
                <w:sz w:val="21"/>
                <w:szCs w:val="21"/>
              </w:rPr>
              <w:t>专业</w:t>
            </w:r>
            <w:r>
              <w:rPr>
                <w:rFonts w:hint="default" w:ascii="Times New Roman" w:hAnsi="Times New Roman" w:eastAsia="仿宋" w:cs="Times New Roman"/>
                <w:kern w:val="0"/>
                <w:sz w:val="21"/>
                <w:szCs w:val="21"/>
                <w:lang w:eastAsia="zh-CN"/>
              </w:rPr>
              <w:t>初级以上</w:t>
            </w:r>
            <w:r>
              <w:rPr>
                <w:rFonts w:hint="default" w:ascii="Times New Roman" w:hAnsi="Times New Roman" w:eastAsia="仿宋" w:cs="Times New Roman"/>
                <w:kern w:val="0"/>
                <w:sz w:val="21"/>
                <w:szCs w:val="21"/>
              </w:rPr>
              <w:t>技术职称的，每人得</w:t>
            </w:r>
            <w:r>
              <w:rPr>
                <w:rFonts w:hint="default" w:ascii="Times New Roman" w:hAnsi="Times New Roman" w:eastAsia="仿宋" w:cs="Times New Roman"/>
                <w:kern w:val="0"/>
                <w:sz w:val="21"/>
                <w:szCs w:val="21"/>
                <w:lang w:val="en-US" w:eastAsia="zh-CN"/>
              </w:rPr>
              <w:t>4</w:t>
            </w:r>
            <w:r>
              <w:rPr>
                <w:rFonts w:hint="default" w:ascii="Times New Roman" w:hAnsi="Times New Roman" w:eastAsia="仿宋" w:cs="Times New Roman"/>
                <w:kern w:val="0"/>
                <w:sz w:val="21"/>
                <w:szCs w:val="21"/>
              </w:rPr>
              <w:t>分。如一人具有多个同一等级技术职称的，按一个技术职称评审；不重复计分。本小项最高得</w:t>
            </w:r>
            <w:r>
              <w:rPr>
                <w:rFonts w:hint="default" w:ascii="Times New Roman" w:hAnsi="Times New Roman" w:eastAsia="仿宋" w:cs="Times New Roman"/>
                <w:kern w:val="0"/>
                <w:sz w:val="21"/>
                <w:szCs w:val="21"/>
                <w:lang w:val="en-US" w:eastAsia="zh-CN"/>
              </w:rPr>
              <w:t>12</w:t>
            </w:r>
            <w:r>
              <w:rPr>
                <w:rFonts w:hint="default" w:ascii="Times New Roman" w:hAnsi="Times New Roman" w:eastAsia="仿宋" w:cs="Times New Roman"/>
                <w:kern w:val="0"/>
                <w:sz w:val="21"/>
                <w:szCs w:val="21"/>
              </w:rPr>
              <w:t>分；无不得分。</w:t>
            </w:r>
          </w:p>
          <w:p>
            <w:pPr>
              <w:widowControl/>
              <w:jc w:val="left"/>
              <w:rPr>
                <w:rFonts w:hint="default" w:ascii="Times New Roman" w:hAnsi="Times New Roman" w:eastAsia="仿宋" w:cs="Times New Roman"/>
                <w:kern w:val="0"/>
                <w:sz w:val="21"/>
                <w:szCs w:val="21"/>
              </w:rPr>
            </w:pPr>
            <w:r>
              <w:rPr>
                <w:rFonts w:hint="default" w:ascii="Times New Roman" w:hAnsi="Times New Roman" w:eastAsia="仿宋" w:cs="Times New Roman"/>
                <w:kern w:val="0"/>
                <w:sz w:val="21"/>
                <w:szCs w:val="21"/>
              </w:rPr>
              <w:t>【一人多证只按一人计，须提供相关职称证书以及社会保障部门出具的投标截止月（不含投标当月）前六个月任意</w:t>
            </w:r>
            <w:r>
              <w:rPr>
                <w:rFonts w:hint="default" w:ascii="Times New Roman" w:hAnsi="Times New Roman" w:eastAsia="仿宋" w:cs="Times New Roman"/>
                <w:kern w:val="0"/>
                <w:sz w:val="21"/>
                <w:szCs w:val="21"/>
                <w:lang w:eastAsia="zh-CN"/>
              </w:rPr>
              <w:t>一</w:t>
            </w:r>
            <w:r>
              <w:rPr>
                <w:rFonts w:hint="default" w:ascii="Times New Roman" w:hAnsi="Times New Roman" w:eastAsia="仿宋" w:cs="Times New Roman"/>
                <w:kern w:val="0"/>
                <w:sz w:val="21"/>
                <w:szCs w:val="21"/>
              </w:rPr>
              <w:t>个月在本单位缴纳社会养老保险的有效凭证复印件并加盖单位公章，以上未按要求提供相应资料的不得分。】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801" w:type="dxa"/>
            <w:vMerge w:val="continue"/>
            <w:vAlign w:val="center"/>
          </w:tcPr>
          <w:p>
            <w:pPr>
              <w:widowControl/>
              <w:jc w:val="center"/>
              <w:rPr>
                <w:rFonts w:hint="default" w:ascii="Times New Roman" w:hAnsi="Times New Roman" w:eastAsia="仿宋" w:cs="Times New Roman"/>
                <w:bCs/>
                <w:color w:val="000000"/>
                <w:kern w:val="0"/>
                <w:sz w:val="21"/>
                <w:szCs w:val="21"/>
              </w:rPr>
            </w:pPr>
          </w:p>
        </w:tc>
        <w:tc>
          <w:tcPr>
            <w:tcW w:w="2778" w:type="dxa"/>
            <w:gridSpan w:val="2"/>
            <w:vAlign w:val="center"/>
          </w:tcPr>
          <w:p>
            <w:pPr>
              <w:widowControl/>
              <w:jc w:val="center"/>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bCs/>
                <w:color w:val="000000"/>
                <w:kern w:val="0"/>
                <w:sz w:val="21"/>
                <w:szCs w:val="21"/>
              </w:rPr>
              <w:t>项目业绩</w:t>
            </w:r>
          </w:p>
        </w:tc>
        <w:tc>
          <w:tcPr>
            <w:tcW w:w="1131" w:type="dxa"/>
            <w:vAlign w:val="center"/>
          </w:tcPr>
          <w:p>
            <w:pPr>
              <w:widowControl/>
              <w:jc w:val="center"/>
              <w:rPr>
                <w:rFonts w:hint="default" w:ascii="Times New Roman" w:hAnsi="Times New Roman" w:eastAsia="仿宋" w:cs="Times New Roman"/>
                <w:bCs/>
                <w:color w:val="000000"/>
                <w:kern w:val="0"/>
                <w:sz w:val="21"/>
                <w:szCs w:val="21"/>
                <w:lang w:val="en-US" w:eastAsia="zh-CN"/>
              </w:rPr>
            </w:pPr>
            <w:r>
              <w:rPr>
                <w:rFonts w:hint="default" w:ascii="Times New Roman" w:hAnsi="Times New Roman" w:eastAsia="仿宋" w:cs="Times New Roman"/>
                <w:bCs/>
                <w:color w:val="000000"/>
                <w:kern w:val="0"/>
                <w:sz w:val="21"/>
                <w:szCs w:val="21"/>
                <w:lang w:val="en-US" w:eastAsia="zh-CN"/>
              </w:rPr>
              <w:t>18</w:t>
            </w:r>
          </w:p>
        </w:tc>
        <w:tc>
          <w:tcPr>
            <w:tcW w:w="9458" w:type="dxa"/>
            <w:vAlign w:val="center"/>
          </w:tcPr>
          <w:p>
            <w:pPr>
              <w:widowControl/>
              <w:jc w:val="left"/>
              <w:rPr>
                <w:rFonts w:hint="default" w:ascii="Times New Roman" w:hAnsi="Times New Roman" w:eastAsia="仿宋" w:cs="Times New Roman"/>
                <w:kern w:val="0"/>
                <w:sz w:val="21"/>
                <w:szCs w:val="21"/>
                <w:lang w:val="en-US" w:eastAsia="zh-CN"/>
              </w:rPr>
            </w:pPr>
            <w:r>
              <w:rPr>
                <w:rFonts w:hint="default" w:ascii="Times New Roman" w:hAnsi="Times New Roman" w:eastAsia="仿宋" w:cs="Times New Roman"/>
                <w:kern w:val="0"/>
                <w:sz w:val="21"/>
                <w:szCs w:val="21"/>
              </w:rPr>
              <w:t>供应商近五年来承担过</w:t>
            </w:r>
            <w:r>
              <w:rPr>
                <w:rFonts w:hint="default" w:ascii="Times New Roman" w:hAnsi="Times New Roman" w:eastAsia="仿宋" w:cs="Times New Roman"/>
                <w:kern w:val="0"/>
                <w:sz w:val="21"/>
                <w:szCs w:val="21"/>
                <w:lang w:eastAsia="zh-CN"/>
              </w:rPr>
              <w:t>航拍类项目</w:t>
            </w:r>
            <w:r>
              <w:rPr>
                <w:rFonts w:hint="default" w:ascii="Times New Roman" w:hAnsi="Times New Roman" w:eastAsia="仿宋" w:cs="Times New Roman"/>
                <w:kern w:val="0"/>
                <w:sz w:val="21"/>
                <w:szCs w:val="21"/>
              </w:rPr>
              <w:t>（以签订合同为准）</w:t>
            </w:r>
            <w:r>
              <w:rPr>
                <w:rFonts w:hint="default" w:ascii="Times New Roman" w:hAnsi="Times New Roman" w:eastAsia="仿宋" w:cs="Times New Roman"/>
                <w:kern w:val="0"/>
                <w:sz w:val="21"/>
                <w:szCs w:val="21"/>
                <w:lang w:eastAsia="zh-CN"/>
              </w:rPr>
              <w:t>的得</w:t>
            </w:r>
            <w:r>
              <w:rPr>
                <w:rFonts w:hint="default" w:ascii="Times New Roman" w:hAnsi="Times New Roman" w:eastAsia="仿宋" w:cs="Times New Roman"/>
                <w:kern w:val="0"/>
                <w:sz w:val="21"/>
                <w:szCs w:val="21"/>
                <w:lang w:val="en-US" w:eastAsia="zh-CN"/>
              </w:rPr>
              <w:t>6分；</w:t>
            </w:r>
          </w:p>
          <w:p>
            <w:pPr>
              <w:widowControl/>
              <w:jc w:val="left"/>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lang w:eastAsia="zh-CN"/>
              </w:rPr>
              <w:t>供应商近五年内承担过生态环境现场排查类</w:t>
            </w:r>
            <w:r>
              <w:rPr>
                <w:rFonts w:hint="default" w:ascii="Times New Roman" w:hAnsi="Times New Roman" w:eastAsia="仿宋" w:cs="Times New Roman"/>
                <w:kern w:val="0"/>
                <w:sz w:val="21"/>
                <w:szCs w:val="21"/>
              </w:rPr>
              <w:t>项目</w:t>
            </w:r>
            <w:r>
              <w:rPr>
                <w:rFonts w:hint="default" w:ascii="Times New Roman" w:hAnsi="Times New Roman" w:eastAsia="仿宋" w:cs="Times New Roman"/>
                <w:kern w:val="0"/>
                <w:sz w:val="21"/>
                <w:szCs w:val="21"/>
                <w:lang w:eastAsia="zh-CN"/>
              </w:rPr>
              <w:t>的</w:t>
            </w:r>
            <w:r>
              <w:rPr>
                <w:rFonts w:hint="default" w:ascii="Times New Roman" w:hAnsi="Times New Roman" w:eastAsia="仿宋" w:cs="Times New Roman"/>
                <w:kern w:val="0"/>
                <w:sz w:val="21"/>
                <w:szCs w:val="21"/>
              </w:rPr>
              <w:t>：每个项目（以签订合同为准）得</w:t>
            </w:r>
            <w:r>
              <w:rPr>
                <w:rFonts w:hint="default" w:ascii="Times New Roman" w:hAnsi="Times New Roman" w:eastAsia="仿宋" w:cs="Times New Roman"/>
                <w:kern w:val="0"/>
                <w:sz w:val="21"/>
                <w:szCs w:val="21"/>
                <w:lang w:val="en-US" w:eastAsia="zh-CN"/>
              </w:rPr>
              <w:t>4</w:t>
            </w:r>
            <w:r>
              <w:rPr>
                <w:rFonts w:hint="default" w:ascii="Times New Roman" w:hAnsi="Times New Roman" w:eastAsia="仿宋" w:cs="Times New Roman"/>
                <w:kern w:val="0"/>
                <w:sz w:val="21"/>
                <w:szCs w:val="21"/>
              </w:rPr>
              <w:t>分，最高得</w:t>
            </w:r>
            <w:r>
              <w:rPr>
                <w:rFonts w:hint="default" w:ascii="Times New Roman" w:hAnsi="Times New Roman" w:eastAsia="仿宋" w:cs="Times New Roman"/>
                <w:kern w:val="0"/>
                <w:sz w:val="21"/>
                <w:szCs w:val="21"/>
                <w:lang w:val="en-US" w:eastAsia="zh-CN"/>
              </w:rPr>
              <w:t>12</w:t>
            </w:r>
            <w:r>
              <w:rPr>
                <w:rFonts w:hint="default" w:ascii="Times New Roman" w:hAnsi="Times New Roman" w:eastAsia="仿宋" w:cs="Times New Roman"/>
                <w:kern w:val="0"/>
                <w:sz w:val="21"/>
                <w:szCs w:val="21"/>
              </w:rPr>
              <w:t>分</w:t>
            </w:r>
            <w:r>
              <w:rPr>
                <w:rFonts w:hint="default" w:ascii="Times New Roman" w:hAnsi="Times New Roman" w:eastAsia="仿宋" w:cs="Times New Roman"/>
                <w:kern w:val="0"/>
                <w:sz w:val="21"/>
                <w:szCs w:val="21"/>
                <w:lang w:eastAsia="zh-CN"/>
              </w:rPr>
              <w:t>；</w:t>
            </w:r>
          </w:p>
          <w:p>
            <w:pPr>
              <w:widowControl/>
              <w:rPr>
                <w:rFonts w:hint="default" w:ascii="Times New Roman" w:hAnsi="Times New Roman" w:eastAsia="仿宋" w:cs="Times New Roman"/>
                <w:bCs/>
                <w:color w:val="000000"/>
                <w:kern w:val="0"/>
                <w:sz w:val="21"/>
                <w:szCs w:val="21"/>
              </w:rPr>
            </w:pPr>
            <w:r>
              <w:rPr>
                <w:rFonts w:hint="default" w:ascii="Times New Roman" w:hAnsi="Times New Roman" w:eastAsia="仿宋" w:cs="Times New Roman"/>
                <w:kern w:val="0"/>
                <w:sz w:val="21"/>
                <w:szCs w:val="21"/>
              </w:rPr>
              <w:t>【注：须附上合同或其他证明文件的关键页（含资金下达文件或签订合同双方的单位名称、合同项目名称、项目金额与含签订合同双方的落款盖章、签订日期的关键页）复印件加盖供应商单位公章作为业绩评价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01"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价格评审（</w:t>
            </w:r>
            <w:r>
              <w:rPr>
                <w:rFonts w:hint="default" w:ascii="Times New Roman" w:hAnsi="Times New Roman" w:eastAsia="仿宋" w:cs="Times New Roman"/>
                <w:color w:val="000000"/>
                <w:kern w:val="0"/>
                <w:sz w:val="21"/>
                <w:szCs w:val="21"/>
                <w:lang w:val="en-US" w:eastAsia="zh-CN"/>
              </w:rPr>
              <w:t>10</w:t>
            </w:r>
            <w:r>
              <w:rPr>
                <w:rFonts w:hint="default" w:ascii="Times New Roman" w:hAnsi="Times New Roman" w:eastAsia="仿宋" w:cs="Times New Roman"/>
                <w:color w:val="000000"/>
                <w:kern w:val="0"/>
                <w:sz w:val="21"/>
                <w:szCs w:val="21"/>
              </w:rPr>
              <w:t>分）</w:t>
            </w:r>
          </w:p>
        </w:tc>
        <w:tc>
          <w:tcPr>
            <w:tcW w:w="2778" w:type="dxa"/>
            <w:gridSpan w:val="2"/>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项目报价情况</w:t>
            </w:r>
          </w:p>
        </w:tc>
        <w:tc>
          <w:tcPr>
            <w:tcW w:w="1131" w:type="dxa"/>
            <w:vAlign w:val="center"/>
          </w:tcPr>
          <w:p>
            <w:pPr>
              <w:widowControl/>
              <w:jc w:val="center"/>
              <w:rPr>
                <w:rFonts w:hint="default" w:ascii="Times New Roman" w:hAnsi="Times New Roman" w:eastAsia="仿宋" w:cs="Times New Roman"/>
                <w:color w:val="000000"/>
                <w:kern w:val="0"/>
                <w:sz w:val="21"/>
                <w:szCs w:val="21"/>
                <w:lang w:val="en-US" w:eastAsia="zh-CN"/>
              </w:rPr>
            </w:pPr>
            <w:r>
              <w:rPr>
                <w:rFonts w:hint="default" w:ascii="Times New Roman" w:hAnsi="Times New Roman" w:eastAsia="仿宋" w:cs="Times New Roman"/>
                <w:color w:val="000000"/>
                <w:kern w:val="0"/>
                <w:sz w:val="21"/>
                <w:szCs w:val="21"/>
                <w:lang w:val="en-US" w:eastAsia="zh-CN"/>
              </w:rPr>
              <w:t>10</w:t>
            </w:r>
          </w:p>
        </w:tc>
        <w:tc>
          <w:tcPr>
            <w:tcW w:w="9458" w:type="dxa"/>
            <w:vAlign w:val="center"/>
          </w:tcPr>
          <w:p>
            <w:pPr>
              <w:widowControl/>
              <w:rPr>
                <w:rFonts w:hint="default" w:ascii="Times New Roman" w:hAnsi="Times New Roman" w:eastAsia="仿宋" w:cs="Times New Roman"/>
                <w:kern w:val="0"/>
                <w:sz w:val="21"/>
                <w:szCs w:val="21"/>
                <w:lang w:eastAsia="zh-CN"/>
              </w:rPr>
            </w:pPr>
            <w:r>
              <w:rPr>
                <w:rFonts w:hint="default" w:ascii="Times New Roman" w:hAnsi="Times New Roman" w:eastAsia="仿宋" w:cs="Times New Roman"/>
                <w:kern w:val="0"/>
                <w:sz w:val="21"/>
                <w:szCs w:val="21"/>
              </w:rPr>
              <w:t>取满足采购文件要求且价格扣除后的最低投标报价作为评标基准价，其价格分为满分。其他供应商的价格分统一按照下列公式计算：价格扣除后的投标报价得分=（评标基准价/价格扣除后的投标报价）×1</w:t>
            </w:r>
            <w:r>
              <w:rPr>
                <w:rFonts w:hint="default" w:ascii="Times New Roman" w:hAnsi="Times New Roman" w:eastAsia="仿宋" w:cs="Times New Roman"/>
                <w:kern w:val="0"/>
                <w:sz w:val="21"/>
                <w:szCs w:val="21"/>
                <w:lang w:val="en-US" w:eastAsia="zh-CN"/>
              </w:rPr>
              <w:t>0</w:t>
            </w:r>
          </w:p>
          <w:p>
            <w:pPr>
              <w:widowControl/>
              <w:rPr>
                <w:rFonts w:ascii="Times New Roman" w:hAnsi="Times New Roman" w:eastAsia="仿宋" w:cs="Times New Roman"/>
                <w:color w:val="000000"/>
                <w:kern w:val="0"/>
                <w:sz w:val="21"/>
                <w:szCs w:val="21"/>
              </w:rPr>
            </w:pPr>
            <w:r>
              <w:rPr>
                <w:rFonts w:hint="default" w:ascii="Times New Roman" w:hAnsi="Times New Roman" w:eastAsia="仿宋" w:cs="Times New Roman"/>
                <w:kern w:val="0"/>
                <w:sz w:val="21"/>
                <w:szCs w:val="21"/>
                <w:lang w:eastAsia="zh-CN"/>
              </w:rPr>
              <w:t>【注：</w:t>
            </w:r>
            <w:r>
              <w:rPr>
                <w:rFonts w:hint="default" w:ascii="Times New Roman" w:hAnsi="Times New Roman" w:eastAsia="仿宋" w:cs="Times New Roman"/>
                <w:kern w:val="0"/>
                <w:sz w:val="21"/>
                <w:szCs w:val="21"/>
              </w:rPr>
              <w:t>对符合规定的小型和微型企业（监狱企业、残疾人福利单位视同小型、微型企业）报价给予1</w:t>
            </w:r>
            <w:r>
              <w:rPr>
                <w:rFonts w:hint="default" w:ascii="Times New Roman" w:hAnsi="Times New Roman" w:eastAsia="仿宋" w:cs="Times New Roman"/>
                <w:kern w:val="0"/>
                <w:sz w:val="21"/>
                <w:szCs w:val="21"/>
                <w:lang w:val="en-US" w:eastAsia="zh-CN"/>
              </w:rPr>
              <w:t>5</w:t>
            </w:r>
            <w:r>
              <w:rPr>
                <w:rFonts w:hint="default" w:ascii="Times New Roman" w:hAnsi="Times New Roman" w:eastAsia="仿宋" w:cs="Times New Roman"/>
                <w:kern w:val="0"/>
                <w:sz w:val="21"/>
                <w:szCs w:val="21"/>
              </w:rPr>
              <w:t>%的价格扣除</w:t>
            </w:r>
            <w:r>
              <w:rPr>
                <w:rFonts w:hint="default" w:ascii="Times New Roman" w:hAnsi="Times New Roman" w:eastAsia="仿宋"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579" w:type="dxa"/>
            <w:gridSpan w:val="3"/>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合计</w:t>
            </w:r>
          </w:p>
        </w:tc>
        <w:tc>
          <w:tcPr>
            <w:tcW w:w="1131" w:type="dxa"/>
            <w:vAlign w:val="center"/>
          </w:tcPr>
          <w:p>
            <w:pPr>
              <w:widowControl/>
              <w:jc w:val="center"/>
              <w:rPr>
                <w:rFonts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100</w:t>
            </w:r>
          </w:p>
        </w:tc>
        <w:tc>
          <w:tcPr>
            <w:tcW w:w="9458" w:type="dxa"/>
            <w:vAlign w:val="center"/>
          </w:tcPr>
          <w:p>
            <w:pPr>
              <w:widowControl/>
              <w:jc w:val="center"/>
              <w:rPr>
                <w:rFonts w:ascii="Times New Roman" w:hAnsi="Times New Roman" w:eastAsia="仿宋" w:cs="Times New Roman"/>
                <w:b/>
                <w:bCs/>
                <w:color w:val="000000"/>
                <w:kern w:val="0"/>
                <w:sz w:val="21"/>
                <w:szCs w:val="21"/>
              </w:rPr>
            </w:pPr>
            <w:r>
              <w:rPr>
                <w:rFonts w:hint="default" w:ascii="Times New Roman" w:hAnsi="Times New Roman" w:eastAsia="仿宋" w:cs="Times New Roman"/>
                <w:b/>
                <w:bCs/>
                <w:color w:val="000000"/>
                <w:kern w:val="0"/>
                <w:sz w:val="21"/>
                <w:szCs w:val="21"/>
              </w:rPr>
              <w:t>——</w:t>
            </w:r>
          </w:p>
        </w:tc>
      </w:tr>
    </w:tbl>
    <w:p>
      <w:pPr>
        <w:pStyle w:val="2"/>
        <w:rPr>
          <w:rFonts w:ascii="Times New Roman" w:hAnsi="Times New Roman" w:cs="Times New Roman"/>
        </w:rPr>
        <w:sectPr>
          <w:pgSz w:w="16838" w:h="11906" w:orient="landscape"/>
          <w:pgMar w:top="1803" w:right="1440" w:bottom="1803" w:left="1440" w:header="851" w:footer="992" w:gutter="0"/>
          <w:pgNumType w:fmt="decimal"/>
          <w:cols w:space="0" w:num="1"/>
          <w:rtlGutter w:val="0"/>
          <w:docGrid w:type="lines" w:linePitch="415"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20BB"/>
    <w:rsid w:val="480420BB"/>
    <w:rsid w:val="5A6D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2024-01-17T08:23:00Z</dcterms:created>
  <dc:creator>李耀明</dc:creator>
  <cp:lastModifiedBy>李耀明</cp:lastModifiedBy>
  <dcterms:modified xsi:type="dcterms:W3CDTF">2024-01-17T08:25:22Z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