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left"/>
        <w:outlineLvl w:val="0"/>
        <w:rPr>
          <w:rFonts w:eastAsia="黑体"/>
          <w:kern w:val="0"/>
          <w:sz w:val="32"/>
          <w:szCs w:val="32"/>
        </w:rPr>
      </w:pPr>
      <w:r>
        <w:rPr>
          <w:rFonts w:eastAsia="黑体"/>
          <w:kern w:val="0"/>
          <w:sz w:val="32"/>
          <w:szCs w:val="32"/>
        </w:rPr>
        <w:t>附件2</w:t>
      </w:r>
    </w:p>
    <w:p>
      <w:pPr>
        <w:autoSpaceDE w:val="0"/>
        <w:autoSpaceDN w:val="0"/>
        <w:adjustRightInd w:val="0"/>
        <w:snapToGrid w:val="0"/>
        <w:spacing w:line="579" w:lineRule="exact"/>
        <w:jc w:val="center"/>
        <w:rPr>
          <w:rFonts w:eastAsia="黑体"/>
          <w:kern w:val="0"/>
          <w:sz w:val="32"/>
          <w:szCs w:val="32"/>
        </w:rPr>
      </w:pPr>
      <w:r>
        <w:rPr>
          <w:rFonts w:hint="eastAsia" w:eastAsia="黑体"/>
          <w:kern w:val="0"/>
          <w:sz w:val="32"/>
          <w:szCs w:val="32"/>
        </w:rPr>
        <w:t>江门市地下水污染防治重点区划定</w:t>
      </w:r>
      <w:bookmarkStart w:id="0" w:name="_GoBack"/>
      <w:r>
        <w:rPr>
          <w:rFonts w:hint="eastAsia" w:eastAsia="黑体"/>
          <w:kern w:val="0"/>
          <w:sz w:val="32"/>
          <w:szCs w:val="32"/>
        </w:rPr>
        <w:t>项目</w:t>
      </w:r>
      <w:r>
        <w:rPr>
          <w:rFonts w:eastAsia="黑体"/>
          <w:kern w:val="0"/>
          <w:sz w:val="32"/>
          <w:szCs w:val="32"/>
        </w:rPr>
        <w:t>招标评分表</w:t>
      </w:r>
      <w:bookmarkEnd w:id="0"/>
    </w:p>
    <w:tbl>
      <w:tblPr>
        <w:tblStyle w:val="3"/>
        <w:tblW w:w="14560" w:type="dxa"/>
        <w:jc w:val="center"/>
        <w:tblInd w:w="-25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85"/>
        <w:gridCol w:w="709"/>
        <w:gridCol w:w="8204"/>
        <w:gridCol w:w="706"/>
        <w:gridCol w:w="709"/>
        <w:gridCol w:w="911"/>
        <w:gridCol w:w="912"/>
        <w:gridCol w:w="912"/>
        <w:gridCol w:w="91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4" w:hRule="atLeast"/>
          <w:jc w:val="center"/>
        </w:trPr>
        <w:tc>
          <w:tcPr>
            <w:tcW w:w="585"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snapToGrid w:val="0"/>
              <w:spacing w:line="264" w:lineRule="auto"/>
              <w:ind w:left="-111" w:leftChars="-37" w:right="-105" w:rightChars="-35"/>
              <w:jc w:val="center"/>
              <w:rPr>
                <w:rFonts w:hint="eastAsia" w:ascii="黑体" w:hAnsi="黑体" w:eastAsia="黑体"/>
                <w:kern w:val="0"/>
                <w:sz w:val="21"/>
                <w:szCs w:val="21"/>
              </w:rPr>
            </w:pPr>
            <w:r>
              <w:rPr>
                <w:rFonts w:hint="eastAsia" w:ascii="黑体" w:hAnsi="黑体" w:eastAsia="黑体"/>
                <w:kern w:val="0"/>
                <w:sz w:val="21"/>
                <w:szCs w:val="21"/>
              </w:rPr>
              <w:t>序号</w:t>
            </w:r>
          </w:p>
        </w:tc>
        <w:tc>
          <w:tcPr>
            <w:tcW w:w="709" w:type="dxa"/>
            <w:tcBorders>
              <w:top w:val="single" w:color="auto" w:sz="12" w:space="0"/>
              <w:left w:val="single" w:color="auto" w:sz="6" w:space="0"/>
              <w:bottom w:val="single" w:color="auto" w:sz="6" w:space="0"/>
              <w:right w:val="single" w:color="auto" w:sz="6" w:space="0"/>
            </w:tcBorders>
            <w:vAlign w:val="center"/>
          </w:tcPr>
          <w:p>
            <w:pPr>
              <w:autoSpaceDE w:val="0"/>
              <w:autoSpaceDN w:val="0"/>
              <w:adjustRightInd w:val="0"/>
              <w:snapToGrid w:val="0"/>
              <w:spacing w:line="264" w:lineRule="auto"/>
              <w:ind w:left="-111" w:leftChars="-37" w:right="-105" w:rightChars="-35"/>
              <w:jc w:val="center"/>
              <w:rPr>
                <w:rFonts w:hint="eastAsia" w:ascii="黑体" w:hAnsi="黑体" w:eastAsia="黑体"/>
                <w:kern w:val="0"/>
                <w:sz w:val="21"/>
                <w:szCs w:val="21"/>
              </w:rPr>
            </w:pPr>
            <w:r>
              <w:rPr>
                <w:rFonts w:hint="eastAsia" w:ascii="黑体" w:hAnsi="黑体" w:eastAsia="黑体"/>
                <w:kern w:val="0"/>
                <w:sz w:val="21"/>
                <w:szCs w:val="21"/>
              </w:rPr>
              <w:t>评审</w:t>
            </w:r>
          </w:p>
          <w:p>
            <w:pPr>
              <w:autoSpaceDE w:val="0"/>
              <w:autoSpaceDN w:val="0"/>
              <w:adjustRightInd w:val="0"/>
              <w:snapToGrid w:val="0"/>
              <w:spacing w:line="264" w:lineRule="auto"/>
              <w:ind w:left="-111" w:leftChars="-37" w:right="-105" w:rightChars="-35"/>
              <w:jc w:val="center"/>
              <w:rPr>
                <w:rFonts w:hint="eastAsia" w:ascii="黑体" w:hAnsi="黑体" w:eastAsia="黑体"/>
                <w:kern w:val="0"/>
                <w:sz w:val="21"/>
                <w:szCs w:val="21"/>
              </w:rPr>
            </w:pPr>
            <w:r>
              <w:rPr>
                <w:rFonts w:hint="eastAsia" w:ascii="黑体" w:hAnsi="黑体" w:eastAsia="黑体"/>
                <w:kern w:val="0"/>
                <w:sz w:val="21"/>
                <w:szCs w:val="21"/>
              </w:rPr>
              <w:t>因素</w:t>
            </w:r>
          </w:p>
        </w:tc>
        <w:tc>
          <w:tcPr>
            <w:tcW w:w="8204" w:type="dxa"/>
            <w:tcBorders>
              <w:top w:val="single" w:color="auto" w:sz="12" w:space="0"/>
              <w:left w:val="single" w:color="auto" w:sz="6" w:space="0"/>
              <w:bottom w:val="single" w:color="auto" w:sz="6" w:space="0"/>
              <w:right w:val="single" w:color="auto" w:sz="6" w:space="0"/>
            </w:tcBorders>
            <w:vAlign w:val="center"/>
          </w:tcPr>
          <w:p>
            <w:pPr>
              <w:autoSpaceDE w:val="0"/>
              <w:autoSpaceDN w:val="0"/>
              <w:adjustRightInd w:val="0"/>
              <w:snapToGrid w:val="0"/>
              <w:spacing w:line="264" w:lineRule="auto"/>
              <w:ind w:left="-111" w:leftChars="-37" w:right="-105" w:rightChars="-35"/>
              <w:jc w:val="center"/>
              <w:rPr>
                <w:rFonts w:hint="eastAsia" w:ascii="黑体" w:hAnsi="黑体" w:eastAsia="黑体"/>
                <w:kern w:val="0"/>
                <w:sz w:val="21"/>
                <w:szCs w:val="21"/>
              </w:rPr>
            </w:pPr>
            <w:r>
              <w:rPr>
                <w:rFonts w:hint="eastAsia" w:ascii="黑体" w:hAnsi="黑体" w:eastAsia="黑体"/>
                <w:kern w:val="0"/>
                <w:sz w:val="21"/>
                <w:szCs w:val="21"/>
              </w:rPr>
              <w:t>评分细则</w:t>
            </w:r>
          </w:p>
        </w:tc>
        <w:tc>
          <w:tcPr>
            <w:tcW w:w="706" w:type="dxa"/>
            <w:tcBorders>
              <w:top w:val="single" w:color="auto" w:sz="12" w:space="0"/>
              <w:left w:val="single" w:color="auto" w:sz="6" w:space="0"/>
              <w:bottom w:val="single" w:color="auto" w:sz="6" w:space="0"/>
              <w:right w:val="single" w:color="auto" w:sz="6" w:space="0"/>
            </w:tcBorders>
            <w:vAlign w:val="center"/>
          </w:tcPr>
          <w:p>
            <w:pPr>
              <w:autoSpaceDE w:val="0"/>
              <w:autoSpaceDN w:val="0"/>
              <w:adjustRightInd w:val="0"/>
              <w:snapToGrid w:val="0"/>
              <w:spacing w:line="264" w:lineRule="auto"/>
              <w:ind w:left="-111" w:leftChars="-37" w:right="-105" w:rightChars="-35"/>
              <w:jc w:val="center"/>
              <w:rPr>
                <w:rFonts w:hint="eastAsia" w:ascii="黑体" w:hAnsi="黑体" w:eastAsia="黑体"/>
                <w:kern w:val="0"/>
                <w:sz w:val="21"/>
                <w:szCs w:val="21"/>
              </w:rPr>
            </w:pPr>
            <w:r>
              <w:rPr>
                <w:rFonts w:hint="eastAsia" w:ascii="黑体" w:hAnsi="黑体" w:eastAsia="黑体"/>
                <w:kern w:val="0"/>
                <w:sz w:val="21"/>
                <w:szCs w:val="21"/>
              </w:rPr>
              <w:t>分值（分）</w:t>
            </w:r>
          </w:p>
        </w:tc>
        <w:tc>
          <w:tcPr>
            <w:tcW w:w="709" w:type="dxa"/>
            <w:tcBorders>
              <w:top w:val="single" w:color="auto" w:sz="12" w:space="0"/>
              <w:left w:val="single" w:color="auto" w:sz="6" w:space="0"/>
              <w:bottom w:val="single" w:color="auto" w:sz="6" w:space="0"/>
              <w:right w:val="single" w:color="auto" w:sz="6" w:space="0"/>
            </w:tcBorders>
            <w:vAlign w:val="center"/>
          </w:tcPr>
          <w:p>
            <w:pPr>
              <w:autoSpaceDE w:val="0"/>
              <w:autoSpaceDN w:val="0"/>
              <w:adjustRightInd w:val="0"/>
              <w:snapToGrid w:val="0"/>
              <w:spacing w:line="264" w:lineRule="auto"/>
              <w:ind w:left="-111" w:leftChars="-37" w:right="-105" w:rightChars="-35"/>
              <w:jc w:val="center"/>
              <w:rPr>
                <w:rFonts w:hint="eastAsia" w:ascii="黑体" w:hAnsi="黑体" w:eastAsia="黑体"/>
                <w:kern w:val="0"/>
                <w:sz w:val="21"/>
                <w:szCs w:val="21"/>
              </w:rPr>
            </w:pPr>
            <w:r>
              <w:rPr>
                <w:rFonts w:hint="eastAsia" w:ascii="黑体" w:hAnsi="黑体" w:eastAsia="黑体"/>
                <w:kern w:val="0"/>
                <w:sz w:val="21"/>
                <w:szCs w:val="21"/>
              </w:rPr>
              <w:t>权重（%）</w:t>
            </w:r>
          </w:p>
        </w:tc>
        <w:tc>
          <w:tcPr>
            <w:tcW w:w="911" w:type="dxa"/>
            <w:tcBorders>
              <w:top w:val="single" w:color="auto" w:sz="12" w:space="0"/>
              <w:left w:val="single" w:color="auto" w:sz="6" w:space="0"/>
              <w:bottom w:val="single" w:color="auto" w:sz="6" w:space="0"/>
              <w:right w:val="single" w:color="auto" w:sz="6" w:space="0"/>
            </w:tcBorders>
            <w:vAlign w:val="center"/>
          </w:tcPr>
          <w:p>
            <w:pPr>
              <w:autoSpaceDE w:val="0"/>
              <w:autoSpaceDN w:val="0"/>
              <w:adjustRightInd w:val="0"/>
              <w:snapToGrid w:val="0"/>
              <w:spacing w:line="264" w:lineRule="auto"/>
              <w:ind w:left="-111" w:leftChars="-37" w:right="-105" w:rightChars="-35"/>
              <w:jc w:val="center"/>
              <w:rPr>
                <w:rFonts w:hint="eastAsia" w:ascii="黑体" w:hAnsi="黑体" w:eastAsia="黑体"/>
                <w:kern w:val="0"/>
                <w:sz w:val="21"/>
                <w:szCs w:val="21"/>
              </w:rPr>
            </w:pPr>
            <w:r>
              <w:rPr>
                <w:rFonts w:hint="eastAsia" w:ascii="黑体" w:hAnsi="黑体" w:eastAsia="黑体"/>
                <w:kern w:val="0"/>
                <w:sz w:val="21"/>
                <w:szCs w:val="21"/>
              </w:rPr>
              <w:t>供应商1</w:t>
            </w:r>
          </w:p>
          <w:p>
            <w:pPr>
              <w:autoSpaceDE w:val="0"/>
              <w:autoSpaceDN w:val="0"/>
              <w:adjustRightInd w:val="0"/>
              <w:snapToGrid w:val="0"/>
              <w:spacing w:line="264" w:lineRule="auto"/>
              <w:ind w:left="-111" w:leftChars="-37" w:right="-105" w:rightChars="-35"/>
              <w:jc w:val="center"/>
              <w:rPr>
                <w:rFonts w:hint="eastAsia" w:ascii="黑体" w:hAnsi="黑体" w:eastAsia="黑体"/>
                <w:kern w:val="0"/>
                <w:sz w:val="21"/>
                <w:szCs w:val="21"/>
              </w:rPr>
            </w:pPr>
            <w:r>
              <w:rPr>
                <w:rFonts w:hint="eastAsia" w:ascii="黑体" w:hAnsi="黑体" w:eastAsia="黑体"/>
                <w:kern w:val="0"/>
                <w:sz w:val="21"/>
                <w:szCs w:val="21"/>
              </w:rPr>
              <w:t>得分（分）</w:t>
            </w:r>
          </w:p>
        </w:tc>
        <w:tc>
          <w:tcPr>
            <w:tcW w:w="912" w:type="dxa"/>
            <w:tcBorders>
              <w:top w:val="single" w:color="auto" w:sz="12" w:space="0"/>
              <w:left w:val="single" w:color="auto" w:sz="6" w:space="0"/>
              <w:bottom w:val="single" w:color="auto" w:sz="6" w:space="0"/>
              <w:right w:val="single" w:color="auto" w:sz="6" w:space="0"/>
            </w:tcBorders>
            <w:vAlign w:val="center"/>
          </w:tcPr>
          <w:p>
            <w:pPr>
              <w:autoSpaceDE w:val="0"/>
              <w:autoSpaceDN w:val="0"/>
              <w:adjustRightInd w:val="0"/>
              <w:snapToGrid w:val="0"/>
              <w:spacing w:line="264" w:lineRule="auto"/>
              <w:ind w:left="-111" w:leftChars="-37" w:right="-105" w:rightChars="-35"/>
              <w:jc w:val="center"/>
              <w:rPr>
                <w:rFonts w:hint="eastAsia" w:ascii="黑体" w:hAnsi="黑体" w:eastAsia="黑体"/>
                <w:kern w:val="0"/>
                <w:sz w:val="21"/>
                <w:szCs w:val="21"/>
              </w:rPr>
            </w:pPr>
            <w:r>
              <w:rPr>
                <w:rFonts w:hint="eastAsia" w:ascii="黑体" w:hAnsi="黑体" w:eastAsia="黑体"/>
                <w:kern w:val="0"/>
                <w:sz w:val="21"/>
                <w:szCs w:val="21"/>
              </w:rPr>
              <w:t>供应商2</w:t>
            </w:r>
          </w:p>
          <w:p>
            <w:pPr>
              <w:autoSpaceDE w:val="0"/>
              <w:autoSpaceDN w:val="0"/>
              <w:adjustRightInd w:val="0"/>
              <w:snapToGrid w:val="0"/>
              <w:spacing w:line="264" w:lineRule="auto"/>
              <w:ind w:left="-111" w:leftChars="-37" w:right="-105" w:rightChars="-35"/>
              <w:jc w:val="center"/>
              <w:rPr>
                <w:rFonts w:hint="eastAsia" w:ascii="黑体" w:hAnsi="黑体" w:eastAsia="黑体"/>
                <w:kern w:val="0"/>
                <w:sz w:val="21"/>
                <w:szCs w:val="21"/>
              </w:rPr>
            </w:pPr>
            <w:r>
              <w:rPr>
                <w:rFonts w:hint="eastAsia" w:ascii="黑体" w:hAnsi="黑体" w:eastAsia="黑体"/>
                <w:kern w:val="0"/>
                <w:sz w:val="21"/>
                <w:szCs w:val="21"/>
              </w:rPr>
              <w:t>得分（分）</w:t>
            </w:r>
          </w:p>
        </w:tc>
        <w:tc>
          <w:tcPr>
            <w:tcW w:w="912" w:type="dxa"/>
            <w:tcBorders>
              <w:top w:val="single" w:color="auto" w:sz="12" w:space="0"/>
              <w:left w:val="single" w:color="auto" w:sz="6" w:space="0"/>
              <w:bottom w:val="single" w:color="auto" w:sz="6" w:space="0"/>
              <w:right w:val="single" w:color="auto" w:sz="6" w:space="0"/>
            </w:tcBorders>
            <w:vAlign w:val="center"/>
          </w:tcPr>
          <w:p>
            <w:pPr>
              <w:autoSpaceDE w:val="0"/>
              <w:autoSpaceDN w:val="0"/>
              <w:adjustRightInd w:val="0"/>
              <w:snapToGrid w:val="0"/>
              <w:spacing w:line="264" w:lineRule="auto"/>
              <w:ind w:left="-111" w:leftChars="-37" w:right="-105" w:rightChars="-35"/>
              <w:jc w:val="center"/>
              <w:rPr>
                <w:rFonts w:hint="eastAsia" w:ascii="黑体" w:hAnsi="黑体" w:eastAsia="黑体"/>
                <w:kern w:val="0"/>
                <w:sz w:val="21"/>
                <w:szCs w:val="21"/>
              </w:rPr>
            </w:pPr>
            <w:r>
              <w:rPr>
                <w:rFonts w:hint="eastAsia" w:ascii="黑体" w:hAnsi="黑体" w:eastAsia="黑体"/>
                <w:kern w:val="0"/>
                <w:sz w:val="21"/>
                <w:szCs w:val="21"/>
              </w:rPr>
              <w:t>供应商3</w:t>
            </w:r>
          </w:p>
          <w:p>
            <w:pPr>
              <w:autoSpaceDE w:val="0"/>
              <w:autoSpaceDN w:val="0"/>
              <w:adjustRightInd w:val="0"/>
              <w:snapToGrid w:val="0"/>
              <w:spacing w:line="264" w:lineRule="auto"/>
              <w:ind w:left="-111" w:leftChars="-37" w:right="-105" w:rightChars="-35"/>
              <w:jc w:val="center"/>
              <w:rPr>
                <w:rFonts w:hint="eastAsia" w:ascii="黑体" w:hAnsi="黑体" w:eastAsia="黑体"/>
                <w:kern w:val="0"/>
                <w:sz w:val="21"/>
                <w:szCs w:val="21"/>
              </w:rPr>
            </w:pPr>
            <w:r>
              <w:rPr>
                <w:rFonts w:hint="eastAsia" w:ascii="黑体" w:hAnsi="黑体" w:eastAsia="黑体"/>
                <w:kern w:val="0"/>
                <w:sz w:val="21"/>
                <w:szCs w:val="21"/>
              </w:rPr>
              <w:t>得分（分）</w:t>
            </w:r>
          </w:p>
        </w:tc>
        <w:tc>
          <w:tcPr>
            <w:tcW w:w="912" w:type="dxa"/>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napToGrid w:val="0"/>
              <w:spacing w:line="264" w:lineRule="auto"/>
              <w:ind w:left="-111" w:leftChars="-37" w:right="-105" w:rightChars="-35"/>
              <w:jc w:val="center"/>
              <w:rPr>
                <w:rFonts w:hint="eastAsia" w:ascii="黑体" w:hAnsi="黑体" w:eastAsia="黑体"/>
                <w:kern w:val="0"/>
                <w:sz w:val="21"/>
                <w:szCs w:val="21"/>
              </w:rPr>
            </w:pPr>
            <w:r>
              <w:rPr>
                <w:rFonts w:hint="eastAsia" w:ascii="黑体" w:hAnsi="黑体" w:eastAsia="黑体"/>
                <w:kern w:val="0"/>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9" w:hRule="atLeast"/>
          <w:jc w:val="center"/>
        </w:trPr>
        <w:tc>
          <w:tcPr>
            <w:tcW w:w="14560" w:type="dxa"/>
            <w:gridSpan w:val="9"/>
            <w:tcBorders>
              <w:top w:val="single" w:color="auto" w:sz="6" w:space="0"/>
              <w:left w:val="single" w:color="auto" w:sz="12" w:space="0"/>
              <w:bottom w:val="single" w:color="auto" w:sz="6" w:space="0"/>
              <w:right w:val="single" w:color="auto" w:sz="12" w:space="0"/>
            </w:tcBorders>
            <w:vAlign w:val="center"/>
          </w:tcPr>
          <w:p>
            <w:pPr>
              <w:autoSpaceDE w:val="0"/>
              <w:autoSpaceDN w:val="0"/>
              <w:adjustRightInd w:val="0"/>
              <w:snapToGrid w:val="0"/>
              <w:spacing w:line="200" w:lineRule="exact"/>
              <w:ind w:left="-111" w:leftChars="-37" w:right="-105" w:rightChars="-35"/>
              <w:jc w:val="center"/>
              <w:rPr>
                <w:rFonts w:hint="eastAsia" w:ascii="仿宋_GB2312" w:eastAsia="仿宋_GB2312"/>
                <w:b/>
                <w:kern w:val="0"/>
                <w:sz w:val="21"/>
                <w:szCs w:val="21"/>
              </w:rPr>
            </w:pPr>
            <w:r>
              <w:rPr>
                <w:rFonts w:hint="eastAsia" w:ascii="仿宋_GB2312" w:eastAsia="仿宋_GB2312"/>
                <w:b/>
                <w:kern w:val="0"/>
                <w:sz w:val="21"/>
                <w:szCs w:val="21"/>
              </w:rPr>
              <w:t>一、技术部分 （40分）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83" w:hRule="atLeast"/>
          <w:jc w:val="center"/>
        </w:trPr>
        <w:tc>
          <w:tcPr>
            <w:tcW w:w="585" w:type="dxa"/>
            <w:tcBorders>
              <w:top w:val="single" w:color="auto" w:sz="6" w:space="0"/>
              <w:left w:val="single" w:color="auto" w:sz="12" w:space="0"/>
              <w:bottom w:val="single" w:color="auto" w:sz="6" w:space="0"/>
              <w:right w:val="single" w:color="auto" w:sz="6" w:space="0"/>
            </w:tcBorders>
            <w:vAlign w:val="center"/>
          </w:tcPr>
          <w:p>
            <w:pPr>
              <w:numPr>
                <w:ilvl w:val="0"/>
                <w:numId w:val="1"/>
              </w:numPr>
              <w:autoSpaceDE w:val="0"/>
              <w:autoSpaceDN w:val="0"/>
              <w:adjustRightInd w:val="0"/>
              <w:snapToGrid w:val="0"/>
              <w:spacing w:line="200" w:lineRule="exact"/>
              <w:jc w:val="center"/>
              <w:rPr>
                <w:rFonts w:hint="eastAsia" w:ascii="仿宋_GB2312" w:eastAsia="仿宋_GB2312"/>
                <w:bCs/>
                <w:sz w:val="21"/>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_GB2312" w:eastAsia="仿宋_GB2312"/>
                <w:sz w:val="21"/>
                <w:szCs w:val="21"/>
              </w:rPr>
            </w:pPr>
            <w:r>
              <w:rPr>
                <w:rFonts w:hint="eastAsia" w:ascii="仿宋_GB2312" w:eastAsia="仿宋_GB2312"/>
                <w:sz w:val="21"/>
                <w:szCs w:val="21"/>
              </w:rPr>
              <w:t>对项目的理解程度</w:t>
            </w:r>
          </w:p>
        </w:tc>
        <w:tc>
          <w:tcPr>
            <w:tcW w:w="8204" w:type="dxa"/>
            <w:tcBorders>
              <w:top w:val="single" w:color="auto" w:sz="6" w:space="0"/>
              <w:left w:val="single" w:color="auto" w:sz="6" w:space="0"/>
              <w:bottom w:val="single" w:color="auto" w:sz="6" w:space="0"/>
              <w:right w:val="single" w:color="auto" w:sz="6" w:space="0"/>
            </w:tcBorders>
            <w:vAlign w:val="center"/>
          </w:tcPr>
          <w:p>
            <w:pPr>
              <w:rPr>
                <w:rFonts w:hint="eastAsia" w:ascii="仿宋_GB2312" w:eastAsia="仿宋_GB2312"/>
                <w:sz w:val="21"/>
                <w:szCs w:val="21"/>
              </w:rPr>
            </w:pPr>
            <w:r>
              <w:rPr>
                <w:rFonts w:hint="eastAsia" w:ascii="仿宋_GB2312" w:eastAsia="仿宋_GB2312"/>
                <w:sz w:val="21"/>
                <w:szCs w:val="21"/>
              </w:rPr>
              <w:t>根据供应商对本项目的理解认识，与本项目实际情况的符合性进行评审：</w:t>
            </w:r>
          </w:p>
          <w:p>
            <w:pPr>
              <w:rPr>
                <w:rFonts w:hint="eastAsia" w:ascii="仿宋_GB2312" w:eastAsia="仿宋_GB2312"/>
                <w:sz w:val="21"/>
                <w:szCs w:val="21"/>
              </w:rPr>
            </w:pPr>
            <w:r>
              <w:rPr>
                <w:rFonts w:hint="eastAsia" w:ascii="仿宋_GB2312" w:eastAsia="仿宋_GB2312"/>
                <w:sz w:val="21"/>
                <w:szCs w:val="21"/>
              </w:rPr>
              <w:t>（1）对项目背景、工作目标及工作内容的理解和认识准确、深入，完全满足或优于项目要求，得10分；</w:t>
            </w:r>
          </w:p>
          <w:p>
            <w:pPr>
              <w:rPr>
                <w:rFonts w:hint="eastAsia" w:ascii="仿宋_GB2312" w:eastAsia="仿宋_GB2312"/>
                <w:sz w:val="21"/>
                <w:szCs w:val="21"/>
              </w:rPr>
            </w:pPr>
            <w:r>
              <w:rPr>
                <w:rFonts w:hint="eastAsia" w:ascii="仿宋_GB2312" w:eastAsia="仿宋_GB2312"/>
                <w:sz w:val="21"/>
                <w:szCs w:val="21"/>
              </w:rPr>
              <w:t>（2）对项目背景、工作目标及工作内容的理解和认识准确，大部分能满足项目要求，得7分；</w:t>
            </w:r>
          </w:p>
          <w:p>
            <w:pPr>
              <w:rPr>
                <w:rFonts w:hint="eastAsia" w:ascii="仿宋_GB2312" w:eastAsia="仿宋_GB2312"/>
                <w:sz w:val="21"/>
                <w:szCs w:val="21"/>
              </w:rPr>
            </w:pPr>
            <w:r>
              <w:rPr>
                <w:rFonts w:hint="eastAsia" w:ascii="仿宋_GB2312" w:eastAsia="仿宋_GB2312"/>
                <w:sz w:val="21"/>
                <w:szCs w:val="21"/>
              </w:rPr>
              <w:t>（3）未能完全理解和认识项目背景、工作目标及工作内容，不能满足项目要求，得3分；</w:t>
            </w:r>
          </w:p>
          <w:p>
            <w:pPr>
              <w:rPr>
                <w:rFonts w:hint="eastAsia" w:ascii="仿宋_GB2312" w:eastAsia="仿宋_GB2312"/>
                <w:sz w:val="21"/>
                <w:szCs w:val="21"/>
              </w:rPr>
            </w:pPr>
            <w:r>
              <w:rPr>
                <w:rFonts w:hint="eastAsia" w:ascii="仿宋_GB2312" w:eastAsia="仿宋_GB2312"/>
                <w:sz w:val="21"/>
                <w:szCs w:val="21"/>
              </w:rPr>
              <w:t>（4）未提交响应内容或其他情况，不得分。</w:t>
            </w:r>
          </w:p>
        </w:tc>
        <w:tc>
          <w:tcPr>
            <w:tcW w:w="70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jc w:val="center"/>
              <w:rPr>
                <w:rFonts w:hint="eastAsia" w:ascii="仿宋_GB2312" w:eastAsia="仿宋_GB2312"/>
                <w:bCs/>
                <w:kern w:val="0"/>
                <w:sz w:val="21"/>
                <w:szCs w:val="21"/>
              </w:rPr>
            </w:pPr>
            <w:r>
              <w:rPr>
                <w:rFonts w:hint="eastAsia" w:ascii="仿宋_GB2312" w:eastAsia="仿宋_GB2312"/>
                <w:bCs/>
                <w:kern w:val="0"/>
                <w:sz w:val="21"/>
                <w:szCs w:val="21"/>
              </w:rPr>
              <w:t>10</w:t>
            </w: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jc w:val="center"/>
              <w:rPr>
                <w:rFonts w:hint="eastAsia" w:ascii="仿宋_GB2312" w:eastAsia="仿宋_GB2312"/>
                <w:kern w:val="0"/>
                <w:sz w:val="21"/>
                <w:szCs w:val="21"/>
              </w:rPr>
            </w:pPr>
            <w:r>
              <w:rPr>
                <w:rFonts w:hint="eastAsia" w:ascii="仿宋_GB2312" w:eastAsia="仿宋_GB2312"/>
                <w:kern w:val="0"/>
                <w:sz w:val="21"/>
                <w:szCs w:val="21"/>
              </w:rPr>
              <w:t>10</w:t>
            </w:r>
          </w:p>
        </w:tc>
        <w:tc>
          <w:tcPr>
            <w:tcW w:w="91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200" w:lineRule="exact"/>
              <w:jc w:val="center"/>
              <w:rPr>
                <w:rFonts w:hint="eastAsia" w:ascii="仿宋_GB2312" w:eastAsia="仿宋_GB2312"/>
                <w:kern w:val="0"/>
                <w:sz w:val="21"/>
                <w:szCs w:val="21"/>
              </w:rPr>
            </w:pPr>
          </w:p>
        </w:tc>
        <w:tc>
          <w:tcPr>
            <w:tcW w:w="91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200" w:lineRule="exact"/>
              <w:jc w:val="center"/>
              <w:rPr>
                <w:rFonts w:hint="eastAsia" w:ascii="仿宋_GB2312" w:eastAsia="仿宋_GB2312"/>
                <w:kern w:val="0"/>
                <w:sz w:val="21"/>
                <w:szCs w:val="21"/>
              </w:rPr>
            </w:pPr>
          </w:p>
        </w:tc>
        <w:tc>
          <w:tcPr>
            <w:tcW w:w="91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200" w:lineRule="exact"/>
              <w:jc w:val="center"/>
              <w:rPr>
                <w:rFonts w:hint="eastAsia" w:ascii="仿宋_GB2312" w:eastAsia="仿宋_GB2312"/>
                <w:kern w:val="0"/>
                <w:sz w:val="21"/>
                <w:szCs w:val="21"/>
              </w:rPr>
            </w:pPr>
          </w:p>
        </w:tc>
        <w:tc>
          <w:tcPr>
            <w:tcW w:w="912" w:type="dxa"/>
            <w:tcBorders>
              <w:top w:val="single" w:color="auto" w:sz="6" w:space="0"/>
              <w:left w:val="single" w:color="auto" w:sz="6" w:space="0"/>
              <w:bottom w:val="single" w:color="auto" w:sz="6" w:space="0"/>
              <w:right w:val="single" w:color="auto" w:sz="12" w:space="0"/>
            </w:tcBorders>
            <w:vAlign w:val="top"/>
          </w:tcPr>
          <w:p>
            <w:pPr>
              <w:autoSpaceDE w:val="0"/>
              <w:autoSpaceDN w:val="0"/>
              <w:adjustRightInd w:val="0"/>
              <w:snapToGrid w:val="0"/>
              <w:spacing w:line="200" w:lineRule="exact"/>
              <w:jc w:val="center"/>
              <w:rPr>
                <w:rFonts w:hint="eastAsia" w:ascii="仿宋_GB2312" w:eastAsia="仿宋_GB2312"/>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3" w:hRule="atLeast"/>
          <w:jc w:val="center"/>
        </w:trPr>
        <w:tc>
          <w:tcPr>
            <w:tcW w:w="585" w:type="dxa"/>
            <w:tcBorders>
              <w:top w:val="single" w:color="auto" w:sz="6" w:space="0"/>
              <w:left w:val="single" w:color="auto" w:sz="12" w:space="0"/>
              <w:bottom w:val="single" w:color="auto" w:sz="6" w:space="0"/>
              <w:right w:val="single" w:color="auto" w:sz="6" w:space="0"/>
            </w:tcBorders>
            <w:vAlign w:val="center"/>
          </w:tcPr>
          <w:p>
            <w:pPr>
              <w:numPr>
                <w:ilvl w:val="0"/>
                <w:numId w:val="1"/>
              </w:numPr>
              <w:autoSpaceDE w:val="0"/>
              <w:autoSpaceDN w:val="0"/>
              <w:adjustRightInd w:val="0"/>
              <w:snapToGrid w:val="0"/>
              <w:spacing w:line="200" w:lineRule="exact"/>
              <w:jc w:val="center"/>
              <w:rPr>
                <w:rFonts w:hint="eastAsia" w:ascii="仿宋_GB2312" w:eastAsia="仿宋_GB2312"/>
                <w:bCs/>
                <w:sz w:val="21"/>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_GB2312" w:eastAsia="仿宋_GB2312"/>
                <w:sz w:val="21"/>
                <w:szCs w:val="21"/>
              </w:rPr>
            </w:pPr>
            <w:r>
              <w:rPr>
                <w:rFonts w:hint="eastAsia" w:ascii="仿宋_GB2312" w:eastAsia="仿宋_GB2312"/>
                <w:sz w:val="21"/>
                <w:szCs w:val="21"/>
              </w:rPr>
              <w:t>实施方案</w:t>
            </w:r>
          </w:p>
        </w:tc>
        <w:tc>
          <w:tcPr>
            <w:tcW w:w="8204" w:type="dxa"/>
            <w:tcBorders>
              <w:top w:val="single" w:color="auto" w:sz="6" w:space="0"/>
              <w:left w:val="single" w:color="auto" w:sz="6" w:space="0"/>
              <w:bottom w:val="single" w:color="auto" w:sz="6" w:space="0"/>
              <w:right w:val="single" w:color="auto" w:sz="6" w:space="0"/>
            </w:tcBorders>
            <w:vAlign w:val="center"/>
          </w:tcPr>
          <w:p>
            <w:pPr>
              <w:rPr>
                <w:rFonts w:hint="eastAsia" w:ascii="仿宋_GB2312" w:eastAsia="仿宋_GB2312"/>
                <w:sz w:val="21"/>
                <w:szCs w:val="21"/>
              </w:rPr>
            </w:pPr>
            <w:r>
              <w:rPr>
                <w:rFonts w:hint="eastAsia" w:ascii="仿宋_GB2312" w:eastAsia="仿宋_GB2312"/>
                <w:sz w:val="21"/>
                <w:szCs w:val="21"/>
              </w:rPr>
              <w:t>根据供应商针对本项目的实施方案（包括但不限于实施计划、进度安排、团队要求、预期成果等）进行评审：</w:t>
            </w:r>
          </w:p>
          <w:p>
            <w:pPr>
              <w:rPr>
                <w:rFonts w:hint="eastAsia" w:ascii="仿宋_GB2312" w:eastAsia="仿宋_GB2312"/>
                <w:sz w:val="21"/>
                <w:szCs w:val="21"/>
              </w:rPr>
            </w:pPr>
            <w:r>
              <w:rPr>
                <w:rFonts w:hint="eastAsia" w:ascii="仿宋_GB2312" w:eastAsia="仿宋_GB2312"/>
                <w:sz w:val="21"/>
                <w:szCs w:val="21"/>
              </w:rPr>
              <w:t>（1）项目实施方案完整详细、科学合理、可行性强，有针对性，人员安排、工作部署符合采购人工作要求，响应情况满足或优于采购文件要求的，得15分；</w:t>
            </w:r>
          </w:p>
          <w:p>
            <w:pPr>
              <w:rPr>
                <w:rFonts w:hint="eastAsia" w:ascii="仿宋_GB2312" w:eastAsia="仿宋_GB2312"/>
                <w:sz w:val="21"/>
                <w:szCs w:val="21"/>
              </w:rPr>
            </w:pPr>
            <w:r>
              <w:rPr>
                <w:rFonts w:hint="eastAsia" w:ascii="仿宋_GB2312" w:eastAsia="仿宋_GB2312"/>
                <w:sz w:val="21"/>
                <w:szCs w:val="21"/>
              </w:rPr>
              <w:t>（2）项目实施方案详细、合理、具有一定的可行性，人员安排、工作部署大部分符合采购人工作要求，响应情况大部分能满足采购文件要求的，得10分；</w:t>
            </w:r>
          </w:p>
          <w:p>
            <w:pPr>
              <w:rPr>
                <w:rFonts w:hint="eastAsia" w:ascii="仿宋_GB2312" w:eastAsia="仿宋_GB2312"/>
                <w:sz w:val="21"/>
                <w:szCs w:val="21"/>
              </w:rPr>
            </w:pPr>
            <w:r>
              <w:rPr>
                <w:rFonts w:hint="eastAsia" w:ascii="仿宋_GB2312" w:eastAsia="仿宋_GB2312"/>
                <w:sz w:val="21"/>
                <w:szCs w:val="21"/>
              </w:rPr>
              <w:t>（3）项目实施方案完整、但可行性不足，人员安排、工作部署不足，响应情况部分能满足采购文件要求，得5分；</w:t>
            </w:r>
          </w:p>
          <w:p>
            <w:pPr>
              <w:rPr>
                <w:rFonts w:hint="eastAsia" w:ascii="仿宋_GB2312" w:eastAsia="仿宋_GB2312"/>
                <w:sz w:val="21"/>
                <w:szCs w:val="21"/>
              </w:rPr>
            </w:pPr>
            <w:r>
              <w:rPr>
                <w:rFonts w:hint="eastAsia" w:ascii="仿宋_GB2312" w:eastAsia="仿宋_GB2312"/>
                <w:sz w:val="21"/>
                <w:szCs w:val="21"/>
              </w:rPr>
              <w:t>（4）项目实施方案不详细，人员安排、工作部署不合理，不符合采购人工作要求，响应情况不能满足采购文件要求，得2分；</w:t>
            </w:r>
          </w:p>
          <w:p>
            <w:pPr>
              <w:rPr>
                <w:rFonts w:hint="eastAsia" w:ascii="仿宋_GB2312" w:eastAsia="仿宋_GB2312"/>
                <w:sz w:val="21"/>
                <w:szCs w:val="21"/>
              </w:rPr>
            </w:pPr>
            <w:r>
              <w:rPr>
                <w:rFonts w:hint="eastAsia" w:ascii="仿宋_GB2312" w:eastAsia="仿宋_GB2312"/>
                <w:sz w:val="21"/>
                <w:szCs w:val="21"/>
              </w:rPr>
              <w:t>（5）未提交响应内容或其他情况，不得分。</w:t>
            </w:r>
          </w:p>
        </w:tc>
        <w:tc>
          <w:tcPr>
            <w:tcW w:w="70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jc w:val="center"/>
              <w:rPr>
                <w:rFonts w:hint="eastAsia" w:ascii="仿宋_GB2312" w:eastAsia="仿宋_GB2312"/>
                <w:bCs/>
                <w:kern w:val="0"/>
                <w:sz w:val="21"/>
                <w:szCs w:val="21"/>
              </w:rPr>
            </w:pPr>
            <w:r>
              <w:rPr>
                <w:rFonts w:hint="eastAsia" w:ascii="仿宋_GB2312" w:eastAsia="仿宋_GB2312"/>
                <w:bCs/>
                <w:kern w:val="0"/>
                <w:sz w:val="21"/>
                <w:szCs w:val="21"/>
              </w:rPr>
              <w:t>15</w:t>
            </w: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jc w:val="center"/>
              <w:rPr>
                <w:rFonts w:hint="eastAsia" w:ascii="仿宋_GB2312" w:eastAsia="仿宋_GB2312"/>
                <w:kern w:val="0"/>
                <w:sz w:val="21"/>
                <w:szCs w:val="21"/>
              </w:rPr>
            </w:pPr>
            <w:r>
              <w:rPr>
                <w:rFonts w:hint="eastAsia" w:ascii="仿宋_GB2312" w:eastAsia="仿宋_GB2312"/>
                <w:kern w:val="0"/>
                <w:sz w:val="21"/>
                <w:szCs w:val="21"/>
              </w:rPr>
              <w:t>15</w:t>
            </w:r>
          </w:p>
        </w:tc>
        <w:tc>
          <w:tcPr>
            <w:tcW w:w="91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200" w:lineRule="exact"/>
              <w:jc w:val="center"/>
              <w:rPr>
                <w:rFonts w:hint="eastAsia" w:ascii="仿宋_GB2312" w:eastAsia="仿宋_GB2312"/>
                <w:kern w:val="0"/>
                <w:sz w:val="21"/>
                <w:szCs w:val="21"/>
              </w:rPr>
            </w:pPr>
          </w:p>
        </w:tc>
        <w:tc>
          <w:tcPr>
            <w:tcW w:w="91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200" w:lineRule="exact"/>
              <w:jc w:val="center"/>
              <w:rPr>
                <w:rFonts w:hint="eastAsia" w:ascii="仿宋_GB2312" w:eastAsia="仿宋_GB2312"/>
                <w:kern w:val="0"/>
                <w:sz w:val="21"/>
                <w:szCs w:val="21"/>
              </w:rPr>
            </w:pPr>
          </w:p>
        </w:tc>
        <w:tc>
          <w:tcPr>
            <w:tcW w:w="91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200" w:lineRule="exact"/>
              <w:jc w:val="center"/>
              <w:rPr>
                <w:rFonts w:hint="eastAsia" w:ascii="仿宋_GB2312" w:eastAsia="仿宋_GB2312"/>
                <w:kern w:val="0"/>
                <w:sz w:val="21"/>
                <w:szCs w:val="21"/>
              </w:rPr>
            </w:pPr>
          </w:p>
        </w:tc>
        <w:tc>
          <w:tcPr>
            <w:tcW w:w="912" w:type="dxa"/>
            <w:tcBorders>
              <w:top w:val="single" w:color="auto" w:sz="6" w:space="0"/>
              <w:left w:val="single" w:color="auto" w:sz="6" w:space="0"/>
              <w:bottom w:val="single" w:color="auto" w:sz="6" w:space="0"/>
              <w:right w:val="single" w:color="auto" w:sz="12" w:space="0"/>
            </w:tcBorders>
            <w:vAlign w:val="top"/>
          </w:tcPr>
          <w:p>
            <w:pPr>
              <w:autoSpaceDE w:val="0"/>
              <w:autoSpaceDN w:val="0"/>
              <w:adjustRightInd w:val="0"/>
              <w:snapToGrid w:val="0"/>
              <w:spacing w:line="200" w:lineRule="exact"/>
              <w:jc w:val="center"/>
              <w:rPr>
                <w:rFonts w:hint="eastAsia" w:ascii="仿宋_GB2312" w:eastAsia="仿宋_GB2312"/>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3" w:hRule="atLeast"/>
          <w:jc w:val="center"/>
        </w:trPr>
        <w:tc>
          <w:tcPr>
            <w:tcW w:w="585" w:type="dxa"/>
            <w:tcBorders>
              <w:top w:val="single" w:color="auto" w:sz="6" w:space="0"/>
              <w:left w:val="single" w:color="auto" w:sz="12" w:space="0"/>
              <w:bottom w:val="single" w:color="auto" w:sz="6" w:space="0"/>
              <w:right w:val="single" w:color="auto" w:sz="6" w:space="0"/>
            </w:tcBorders>
            <w:vAlign w:val="center"/>
          </w:tcPr>
          <w:p>
            <w:pPr>
              <w:numPr>
                <w:ilvl w:val="0"/>
                <w:numId w:val="1"/>
              </w:numPr>
              <w:autoSpaceDE w:val="0"/>
              <w:autoSpaceDN w:val="0"/>
              <w:adjustRightInd w:val="0"/>
              <w:snapToGrid w:val="0"/>
              <w:spacing w:line="200" w:lineRule="exact"/>
              <w:jc w:val="center"/>
              <w:rPr>
                <w:rFonts w:hint="eastAsia" w:ascii="仿宋_GB2312" w:eastAsia="仿宋_GB2312"/>
                <w:bCs/>
                <w:sz w:val="21"/>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_GB2312" w:eastAsia="仿宋_GB2312"/>
                <w:sz w:val="21"/>
                <w:szCs w:val="21"/>
              </w:rPr>
            </w:pPr>
            <w:r>
              <w:rPr>
                <w:rFonts w:hint="eastAsia" w:ascii="仿宋_GB2312" w:eastAsia="仿宋_GB2312"/>
                <w:sz w:val="21"/>
                <w:szCs w:val="21"/>
              </w:rPr>
              <w:t>对重点问题和难点的分析及应对</w:t>
            </w:r>
          </w:p>
        </w:tc>
        <w:tc>
          <w:tcPr>
            <w:tcW w:w="8204" w:type="dxa"/>
            <w:tcBorders>
              <w:top w:val="single" w:color="auto" w:sz="6" w:space="0"/>
              <w:left w:val="single" w:color="auto" w:sz="6" w:space="0"/>
              <w:bottom w:val="single" w:color="auto" w:sz="6" w:space="0"/>
              <w:right w:val="single" w:color="auto" w:sz="6" w:space="0"/>
            </w:tcBorders>
            <w:vAlign w:val="center"/>
          </w:tcPr>
          <w:p>
            <w:pPr>
              <w:rPr>
                <w:rFonts w:hint="eastAsia" w:ascii="仿宋_GB2312" w:eastAsia="仿宋_GB2312"/>
                <w:sz w:val="21"/>
                <w:szCs w:val="21"/>
              </w:rPr>
            </w:pPr>
            <w:r>
              <w:rPr>
                <w:rFonts w:hint="eastAsia" w:ascii="仿宋_GB2312" w:eastAsia="仿宋_GB2312"/>
                <w:sz w:val="21"/>
                <w:szCs w:val="21"/>
              </w:rPr>
              <w:t>根据供应商对本项目的重点与难点问题的分析及应对措施进行评审：</w:t>
            </w:r>
          </w:p>
          <w:p>
            <w:pPr>
              <w:rPr>
                <w:rFonts w:hint="eastAsia" w:ascii="仿宋_GB2312" w:eastAsia="仿宋_GB2312"/>
                <w:sz w:val="21"/>
                <w:szCs w:val="21"/>
              </w:rPr>
            </w:pPr>
            <w:r>
              <w:rPr>
                <w:rFonts w:hint="eastAsia" w:ascii="仿宋_GB2312" w:eastAsia="仿宋_GB2312"/>
                <w:sz w:val="21"/>
                <w:szCs w:val="21"/>
              </w:rPr>
              <w:t>（1）对重点问题和难点进行全面、完整、准确、透彻分析，应对措施效果切实有效，得10分；</w:t>
            </w:r>
          </w:p>
          <w:p>
            <w:pPr>
              <w:rPr>
                <w:rFonts w:hint="eastAsia" w:ascii="仿宋_GB2312" w:eastAsia="仿宋_GB2312"/>
                <w:sz w:val="21"/>
                <w:szCs w:val="21"/>
              </w:rPr>
            </w:pPr>
            <w:r>
              <w:rPr>
                <w:rFonts w:hint="eastAsia" w:ascii="仿宋_GB2312" w:eastAsia="仿宋_GB2312"/>
                <w:sz w:val="21"/>
                <w:szCs w:val="21"/>
              </w:rPr>
              <w:t>（2）对项目重点问题和难点分析基本完善，具有应对措施，得7分；</w:t>
            </w:r>
          </w:p>
          <w:p>
            <w:pPr>
              <w:rPr>
                <w:rFonts w:hint="eastAsia" w:ascii="仿宋_GB2312" w:eastAsia="仿宋_GB2312"/>
                <w:sz w:val="21"/>
                <w:szCs w:val="21"/>
              </w:rPr>
            </w:pPr>
            <w:r>
              <w:rPr>
                <w:rFonts w:hint="eastAsia" w:ascii="仿宋_GB2312" w:eastAsia="仿宋_GB2312"/>
                <w:sz w:val="21"/>
                <w:szCs w:val="21"/>
              </w:rPr>
              <w:t>（3）无对项目重点问题和难点分析，或无应对措施，得3分；</w:t>
            </w:r>
          </w:p>
          <w:p>
            <w:pPr>
              <w:rPr>
                <w:rFonts w:hint="eastAsia" w:ascii="仿宋_GB2312" w:eastAsia="仿宋_GB2312"/>
                <w:sz w:val="21"/>
                <w:szCs w:val="21"/>
              </w:rPr>
            </w:pPr>
            <w:r>
              <w:rPr>
                <w:rFonts w:hint="eastAsia" w:ascii="仿宋_GB2312" w:eastAsia="仿宋_GB2312"/>
                <w:sz w:val="21"/>
                <w:szCs w:val="21"/>
              </w:rPr>
              <w:t>（4）未提供方案。</w:t>
            </w:r>
          </w:p>
        </w:tc>
        <w:tc>
          <w:tcPr>
            <w:tcW w:w="70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jc w:val="center"/>
              <w:rPr>
                <w:rFonts w:hint="eastAsia" w:ascii="仿宋_GB2312" w:eastAsia="仿宋_GB2312"/>
                <w:bCs/>
                <w:kern w:val="0"/>
                <w:sz w:val="21"/>
                <w:szCs w:val="21"/>
              </w:rPr>
            </w:pPr>
            <w:r>
              <w:rPr>
                <w:rFonts w:hint="eastAsia" w:ascii="仿宋_GB2312" w:eastAsia="仿宋_GB2312"/>
                <w:bCs/>
                <w:kern w:val="0"/>
                <w:sz w:val="21"/>
                <w:szCs w:val="21"/>
              </w:rPr>
              <w:t>10</w:t>
            </w: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jc w:val="center"/>
              <w:rPr>
                <w:rFonts w:hint="eastAsia" w:ascii="仿宋_GB2312" w:eastAsia="仿宋_GB2312"/>
                <w:kern w:val="0"/>
                <w:sz w:val="21"/>
                <w:szCs w:val="21"/>
              </w:rPr>
            </w:pPr>
            <w:r>
              <w:rPr>
                <w:rFonts w:hint="eastAsia" w:ascii="仿宋_GB2312" w:eastAsia="仿宋_GB2312"/>
                <w:kern w:val="0"/>
                <w:sz w:val="21"/>
                <w:szCs w:val="21"/>
              </w:rPr>
              <w:t>10</w:t>
            </w:r>
          </w:p>
        </w:tc>
        <w:tc>
          <w:tcPr>
            <w:tcW w:w="91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200" w:lineRule="exact"/>
              <w:jc w:val="center"/>
              <w:rPr>
                <w:rFonts w:hint="eastAsia" w:ascii="仿宋_GB2312" w:eastAsia="仿宋_GB2312"/>
                <w:kern w:val="0"/>
                <w:sz w:val="21"/>
                <w:szCs w:val="21"/>
              </w:rPr>
            </w:pPr>
          </w:p>
        </w:tc>
        <w:tc>
          <w:tcPr>
            <w:tcW w:w="91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200" w:lineRule="exact"/>
              <w:jc w:val="center"/>
              <w:rPr>
                <w:rFonts w:hint="eastAsia" w:ascii="仿宋_GB2312" w:eastAsia="仿宋_GB2312"/>
                <w:kern w:val="0"/>
                <w:sz w:val="21"/>
                <w:szCs w:val="21"/>
              </w:rPr>
            </w:pPr>
          </w:p>
        </w:tc>
        <w:tc>
          <w:tcPr>
            <w:tcW w:w="91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200" w:lineRule="exact"/>
              <w:jc w:val="center"/>
              <w:rPr>
                <w:rFonts w:hint="eastAsia" w:ascii="仿宋_GB2312" w:eastAsia="仿宋_GB2312"/>
                <w:kern w:val="0"/>
                <w:sz w:val="21"/>
                <w:szCs w:val="21"/>
              </w:rPr>
            </w:pPr>
          </w:p>
        </w:tc>
        <w:tc>
          <w:tcPr>
            <w:tcW w:w="912" w:type="dxa"/>
            <w:tcBorders>
              <w:top w:val="single" w:color="auto" w:sz="6" w:space="0"/>
              <w:left w:val="single" w:color="auto" w:sz="6" w:space="0"/>
              <w:bottom w:val="single" w:color="auto" w:sz="6" w:space="0"/>
              <w:right w:val="single" w:color="auto" w:sz="12" w:space="0"/>
            </w:tcBorders>
            <w:vAlign w:val="top"/>
          </w:tcPr>
          <w:p>
            <w:pPr>
              <w:autoSpaceDE w:val="0"/>
              <w:autoSpaceDN w:val="0"/>
              <w:adjustRightInd w:val="0"/>
              <w:snapToGrid w:val="0"/>
              <w:spacing w:line="200" w:lineRule="exact"/>
              <w:jc w:val="center"/>
              <w:rPr>
                <w:rFonts w:hint="eastAsia" w:ascii="仿宋_GB2312" w:eastAsia="仿宋_GB2312"/>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83" w:hRule="atLeast"/>
          <w:jc w:val="center"/>
        </w:trPr>
        <w:tc>
          <w:tcPr>
            <w:tcW w:w="585" w:type="dxa"/>
            <w:tcBorders>
              <w:top w:val="single" w:color="auto" w:sz="6" w:space="0"/>
              <w:left w:val="single" w:color="auto" w:sz="12" w:space="0"/>
              <w:bottom w:val="single" w:color="auto" w:sz="6" w:space="0"/>
              <w:right w:val="single" w:color="auto" w:sz="6" w:space="0"/>
            </w:tcBorders>
            <w:vAlign w:val="center"/>
          </w:tcPr>
          <w:p>
            <w:pPr>
              <w:numPr>
                <w:ilvl w:val="0"/>
                <w:numId w:val="1"/>
              </w:numPr>
              <w:autoSpaceDE w:val="0"/>
              <w:autoSpaceDN w:val="0"/>
              <w:adjustRightInd w:val="0"/>
              <w:snapToGrid w:val="0"/>
              <w:spacing w:line="200" w:lineRule="exact"/>
              <w:jc w:val="center"/>
              <w:rPr>
                <w:rFonts w:hint="eastAsia" w:ascii="仿宋_GB2312" w:eastAsia="仿宋_GB2312"/>
                <w:bCs/>
                <w:sz w:val="21"/>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_GB2312" w:eastAsia="仿宋_GB2312"/>
                <w:sz w:val="21"/>
                <w:szCs w:val="21"/>
              </w:rPr>
            </w:pPr>
            <w:r>
              <w:rPr>
                <w:rFonts w:hint="eastAsia" w:ascii="仿宋_GB2312" w:eastAsia="仿宋_GB2312"/>
                <w:sz w:val="21"/>
                <w:szCs w:val="21"/>
              </w:rPr>
              <w:t>质量保证措施</w:t>
            </w:r>
          </w:p>
        </w:tc>
        <w:tc>
          <w:tcPr>
            <w:tcW w:w="8204" w:type="dxa"/>
            <w:tcBorders>
              <w:top w:val="single" w:color="auto" w:sz="6" w:space="0"/>
              <w:left w:val="single" w:color="auto" w:sz="6" w:space="0"/>
              <w:bottom w:val="single" w:color="auto" w:sz="6" w:space="0"/>
              <w:right w:val="single" w:color="auto" w:sz="6" w:space="0"/>
            </w:tcBorders>
            <w:vAlign w:val="center"/>
          </w:tcPr>
          <w:p>
            <w:pPr>
              <w:rPr>
                <w:rFonts w:hint="eastAsia" w:ascii="仿宋_GB2312" w:eastAsia="仿宋_GB2312"/>
                <w:sz w:val="21"/>
                <w:szCs w:val="21"/>
              </w:rPr>
            </w:pPr>
            <w:r>
              <w:rPr>
                <w:rFonts w:hint="eastAsia" w:ascii="仿宋_GB2312" w:eastAsia="仿宋_GB2312"/>
                <w:sz w:val="21"/>
                <w:szCs w:val="21"/>
              </w:rPr>
              <w:t>根据供应商提供的质量保证措施进行评审：</w:t>
            </w:r>
          </w:p>
          <w:p>
            <w:pPr>
              <w:rPr>
                <w:rFonts w:hint="eastAsia" w:ascii="仿宋_GB2312" w:eastAsia="仿宋_GB2312"/>
                <w:sz w:val="21"/>
                <w:szCs w:val="21"/>
              </w:rPr>
            </w:pPr>
            <w:r>
              <w:rPr>
                <w:rFonts w:hint="eastAsia" w:ascii="仿宋_GB2312" w:eastAsia="仿宋_GB2312"/>
                <w:sz w:val="21"/>
                <w:szCs w:val="21"/>
              </w:rPr>
              <w:t>（1）质量保证措施详细、合理，具有针对性，可操作性强，得5分；</w:t>
            </w:r>
          </w:p>
          <w:p>
            <w:pPr>
              <w:rPr>
                <w:rFonts w:hint="eastAsia" w:ascii="仿宋_GB2312" w:eastAsia="仿宋_GB2312"/>
                <w:sz w:val="21"/>
                <w:szCs w:val="21"/>
              </w:rPr>
            </w:pPr>
            <w:r>
              <w:rPr>
                <w:rFonts w:hint="eastAsia" w:ascii="仿宋_GB2312" w:eastAsia="仿宋_GB2312"/>
                <w:sz w:val="21"/>
                <w:szCs w:val="21"/>
              </w:rPr>
              <w:t>（2）质量保证措施基本完善，但缺乏可操作性，得3分；</w:t>
            </w:r>
          </w:p>
          <w:p>
            <w:pPr>
              <w:rPr>
                <w:rFonts w:hint="eastAsia" w:ascii="仿宋_GB2312" w:eastAsia="仿宋_GB2312"/>
                <w:sz w:val="21"/>
                <w:szCs w:val="21"/>
              </w:rPr>
            </w:pPr>
            <w:r>
              <w:rPr>
                <w:rFonts w:hint="eastAsia" w:ascii="仿宋_GB2312" w:eastAsia="仿宋_GB2312"/>
                <w:sz w:val="21"/>
                <w:szCs w:val="21"/>
              </w:rPr>
              <w:t>（3）质量保证措施不完善，且不具有操作性，得1分；</w:t>
            </w:r>
          </w:p>
          <w:p>
            <w:pPr>
              <w:rPr>
                <w:rFonts w:hint="eastAsia" w:ascii="仿宋_GB2312" w:eastAsia="仿宋_GB2312"/>
                <w:sz w:val="21"/>
                <w:szCs w:val="21"/>
              </w:rPr>
            </w:pPr>
            <w:r>
              <w:rPr>
                <w:rFonts w:hint="eastAsia" w:ascii="仿宋_GB2312" w:eastAsia="仿宋_GB2312"/>
                <w:sz w:val="21"/>
                <w:szCs w:val="21"/>
              </w:rPr>
              <w:t>（4）未提供方案。</w:t>
            </w:r>
          </w:p>
        </w:tc>
        <w:tc>
          <w:tcPr>
            <w:tcW w:w="70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jc w:val="center"/>
              <w:rPr>
                <w:rFonts w:hint="eastAsia" w:ascii="仿宋_GB2312" w:eastAsia="仿宋_GB2312"/>
                <w:bCs/>
                <w:kern w:val="0"/>
                <w:sz w:val="21"/>
                <w:szCs w:val="21"/>
              </w:rPr>
            </w:pPr>
            <w:r>
              <w:rPr>
                <w:rFonts w:hint="eastAsia" w:ascii="仿宋_GB2312" w:eastAsia="仿宋_GB2312"/>
                <w:bCs/>
                <w:kern w:val="0"/>
                <w:sz w:val="21"/>
                <w:szCs w:val="21"/>
              </w:rPr>
              <w:t>5</w:t>
            </w: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jc w:val="center"/>
              <w:rPr>
                <w:rFonts w:hint="eastAsia" w:ascii="仿宋_GB2312" w:eastAsia="仿宋_GB2312"/>
                <w:kern w:val="0"/>
                <w:sz w:val="21"/>
                <w:szCs w:val="21"/>
              </w:rPr>
            </w:pPr>
            <w:r>
              <w:rPr>
                <w:rFonts w:hint="eastAsia" w:ascii="仿宋_GB2312" w:eastAsia="仿宋_GB2312"/>
                <w:kern w:val="0"/>
                <w:sz w:val="21"/>
                <w:szCs w:val="21"/>
              </w:rPr>
              <w:t>5</w:t>
            </w:r>
          </w:p>
        </w:tc>
        <w:tc>
          <w:tcPr>
            <w:tcW w:w="91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200" w:lineRule="exact"/>
              <w:jc w:val="center"/>
              <w:rPr>
                <w:rFonts w:hint="eastAsia" w:ascii="仿宋_GB2312" w:eastAsia="仿宋_GB2312"/>
                <w:kern w:val="0"/>
                <w:sz w:val="21"/>
                <w:szCs w:val="21"/>
              </w:rPr>
            </w:pPr>
          </w:p>
        </w:tc>
        <w:tc>
          <w:tcPr>
            <w:tcW w:w="91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200" w:lineRule="exact"/>
              <w:jc w:val="center"/>
              <w:rPr>
                <w:rFonts w:hint="eastAsia" w:ascii="仿宋_GB2312" w:eastAsia="仿宋_GB2312"/>
                <w:kern w:val="0"/>
                <w:sz w:val="21"/>
                <w:szCs w:val="21"/>
              </w:rPr>
            </w:pPr>
          </w:p>
        </w:tc>
        <w:tc>
          <w:tcPr>
            <w:tcW w:w="91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200" w:lineRule="exact"/>
              <w:jc w:val="center"/>
              <w:rPr>
                <w:rFonts w:hint="eastAsia" w:ascii="仿宋_GB2312" w:eastAsia="仿宋_GB2312"/>
                <w:kern w:val="0"/>
                <w:sz w:val="21"/>
                <w:szCs w:val="21"/>
              </w:rPr>
            </w:pPr>
          </w:p>
        </w:tc>
        <w:tc>
          <w:tcPr>
            <w:tcW w:w="912" w:type="dxa"/>
            <w:tcBorders>
              <w:top w:val="single" w:color="auto" w:sz="6" w:space="0"/>
              <w:left w:val="single" w:color="auto" w:sz="6" w:space="0"/>
              <w:bottom w:val="single" w:color="auto" w:sz="6" w:space="0"/>
              <w:right w:val="single" w:color="auto" w:sz="12" w:space="0"/>
            </w:tcBorders>
            <w:vAlign w:val="top"/>
          </w:tcPr>
          <w:p>
            <w:pPr>
              <w:autoSpaceDE w:val="0"/>
              <w:autoSpaceDN w:val="0"/>
              <w:adjustRightInd w:val="0"/>
              <w:snapToGrid w:val="0"/>
              <w:spacing w:line="200" w:lineRule="exact"/>
              <w:jc w:val="center"/>
              <w:rPr>
                <w:rFonts w:hint="eastAsia" w:ascii="仿宋_GB2312" w:eastAsia="仿宋_GB2312"/>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14560" w:type="dxa"/>
            <w:gridSpan w:val="9"/>
            <w:tcBorders>
              <w:top w:val="single" w:color="auto" w:sz="6" w:space="0"/>
              <w:left w:val="single" w:color="auto" w:sz="12" w:space="0"/>
              <w:bottom w:val="single" w:color="auto" w:sz="6" w:space="0"/>
              <w:right w:val="single" w:color="auto" w:sz="12" w:space="0"/>
            </w:tcBorders>
            <w:vAlign w:val="center"/>
          </w:tcPr>
          <w:p>
            <w:pPr>
              <w:autoSpaceDE w:val="0"/>
              <w:autoSpaceDN w:val="0"/>
              <w:adjustRightInd w:val="0"/>
              <w:snapToGrid w:val="0"/>
              <w:spacing w:line="200" w:lineRule="exact"/>
              <w:ind w:left="-111" w:leftChars="-37" w:right="-105" w:rightChars="-35"/>
              <w:jc w:val="center"/>
              <w:rPr>
                <w:rFonts w:hint="eastAsia" w:ascii="仿宋_GB2312" w:eastAsia="仿宋_GB2312"/>
                <w:b/>
                <w:kern w:val="0"/>
                <w:sz w:val="21"/>
                <w:szCs w:val="21"/>
              </w:rPr>
            </w:pPr>
            <w:r>
              <w:rPr>
                <w:rFonts w:hint="eastAsia" w:ascii="仿宋_GB2312" w:eastAsia="仿宋_GB2312"/>
                <w:b/>
                <w:kern w:val="0"/>
                <w:sz w:val="21"/>
                <w:szCs w:val="21"/>
              </w:rPr>
              <w:t>二、商务部分 （50分）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83" w:hRule="atLeast"/>
          <w:jc w:val="center"/>
        </w:trPr>
        <w:tc>
          <w:tcPr>
            <w:tcW w:w="585" w:type="dxa"/>
            <w:tcBorders>
              <w:top w:val="single" w:color="auto" w:sz="6" w:space="0"/>
              <w:left w:val="single" w:color="auto" w:sz="12" w:space="0"/>
              <w:bottom w:val="single" w:color="auto" w:sz="6" w:space="0"/>
              <w:right w:val="single" w:color="auto" w:sz="6" w:space="0"/>
            </w:tcBorders>
            <w:vAlign w:val="center"/>
          </w:tcPr>
          <w:p>
            <w:pPr>
              <w:numPr>
                <w:ilvl w:val="0"/>
                <w:numId w:val="2"/>
              </w:numPr>
              <w:autoSpaceDE w:val="0"/>
              <w:autoSpaceDN w:val="0"/>
              <w:adjustRightInd w:val="0"/>
              <w:snapToGrid w:val="0"/>
              <w:spacing w:line="200" w:lineRule="exact"/>
              <w:jc w:val="center"/>
              <w:rPr>
                <w:rFonts w:hint="eastAsia" w:ascii="仿宋_GB2312" w:eastAsia="仿宋_GB2312"/>
                <w:bCs/>
                <w:sz w:val="21"/>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_GB2312" w:hAnsi="宋体" w:eastAsia="仿宋_GB2312" w:cs="宋体"/>
                <w:sz w:val="21"/>
                <w:szCs w:val="21"/>
              </w:rPr>
            </w:pPr>
            <w:r>
              <w:rPr>
                <w:rFonts w:hint="eastAsia" w:ascii="仿宋_GB2312" w:hAnsi="宋体" w:eastAsia="仿宋_GB2312" w:cs="宋体"/>
                <w:sz w:val="21"/>
                <w:szCs w:val="21"/>
              </w:rPr>
              <w:t>能力认证</w:t>
            </w:r>
          </w:p>
        </w:tc>
        <w:tc>
          <w:tcPr>
            <w:tcW w:w="8204" w:type="dxa"/>
            <w:tcBorders>
              <w:top w:val="single" w:color="auto" w:sz="6" w:space="0"/>
              <w:left w:val="single" w:color="auto" w:sz="6" w:space="0"/>
              <w:bottom w:val="single" w:color="auto" w:sz="6" w:space="0"/>
              <w:right w:val="single" w:color="auto" w:sz="6" w:space="0"/>
            </w:tcBorders>
            <w:vAlign w:val="center"/>
          </w:tcPr>
          <w:p>
            <w:pPr>
              <w:rPr>
                <w:rFonts w:hint="eastAsia" w:ascii="仿宋_GB2312" w:hAnsi="宋体" w:eastAsia="仿宋_GB2312" w:cs="宋体"/>
                <w:sz w:val="21"/>
                <w:szCs w:val="21"/>
              </w:rPr>
            </w:pPr>
            <w:r>
              <w:rPr>
                <w:rFonts w:hint="eastAsia" w:ascii="仿宋_GB2312" w:hAnsi="宋体" w:eastAsia="仿宋_GB2312" w:cs="宋体"/>
                <w:sz w:val="21"/>
                <w:szCs w:val="21"/>
              </w:rPr>
              <w:t>1、供应商具有ISO9001质量管理体系认的，得2分；</w:t>
            </w:r>
          </w:p>
          <w:p>
            <w:pPr>
              <w:rPr>
                <w:rFonts w:hint="eastAsia" w:ascii="仿宋_GB2312" w:hAnsi="宋体" w:eastAsia="仿宋_GB2312" w:cs="宋体"/>
                <w:sz w:val="21"/>
                <w:szCs w:val="21"/>
              </w:rPr>
            </w:pPr>
            <w:r>
              <w:rPr>
                <w:rFonts w:hint="eastAsia" w:ascii="仿宋_GB2312" w:hAnsi="宋体" w:eastAsia="仿宋_GB2312" w:cs="宋体"/>
                <w:sz w:val="21"/>
                <w:szCs w:val="21"/>
              </w:rPr>
              <w:t>2、供应商具有检验检测机构资质认定证书（CMA）的，得2分；</w:t>
            </w:r>
          </w:p>
          <w:p>
            <w:pPr>
              <w:rPr>
                <w:rFonts w:hint="eastAsia" w:ascii="仿宋_GB2312" w:hAnsi="宋体" w:eastAsia="仿宋_GB2312" w:cs="宋体"/>
                <w:sz w:val="21"/>
                <w:szCs w:val="21"/>
              </w:rPr>
            </w:pPr>
            <w:r>
              <w:rPr>
                <w:rFonts w:hint="eastAsia" w:ascii="仿宋_GB2312" w:hAnsi="宋体" w:eastAsia="仿宋_GB2312" w:cs="宋体"/>
                <w:sz w:val="21"/>
                <w:szCs w:val="21"/>
              </w:rPr>
              <w:t>3、供应商具有重点实验室或研究中心等科研或技术服务机构平台的，每个得1分，最高得2分；</w:t>
            </w:r>
          </w:p>
          <w:p>
            <w:pPr>
              <w:rPr>
                <w:rFonts w:hint="eastAsia" w:ascii="仿宋_GB2312" w:hAnsi="宋体" w:eastAsia="仿宋_GB2312" w:cs="宋体"/>
                <w:sz w:val="21"/>
                <w:szCs w:val="21"/>
              </w:rPr>
            </w:pPr>
            <w:r>
              <w:rPr>
                <w:rFonts w:hint="eastAsia" w:ascii="仿宋_GB2312" w:hAnsi="宋体" w:eastAsia="仿宋_GB2312" w:cs="宋体"/>
                <w:sz w:val="21"/>
                <w:szCs w:val="21"/>
              </w:rPr>
              <w:t>注：供应商须提供有效期内的证书或证明材料复印件加盖供应商公章，否则不得分。</w:t>
            </w:r>
          </w:p>
        </w:tc>
        <w:tc>
          <w:tcPr>
            <w:tcW w:w="70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ind w:left="-90" w:leftChars="-30" w:right="-126" w:rightChars="-42"/>
              <w:jc w:val="center"/>
              <w:rPr>
                <w:rFonts w:hint="eastAsia" w:ascii="仿宋_GB2312" w:eastAsia="仿宋_GB2312"/>
                <w:kern w:val="0"/>
                <w:sz w:val="21"/>
                <w:szCs w:val="21"/>
              </w:rPr>
            </w:pPr>
            <w:r>
              <w:rPr>
                <w:rFonts w:hint="eastAsia" w:ascii="仿宋_GB2312" w:eastAsia="仿宋_GB2312"/>
                <w:kern w:val="0"/>
                <w:sz w:val="21"/>
                <w:szCs w:val="21"/>
              </w:rPr>
              <w:t>6</w:t>
            </w: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ind w:left="-111" w:leftChars="-37" w:right="-105" w:rightChars="-35"/>
              <w:jc w:val="center"/>
              <w:rPr>
                <w:rFonts w:hint="eastAsia" w:ascii="仿宋_GB2312" w:eastAsia="仿宋_GB2312"/>
                <w:kern w:val="0"/>
                <w:sz w:val="21"/>
                <w:szCs w:val="21"/>
              </w:rPr>
            </w:pPr>
            <w:r>
              <w:rPr>
                <w:rFonts w:hint="eastAsia" w:ascii="仿宋_GB2312" w:eastAsia="仿宋_GB2312"/>
                <w:kern w:val="0"/>
                <w:sz w:val="21"/>
                <w:szCs w:val="21"/>
              </w:rPr>
              <w:t>6</w:t>
            </w:r>
          </w:p>
        </w:tc>
        <w:tc>
          <w:tcPr>
            <w:tcW w:w="91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200" w:lineRule="exact"/>
              <w:ind w:left="-111" w:leftChars="-37" w:right="-105" w:rightChars="-35"/>
              <w:jc w:val="center"/>
              <w:rPr>
                <w:rFonts w:hint="eastAsia" w:ascii="仿宋_GB2312" w:eastAsia="仿宋_GB2312"/>
                <w:kern w:val="0"/>
                <w:sz w:val="21"/>
                <w:szCs w:val="21"/>
              </w:rPr>
            </w:pPr>
          </w:p>
        </w:tc>
        <w:tc>
          <w:tcPr>
            <w:tcW w:w="91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200" w:lineRule="exact"/>
              <w:ind w:left="-111" w:leftChars="-37" w:right="-105" w:rightChars="-35"/>
              <w:jc w:val="center"/>
              <w:rPr>
                <w:rFonts w:hint="eastAsia" w:ascii="仿宋_GB2312" w:eastAsia="仿宋_GB2312"/>
                <w:kern w:val="0"/>
                <w:sz w:val="21"/>
                <w:szCs w:val="21"/>
              </w:rPr>
            </w:pPr>
          </w:p>
        </w:tc>
        <w:tc>
          <w:tcPr>
            <w:tcW w:w="91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200" w:lineRule="exact"/>
              <w:ind w:left="-111" w:leftChars="-37" w:right="-105" w:rightChars="-35"/>
              <w:jc w:val="center"/>
              <w:rPr>
                <w:rFonts w:hint="eastAsia" w:ascii="仿宋_GB2312" w:eastAsia="仿宋_GB2312"/>
                <w:kern w:val="0"/>
                <w:sz w:val="21"/>
                <w:szCs w:val="21"/>
              </w:rPr>
            </w:pPr>
          </w:p>
        </w:tc>
        <w:tc>
          <w:tcPr>
            <w:tcW w:w="912" w:type="dxa"/>
            <w:tcBorders>
              <w:top w:val="single" w:color="auto" w:sz="6" w:space="0"/>
              <w:left w:val="single" w:color="auto" w:sz="6" w:space="0"/>
              <w:bottom w:val="single" w:color="auto" w:sz="6" w:space="0"/>
              <w:right w:val="single" w:color="auto" w:sz="12" w:space="0"/>
            </w:tcBorders>
            <w:vAlign w:val="top"/>
          </w:tcPr>
          <w:p>
            <w:pPr>
              <w:autoSpaceDE w:val="0"/>
              <w:autoSpaceDN w:val="0"/>
              <w:adjustRightInd w:val="0"/>
              <w:snapToGrid w:val="0"/>
              <w:spacing w:line="200" w:lineRule="exact"/>
              <w:ind w:left="-111" w:leftChars="-37" w:right="-105" w:rightChars="-35"/>
              <w:jc w:val="center"/>
              <w:rPr>
                <w:rFonts w:hint="eastAsia" w:ascii="仿宋_GB2312" w:eastAsia="仿宋_GB2312"/>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83" w:hRule="atLeast"/>
          <w:jc w:val="center"/>
        </w:trPr>
        <w:tc>
          <w:tcPr>
            <w:tcW w:w="585" w:type="dxa"/>
            <w:tcBorders>
              <w:top w:val="single" w:color="auto" w:sz="6" w:space="0"/>
              <w:left w:val="single" w:color="auto" w:sz="12" w:space="0"/>
              <w:bottom w:val="single" w:color="auto" w:sz="6" w:space="0"/>
              <w:right w:val="single" w:color="auto" w:sz="6" w:space="0"/>
            </w:tcBorders>
            <w:vAlign w:val="center"/>
          </w:tcPr>
          <w:p>
            <w:pPr>
              <w:numPr>
                <w:ilvl w:val="0"/>
                <w:numId w:val="2"/>
              </w:numPr>
              <w:autoSpaceDE w:val="0"/>
              <w:autoSpaceDN w:val="0"/>
              <w:adjustRightInd w:val="0"/>
              <w:snapToGrid w:val="0"/>
              <w:spacing w:line="200" w:lineRule="exact"/>
              <w:jc w:val="center"/>
              <w:rPr>
                <w:rFonts w:hint="eastAsia" w:ascii="仿宋_GB2312" w:eastAsia="仿宋_GB2312"/>
                <w:bCs/>
                <w:sz w:val="21"/>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_GB2312" w:hAnsi="宋体" w:eastAsia="仿宋_GB2312" w:cs="宋体"/>
                <w:sz w:val="21"/>
                <w:szCs w:val="21"/>
              </w:rPr>
            </w:pPr>
            <w:r>
              <w:rPr>
                <w:rFonts w:hint="eastAsia" w:ascii="仿宋_GB2312" w:hAnsi="宋体" w:eastAsia="仿宋_GB2312" w:cs="宋体"/>
                <w:sz w:val="21"/>
                <w:szCs w:val="21"/>
              </w:rPr>
              <w:t>业绩情况</w:t>
            </w:r>
          </w:p>
        </w:tc>
        <w:tc>
          <w:tcPr>
            <w:tcW w:w="8204" w:type="dxa"/>
            <w:tcBorders>
              <w:top w:val="single" w:color="auto" w:sz="6" w:space="0"/>
              <w:left w:val="single" w:color="auto" w:sz="6" w:space="0"/>
              <w:bottom w:val="single" w:color="auto" w:sz="6" w:space="0"/>
              <w:right w:val="single" w:color="auto" w:sz="6" w:space="0"/>
            </w:tcBorders>
            <w:vAlign w:val="center"/>
          </w:tcPr>
          <w:p>
            <w:pPr>
              <w:rPr>
                <w:rFonts w:hint="eastAsia" w:ascii="仿宋_GB2312" w:hAnsi="宋体" w:eastAsia="仿宋_GB2312" w:cs="宋体"/>
                <w:sz w:val="21"/>
                <w:szCs w:val="21"/>
              </w:rPr>
            </w:pPr>
            <w:r>
              <w:rPr>
                <w:rFonts w:hint="eastAsia" w:ascii="仿宋_GB2312" w:hAnsi="宋体" w:eastAsia="仿宋_GB2312" w:cs="宋体"/>
                <w:sz w:val="21"/>
                <w:szCs w:val="21"/>
              </w:rPr>
              <w:t>1、供应商2019年至今（以合同生效时间为准），承担过地下水污染防治分区划定类、地下水环境状况调查评估类项目的，每个得5分，最高得15分；</w:t>
            </w:r>
          </w:p>
          <w:p>
            <w:pPr>
              <w:rPr>
                <w:rFonts w:hint="eastAsia" w:ascii="仿宋_GB2312" w:hAnsi="宋体" w:eastAsia="仿宋_GB2312" w:cs="宋体"/>
                <w:sz w:val="21"/>
                <w:szCs w:val="21"/>
              </w:rPr>
            </w:pPr>
            <w:r>
              <w:rPr>
                <w:rFonts w:hint="eastAsia" w:ascii="仿宋_GB2312" w:hAnsi="宋体" w:eastAsia="仿宋_GB2312" w:cs="宋体"/>
                <w:sz w:val="21"/>
                <w:szCs w:val="21"/>
              </w:rPr>
              <w:t>2、供应商2019年至今（以合同生效时间为准），承担过地下水环境监测类项目的，每个得4分，最高得8分。</w:t>
            </w:r>
          </w:p>
          <w:p>
            <w:pPr>
              <w:rPr>
                <w:rFonts w:hint="eastAsia" w:ascii="仿宋_GB2312" w:hAnsi="宋体" w:eastAsia="仿宋_GB2312" w:cs="宋体"/>
                <w:sz w:val="21"/>
                <w:szCs w:val="21"/>
              </w:rPr>
            </w:pPr>
            <w:r>
              <w:rPr>
                <w:rFonts w:hint="eastAsia" w:ascii="仿宋_GB2312" w:hAnsi="宋体" w:eastAsia="仿宋_GB2312" w:cs="宋体"/>
                <w:sz w:val="21"/>
                <w:szCs w:val="21"/>
              </w:rPr>
              <w:t>注：供应商须提供合同（含签订合同双方的单位名称、合同项目名称、签订合同双方的落款盖章、签订日期的关键页）复印件加盖供应商公章作为同类业绩证明资料，同一个合同涉及两个项目的，以最高分项得分计算。不提供或资料不全不得分。</w:t>
            </w:r>
          </w:p>
        </w:tc>
        <w:tc>
          <w:tcPr>
            <w:tcW w:w="70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ind w:left="-90" w:leftChars="-30" w:right="-126" w:rightChars="-42"/>
              <w:jc w:val="center"/>
              <w:rPr>
                <w:rFonts w:hint="eastAsia" w:ascii="仿宋_GB2312" w:eastAsia="仿宋_GB2312"/>
                <w:kern w:val="0"/>
                <w:sz w:val="21"/>
                <w:szCs w:val="21"/>
              </w:rPr>
            </w:pPr>
            <w:r>
              <w:rPr>
                <w:rFonts w:hint="eastAsia" w:ascii="仿宋_GB2312" w:eastAsia="仿宋_GB2312"/>
                <w:kern w:val="0"/>
                <w:sz w:val="21"/>
                <w:szCs w:val="21"/>
              </w:rPr>
              <w:t>23</w:t>
            </w: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ind w:left="-111" w:leftChars="-37" w:right="-105" w:rightChars="-35"/>
              <w:jc w:val="center"/>
              <w:rPr>
                <w:rFonts w:hint="eastAsia" w:ascii="仿宋_GB2312" w:eastAsia="仿宋_GB2312"/>
                <w:kern w:val="0"/>
                <w:sz w:val="21"/>
                <w:szCs w:val="21"/>
              </w:rPr>
            </w:pPr>
            <w:r>
              <w:rPr>
                <w:rFonts w:hint="eastAsia" w:ascii="仿宋_GB2312" w:eastAsia="仿宋_GB2312"/>
                <w:kern w:val="0"/>
                <w:sz w:val="21"/>
                <w:szCs w:val="21"/>
              </w:rPr>
              <w:t>23</w:t>
            </w:r>
          </w:p>
        </w:tc>
        <w:tc>
          <w:tcPr>
            <w:tcW w:w="91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200" w:lineRule="exact"/>
              <w:ind w:left="-111" w:leftChars="-37" w:right="-105" w:rightChars="-35"/>
              <w:jc w:val="center"/>
              <w:rPr>
                <w:rFonts w:hint="eastAsia" w:ascii="仿宋_GB2312" w:eastAsia="仿宋_GB2312"/>
                <w:kern w:val="0"/>
                <w:sz w:val="21"/>
                <w:szCs w:val="21"/>
              </w:rPr>
            </w:pPr>
          </w:p>
        </w:tc>
        <w:tc>
          <w:tcPr>
            <w:tcW w:w="91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200" w:lineRule="exact"/>
              <w:ind w:left="-111" w:leftChars="-37" w:right="-105" w:rightChars="-35"/>
              <w:jc w:val="center"/>
              <w:rPr>
                <w:rFonts w:hint="eastAsia" w:ascii="仿宋_GB2312" w:eastAsia="仿宋_GB2312"/>
                <w:kern w:val="0"/>
                <w:sz w:val="21"/>
                <w:szCs w:val="21"/>
              </w:rPr>
            </w:pPr>
          </w:p>
        </w:tc>
        <w:tc>
          <w:tcPr>
            <w:tcW w:w="91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200" w:lineRule="exact"/>
              <w:ind w:left="-111" w:leftChars="-37" w:right="-105" w:rightChars="-35"/>
              <w:jc w:val="center"/>
              <w:rPr>
                <w:rFonts w:hint="eastAsia" w:ascii="仿宋_GB2312" w:eastAsia="仿宋_GB2312"/>
                <w:kern w:val="0"/>
                <w:sz w:val="21"/>
                <w:szCs w:val="21"/>
              </w:rPr>
            </w:pPr>
          </w:p>
        </w:tc>
        <w:tc>
          <w:tcPr>
            <w:tcW w:w="912" w:type="dxa"/>
            <w:tcBorders>
              <w:top w:val="single" w:color="auto" w:sz="6" w:space="0"/>
              <w:left w:val="single" w:color="auto" w:sz="6" w:space="0"/>
              <w:bottom w:val="single" w:color="auto" w:sz="6" w:space="0"/>
              <w:right w:val="single" w:color="auto" w:sz="12" w:space="0"/>
            </w:tcBorders>
            <w:vAlign w:val="top"/>
          </w:tcPr>
          <w:p>
            <w:pPr>
              <w:autoSpaceDE w:val="0"/>
              <w:autoSpaceDN w:val="0"/>
              <w:adjustRightInd w:val="0"/>
              <w:snapToGrid w:val="0"/>
              <w:spacing w:line="200" w:lineRule="exact"/>
              <w:ind w:left="-111" w:leftChars="-37" w:right="-105" w:rightChars="-35"/>
              <w:jc w:val="center"/>
              <w:rPr>
                <w:rFonts w:hint="eastAsia" w:ascii="仿宋_GB2312" w:eastAsia="仿宋_GB2312"/>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83" w:hRule="atLeast"/>
          <w:jc w:val="center"/>
        </w:trPr>
        <w:tc>
          <w:tcPr>
            <w:tcW w:w="585" w:type="dxa"/>
            <w:tcBorders>
              <w:top w:val="single" w:color="auto" w:sz="6" w:space="0"/>
              <w:left w:val="single" w:color="auto" w:sz="12" w:space="0"/>
              <w:bottom w:val="single" w:color="auto" w:sz="6" w:space="0"/>
              <w:right w:val="single" w:color="auto" w:sz="6" w:space="0"/>
            </w:tcBorders>
            <w:vAlign w:val="center"/>
          </w:tcPr>
          <w:p>
            <w:pPr>
              <w:numPr>
                <w:ilvl w:val="0"/>
                <w:numId w:val="2"/>
              </w:numPr>
              <w:autoSpaceDE w:val="0"/>
              <w:autoSpaceDN w:val="0"/>
              <w:adjustRightInd w:val="0"/>
              <w:snapToGrid w:val="0"/>
              <w:spacing w:line="200" w:lineRule="exact"/>
              <w:jc w:val="center"/>
              <w:rPr>
                <w:rFonts w:hint="eastAsia" w:ascii="仿宋_GB2312" w:eastAsia="仿宋_GB2312"/>
                <w:bCs/>
                <w:sz w:val="21"/>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_GB2312" w:hAnsi="宋体" w:eastAsia="仿宋_GB2312" w:cs="宋体"/>
                <w:sz w:val="21"/>
                <w:szCs w:val="21"/>
              </w:rPr>
            </w:pPr>
            <w:r>
              <w:rPr>
                <w:rFonts w:hint="eastAsia" w:ascii="仿宋_GB2312" w:hAnsi="宋体" w:eastAsia="仿宋_GB2312" w:cs="宋体"/>
                <w:sz w:val="21"/>
                <w:szCs w:val="21"/>
              </w:rPr>
              <w:t>项目负责人实力</w:t>
            </w:r>
          </w:p>
        </w:tc>
        <w:tc>
          <w:tcPr>
            <w:tcW w:w="8204" w:type="dxa"/>
            <w:tcBorders>
              <w:top w:val="single" w:color="auto" w:sz="6" w:space="0"/>
              <w:left w:val="single" w:color="auto" w:sz="6" w:space="0"/>
              <w:bottom w:val="single" w:color="auto" w:sz="6" w:space="0"/>
              <w:right w:val="single" w:color="auto" w:sz="6" w:space="0"/>
            </w:tcBorders>
            <w:vAlign w:val="center"/>
          </w:tcPr>
          <w:p>
            <w:pPr>
              <w:rPr>
                <w:rFonts w:hint="eastAsia" w:ascii="仿宋_GB2312" w:hAnsi="宋体" w:eastAsia="仿宋_GB2312" w:cs="宋体"/>
                <w:sz w:val="21"/>
                <w:szCs w:val="21"/>
              </w:rPr>
            </w:pPr>
            <w:r>
              <w:rPr>
                <w:rFonts w:hint="eastAsia" w:ascii="仿宋_GB2312" w:hAnsi="宋体" w:eastAsia="仿宋_GB2312" w:cs="宋体"/>
                <w:sz w:val="21"/>
                <w:szCs w:val="21"/>
              </w:rPr>
              <w:t>项目负责人具有环保或相关专业正高级职称的得5分，具有环保相关专业副高级职称的得4分，具有环保相关专业中级职称，得3分，其余不得分。</w:t>
            </w:r>
          </w:p>
          <w:p>
            <w:pPr>
              <w:rPr>
                <w:rFonts w:hint="eastAsia" w:ascii="仿宋_GB2312" w:hAnsi="宋体" w:eastAsia="仿宋_GB2312" w:cs="宋体"/>
                <w:sz w:val="21"/>
                <w:szCs w:val="21"/>
              </w:rPr>
            </w:pPr>
            <w:r>
              <w:rPr>
                <w:rFonts w:hint="eastAsia" w:ascii="仿宋_GB2312" w:hAnsi="宋体" w:eastAsia="仿宋_GB2312" w:cs="宋体"/>
                <w:sz w:val="21"/>
                <w:szCs w:val="21"/>
              </w:rPr>
              <w:t>注：须提供上述人员相关职称证书复印件、以及上述人员与供应商签订的劳务合同复印件或由社保机构或税务部门出具的在本项目投标截止日前6个月内任意1个月的由供应商为其购买的社保证明加盖供应商公章，无或缺项或未按要求递交证明材料的不得分。</w:t>
            </w:r>
          </w:p>
        </w:tc>
        <w:tc>
          <w:tcPr>
            <w:tcW w:w="70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ind w:left="-90" w:leftChars="-30" w:right="-126" w:rightChars="-42"/>
              <w:jc w:val="center"/>
              <w:rPr>
                <w:rFonts w:hint="eastAsia" w:ascii="仿宋_GB2312" w:eastAsia="仿宋_GB2312"/>
                <w:kern w:val="0"/>
                <w:sz w:val="21"/>
                <w:szCs w:val="21"/>
              </w:rPr>
            </w:pPr>
            <w:r>
              <w:rPr>
                <w:rFonts w:hint="eastAsia" w:ascii="仿宋_GB2312" w:eastAsia="仿宋_GB2312"/>
                <w:bCs/>
                <w:kern w:val="0"/>
                <w:sz w:val="21"/>
                <w:szCs w:val="21"/>
              </w:rPr>
              <w:t>5</w:t>
            </w: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ind w:left="-111" w:leftChars="-37" w:right="-105" w:rightChars="-35"/>
              <w:jc w:val="center"/>
              <w:rPr>
                <w:rFonts w:hint="eastAsia" w:ascii="仿宋_GB2312" w:eastAsia="仿宋_GB2312"/>
                <w:kern w:val="0"/>
                <w:sz w:val="21"/>
                <w:szCs w:val="21"/>
              </w:rPr>
            </w:pPr>
            <w:r>
              <w:rPr>
                <w:rFonts w:hint="eastAsia" w:ascii="仿宋_GB2312" w:eastAsia="仿宋_GB2312"/>
                <w:kern w:val="0"/>
                <w:sz w:val="21"/>
                <w:szCs w:val="21"/>
              </w:rPr>
              <w:t>5</w:t>
            </w:r>
          </w:p>
        </w:tc>
        <w:tc>
          <w:tcPr>
            <w:tcW w:w="91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200" w:lineRule="exact"/>
              <w:ind w:left="-111" w:leftChars="-37" w:right="-105" w:rightChars="-35"/>
              <w:jc w:val="center"/>
              <w:rPr>
                <w:rFonts w:hint="eastAsia" w:ascii="仿宋_GB2312" w:eastAsia="仿宋_GB2312"/>
                <w:kern w:val="0"/>
                <w:sz w:val="21"/>
                <w:szCs w:val="21"/>
              </w:rPr>
            </w:pPr>
          </w:p>
        </w:tc>
        <w:tc>
          <w:tcPr>
            <w:tcW w:w="91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200" w:lineRule="exact"/>
              <w:ind w:left="-111" w:leftChars="-37" w:right="-105" w:rightChars="-35"/>
              <w:jc w:val="center"/>
              <w:rPr>
                <w:rFonts w:hint="eastAsia" w:ascii="仿宋_GB2312" w:eastAsia="仿宋_GB2312"/>
                <w:kern w:val="0"/>
                <w:sz w:val="21"/>
                <w:szCs w:val="21"/>
              </w:rPr>
            </w:pPr>
          </w:p>
        </w:tc>
        <w:tc>
          <w:tcPr>
            <w:tcW w:w="91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200" w:lineRule="exact"/>
              <w:ind w:left="-111" w:leftChars="-37" w:right="-105" w:rightChars="-35"/>
              <w:jc w:val="center"/>
              <w:rPr>
                <w:rFonts w:hint="eastAsia" w:ascii="仿宋_GB2312" w:eastAsia="仿宋_GB2312"/>
                <w:kern w:val="0"/>
                <w:sz w:val="21"/>
                <w:szCs w:val="21"/>
              </w:rPr>
            </w:pPr>
          </w:p>
        </w:tc>
        <w:tc>
          <w:tcPr>
            <w:tcW w:w="912" w:type="dxa"/>
            <w:tcBorders>
              <w:top w:val="single" w:color="auto" w:sz="6" w:space="0"/>
              <w:left w:val="single" w:color="auto" w:sz="6" w:space="0"/>
              <w:bottom w:val="single" w:color="auto" w:sz="6" w:space="0"/>
              <w:right w:val="single" w:color="auto" w:sz="12" w:space="0"/>
            </w:tcBorders>
            <w:vAlign w:val="top"/>
          </w:tcPr>
          <w:p>
            <w:pPr>
              <w:autoSpaceDE w:val="0"/>
              <w:autoSpaceDN w:val="0"/>
              <w:adjustRightInd w:val="0"/>
              <w:snapToGrid w:val="0"/>
              <w:spacing w:line="200" w:lineRule="exact"/>
              <w:ind w:left="-111" w:leftChars="-37" w:right="-105" w:rightChars="-35"/>
              <w:jc w:val="center"/>
              <w:rPr>
                <w:rFonts w:hint="eastAsia" w:ascii="仿宋_GB2312" w:eastAsia="仿宋_GB2312"/>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83" w:hRule="atLeast"/>
          <w:jc w:val="center"/>
        </w:trPr>
        <w:tc>
          <w:tcPr>
            <w:tcW w:w="585" w:type="dxa"/>
            <w:tcBorders>
              <w:top w:val="single" w:color="auto" w:sz="6" w:space="0"/>
              <w:left w:val="single" w:color="auto" w:sz="12" w:space="0"/>
              <w:bottom w:val="single" w:color="auto" w:sz="6" w:space="0"/>
              <w:right w:val="single" w:color="auto" w:sz="6" w:space="0"/>
            </w:tcBorders>
            <w:vAlign w:val="center"/>
          </w:tcPr>
          <w:p>
            <w:pPr>
              <w:numPr>
                <w:ilvl w:val="0"/>
                <w:numId w:val="2"/>
              </w:numPr>
              <w:autoSpaceDE w:val="0"/>
              <w:autoSpaceDN w:val="0"/>
              <w:adjustRightInd w:val="0"/>
              <w:snapToGrid w:val="0"/>
              <w:spacing w:line="200" w:lineRule="exact"/>
              <w:jc w:val="center"/>
              <w:rPr>
                <w:rFonts w:hint="eastAsia" w:ascii="仿宋_GB2312" w:eastAsia="仿宋_GB2312"/>
                <w:bCs/>
                <w:sz w:val="21"/>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_GB2312" w:hAnsi="宋体" w:eastAsia="仿宋_GB2312" w:cs="宋体"/>
                <w:sz w:val="21"/>
                <w:szCs w:val="21"/>
              </w:rPr>
            </w:pPr>
            <w:r>
              <w:rPr>
                <w:rFonts w:hint="eastAsia" w:ascii="仿宋_GB2312" w:hAnsi="宋体" w:eastAsia="仿宋_GB2312" w:cs="宋体"/>
                <w:sz w:val="21"/>
                <w:szCs w:val="21"/>
              </w:rPr>
              <w:t>团队实力</w:t>
            </w:r>
          </w:p>
        </w:tc>
        <w:tc>
          <w:tcPr>
            <w:tcW w:w="8204" w:type="dxa"/>
            <w:tcBorders>
              <w:top w:val="single" w:color="auto" w:sz="6" w:space="0"/>
              <w:left w:val="single" w:color="auto" w:sz="6" w:space="0"/>
              <w:bottom w:val="single" w:color="auto" w:sz="6" w:space="0"/>
              <w:right w:val="single" w:color="auto" w:sz="6" w:space="0"/>
            </w:tcBorders>
            <w:vAlign w:val="center"/>
          </w:tcPr>
          <w:p>
            <w:pPr>
              <w:rPr>
                <w:rFonts w:hint="eastAsia" w:ascii="仿宋_GB2312" w:hAnsi="宋体" w:eastAsia="仿宋_GB2312" w:cs="宋体"/>
                <w:sz w:val="21"/>
                <w:szCs w:val="21"/>
              </w:rPr>
            </w:pPr>
            <w:r>
              <w:rPr>
                <w:rFonts w:hint="eastAsia" w:ascii="仿宋_GB2312" w:hAnsi="宋体" w:eastAsia="仿宋_GB2312" w:cs="宋体"/>
                <w:sz w:val="21"/>
                <w:szCs w:val="21"/>
              </w:rPr>
              <w:t>除项目负责人外的团队人员：具备环保或相关专业副高级及以上工程师职称的，每1人得4分；具有环保或相关专业中级职称的，每1人得3分；具有环保或相关专业初级职称的，每1人得2分；否则不得分。</w:t>
            </w:r>
          </w:p>
          <w:p>
            <w:pPr>
              <w:rPr>
                <w:rFonts w:hint="eastAsia" w:ascii="仿宋_GB2312" w:hAnsi="宋体" w:eastAsia="仿宋_GB2312" w:cs="宋体"/>
                <w:sz w:val="21"/>
                <w:szCs w:val="21"/>
              </w:rPr>
            </w:pPr>
            <w:r>
              <w:rPr>
                <w:rFonts w:hint="eastAsia" w:ascii="仿宋_GB2312" w:hAnsi="宋体" w:eastAsia="仿宋_GB2312" w:cs="宋体"/>
                <w:sz w:val="21"/>
                <w:szCs w:val="21"/>
              </w:rPr>
              <w:t>注：上述合计最高得16分，同一人员具备多个不同等级职称的，不重复计算得分。须提供上述人员相关职称证书复印件、以及上述人员与供应商签订的劳务合同复印件或由社保机构或税务部门出具的在本项目投标截止日前6个月内任意1个月的由供应商为其购买的社保证明加盖供应商公章，无或缺项或未按要求递交证明材料的不得分。</w:t>
            </w:r>
          </w:p>
        </w:tc>
        <w:tc>
          <w:tcPr>
            <w:tcW w:w="70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ind w:left="-90" w:leftChars="-30" w:right="-126" w:rightChars="-42"/>
              <w:jc w:val="center"/>
              <w:rPr>
                <w:rFonts w:hint="eastAsia" w:ascii="仿宋_GB2312" w:eastAsia="仿宋_GB2312"/>
                <w:bCs/>
                <w:kern w:val="0"/>
                <w:sz w:val="21"/>
                <w:szCs w:val="21"/>
              </w:rPr>
            </w:pPr>
            <w:r>
              <w:rPr>
                <w:rFonts w:hint="eastAsia" w:ascii="仿宋_GB2312" w:eastAsia="仿宋_GB2312"/>
                <w:bCs/>
                <w:kern w:val="0"/>
                <w:sz w:val="21"/>
                <w:szCs w:val="21"/>
              </w:rPr>
              <w:t>16</w:t>
            </w: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ind w:left="-111" w:leftChars="-37" w:right="-105" w:rightChars="-35"/>
              <w:jc w:val="center"/>
              <w:rPr>
                <w:rFonts w:hint="eastAsia" w:ascii="仿宋_GB2312" w:eastAsia="仿宋_GB2312"/>
                <w:kern w:val="0"/>
                <w:sz w:val="21"/>
                <w:szCs w:val="21"/>
              </w:rPr>
            </w:pPr>
            <w:r>
              <w:rPr>
                <w:rFonts w:hint="eastAsia" w:ascii="仿宋_GB2312" w:eastAsia="仿宋_GB2312"/>
                <w:kern w:val="0"/>
                <w:sz w:val="21"/>
                <w:szCs w:val="21"/>
              </w:rPr>
              <w:t>16</w:t>
            </w:r>
          </w:p>
        </w:tc>
        <w:tc>
          <w:tcPr>
            <w:tcW w:w="91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200" w:lineRule="exact"/>
              <w:ind w:left="-111" w:leftChars="-37" w:right="-105" w:rightChars="-35"/>
              <w:jc w:val="center"/>
              <w:rPr>
                <w:rFonts w:hint="eastAsia" w:ascii="仿宋_GB2312" w:eastAsia="仿宋_GB2312"/>
                <w:kern w:val="0"/>
                <w:sz w:val="21"/>
                <w:szCs w:val="21"/>
              </w:rPr>
            </w:pPr>
          </w:p>
        </w:tc>
        <w:tc>
          <w:tcPr>
            <w:tcW w:w="91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200" w:lineRule="exact"/>
              <w:ind w:left="-111" w:leftChars="-37" w:right="-105" w:rightChars="-35"/>
              <w:jc w:val="center"/>
              <w:rPr>
                <w:rFonts w:hint="eastAsia" w:ascii="仿宋_GB2312" w:eastAsia="仿宋_GB2312"/>
                <w:kern w:val="0"/>
                <w:sz w:val="21"/>
                <w:szCs w:val="21"/>
              </w:rPr>
            </w:pPr>
          </w:p>
        </w:tc>
        <w:tc>
          <w:tcPr>
            <w:tcW w:w="91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200" w:lineRule="exact"/>
              <w:ind w:left="-111" w:leftChars="-37" w:right="-105" w:rightChars="-35"/>
              <w:jc w:val="center"/>
              <w:rPr>
                <w:rFonts w:hint="eastAsia" w:ascii="仿宋_GB2312" w:eastAsia="仿宋_GB2312"/>
                <w:kern w:val="0"/>
                <w:sz w:val="21"/>
                <w:szCs w:val="21"/>
              </w:rPr>
            </w:pPr>
          </w:p>
        </w:tc>
        <w:tc>
          <w:tcPr>
            <w:tcW w:w="912" w:type="dxa"/>
            <w:tcBorders>
              <w:top w:val="single" w:color="auto" w:sz="6" w:space="0"/>
              <w:left w:val="single" w:color="auto" w:sz="6" w:space="0"/>
              <w:bottom w:val="single" w:color="auto" w:sz="6" w:space="0"/>
              <w:right w:val="single" w:color="auto" w:sz="12" w:space="0"/>
            </w:tcBorders>
            <w:vAlign w:val="top"/>
          </w:tcPr>
          <w:p>
            <w:pPr>
              <w:autoSpaceDE w:val="0"/>
              <w:autoSpaceDN w:val="0"/>
              <w:adjustRightInd w:val="0"/>
              <w:snapToGrid w:val="0"/>
              <w:spacing w:line="200" w:lineRule="exact"/>
              <w:ind w:left="-111" w:leftChars="-37" w:right="-105" w:rightChars="-35"/>
              <w:jc w:val="center"/>
              <w:rPr>
                <w:rFonts w:hint="eastAsia" w:ascii="仿宋_GB2312" w:eastAsia="仿宋_GB2312"/>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56" w:hRule="atLeast"/>
          <w:jc w:val="center"/>
        </w:trPr>
        <w:tc>
          <w:tcPr>
            <w:tcW w:w="14560" w:type="dxa"/>
            <w:gridSpan w:val="9"/>
            <w:tcBorders>
              <w:top w:val="single" w:color="auto" w:sz="6" w:space="0"/>
              <w:left w:val="single" w:color="auto" w:sz="12" w:space="0"/>
              <w:bottom w:val="single" w:color="auto" w:sz="6" w:space="0"/>
              <w:right w:val="single" w:color="auto" w:sz="12" w:space="0"/>
            </w:tcBorders>
            <w:vAlign w:val="center"/>
          </w:tcPr>
          <w:p>
            <w:pPr>
              <w:autoSpaceDE w:val="0"/>
              <w:autoSpaceDN w:val="0"/>
              <w:adjustRightInd w:val="0"/>
              <w:snapToGrid w:val="0"/>
              <w:spacing w:line="200" w:lineRule="exact"/>
              <w:jc w:val="center"/>
              <w:rPr>
                <w:rFonts w:hint="eastAsia" w:ascii="仿宋_GB2312" w:eastAsia="仿宋_GB2312"/>
                <w:b/>
                <w:kern w:val="0"/>
                <w:sz w:val="21"/>
                <w:szCs w:val="21"/>
              </w:rPr>
            </w:pPr>
            <w:r>
              <w:rPr>
                <w:rFonts w:hint="eastAsia" w:ascii="仿宋_GB2312" w:eastAsia="仿宋_GB2312"/>
                <w:b/>
                <w:kern w:val="0"/>
                <w:sz w:val="21"/>
                <w:szCs w:val="21"/>
              </w:rPr>
              <w:t>三、价格部分（10分）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83" w:hRule="atLeast"/>
          <w:jc w:val="center"/>
        </w:trPr>
        <w:tc>
          <w:tcPr>
            <w:tcW w:w="585" w:type="dxa"/>
            <w:tcBorders>
              <w:top w:val="single" w:color="auto" w:sz="6" w:space="0"/>
              <w:left w:val="single" w:color="auto" w:sz="12" w:space="0"/>
              <w:bottom w:val="single" w:color="auto" w:sz="6" w:space="0"/>
              <w:right w:val="single" w:color="auto" w:sz="6" w:space="0"/>
            </w:tcBorders>
            <w:vAlign w:val="center"/>
          </w:tcPr>
          <w:p>
            <w:pPr>
              <w:numPr>
                <w:ilvl w:val="0"/>
                <w:numId w:val="3"/>
              </w:numPr>
              <w:autoSpaceDE w:val="0"/>
              <w:autoSpaceDN w:val="0"/>
              <w:adjustRightInd w:val="0"/>
              <w:snapToGrid w:val="0"/>
              <w:spacing w:line="200" w:lineRule="exact"/>
              <w:jc w:val="center"/>
              <w:rPr>
                <w:rFonts w:hint="eastAsia" w:ascii="仿宋_GB2312" w:eastAsia="仿宋_GB2312"/>
                <w:kern w:val="0"/>
                <w:sz w:val="21"/>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jc w:val="center"/>
              <w:rPr>
                <w:rFonts w:hint="eastAsia" w:ascii="仿宋_GB2312" w:hAnsi="宋体" w:eastAsia="仿宋_GB2312" w:cs="宋体"/>
                <w:sz w:val="21"/>
                <w:szCs w:val="21"/>
              </w:rPr>
            </w:pPr>
            <w:r>
              <w:rPr>
                <w:rFonts w:hint="eastAsia" w:ascii="仿宋_GB2312" w:hAnsi="宋体" w:eastAsia="仿宋_GB2312" w:cs="宋体"/>
                <w:sz w:val="21"/>
                <w:szCs w:val="21"/>
              </w:rPr>
              <w:t>价格得分</w:t>
            </w:r>
          </w:p>
        </w:tc>
        <w:tc>
          <w:tcPr>
            <w:tcW w:w="820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exact"/>
              <w:jc w:val="left"/>
              <w:rPr>
                <w:rFonts w:hint="eastAsia" w:ascii="仿宋_GB2312" w:hAnsi="宋体" w:eastAsia="仿宋_GB2312" w:cs="宋体"/>
                <w:sz w:val="21"/>
                <w:szCs w:val="21"/>
              </w:rPr>
            </w:pPr>
            <w:r>
              <w:rPr>
                <w:rFonts w:hint="eastAsia" w:ascii="仿宋_GB2312" w:hAnsi="宋体" w:eastAsia="仿宋_GB2312" w:cs="宋体"/>
                <w:sz w:val="21"/>
                <w:szCs w:val="21"/>
              </w:rPr>
              <w:t>价格分应当采用低价优先法计算，即满足采购需求且报价最低的为基准价，该项价格得分为满分。其他供应商的价格得分统一按照下列公式计算： 供应商价格得分=(基准价／报价)×10，价格得分四舍五入后保留小数点后两位有效数。</w:t>
            </w:r>
            <w:r>
              <w:rPr>
                <w:rFonts w:hint="eastAsia" w:ascii="仿宋_GB2312" w:hAnsi="宋体" w:eastAsia="仿宋_GB2312" w:cs="宋体"/>
                <w:b/>
                <w:sz w:val="21"/>
                <w:szCs w:val="21"/>
              </w:rPr>
              <w:t>（对符合规定的小型和微型企业（监狱企业、残疾人福利单位视同小型、微型企业）报价给予10%的价格扣除。）</w:t>
            </w:r>
          </w:p>
        </w:tc>
        <w:tc>
          <w:tcPr>
            <w:tcW w:w="70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ind w:left="-111" w:leftChars="-37" w:right="-105" w:rightChars="-35"/>
              <w:jc w:val="center"/>
              <w:rPr>
                <w:rFonts w:hint="eastAsia" w:ascii="仿宋_GB2312" w:eastAsia="仿宋_GB2312"/>
                <w:kern w:val="0"/>
                <w:sz w:val="21"/>
                <w:szCs w:val="21"/>
              </w:rPr>
            </w:pPr>
            <w:r>
              <w:rPr>
                <w:rFonts w:hint="eastAsia" w:ascii="仿宋_GB2312" w:eastAsia="仿宋_GB2312"/>
                <w:kern w:val="0"/>
                <w:sz w:val="21"/>
                <w:szCs w:val="21"/>
              </w:rPr>
              <w:t>10</w:t>
            </w: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ind w:left="-111" w:leftChars="-37" w:right="-105" w:rightChars="-35"/>
              <w:jc w:val="center"/>
              <w:rPr>
                <w:rFonts w:hint="eastAsia" w:ascii="仿宋_GB2312" w:eastAsia="仿宋_GB2312"/>
                <w:kern w:val="0"/>
                <w:sz w:val="21"/>
                <w:szCs w:val="21"/>
              </w:rPr>
            </w:pPr>
            <w:r>
              <w:rPr>
                <w:rFonts w:hint="eastAsia" w:ascii="仿宋_GB2312" w:eastAsia="仿宋_GB2312"/>
                <w:kern w:val="0"/>
                <w:sz w:val="21"/>
                <w:szCs w:val="21"/>
              </w:rPr>
              <w:t>10</w:t>
            </w:r>
          </w:p>
        </w:tc>
        <w:tc>
          <w:tcPr>
            <w:tcW w:w="91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200" w:lineRule="exact"/>
              <w:ind w:left="-111" w:leftChars="-37" w:right="-105" w:rightChars="-35"/>
              <w:jc w:val="center"/>
              <w:rPr>
                <w:rFonts w:hint="eastAsia" w:ascii="仿宋_GB2312" w:eastAsia="仿宋_GB2312"/>
                <w:kern w:val="0"/>
                <w:sz w:val="21"/>
                <w:szCs w:val="21"/>
              </w:rPr>
            </w:pPr>
          </w:p>
        </w:tc>
        <w:tc>
          <w:tcPr>
            <w:tcW w:w="91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200" w:lineRule="exact"/>
              <w:ind w:left="-111" w:leftChars="-37" w:right="-105" w:rightChars="-35"/>
              <w:jc w:val="center"/>
              <w:rPr>
                <w:rFonts w:hint="eastAsia" w:ascii="仿宋_GB2312" w:eastAsia="仿宋_GB2312"/>
                <w:kern w:val="0"/>
                <w:sz w:val="21"/>
                <w:szCs w:val="21"/>
              </w:rPr>
            </w:pPr>
          </w:p>
        </w:tc>
        <w:tc>
          <w:tcPr>
            <w:tcW w:w="91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200" w:lineRule="exact"/>
              <w:ind w:left="-111" w:leftChars="-37" w:right="-105" w:rightChars="-35"/>
              <w:jc w:val="center"/>
              <w:rPr>
                <w:rFonts w:hint="eastAsia" w:ascii="仿宋_GB2312" w:eastAsia="仿宋_GB2312"/>
                <w:kern w:val="0"/>
                <w:sz w:val="21"/>
                <w:szCs w:val="21"/>
              </w:rPr>
            </w:pPr>
          </w:p>
        </w:tc>
        <w:tc>
          <w:tcPr>
            <w:tcW w:w="912" w:type="dxa"/>
            <w:tcBorders>
              <w:top w:val="single" w:color="auto" w:sz="6" w:space="0"/>
              <w:left w:val="single" w:color="auto" w:sz="6" w:space="0"/>
              <w:bottom w:val="single" w:color="auto" w:sz="6" w:space="0"/>
              <w:right w:val="single" w:color="auto" w:sz="12" w:space="0"/>
            </w:tcBorders>
            <w:vAlign w:val="top"/>
          </w:tcPr>
          <w:p>
            <w:pPr>
              <w:autoSpaceDE w:val="0"/>
              <w:autoSpaceDN w:val="0"/>
              <w:adjustRightInd w:val="0"/>
              <w:snapToGrid w:val="0"/>
              <w:spacing w:line="200" w:lineRule="exact"/>
              <w:ind w:left="-111" w:leftChars="-37" w:right="-105" w:rightChars="-35"/>
              <w:jc w:val="center"/>
              <w:rPr>
                <w:rFonts w:hint="eastAsia" w:ascii="仿宋_GB2312" w:eastAsia="仿宋_GB2312"/>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4" w:hRule="atLeast"/>
          <w:jc w:val="center"/>
        </w:trPr>
        <w:tc>
          <w:tcPr>
            <w:tcW w:w="9498" w:type="dxa"/>
            <w:gridSpan w:val="3"/>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snapToGrid w:val="0"/>
              <w:spacing w:line="200" w:lineRule="exact"/>
              <w:ind w:left="-111" w:leftChars="-37" w:right="-105" w:rightChars="-35"/>
              <w:jc w:val="center"/>
              <w:rPr>
                <w:rFonts w:hint="eastAsia" w:ascii="仿宋_GB2312" w:eastAsia="仿宋_GB2312"/>
                <w:b/>
                <w:kern w:val="0"/>
                <w:sz w:val="21"/>
                <w:szCs w:val="21"/>
              </w:rPr>
            </w:pPr>
            <w:r>
              <w:rPr>
                <w:rFonts w:hint="eastAsia" w:ascii="仿宋_GB2312" w:eastAsia="仿宋_GB2312"/>
                <w:b/>
                <w:kern w:val="0"/>
                <w:sz w:val="21"/>
                <w:szCs w:val="21"/>
              </w:rPr>
              <w:t>合计</w:t>
            </w:r>
          </w:p>
        </w:tc>
        <w:tc>
          <w:tcPr>
            <w:tcW w:w="706" w:type="dxa"/>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snapToGrid w:val="0"/>
              <w:spacing w:line="200" w:lineRule="exact"/>
              <w:ind w:left="-111" w:leftChars="-37" w:right="-105" w:rightChars="-35"/>
              <w:jc w:val="center"/>
              <w:rPr>
                <w:rFonts w:hint="eastAsia" w:ascii="仿宋_GB2312" w:eastAsia="仿宋_GB2312"/>
                <w:b/>
                <w:kern w:val="0"/>
                <w:sz w:val="21"/>
                <w:szCs w:val="21"/>
              </w:rPr>
            </w:pPr>
            <w:r>
              <w:rPr>
                <w:rFonts w:hint="eastAsia" w:ascii="仿宋_GB2312" w:eastAsia="仿宋_GB2312"/>
                <w:b/>
                <w:kern w:val="0"/>
                <w:sz w:val="21"/>
                <w:szCs w:val="21"/>
              </w:rPr>
              <w:t xml:space="preserve">100分 </w:t>
            </w:r>
          </w:p>
        </w:tc>
        <w:tc>
          <w:tcPr>
            <w:tcW w:w="709" w:type="dxa"/>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snapToGrid w:val="0"/>
              <w:spacing w:line="200" w:lineRule="exact"/>
              <w:ind w:left="-111" w:leftChars="-37" w:right="-105" w:rightChars="-35"/>
              <w:jc w:val="center"/>
              <w:rPr>
                <w:rFonts w:hint="eastAsia" w:ascii="仿宋_GB2312" w:eastAsia="仿宋_GB2312"/>
                <w:b/>
                <w:kern w:val="0"/>
                <w:sz w:val="21"/>
                <w:szCs w:val="21"/>
              </w:rPr>
            </w:pPr>
            <w:r>
              <w:rPr>
                <w:rFonts w:hint="eastAsia" w:ascii="仿宋_GB2312" w:eastAsia="仿宋_GB2312"/>
                <w:b/>
                <w:kern w:val="0"/>
                <w:sz w:val="21"/>
                <w:szCs w:val="21"/>
              </w:rPr>
              <w:t>100%</w:t>
            </w:r>
          </w:p>
        </w:tc>
        <w:tc>
          <w:tcPr>
            <w:tcW w:w="911" w:type="dxa"/>
            <w:tcBorders>
              <w:top w:val="single" w:color="auto" w:sz="6" w:space="0"/>
              <w:left w:val="single" w:color="auto" w:sz="6" w:space="0"/>
              <w:bottom w:val="single" w:color="auto" w:sz="12" w:space="0"/>
              <w:right w:val="single" w:color="auto" w:sz="6" w:space="0"/>
            </w:tcBorders>
            <w:vAlign w:val="top"/>
          </w:tcPr>
          <w:p>
            <w:pPr>
              <w:autoSpaceDE w:val="0"/>
              <w:autoSpaceDN w:val="0"/>
              <w:adjustRightInd w:val="0"/>
              <w:snapToGrid w:val="0"/>
              <w:spacing w:line="200" w:lineRule="exact"/>
              <w:ind w:left="-111" w:leftChars="-37" w:right="-105" w:rightChars="-35"/>
              <w:jc w:val="center"/>
              <w:rPr>
                <w:rFonts w:hint="eastAsia" w:ascii="仿宋_GB2312" w:eastAsia="仿宋_GB2312"/>
                <w:b/>
                <w:kern w:val="0"/>
                <w:sz w:val="21"/>
                <w:szCs w:val="21"/>
              </w:rPr>
            </w:pPr>
          </w:p>
        </w:tc>
        <w:tc>
          <w:tcPr>
            <w:tcW w:w="912" w:type="dxa"/>
            <w:tcBorders>
              <w:top w:val="single" w:color="auto" w:sz="6" w:space="0"/>
              <w:left w:val="single" w:color="auto" w:sz="6" w:space="0"/>
              <w:bottom w:val="single" w:color="auto" w:sz="12" w:space="0"/>
              <w:right w:val="single" w:color="auto" w:sz="6" w:space="0"/>
            </w:tcBorders>
            <w:vAlign w:val="top"/>
          </w:tcPr>
          <w:p>
            <w:pPr>
              <w:autoSpaceDE w:val="0"/>
              <w:autoSpaceDN w:val="0"/>
              <w:adjustRightInd w:val="0"/>
              <w:snapToGrid w:val="0"/>
              <w:spacing w:line="200" w:lineRule="exact"/>
              <w:ind w:left="-111" w:leftChars="-37" w:right="-105" w:rightChars="-35"/>
              <w:jc w:val="center"/>
              <w:rPr>
                <w:rFonts w:hint="eastAsia" w:ascii="仿宋_GB2312" w:eastAsia="仿宋_GB2312"/>
                <w:b/>
                <w:kern w:val="0"/>
                <w:sz w:val="21"/>
                <w:szCs w:val="21"/>
              </w:rPr>
            </w:pPr>
          </w:p>
        </w:tc>
        <w:tc>
          <w:tcPr>
            <w:tcW w:w="912" w:type="dxa"/>
            <w:tcBorders>
              <w:top w:val="single" w:color="auto" w:sz="6" w:space="0"/>
              <w:left w:val="single" w:color="auto" w:sz="6" w:space="0"/>
              <w:bottom w:val="single" w:color="auto" w:sz="12" w:space="0"/>
              <w:right w:val="single" w:color="auto" w:sz="6" w:space="0"/>
            </w:tcBorders>
            <w:vAlign w:val="top"/>
          </w:tcPr>
          <w:p>
            <w:pPr>
              <w:autoSpaceDE w:val="0"/>
              <w:autoSpaceDN w:val="0"/>
              <w:adjustRightInd w:val="0"/>
              <w:snapToGrid w:val="0"/>
              <w:spacing w:line="200" w:lineRule="exact"/>
              <w:ind w:left="-111" w:leftChars="-37" w:right="-105" w:rightChars="-35"/>
              <w:jc w:val="center"/>
              <w:rPr>
                <w:rFonts w:hint="eastAsia" w:ascii="仿宋_GB2312" w:eastAsia="仿宋_GB2312"/>
                <w:b/>
                <w:kern w:val="0"/>
                <w:sz w:val="21"/>
                <w:szCs w:val="21"/>
              </w:rPr>
            </w:pPr>
          </w:p>
        </w:tc>
        <w:tc>
          <w:tcPr>
            <w:tcW w:w="912" w:type="dxa"/>
            <w:tcBorders>
              <w:top w:val="single" w:color="auto" w:sz="6" w:space="0"/>
              <w:left w:val="single" w:color="auto" w:sz="6" w:space="0"/>
              <w:bottom w:val="single" w:color="auto" w:sz="12" w:space="0"/>
              <w:right w:val="single" w:color="auto" w:sz="12" w:space="0"/>
            </w:tcBorders>
            <w:vAlign w:val="top"/>
          </w:tcPr>
          <w:p>
            <w:pPr>
              <w:autoSpaceDE w:val="0"/>
              <w:autoSpaceDN w:val="0"/>
              <w:adjustRightInd w:val="0"/>
              <w:snapToGrid w:val="0"/>
              <w:spacing w:line="200" w:lineRule="exact"/>
              <w:ind w:left="-111" w:leftChars="-37" w:right="-105" w:rightChars="-35"/>
              <w:jc w:val="center"/>
              <w:rPr>
                <w:rFonts w:hint="eastAsia" w:ascii="仿宋_GB2312" w:eastAsia="仿宋_GB2312"/>
                <w:b/>
                <w:kern w:val="0"/>
                <w:sz w:val="21"/>
                <w:szCs w:val="21"/>
              </w:rPr>
            </w:pPr>
          </w:p>
        </w:tc>
      </w:tr>
    </w:tbl>
    <w:p>
      <w:pPr>
        <w:widowControl/>
        <w:jc w:val="left"/>
        <w:outlineLvl w:val="0"/>
        <w:rPr>
          <w:kern w:val="0"/>
          <w:sz w:val="21"/>
          <w:szCs w:val="21"/>
        </w:rPr>
      </w:pPr>
      <w:r>
        <w:rPr>
          <w:kern w:val="0"/>
          <w:sz w:val="21"/>
          <w:szCs w:val="21"/>
        </w:rPr>
        <w:t>评审人签名：</w:t>
      </w:r>
    </w:p>
    <w:p>
      <w:pPr>
        <w:autoSpaceDE w:val="0"/>
        <w:autoSpaceDN w:val="0"/>
        <w:adjustRightInd w:val="0"/>
        <w:jc w:val="left"/>
        <w:outlineLvl w:val="0"/>
        <w:rPr>
          <w:rFonts w:eastAsia="仿宋_GB2312"/>
          <w:sz w:val="32"/>
          <w:szCs w:val="32"/>
          <w:lang w:val="en"/>
        </w:rPr>
      </w:pPr>
      <w:r>
        <w:rPr>
          <w:kern w:val="0"/>
          <w:sz w:val="21"/>
          <w:szCs w:val="21"/>
        </w:rPr>
        <w:t>评审日期：       年     月     日</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729FA"/>
    <w:multiLevelType w:val="multilevel"/>
    <w:tmpl w:val="166729FA"/>
    <w:lvl w:ilvl="0" w:tentative="0">
      <w:start w:val="1"/>
      <w:numFmt w:val="chineseCountingThousand"/>
      <w:lvlText w:val="(%1)"/>
      <w:lvlJc w:val="left"/>
      <w:pPr>
        <w:ind w:left="420" w:hanging="420"/>
      </w:pPr>
      <w:rPr>
        <w:rFonts w:hint="default"/>
        <w:b w:val="0"/>
        <w:color w:val="auto"/>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3751BED"/>
    <w:multiLevelType w:val="multilevel"/>
    <w:tmpl w:val="43751BED"/>
    <w:lvl w:ilvl="0" w:tentative="0">
      <w:start w:val="1"/>
      <w:numFmt w:val="chineseCountingThousand"/>
      <w:lvlText w:val="(%1)"/>
      <w:lvlJc w:val="left"/>
      <w:pPr>
        <w:ind w:left="420" w:hanging="420"/>
      </w:pPr>
      <w:rPr>
        <w:rFonts w:hint="default"/>
        <w:b w:val="0"/>
        <w:color w:val="auto"/>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1C86346"/>
    <w:multiLevelType w:val="multilevel"/>
    <w:tmpl w:val="71C86346"/>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A5599C"/>
    <w:rsid w:val="50A559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0"/>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2024-02-26T06:59:00Z</dcterms:created>
  <dc:creator>李耀明</dc:creator>
  <cp:lastModifiedBy>李耀明</cp:lastModifiedBy>
  <dcterms:modified xsi:type="dcterms:W3CDTF">2024-02-26T07:01:03Z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y fmtid="{D5CDD505-2E9C-101B-9397-08002B2CF9AE}" pid="3" name="ribbonExt">
    <vt:lpwstr>{"WPSExtOfficeTab":{"OnGetEnabled":false,"OnGetVisible":false}}</vt:lpwstr>
  </property>
</Properties>
</file>