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outlineLvl w:val="0"/>
        <w:rPr>
          <w:rFonts w:hint="default" w:ascii="Times New Roman" w:hAnsi="Times New Roman" w:cs="Times New Roman"/>
          <w:color w:val="auto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highlight w:val="none"/>
        </w:rPr>
        <w:t>附件</w:t>
      </w:r>
      <w:r>
        <w:rPr>
          <w:rFonts w:hint="default" w:eastAsia="黑体" w:cs="Times New Roman"/>
          <w:color w:val="auto"/>
          <w:highlight w:val="none"/>
        </w:rPr>
        <w:t>4</w:t>
      </w:r>
    </w:p>
    <w:p>
      <w:pPr>
        <w:widowControl/>
        <w:shd w:val="clear" w:color="auto" w:fill="FFFFFF"/>
        <w:snapToGrid w:val="0"/>
        <w:spacing w:line="590" w:lineRule="exact"/>
        <w:jc w:val="center"/>
        <w:outlineLvl w:val="0"/>
        <w:rPr>
          <w:rFonts w:hint="eastAsia" w:ascii="方正小标宋简体" w:hAnsi="仿宋" w:eastAsia="方正小标宋简体" w:cs="仿宋"/>
          <w:sz w:val="44"/>
          <w:szCs w:val="44"/>
          <w:highlight w:val="none"/>
        </w:rPr>
      </w:pPr>
      <w:r>
        <w:rPr>
          <w:rFonts w:hint="eastAsia" w:ascii="方正小标宋简体" w:hAnsi="仿宋" w:eastAsia="方正小标宋简体" w:cs="仿宋"/>
          <w:sz w:val="44"/>
          <w:szCs w:val="44"/>
          <w:highlight w:val="none"/>
        </w:rPr>
        <w:t>关于部分</w:t>
      </w:r>
      <w:r>
        <w:rPr>
          <w:rFonts w:hint="default" w:ascii="方正小标宋简体" w:hAnsi="仿宋" w:eastAsia="方正小标宋简体" w:cs="仿宋"/>
          <w:sz w:val="44"/>
          <w:szCs w:val="44"/>
          <w:highlight w:val="none"/>
        </w:rPr>
        <w:t>检验</w:t>
      </w:r>
      <w:r>
        <w:rPr>
          <w:rFonts w:hint="eastAsia" w:ascii="方正小标宋简体" w:hAnsi="仿宋" w:eastAsia="方正小标宋简体" w:cs="仿宋"/>
          <w:sz w:val="44"/>
          <w:szCs w:val="44"/>
          <w:highlight w:val="none"/>
          <w:lang w:eastAsia="zh-CN"/>
        </w:rPr>
        <w:t>项目</w:t>
      </w:r>
      <w:r>
        <w:rPr>
          <w:rFonts w:hint="eastAsia" w:ascii="方正小标宋简体" w:hAnsi="仿宋" w:eastAsia="方正小标宋简体" w:cs="仿宋"/>
          <w:sz w:val="44"/>
          <w:szCs w:val="44"/>
          <w:highlight w:val="none"/>
        </w:rPr>
        <w:t>的说明</w:t>
      </w:r>
    </w:p>
    <w:p>
      <w:pPr>
        <w:widowControl/>
        <w:shd w:val="clear" w:color="auto" w:fill="FFFFFF"/>
        <w:snapToGrid w:val="0"/>
        <w:spacing w:line="590" w:lineRule="exact"/>
        <w:rPr>
          <w:rFonts w:hint="eastAsia" w:ascii="Times New Roman" w:hAnsi="Times New Roman" w:eastAsia="仿宋_GB2312"/>
          <w:highlight w:val="none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0"/>
        <w:textAlignment w:val="auto"/>
        <w:outlineLvl w:val="0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二氧化硫残留量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default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二氧化硫（以及焦亚硫酸钾、亚硫酸钠等添加剂）对食品有漂白、防腐和抗氧化作用，是食品加工中常用的漂白剂和防腐剂，使用后均产生二氧化硫残留。摄入少量二氧化硫，可在人体内经酶转化后由尿液排出体外，一般不会对人体健康造成不良影响，但如果长期过量摄入二氧化硫，可能会对健康不利。《食品安全国家标准食品添加剂使用标准》（GB 2760—2014）中规定，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蔬菜干制品中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二氧化硫残留量不得超过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0.2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g/kg，</w:t>
      </w:r>
      <w:r>
        <w:rPr>
          <w:rFonts w:hint="default" w:cs="Times New Roman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香辛料类不得使用二氧化硫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蔬菜干制品和香辛料类中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二氧化硫残留量超标的原因，可能是加工过程中，超范围或超限量使用亚硫酸盐等漂白剂，以达到漂白和防腐的作用，从而导致产品中二氧化硫残留不符合要求。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0"/>
        <w:textAlignment w:val="auto"/>
        <w:outlineLvl w:val="0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噻虫胺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噻虫胺是新烟碱类中的一种杀虫剂，是一类高效安全、高选择性的新型杀虫剂，具有触杀、胃毒和内吸活性。主要用于水稻、蔬菜、果树及其他作物上防治蚜虫、叶蝉、飞虱等害虫的杀虫剂。少量的残留不会引起人体急性中毒，但长期食用噻虫胺超标的食品，对人体健康可能有一定影响。《食品安全国家标准 食品中农药最大残留限量》（GB 2763—2021）中规定，噻虫胺在姜的最大残留限量值为0.2 mg/kg。姜中噻虫胺残留量超标的原因，可能是为快速控制虫害，加大用药量或未遵守采摘间隔期规定，致使上市销售的产品中残留量超标。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0"/>
        <w:textAlignment w:val="auto"/>
        <w:outlineLvl w:val="0"/>
        <w:rPr>
          <w:rFonts w:hint="default" w:ascii="Times New Roman" w:hAnsi="Times New Roman" w:eastAsia="黑体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  <w:t>毒死蜱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毒死蜱是一种硫代磷酸酯类有机磷杀虫、杀螨剂，具有良好的触杀、胃毒和熏蒸作用。少量的残留不会引起人体急性中毒，但长期食用毒死蜱残留超标的食品，可能对人体健康有一定影响。《食品安全国家标准 食品中农药最大残留限量》（GB 2763—2021）中规定，毒死蜱在</w:t>
      </w:r>
      <w:r>
        <w:rPr>
          <w:rFonts w:hint="default" w:cs="Times New Roman"/>
          <w:kern w:val="0"/>
          <w:sz w:val="32"/>
          <w:szCs w:val="32"/>
          <w:lang w:eastAsia="zh-CN"/>
        </w:rPr>
        <w:t>芹菜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中的最大残留限量为0.0</w:t>
      </w:r>
      <w:r>
        <w:rPr>
          <w:rFonts w:hint="default" w:cs="Times New Roman"/>
          <w:kern w:val="0"/>
          <w:sz w:val="32"/>
          <w:szCs w:val="32"/>
          <w:lang w:eastAsia="zh-CN"/>
        </w:rPr>
        <w:t>5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mg/kg。毒死蜱超标的原因，可能是为快速控制病情，加大用药量或未遵守采摘间隔期规定，致使上市销售时产品中的药物残留量未降解至标准限量值以下。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0"/>
        <w:textAlignment w:val="auto"/>
        <w:outlineLvl w:val="0"/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/>
        </w:rPr>
        <w:t>铅</w:t>
      </w:r>
      <w:r>
        <w:rPr>
          <w:rFonts w:hint="default" w:eastAsia="黑体" w:cs="Times New Roman"/>
          <w:kern w:val="0"/>
          <w:sz w:val="32"/>
          <w:szCs w:val="32"/>
          <w:lang w:eastAsia="zh-CN"/>
        </w:rPr>
        <w:t>（以Pb计）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铅是一种常见的重金属元素污染物，长期食用铅含量超标的食品，可能会对人体的血液系统、神经系统产生损害，尤其对儿童生长和智力发育的影响较大。《食品安全国家标准 食品中污染物限量》（GB 2762-20</w:t>
      </w:r>
      <w:r>
        <w:rPr>
          <w:rFonts w:hint="default"/>
          <w:kern w:val="0"/>
          <w:sz w:val="32"/>
          <w:szCs w:val="32"/>
          <w:lang w:eastAsia="zh-CN"/>
        </w:rPr>
        <w:t>22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）中规定，铅在</w:t>
      </w:r>
      <w:r>
        <w:rPr>
          <w:rFonts w:hint="default" w:eastAsia="仿宋_GB2312"/>
          <w:kern w:val="0"/>
          <w:sz w:val="32"/>
          <w:szCs w:val="32"/>
          <w:lang w:val="en-US" w:eastAsia="zh-CN"/>
        </w:rPr>
        <w:t>生姜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中最大限量为0.</w:t>
      </w:r>
      <w:r>
        <w:rPr>
          <w:rFonts w:hint="default" w:eastAsia="仿宋_GB2312"/>
          <w:kern w:val="0"/>
          <w:sz w:val="32"/>
          <w:szCs w:val="32"/>
          <w:lang w:eastAsia="zh-CN"/>
        </w:rPr>
        <w:t>2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mg/kg。</w:t>
      </w:r>
      <w:r>
        <w:rPr>
          <w:rFonts w:hint="default"/>
          <w:kern w:val="0"/>
          <w:sz w:val="32"/>
          <w:szCs w:val="32"/>
          <w:lang w:eastAsia="zh-CN"/>
        </w:rPr>
        <w:t>小黄</w:t>
      </w:r>
      <w:r>
        <w:rPr>
          <w:rFonts w:hint="default" w:eastAsia="仿宋_GB2312"/>
          <w:kern w:val="0"/>
          <w:sz w:val="32"/>
          <w:szCs w:val="32"/>
          <w:lang w:eastAsia="zh-CN"/>
        </w:rPr>
        <w:t>姜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中铅超标的原因可能是</w:t>
      </w:r>
      <w:r>
        <w:rPr>
          <w:rFonts w:hint="default" w:eastAsia="仿宋_GB2312"/>
          <w:kern w:val="0"/>
          <w:sz w:val="32"/>
          <w:szCs w:val="32"/>
          <w:lang w:val="en-US" w:eastAsia="zh-CN"/>
        </w:rPr>
        <w:t>可能是种植过程</w:t>
      </w:r>
      <w:r>
        <w:rPr>
          <w:rFonts w:hint="default" w:eastAsia="仿宋_GB2312"/>
          <w:kern w:val="0"/>
          <w:sz w:val="32"/>
          <w:szCs w:val="32"/>
          <w:lang w:eastAsia="zh-CN"/>
        </w:rPr>
        <w:t>对</w:t>
      </w:r>
      <w:r>
        <w:rPr>
          <w:rFonts w:hint="default" w:eastAsia="仿宋_GB2312"/>
          <w:kern w:val="0"/>
          <w:sz w:val="32"/>
          <w:szCs w:val="32"/>
          <w:lang w:val="en-US" w:eastAsia="zh-CN"/>
        </w:rPr>
        <w:t>环境中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铅</w:t>
      </w:r>
      <w:r>
        <w:rPr>
          <w:rFonts w:hint="default" w:eastAsia="仿宋_GB2312"/>
          <w:kern w:val="0"/>
          <w:sz w:val="32"/>
          <w:szCs w:val="32"/>
          <w:lang w:val="en-US" w:eastAsia="zh-CN"/>
        </w:rPr>
        <w:t>元素的富集</w:t>
      </w:r>
      <w:r>
        <w:rPr>
          <w:rFonts w:hint="default" w:eastAsia="仿宋_GB2312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0"/>
        <w:textAlignment w:val="auto"/>
        <w:outlineLvl w:val="0"/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/>
        </w:rPr>
        <w:t>镉（以Cd计）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eastAsia="仿宋_GB2312" w:cs="Times New Roman"/>
          <w:bCs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镉是最常见的重金属元素污染物之一。镉对人体的危害主要是慢性蓄积性，长期大量摄入镉含量超标的食品可能导致肾和骨骼损伤等。</w:t>
      </w:r>
      <w:r>
        <w:rPr>
          <w:rFonts w:hint="eastAsia" w:eastAsia="仿宋_GB2312" w:cs="Times New Roman"/>
          <w:bCs/>
          <w:kern w:val="0"/>
          <w:sz w:val="32"/>
          <w:szCs w:val="32"/>
          <w:lang w:val="en-US" w:eastAsia="zh-CN"/>
        </w:rPr>
        <w:t>《食品安全国家标准 食品中污染物限量》</w:t>
      </w:r>
      <w:r>
        <w:rPr>
          <w:rFonts w:hint="eastAsia" w:eastAsia="仿宋_GB2312"/>
          <w:kern w:val="0"/>
          <w:sz w:val="32"/>
          <w:szCs w:val="32"/>
          <w:lang w:eastAsia="zh-CN"/>
        </w:rPr>
        <w:t>（GB 2762-20</w:t>
      </w:r>
      <w:r>
        <w:rPr>
          <w:rFonts w:hint="default"/>
          <w:kern w:val="0"/>
          <w:sz w:val="32"/>
          <w:szCs w:val="32"/>
          <w:lang w:eastAsia="zh-CN"/>
        </w:rPr>
        <w:t>22</w:t>
      </w:r>
      <w:r>
        <w:rPr>
          <w:rFonts w:hint="eastAsia" w:eastAsia="仿宋_GB2312"/>
          <w:kern w:val="0"/>
          <w:sz w:val="32"/>
          <w:szCs w:val="32"/>
          <w:lang w:eastAsia="zh-CN"/>
        </w:rPr>
        <w:t>）</w:t>
      </w:r>
      <w:r>
        <w:rPr>
          <w:rFonts w:hint="eastAsia" w:eastAsia="仿宋_GB2312" w:cs="Times New Roman"/>
          <w:bCs/>
          <w:kern w:val="0"/>
          <w:sz w:val="32"/>
          <w:szCs w:val="32"/>
          <w:lang w:val="en-US" w:eastAsia="zh-CN"/>
        </w:rPr>
        <w:t>中规定，</w:t>
      </w:r>
      <w:r>
        <w:rPr>
          <w:rFonts w:hint="default" w:cs="Times New Roman"/>
          <w:bCs/>
          <w:kern w:val="0"/>
          <w:sz w:val="32"/>
          <w:szCs w:val="32"/>
          <w:lang w:eastAsia="zh-CN"/>
        </w:rPr>
        <w:t>姜</w:t>
      </w:r>
      <w:r>
        <w:rPr>
          <w:rFonts w:hint="eastAsia" w:eastAsia="仿宋_GB2312" w:cs="Times New Roman"/>
          <w:bCs/>
          <w:kern w:val="0"/>
          <w:sz w:val="32"/>
          <w:szCs w:val="32"/>
          <w:lang w:val="en-US" w:eastAsia="zh-CN"/>
        </w:rPr>
        <w:t>中镉的最大限量为0.</w:t>
      </w:r>
      <w:r>
        <w:rPr>
          <w:rFonts w:hint="default" w:cs="Times New Roman"/>
          <w:bCs/>
          <w:kern w:val="0"/>
          <w:sz w:val="32"/>
          <w:szCs w:val="32"/>
          <w:lang w:eastAsia="zh-CN"/>
        </w:rPr>
        <w:t>1</w:t>
      </w:r>
      <w:r>
        <w:rPr>
          <w:rFonts w:hint="eastAsia" w:eastAsia="仿宋_GB2312" w:cs="Times New Roman"/>
          <w:bCs/>
          <w:kern w:val="0"/>
          <w:sz w:val="32"/>
          <w:szCs w:val="32"/>
          <w:lang w:val="en-US" w:eastAsia="zh-CN"/>
        </w:rPr>
        <w:t xml:space="preserve"> mg/kg。</w:t>
      </w:r>
      <w:r>
        <w:rPr>
          <w:rFonts w:hint="default" w:cs="Times New Roman"/>
          <w:bCs/>
          <w:kern w:val="0"/>
          <w:sz w:val="32"/>
          <w:szCs w:val="32"/>
          <w:lang w:eastAsia="zh-CN"/>
        </w:rPr>
        <w:t>小黄姜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中镉超标的原因，</w:t>
      </w:r>
      <w:r>
        <w:rPr>
          <w:rFonts w:hint="eastAsia" w:eastAsia="仿宋_GB2312" w:cs="Times New Roman"/>
          <w:bCs/>
          <w:kern w:val="0"/>
          <w:sz w:val="32"/>
          <w:szCs w:val="32"/>
          <w:lang w:val="en-US" w:eastAsia="zh-CN"/>
        </w:rPr>
        <w:t>可能是</w:t>
      </w:r>
      <w:r>
        <w:rPr>
          <w:rFonts w:hint="default" w:cs="Times New Roman"/>
          <w:bCs/>
          <w:kern w:val="0"/>
          <w:sz w:val="32"/>
          <w:szCs w:val="32"/>
          <w:lang w:eastAsia="zh-CN"/>
        </w:rPr>
        <w:t>小黄姜</w:t>
      </w:r>
      <w:r>
        <w:rPr>
          <w:rFonts w:hint="eastAsia" w:eastAsia="仿宋_GB2312" w:cs="Times New Roman"/>
          <w:bCs/>
          <w:kern w:val="0"/>
          <w:sz w:val="32"/>
          <w:szCs w:val="32"/>
          <w:lang w:val="en-US" w:eastAsia="zh-CN"/>
        </w:rPr>
        <w:t>在种植过程中</w:t>
      </w:r>
      <w:r>
        <w:rPr>
          <w:rFonts w:hint="default" w:cs="Times New Roman"/>
          <w:bCs/>
          <w:kern w:val="0"/>
          <w:sz w:val="32"/>
          <w:szCs w:val="32"/>
          <w:lang w:eastAsia="zh-CN"/>
        </w:rPr>
        <w:t>对</w:t>
      </w:r>
      <w:r>
        <w:rPr>
          <w:rFonts w:hint="eastAsia" w:eastAsia="仿宋_GB2312" w:cs="Times New Roman"/>
          <w:bCs/>
          <w:kern w:val="0"/>
          <w:sz w:val="32"/>
          <w:szCs w:val="32"/>
          <w:lang w:val="en-US" w:eastAsia="zh-CN"/>
        </w:rPr>
        <w:t>土壤、空气、水源等环境中镉元素的富集。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0"/>
        <w:textAlignment w:val="auto"/>
        <w:outlineLvl w:val="0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噻虫嗪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噻虫嗪是一种第二代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instrText xml:space="preserve"> HYPERLINK "https://baike.baidu.com/item/%E7%83%9F%E7%A2%B1/4832691?fromModule=lemma_inlink" \t "https://baike.baidu.com/item/%E5%99%BB%E8%99%AB%E5%97%AA/_blank" </w:instrTex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烟碱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fldChar w:fldCharType="end"/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类高效低毒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instrText xml:space="preserve"> HYPERLINK "https://baike.baidu.com/item/%E6%9D%80%E8%99%AB%E5%89%82/84412?fromModule=lemma_inlink" \t "https://baike.baidu.com/item/%E5%99%BB%E8%99%AB%E5%97%AA/_blank" </w:instrTex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杀虫剂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fldChar w:fldCharType="end"/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，化学式为C8H10ClN5O3S，对害虫具有胃毒、触杀及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instrText xml:space="preserve"> HYPERLINK "https://baike.baidu.com/item/%E5%86%85%E5%90%B8/2645321?fromModule=lemma_inlink" \t "https://baike.baidu.com/item/%E5%99%BB%E8%99%AB%E5%97%AA/_blank" </w:instrTex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内吸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fldChar w:fldCharType="end"/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活性，用于叶面喷雾及土壤灌根处理。其施药后迅速被内吸，并传导到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instrText xml:space="preserve"> HYPERLINK "https://baike.baidu.com/item/%E6%A4%8D%E6%A0%AA/10940547?fromModule=lemma_inlink" \t "https://baike.baidu.com/item/%E5%99%BB%E8%99%AB%E5%97%AA/_blank" </w:instrTex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植株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fldChar w:fldCharType="end"/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各部位，对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instrText xml:space="preserve"> HYPERLINK "https://baike.baidu.com/item/%E5%88%BA%E5%90%B8%E5%BC%8F%E5%AE%B3%E8%99%AB/10244671?fromModule=lemma_inlink" \t "https://baike.baidu.com/item/%E5%99%BB%E8%99%AB%E5%97%AA/_blank" </w:instrTex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刺吸式害虫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fldChar w:fldCharType="end"/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如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instrText xml:space="preserve"> HYPERLINK "https://baike.baidu.com/item/%E8%9A%9C%E8%99%AB/417019?fromModule=lemma_inlink" \t "https://baike.baidu.com/item/%E5%99%BB%E8%99%AB%E5%97%AA/_blank" </w:instrTex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蚜虫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fldChar w:fldCharType="end"/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instrText xml:space="preserve"> HYPERLINK "https://baike.baidu.com/item/%E9%A3%9E%E8%99%B1/5953853?fromModule=lemma_inlink" \t "https://baike.baidu.com/item/%E5%99%BB%E8%99%AB%E5%97%AA/_blank" </w:instrTex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飞虱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fldChar w:fldCharType="end"/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instrText xml:space="preserve"> HYPERLINK "https://baike.baidu.com/item/%E5%8F%B6%E8%9D%89/417095?fromModule=lemma_inlink" \t "https://baike.baidu.com/item/%E5%99%BB%E8%99%AB%E5%97%AA/_blank" </w:instrTex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叶蝉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fldChar w:fldCharType="end"/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instrText xml:space="preserve"> HYPERLINK "https://baike.baidu.com/item/%E7%B2%89%E8%99%B1/6608908?fromModule=lemma_inlink" \t "https://baike.baidu.com/item/%E5%99%BB%E8%99%AB%E5%97%AA/_blank" </w:instrTex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粉虱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fldChar w:fldCharType="end"/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等有良好的防效。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作为常用杀虫药，这几种是常用的药物，但种植户为了尽快获利，未等到衰减期过，就上市进行销售，所以造成超标情况。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0"/>
        <w:textAlignment w:val="auto"/>
        <w:outlineLvl w:val="0"/>
        <w:rPr>
          <w:rFonts w:hint="default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吡虫啉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吡虫啉是一种烟碱类超高效杀虫剂，具有广谱、高效、低毒、低残留等特点，并有触杀、胃毒和内吸等多重作用。《食品安全国家标准 食品中农药最大残留限量》（GB 2763—2021）中规定，吡虫啉在香蕉中最大残留限量值</w:t>
      </w:r>
      <w:r>
        <w:rPr>
          <w:rFonts w:hint="default" w:cs="Times New Roman"/>
          <w:bCs/>
          <w:kern w:val="0"/>
          <w:sz w:val="32"/>
          <w:szCs w:val="32"/>
          <w:lang w:eastAsia="zh-CN"/>
        </w:rPr>
        <w:t>为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0.05mg/kg。香蕉中吡虫啉超标，可能是种植主体为快速控制虫害加大用药量，在接近收获期使用农药或未遵守采摘间隔期规定，致使上市销售时产品中的药物残留量未降解至标准限量以下。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0"/>
        <w:textAlignment w:val="auto"/>
        <w:outlineLvl w:val="0"/>
        <w:rPr>
          <w:rFonts w:hint="default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default" w:ascii="黑体" w:hAnsi="黑体" w:eastAsia="黑体" w:cs="黑体"/>
          <w:kern w:val="0"/>
          <w:sz w:val="32"/>
          <w:szCs w:val="32"/>
          <w:lang w:eastAsia="zh-CN"/>
        </w:rPr>
        <w:t>吡唑醚菌酯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吡唑醚菌酯</w:t>
      </w:r>
      <w:r>
        <w:rPr>
          <w:rFonts w:hint="default" w:cs="Times New Roman"/>
          <w:bCs/>
          <w:kern w:val="0"/>
          <w:sz w:val="32"/>
          <w:szCs w:val="32"/>
          <w:lang w:eastAsia="zh-CN"/>
        </w:rPr>
        <w:t>是一种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甲氧基丙烯酸酯类杀菌剂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，是具有保护、治疗和传导作用的杀菌剂。会引起像推迟衰老、叶片变绿、对生物和非生物胁迫耐受性更好等生理效应，能更有效地利用水和氮。用于防治主要的植物病害，如谷物的小麦壳针孢、柄锈菌、小麦德斯霉菌、肝圆核腔菌、黑麦喙孢菌和麦颖枯病，花生的球腔菌，大豆的线虫病、思茅松毛虫病和大豆锈菌，葡萄的霜霉病和白粉菌，马铃薯和番茄的疫霉病和早疫病，黄瓜的霜霉病和白粉病，香蕉的黑条叶斑病菌，柑橘的痂囊腔菌和球座菌，草坪的纹枯病和腐霉菌。大鼠急性经</w:t>
      </w:r>
      <w:r>
        <w:rPr>
          <w:rFonts w:hint="default" w:cs="Times New Roman"/>
          <w:bCs/>
          <w:kern w:val="0"/>
          <w:sz w:val="32"/>
          <w:szCs w:val="32"/>
          <w:lang w:eastAsia="zh-CN"/>
        </w:rPr>
        <w:t>口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LD50＞5000mg/kg，急性毒性分级为微毒级。对皮肤、眼睛和呼吸道等有刺激作用，无人体全身性中毒报道。食用食品一般不会导致吡唑醚菌酯的急性中毒，但长期食用吡唑醚菌酯超标的食品，对人体健康也有一定影响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根据《食品安全国家标准 食品中农药最大残留限量》（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GB 2763-2021）中的规定，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eastAsia="zh-CN"/>
        </w:rPr>
        <w:t>食荚豌豆中吡唑醚菌酯的最大限量为0.02mg/kg，</w:t>
      </w:r>
      <w:r>
        <w:rPr>
          <w:rFonts w:hint="default" w:cs="Times New Roman"/>
          <w:bCs/>
          <w:kern w:val="0"/>
          <w:sz w:val="32"/>
          <w:szCs w:val="32"/>
          <w:lang w:eastAsia="zh-CN"/>
        </w:rPr>
        <w:t>食荚豌豆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eastAsia="zh-CN"/>
        </w:rPr>
        <w:t>中</w:t>
      </w:r>
      <w:r>
        <w:rPr>
          <w:rFonts w:hint="default" w:cs="Times New Roman"/>
          <w:bCs/>
          <w:kern w:val="0"/>
          <w:sz w:val="32"/>
          <w:szCs w:val="32"/>
          <w:lang w:eastAsia="zh-CN"/>
        </w:rPr>
        <w:t>吡唑醚菌酯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超标的原因，可能是为</w:t>
      </w:r>
      <w:r>
        <w:rPr>
          <w:rFonts w:hint="default" w:cs="Times New Roman"/>
          <w:bCs/>
          <w:kern w:val="0"/>
          <w:sz w:val="32"/>
          <w:szCs w:val="32"/>
          <w:lang w:eastAsia="zh-CN"/>
        </w:rPr>
        <w:t>防治真菌类病害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，</w:t>
      </w:r>
      <w:r>
        <w:rPr>
          <w:rFonts w:hint="default" w:cs="Times New Roman"/>
          <w:bCs/>
          <w:kern w:val="0"/>
          <w:sz w:val="32"/>
          <w:szCs w:val="32"/>
          <w:lang w:eastAsia="zh-CN"/>
        </w:rPr>
        <w:t>延缓作物衰老，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加大用药量或未遵守采摘间隔期规定，致使上市销售的产品中残留量超标。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0"/>
        <w:textAlignment w:val="auto"/>
        <w:outlineLvl w:val="0"/>
        <w:rPr>
          <w:rFonts w:hint="default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default" w:ascii="黑体" w:hAnsi="黑体" w:eastAsia="黑体" w:cs="黑体"/>
          <w:kern w:val="0"/>
          <w:sz w:val="32"/>
          <w:szCs w:val="32"/>
          <w:lang w:eastAsia="zh-CN"/>
        </w:rPr>
        <w:t>丙环唑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丙环唑是一种有保护和治疗作用的内吸性叶面杀菌剂，通过木质部向顶传导。具有广泛活性的内吸叶面杀菌剂。用于谷物防治由黄瓜旋孢腔菌、禾白粉菌、颖枯壳小球腔菌、锈菌、圆核腔菌、小麦黄斑病菌、黑麦喙孢、壳针孢属菌等引起的病害；用于香蕉防治由球腔菌属和香蕉黑叶条斑菌引起的病害；用于草坪防治菌核病、纹枯病、锈 病和白粉病；用于水稻防治纹枯病、稻胡麻斑病和污穗复合物；用于咖啡防治驼孢锈菌引起的病害；用于花生防治尾孢属；用于坚果防治褐腐菌、白粉菌、叉丝单囊属和抚双胞锈 菌属；用于玉米防治蠕孢菌引起的病害。大鼠急性经</w:t>
      </w:r>
      <w:r>
        <w:rPr>
          <w:rFonts w:hint="default" w:cs="Times New Roman"/>
          <w:bCs/>
          <w:kern w:val="0"/>
          <w:sz w:val="32"/>
          <w:szCs w:val="32"/>
          <w:lang w:eastAsia="zh-CN"/>
        </w:rPr>
        <w:t>口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 xml:space="preserve">LD50 为1517mg/kg，急性毒性分级为低毒级。有机杂环类杀菌剂，这类农药对人毒性低，但对皮肤、眼睛有刺激。食用食品一般不会导致丙环唑的急性中毒，但长期食用丙环唑超标的食品，对人体健康也有一定影响。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根据《食品安全国家标准 食品中农药最大残留限量》（GB 2763-2021）中的规定，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eastAsia="zh-CN"/>
        </w:rPr>
        <w:t>葱中丙环唑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的最大限量为0.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eastAsia="zh-CN"/>
        </w:rPr>
        <w:t>5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mg/kg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eastAsia="zh-CN"/>
        </w:rPr>
        <w:t>，葱中丙环唑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超标的原因，可能是为防治真菌类病害，加大用药量或未遵守采摘间隔期规定，致使上市销售的产品中残留量超标。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0"/>
        <w:textAlignment w:val="auto"/>
        <w:outlineLvl w:val="0"/>
        <w:rPr>
          <w:rFonts w:hint="default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default" w:ascii="黑体" w:hAnsi="黑体" w:eastAsia="黑体" w:cs="黑体"/>
          <w:kern w:val="0"/>
          <w:sz w:val="32"/>
          <w:szCs w:val="32"/>
          <w:lang w:eastAsia="zh-CN"/>
        </w:rPr>
        <w:t>霉菌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 xml:space="preserve">霉菌是真菌的一种，寄生或腐生方式生存。霉菌有的使食品转变为有毒物质，有的可能在食品中产生毒素，即霉菌毒素。食品中的霉菌含量一般以霉菌数表示。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食品中霉菌数是指食品检样经过处理，在一定条件下培养后，计数所得 1g 或 1mL 检样中所形成的霉菌菌落数，通常以 CFU/g 或 CFU/mL 表示。霉菌数是评价食品卫生质量的指示性指标，其食品卫生学意义是作为判定食品被霉菌污染程度的标志。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 xml:space="preserve">霉菌是常见的真菌，在自然界中广泛存在。食品受霉菌污染后，不仅颜色、味道可能发生改变，其中的营养物质也会遭到破坏，降低其食用价值；且很多种霉菌能产生毒素，危害人体健康。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 xml:space="preserve">食品中霉菌超标的原因，可能是原料或包装材料受到霉菌污染；也可能是产品在生产加工过程中环境或生产设备卫生状况不佳；还可能与产品储运条件控制不当有关。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0"/>
        <w:textAlignment w:val="auto"/>
        <w:outlineLvl w:val="0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default" w:ascii="黑体" w:hAnsi="黑体" w:eastAsia="黑体" w:cs="黑体"/>
          <w:kern w:val="0"/>
          <w:sz w:val="32"/>
          <w:szCs w:val="32"/>
          <w:lang w:eastAsia="zh-CN"/>
        </w:rPr>
        <w:t>脱氢乙酸</w:t>
      </w: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及其钠盐</w:t>
      </w:r>
    </w:p>
    <w:p>
      <w:pPr>
        <w:keepNext w:val="0"/>
        <w:keepLines w:val="0"/>
        <w:widowControl/>
        <w:suppressLineNumbers w:val="0"/>
        <w:ind w:firstLine="632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脱氢乙酸及其钠盐作为一种广谱食品防腐剂，对霉菌和酵母菌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的抑制能力强，为苯甲酸钠的</w:t>
      </w:r>
      <w:r>
        <w:rPr>
          <w:rFonts w:hint="eastAsia" w:ascii="仿宋_GB2312" w:hAnsi="仿宋_GB2312" w:eastAsia="仿宋_GB2312" w:cs="仿宋_GB2312"/>
          <w:spacing w:val="-47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2</w:t>
      </w:r>
      <w:r>
        <w:rPr>
          <w:rFonts w:hint="default" w:ascii="仿宋_GB2312" w:hAnsi="仿宋_GB2312" w:cs="仿宋_GB2312"/>
          <w:spacing w:val="-3"/>
          <w:sz w:val="32"/>
          <w:szCs w:val="32"/>
        </w:rPr>
        <w:t>～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10 倍，在高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剂量使用时能抑制细菌。</w:t>
      </w:r>
    </w:p>
    <w:p>
      <w:pPr>
        <w:keepNext w:val="0"/>
        <w:keepLines w:val="0"/>
        <w:widowControl/>
        <w:suppressLineNumbers w:val="0"/>
        <w:ind w:firstLine="636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脱氢乙酸毒性较低，按标准规定的范围和使用量使用是安全的。脱氢乙酸及其钠盐能被人体完全吸收，并能抑制人体内多种氧化酶，长期过量摄入脱氢乙酸及其钠盐会危害人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体健康。</w:t>
      </w:r>
    </w:p>
    <w:p>
      <w:pPr>
        <w:keepNext w:val="0"/>
        <w:keepLines w:val="0"/>
        <w:widowControl/>
        <w:suppressLineNumbers w:val="0"/>
        <w:ind w:firstLine="636" w:firstLineChars="200"/>
        <w:jc w:val="left"/>
        <w:rPr>
          <w:rFonts w:hint="eastAsia" w:ascii="仿宋_GB2312" w:hAnsi="仿宋_GB2312" w:eastAsia="仿宋_GB2312" w:cs="仿宋_GB2312"/>
          <w:spacing w:val="-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脱氢乙酸超标的原因可能是个别生产经营企业为防止食品腐败变质，超量使用了该添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加剂，或者其使用的复配添加剂中该添加剂含量较高</w:t>
      </w:r>
      <w:r>
        <w:rPr>
          <w:rFonts w:hint="default" w:ascii="仿宋_GB2312" w:hAnsi="仿宋_GB2312" w:cs="仿宋_GB2312"/>
          <w:spacing w:val="-3"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也可能是在添加过程中未计量或计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量不准。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0"/>
        <w:textAlignment w:val="auto"/>
        <w:outlineLvl w:val="0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default" w:ascii="黑体" w:hAnsi="黑体" w:eastAsia="黑体" w:cs="黑体"/>
          <w:kern w:val="0"/>
          <w:sz w:val="32"/>
          <w:szCs w:val="32"/>
          <w:lang w:eastAsia="zh-CN"/>
        </w:rPr>
        <w:t>氧氟沙星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氧氟沙星是为第三代喹诺酮类抗菌药。具有抗菌谱广和口服吸收良好的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优点。对葡萄球菌、链球菌（包括肠球菌）、肺炎链球菌、淋球菌、大肠杆菌、枸橼酸杆菌、志贺杆菌、肺炎克雷伯杆菌、肠杆菌属、沙雷杆菌属、变形杆菌、流感嗜血杆菌、不动杆菌、螺旋杆菌等有较好的抗菌作用，对铜绿假单胞菌和沙眼衣原体也有一定的抗菌作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用。</w:t>
      </w:r>
    </w:p>
    <w:p>
      <w:pPr>
        <w:keepNext w:val="0"/>
        <w:keepLines w:val="0"/>
        <w:widowControl/>
        <w:suppressLineNumbers w:val="0"/>
        <w:ind w:firstLine="636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动物产品的氧氟沙星残留，一般不会导致对人体的急性毒性作用；长期大量摄入氧氟沙星残留超标的食品，可能在人体内蓄积，引起肾功能障碍、肝酶升高、血细胞和血小板</w:t>
      </w:r>
    </w:p>
    <w:p>
      <w:pPr>
        <w:spacing w:line="219" w:lineRule="auto"/>
        <w:ind w:left="37"/>
        <w:rPr>
          <w:rFonts w:ascii="宋体" w:hAnsi="宋体" w:eastAsia="宋体" w:cs="宋体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减少、胃肠功能障碍、过敏反应和中枢症状等。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ힿ?ힿ?ힿ?ힿ?" w:hAnsi="ힿ?ힿ?ힿ?ힿ?" w:eastAsia="ힿ?ힿ?ힿ?ힿ?" w:cs="ힿ?ힿ?ힿ?ힿ?"/>
          <w:color w:val="000000"/>
          <w:kern w:val="0"/>
          <w:sz w:val="21"/>
          <w:szCs w:val="21"/>
          <w:lang w:eastAsia="zh-CN" w:bidi="ar"/>
        </w:rPr>
      </w:pPr>
    </w:p>
    <w:p>
      <w:pPr>
        <w:numPr>
          <w:ilvl w:val="0"/>
          <w:numId w:val="0"/>
        </w:numPr>
        <w:spacing w:line="360" w:lineRule="auto"/>
        <w:ind w:firstLine="640"/>
        <w:rPr>
          <w:rFonts w:hint="default"/>
        </w:rPr>
      </w:pPr>
    </w:p>
    <w:p>
      <w:pPr>
        <w:numPr>
          <w:ilvl w:val="0"/>
          <w:numId w:val="0"/>
        </w:numPr>
        <w:spacing w:line="360" w:lineRule="auto"/>
        <w:ind w:firstLine="640"/>
        <w:rPr>
          <w:rFonts w:hint="default" w:eastAsia="宋体" w:cs="Times New Roman"/>
          <w:bCs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eastAsia="仿宋_GB2312"/>
          <w:kern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ힿ?ힿ?ힿ?ힿ?">
    <w:altName w:val="阿里巴巴普惠体 R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阿里巴巴普惠体 R">
    <w:panose1 w:val="00020600040101010101"/>
    <w:charset w:val="86"/>
    <w:family w:val="auto"/>
    <w:pitch w:val="default"/>
    <w:sig w:usb0="A00002FF" w:usb1="7ACF7CFB" w:usb2="0000001E" w:usb3="00000000" w:csb0="0004009F" w:csb1="0000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70B551"/>
    <w:multiLevelType w:val="singleLevel"/>
    <w:tmpl w:val="FB70B551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jZWQ0MGFlYTFiMmE3ZmUyNGVjOWYwYjY1MTdlZDUifQ=="/>
  </w:docVars>
  <w:rsids>
    <w:rsidRoot w:val="13933077"/>
    <w:rsid w:val="0A1A3822"/>
    <w:rsid w:val="13933077"/>
    <w:rsid w:val="1DFAF1FE"/>
    <w:rsid w:val="3B9EA039"/>
    <w:rsid w:val="3FEFAAA4"/>
    <w:rsid w:val="3FFE90F0"/>
    <w:rsid w:val="3FFF3E9D"/>
    <w:rsid w:val="40923879"/>
    <w:rsid w:val="427174BE"/>
    <w:rsid w:val="45486BFC"/>
    <w:rsid w:val="4DA702BE"/>
    <w:rsid w:val="4FADFA3C"/>
    <w:rsid w:val="54A656ED"/>
    <w:rsid w:val="54D8B2EB"/>
    <w:rsid w:val="5BFBCA0A"/>
    <w:rsid w:val="5F797CB5"/>
    <w:rsid w:val="5FBF8755"/>
    <w:rsid w:val="5FD5BA12"/>
    <w:rsid w:val="620F5688"/>
    <w:rsid w:val="6DB79CC1"/>
    <w:rsid w:val="6DD939D8"/>
    <w:rsid w:val="6FCC496E"/>
    <w:rsid w:val="6FDDEECF"/>
    <w:rsid w:val="6FEF77DD"/>
    <w:rsid w:val="71F34370"/>
    <w:rsid w:val="733D8842"/>
    <w:rsid w:val="73537EBD"/>
    <w:rsid w:val="76B31878"/>
    <w:rsid w:val="77EF1385"/>
    <w:rsid w:val="7B7F55A5"/>
    <w:rsid w:val="7BFCF1DE"/>
    <w:rsid w:val="7ECD89A9"/>
    <w:rsid w:val="7EDF177E"/>
    <w:rsid w:val="7F55C47F"/>
    <w:rsid w:val="7F6B00FA"/>
    <w:rsid w:val="7FAE334C"/>
    <w:rsid w:val="7FCFCCAB"/>
    <w:rsid w:val="7FF70FDD"/>
    <w:rsid w:val="9F99EE0A"/>
    <w:rsid w:val="B7DBBFF9"/>
    <w:rsid w:val="CBFF4A00"/>
    <w:rsid w:val="D977D8DD"/>
    <w:rsid w:val="DBBBC71F"/>
    <w:rsid w:val="DCEBD9ED"/>
    <w:rsid w:val="DF3DA38A"/>
    <w:rsid w:val="DF7FB655"/>
    <w:rsid w:val="DFE61FE7"/>
    <w:rsid w:val="E7FFA4D7"/>
    <w:rsid w:val="EDEE0A0B"/>
    <w:rsid w:val="EF6DCD86"/>
    <w:rsid w:val="EF7714D0"/>
    <w:rsid w:val="F54FE93B"/>
    <w:rsid w:val="F6D71663"/>
    <w:rsid w:val="F7FA6328"/>
    <w:rsid w:val="FB9D1EAA"/>
    <w:rsid w:val="FBFF118C"/>
    <w:rsid w:val="FDBFD974"/>
    <w:rsid w:val="FDDE72CC"/>
    <w:rsid w:val="FDF77A3C"/>
    <w:rsid w:val="FDFD5E4F"/>
    <w:rsid w:val="FE7FA3C9"/>
    <w:rsid w:val="FEE92E8D"/>
    <w:rsid w:val="FEFBD9DF"/>
    <w:rsid w:val="FF7FA0D8"/>
    <w:rsid w:val="FFDB8B14"/>
    <w:rsid w:val="FFDF3DB6"/>
    <w:rsid w:val="FFEF5431"/>
    <w:rsid w:val="FFFA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qFormat/>
    <w:uiPriority w:val="0"/>
  </w:style>
  <w:style w:type="character" w:styleId="6">
    <w:name w:val="Hyperlink"/>
    <w:basedOn w:val="4"/>
    <w:qFormat/>
    <w:uiPriority w:val="0"/>
    <w:rPr>
      <w:color w:val="0000FF"/>
      <w:u w:val="single"/>
    </w:rPr>
  </w:style>
  <w:style w:type="paragraph" w:styleId="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555</Words>
  <Characters>603</Characters>
  <Lines>0</Lines>
  <Paragraphs>0</Paragraphs>
  <TotalTime>1</TotalTime>
  <ScaleCrop>false</ScaleCrop>
  <LinksUpToDate>false</LinksUpToDate>
  <CharactersWithSpaces>609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2022-04-28T11:06:00Z</dcterms:created>
  <dc:creator>Administrator</dc:creator>
  <cp:lastModifiedBy>greatwall</cp:lastModifiedBy>
  <dcterms:modified xsi:type="dcterms:W3CDTF">2024-05-20T15:19:53Z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  <property fmtid="{D5CDD505-2E9C-101B-9397-08002B2CF9AE}" pid="3" name="ICV">
    <vt:lpwstr>3355DAE8153C4F9193298452F95E6A31</vt:lpwstr>
  </property>
</Properties>
</file>