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pacing w:line="56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评分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表</w:t>
      </w:r>
    </w:p>
    <w:bookmarkEnd w:id="0"/>
    <w:tbl>
      <w:tblPr>
        <w:tblStyle w:val="4"/>
        <w:tblW w:w="95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45"/>
        <w:gridCol w:w="1276"/>
        <w:gridCol w:w="5766"/>
        <w:gridCol w:w="6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评审项目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评审内容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评审准则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245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服务响应情况评分（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提供微信公众号推送策划方案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）提供方案的推送内容能紧贴生态环境思想与国家方针，版面设计优秀的，得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20分；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）提供方案的推送内容能围绕生态环境思想与国家方针，版面设计良好的，得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15分；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）提供方案的推送内容围绕生态环境思想与国家方针不紧密，版面设计一般的，得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10分；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）未提供策划方案的，该项不得分。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245" w:type="dxa"/>
            <w:vMerge w:val="continue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提供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全国生态日环保宣传线上活动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的策划方案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对项目总体认识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十分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全面，设计方案能充分贴合活动主题理念，对项目建设服务需求把握到位，论述完整清晰，得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分；</w:t>
            </w:r>
          </w:p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对项目总体认识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较为全面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，设计方案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贴合活动主题理念，对项目建设服务需求把握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较为到位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，论述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比较清晰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分；</w:t>
            </w:r>
          </w:p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对项目总体认识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一般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，设计方案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基本贴合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活动主题理念，对项目建设服务需求把握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一般，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论述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比较模糊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分；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）未提供策划方案的，该项不得分。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服务计划响应情况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服务计划完善、切合实际，利于项目开展工作，便于实施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，在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2小时（含2小时）内响应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分；</w:t>
            </w:r>
          </w:p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服务计划基本可行、基本满足实际需求，可以开展工作，可以实施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，在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2-4小时（含4小时）响应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分；</w:t>
            </w:r>
          </w:p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服务计划一般、与实际情况有所出入，基本可以开展工作，实施效果一般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，在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4小时后响应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分；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未提供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  <w:lang w:eastAsia="zh-CN"/>
              </w:rPr>
              <w:t>服务计划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的，该项不得分。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245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商务评分（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企业综合实力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）配备专业采编团队，拥有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1名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专业采编人员得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3分，每增加1名采编人员加3分，最高不超过9分；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在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eastAsia="zh-CN"/>
              </w:rPr>
              <w:t>）提供的人员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中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</w:rPr>
              <w:t>有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获得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eastAsia="zh-CN"/>
              </w:rPr>
              <w:t>专业采编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资格证等与项目执行环节相关专业人员的，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</w:rPr>
              <w:t>1名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加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分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</w:rPr>
              <w:t>，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本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eastAsia="zh-CN"/>
              </w:rPr>
              <w:t>小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</w:rPr>
              <w:t>项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</w:rPr>
              <w:t>最高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eastAsia="zh-CN"/>
              </w:rPr>
              <w:t>得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lang w:val="en-US" w:eastAsia="zh-CN"/>
              </w:rPr>
              <w:t>6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</w:rPr>
              <w:t>分。</w:t>
            </w:r>
          </w:p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说明：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  <w:lang w:eastAsia="zh-CN"/>
              </w:rPr>
              <w:t>须提供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</w:rPr>
              <w:t>相关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人员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  <w:lang w:eastAsia="zh-CN"/>
              </w:rPr>
              <w:t>开标前三个月内任意一个月的社保证明，社保缴纳单位须与投标主体一致或属其子、母公司；获得相关专业资格证书的人员需提供对应证件的扫描件，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没有提供或提供无效证明材料</w:t>
            </w:r>
            <w:r>
              <w:rPr>
                <w:rFonts w:hint="eastAsia" w:ascii="Times New Roman" w:hAnsi="Times New Roman" w:eastAsia="微软雅黑"/>
                <w:color w:val="0C0C0C"/>
                <w:kern w:val="0"/>
                <w:sz w:val="20"/>
                <w:szCs w:val="20"/>
              </w:rPr>
              <w:t>的</w:t>
            </w:r>
            <w:r>
              <w:rPr>
                <w:rFonts w:ascii="Times New Roman" w:hAnsi="Times New Roman" w:eastAsia="微软雅黑"/>
                <w:color w:val="0C0C0C"/>
                <w:kern w:val="0"/>
                <w:sz w:val="20"/>
                <w:szCs w:val="20"/>
              </w:rPr>
              <w:t>不得分。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同类项目业绩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提供自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2021年以来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投标人独立承办的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新媒体运营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服务项目案例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或开展的线上活动案例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，每个得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分，最高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不超过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分。</w:t>
            </w:r>
          </w:p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说明：须提供合同关键页扫描件，相关项目实施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效果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照片。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价格评分（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5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500" w:lineRule="exact"/>
              <w:jc w:val="both"/>
              <w:rPr>
                <w:rFonts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满足招标文件要求且价格最低的投标价为基准价，其价格分为满分。其他投标人的价格分统一按照下列公式计算：价格分=(基准价／投标报价)×价格权值×100[对符合规定的小型和微型企业（监狱企业、残疾人福利单位视同小型、微型企业）报价给予10%的价格扣除。]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1419"/>
    <w:rsid w:val="2E1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2024-05-30T01:17:00Z</dcterms:created>
  <dc:creator>李耀明</dc:creator>
  <cp:lastModifiedBy>李耀明</cp:lastModifiedBy>
  <dcterms:modified xsi:type="dcterms:W3CDTF">2024-05-30T01:18:04Z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