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ind w:firstLine="640"/>
        <w:rPr>
          <w:rFonts w:ascii="仿宋_GB2312" w:eastAsia="仿宋_GB2312" w:hint="eastAsia"/>
          <w:color w:val="000000" w:themeColor="text1"/>
          <w:sz w:val="32"/>
          <w:szCs w:val="32"/>
          <w:lang w:eastAsia="zh-CN"/>
          <w14:textFill>
            <w14:solidFill>
              <w14:schemeClr w14:val="tx1"/>
            </w14:solidFill>
          </w14:textFill>
        </w:rPr>
      </w:pPr>
      <w:r>
        <w:rPr>
          <w:rFonts w:ascii="仿宋_GB2312" w:eastAsia="仿宋_GB2312" w:hint="eastAsia"/>
          <w:color w:val="000000" w:themeColor="text1"/>
          <w:sz w:val="32"/>
          <w:szCs w:val="32"/>
          <w:lang w:eastAsia="zh-CN"/>
          <w14:textFill>
            <w14:solidFill>
              <w14:schemeClr w14:val="tx1"/>
            </w14:solidFill>
          </w14:textFill>
        </w:rPr>
        <w:t>附件</w:t>
      </w:r>
      <w:r>
        <w:rPr>
          <w:rFonts w:ascii="仿宋_GB2312" w:eastAsia="仿宋_GB2312" w:hint="eastAsia"/>
          <w:color w:val="000000" w:themeColor="text1"/>
          <w:sz w:val="32"/>
          <w:szCs w:val="32"/>
          <w:lang w:eastAsia="zh-CN"/>
          <w14:textFill>
            <w14:solidFill>
              <w14:schemeClr w14:val="tx1"/>
            </w14:solidFill>
          </w14:textFill>
        </w:rPr>
        <w:t>：</w:t>
      </w:r>
    </w:p>
    <w:p>
      <w:pPr>
        <w:ind w:firstLine="640"/>
        <w:rPr>
          <w:rFonts w:ascii="仿宋_GB2312" w:eastAsia="仿宋_GB2312" w:hint="eastAsia"/>
          <w:color w:val="000000" w:themeColor="text1"/>
          <w:sz w:val="32"/>
          <w:szCs w:val="32"/>
          <w:lang w:eastAsia="zh-CN"/>
          <w14:textFill>
            <w14:solidFill>
              <w14:schemeClr w14:val="tx1"/>
            </w14:solidFill>
          </w14:textFill>
        </w:rPr>
      </w:pPr>
    </w:p>
    <w:p>
      <w:pPr>
        <w:pStyle w:val="BodyText"/>
        <w:adjustRightInd/>
        <w:spacing w:after="120" w:line="740" w:lineRule="exact"/>
        <w:jc w:val="center"/>
        <w:textAlignment w:val="auto"/>
        <w:rPr>
          <w:rFonts w:eastAsia="方正小标宋简体" w:cs="方正小标宋简体" w:hint="eastAsia"/>
          <w:color w:val="000000" w:themeColor="text1"/>
          <w:kern w:val="0"/>
          <w:sz w:val="52"/>
          <w:szCs w:val="52"/>
          <w14:textFill>
            <w14:solidFill>
              <w14:schemeClr w14:val="tx1"/>
            </w14:solidFill>
          </w14:textFill>
        </w:rPr>
      </w:pPr>
      <w:r>
        <w:rPr>
          <w:rFonts w:eastAsia="方正小标宋简体" w:cs="方正小标宋简体" w:hint="eastAsia"/>
          <w:color w:val="000000" w:themeColor="text1"/>
          <w:kern w:val="0"/>
          <w:sz w:val="52"/>
          <w:szCs w:val="52"/>
          <w14:textFill>
            <w14:solidFill>
              <w14:schemeClr w14:val="tx1"/>
            </w14:solidFill>
          </w14:textFill>
        </w:rPr>
        <w:t>202</w:t>
      </w:r>
      <w:r>
        <w:rPr>
          <w:rFonts w:eastAsia="方正小标宋简体" w:cs="方正小标宋简体"/>
          <w:color w:val="000000" w:themeColor="text1"/>
          <w:kern w:val="0"/>
          <w:sz w:val="52"/>
          <w:szCs w:val="52"/>
          <w14:textFill>
            <w14:solidFill>
              <w14:schemeClr w14:val="tx1"/>
            </w14:solidFill>
          </w14:textFill>
        </w:rPr>
        <w:t>3</w:t>
      </w:r>
      <w:r>
        <w:rPr>
          <w:rFonts w:eastAsia="方正小标宋简体" w:cs="方正小标宋简体" w:hint="eastAsia"/>
          <w:color w:val="000000" w:themeColor="text1"/>
          <w:kern w:val="0"/>
          <w:sz w:val="52"/>
          <w:szCs w:val="52"/>
          <w14:textFill>
            <w14:solidFill>
              <w14:schemeClr w14:val="tx1"/>
            </w14:solidFill>
          </w14:textFill>
        </w:rPr>
        <w:t>年度</w:t>
      </w:r>
      <w:r>
        <w:rPr>
          <w:rFonts w:eastAsia="方正小标宋简体" w:cs="方正小标宋简体" w:hint="eastAsia"/>
          <w:color w:val="000000" w:themeColor="text1"/>
          <w:kern w:val="0"/>
          <w:sz w:val="52"/>
          <w:szCs w:val="52"/>
          <w:lang w:eastAsia="zh-CN"/>
          <w14:textFill>
            <w14:solidFill>
              <w14:schemeClr w14:val="tx1"/>
            </w14:solidFill>
          </w14:textFill>
        </w:rPr>
        <w:t>江门</w:t>
      </w:r>
      <w:r>
        <w:rPr>
          <w:rFonts w:ascii="Times New Roman" w:eastAsia="方正小标宋简体" w:hAnsi="Times New Roman" w:cs="方正小标宋简体" w:hint="eastAsia"/>
          <w:color w:val="000000" w:themeColor="text1"/>
          <w:kern w:val="0"/>
          <w:sz w:val="52"/>
          <w:szCs w:val="52"/>
          <w14:textFill>
            <w14:solidFill>
              <w14:schemeClr w14:val="tx1"/>
            </w14:solidFill>
          </w14:textFill>
        </w:rPr>
        <w:t>地区（部门）</w:t>
      </w:r>
      <w:r>
        <w:rPr>
          <w:rFonts w:eastAsia="方正小标宋简体" w:cs="方正小标宋简体" w:hint="eastAsia"/>
          <w:color w:val="000000" w:themeColor="text1"/>
          <w:kern w:val="0"/>
          <w:sz w:val="52"/>
          <w:szCs w:val="52"/>
          <w14:textFill>
            <w14:solidFill>
              <w14:schemeClr w14:val="tx1"/>
            </w14:solidFill>
          </w14:textFill>
        </w:rPr>
        <w:t>行政事业</w:t>
      </w:r>
    </w:p>
    <w:p>
      <w:pPr>
        <w:pStyle w:val="BodyText"/>
        <w:adjustRightInd/>
        <w:spacing w:after="120" w:line="740" w:lineRule="exact"/>
        <w:jc w:val="center"/>
        <w:textAlignment w:val="auto"/>
        <w:rPr>
          <w:rFonts w:eastAsia="方正小标宋简体" w:cs="方正小标宋简体"/>
          <w:color w:val="000000" w:themeColor="text1"/>
          <w:kern w:val="0"/>
          <w:sz w:val="52"/>
          <w:szCs w:val="52"/>
          <w14:textFill>
            <w14:solidFill>
              <w14:schemeClr w14:val="tx1"/>
            </w14:solidFill>
          </w14:textFill>
        </w:rPr>
      </w:pPr>
      <w:r>
        <w:rPr>
          <w:rFonts w:eastAsia="方正小标宋简体" w:cs="方正小标宋简体" w:hint="eastAsia"/>
          <w:color w:val="000000" w:themeColor="text1"/>
          <w:kern w:val="0"/>
          <w:sz w:val="52"/>
          <w:szCs w:val="52"/>
          <w14:textFill>
            <w14:solidFill>
              <w14:schemeClr w14:val="tx1"/>
            </w14:solidFill>
          </w14:textFill>
        </w:rPr>
        <w:t>单位</w:t>
      </w:r>
      <w:r>
        <w:rPr>
          <w:rFonts w:eastAsia="方正小标宋简体" w:cs="方正小标宋简体" w:hint="eastAsia"/>
          <w:color w:val="000000" w:themeColor="text1"/>
          <w:kern w:val="0"/>
          <w:sz w:val="52"/>
          <w:szCs w:val="52"/>
          <w14:textFill>
            <w14:solidFill>
              <w14:schemeClr w14:val="tx1"/>
            </w14:solidFill>
          </w14:textFill>
        </w:rPr>
        <w:t>内部控制报告</w:t>
      </w:r>
    </w:p>
    <w:p>
      <w:pPr>
        <w:ind w:firstLine="482"/>
        <w:jc w:val="center"/>
        <w:rPr>
          <w:rFonts w:ascii="黑体" w:eastAsia="黑体"/>
          <w:b/>
          <w:color w:val="000000" w:themeColor="text1"/>
          <w:sz w:val="24"/>
          <w14:textFill>
            <w14:solidFill>
              <w14:schemeClr w14:val="tx1"/>
            </w14:solidFill>
          </w14:textFill>
        </w:rPr>
      </w:pPr>
    </w:p>
    <w:p>
      <w:pPr>
        <w:ind w:firstLine="482"/>
        <w:jc w:val="center"/>
        <w:rPr>
          <w:rFonts w:ascii="黑体" w:eastAsia="黑体"/>
          <w:b/>
          <w:color w:val="000000" w:themeColor="text1"/>
          <w:sz w:val="24"/>
          <w14:textFill>
            <w14:solidFill>
              <w14:schemeClr w14:val="tx1"/>
            </w14:solidFill>
          </w14:textFill>
        </w:rPr>
      </w:pPr>
    </w:p>
    <w:p>
      <w:pPr>
        <w:spacing w:line="480" w:lineRule="exact"/>
        <w:ind w:firstLine="640"/>
        <w:jc w:val="center"/>
        <w:outlineLvl w:val="0"/>
        <w:rPr>
          <w:rFonts w:ascii="仿宋_GB2312" w:eastAsia="仿宋_GB2312"/>
          <w:color w:val="000000" w:themeColor="text1"/>
          <w:sz w:val="32"/>
          <w:szCs w:val="32"/>
          <w14:textFill>
            <w14:solidFill>
              <w14:schemeClr w14:val="tx1"/>
            </w14:solidFill>
          </w14:textFill>
        </w:rPr>
      </w:pPr>
      <w:r>
        <w:rPr>
          <w:rFonts w:ascii="仿宋_GB2312" w:eastAsia="仿宋_GB2312" w:hint="eastAsia"/>
          <w:color w:val="000000" w:themeColor="text1"/>
          <w:sz w:val="32"/>
          <w:szCs w:val="32"/>
          <w14:textFill>
            <w14:solidFill>
              <w14:schemeClr w14:val="tx1"/>
            </w14:solidFill>
          </w14:textFill>
        </w:rPr>
        <w:t>(单位公章)</w:t>
      </w:r>
    </w:p>
    <w:p>
      <w:pPr>
        <w:spacing w:line="480" w:lineRule="exact"/>
        <w:ind w:firstLine="640"/>
        <w:jc w:val="center"/>
        <w:outlineLvl w:val="0"/>
        <w:rPr>
          <w:rFonts w:ascii="仿宋_GB2312" w:eastAsia="仿宋_GB2312"/>
          <w:color w:val="000000" w:themeColor="text1"/>
          <w:sz w:val="32"/>
          <w:szCs w:val="32"/>
          <w14:textFill>
            <w14:solidFill>
              <w14:schemeClr w14:val="tx1"/>
            </w14:solidFill>
          </w14:textFill>
        </w:rPr>
      </w:pPr>
    </w:p>
    <w:p>
      <w:pPr>
        <w:spacing w:line="480" w:lineRule="exact"/>
        <w:ind w:firstLine="1280" w:firstLineChars="400"/>
        <w:jc w:val="left"/>
        <w:outlineLvl w:val="0"/>
        <w:rPr>
          <w:rFonts w:ascii="仿宋" w:eastAsia="仿宋" w:hAnsi="仿宋" w:hint="eastAsia"/>
          <w:color w:val="000000" w:themeColor="text1"/>
          <w:sz w:val="32"/>
          <w:szCs w:val="32"/>
          <w:u w:val="single"/>
          <w:lang w:eastAsia="zh-CN"/>
          <w14:textFill>
            <w14:solidFill>
              <w14:schemeClr w14:val="tx1"/>
            </w14:solidFill>
          </w14:textFill>
        </w:rPr>
      </w:pPr>
      <w:r>
        <w:rPr>
          <w:rFonts w:ascii="仿宋" w:eastAsia="仿宋" w:hAnsi="仿宋" w:hint="eastAsia"/>
          <w:color w:val="000000" w:themeColor="text1"/>
          <w:sz w:val="32"/>
          <w:szCs w:val="32"/>
          <w14:textFill>
            <w14:solidFill>
              <w14:schemeClr w14:val="tx1"/>
            </w14:solidFill>
          </w14:textFill>
        </w:rPr>
        <w:t>单 位 名 称:</w:t>
      </w:r>
      <w:r>
        <w:rPr>
          <w:rFonts w:ascii="仿宋" w:eastAsia="仿宋" w:hAnsi="仿宋"/>
          <w:color w:val="000000" w:themeColor="text1"/>
          <w:sz w:val="32"/>
          <w:szCs w:val="32"/>
          <w14:textFill>
            <w14:solidFill>
              <w14:schemeClr w14:val="tx1"/>
            </w14:solidFill>
          </w14:textFill>
        </w:rPr>
        <w:t xml:space="preserve"> </w:t>
      </w:r>
      <w:r>
        <w:rPr>
          <w:rFonts w:ascii="仿宋" w:eastAsia="仿宋" w:hAnsi="仿宋" w:hint="eastAsia"/>
          <w:color w:val="000000" w:themeColor="text1"/>
          <w:sz w:val="32"/>
          <w:szCs w:val="32"/>
          <w:u w:val="single"/>
          <w:lang w:eastAsia="zh-CN"/>
          <w14:textFill>
            <w14:solidFill>
              <w14:schemeClr w14:val="tx1"/>
            </w14:solidFill>
          </w14:textFill>
        </w:rPr>
        <w:t>广东省江门市</w:t>
      </w:r>
    </w:p>
    <w:p>
      <w:pPr>
        <w:spacing w:line="480" w:lineRule="exact"/>
        <w:ind w:firstLine="1280" w:firstLineChars="400"/>
        <w:jc w:val="left"/>
        <w:outlineLvl w:val="0"/>
        <w:rPr>
          <w:rFonts w:ascii="仿宋_GB2312" w:eastAsia="仿宋_GB2312"/>
          <w:color w:val="000000"/>
          <w:sz w:val="32"/>
          <w:szCs w:val="32"/>
          <w:u w:val="single"/>
        </w:rPr>
      </w:pPr>
      <w:r>
        <w:rPr>
          <w:rFonts w:ascii="仿宋" w:eastAsia="仿宋" w:hAnsi="仿宋" w:hint="eastAsia"/>
          <w:color w:val="000000" w:themeColor="text1"/>
          <w:sz w:val="32"/>
          <w:szCs w:val="32"/>
          <w14:textFill>
            <w14:solidFill>
              <w14:schemeClr w14:val="tx1"/>
            </w14:solidFill>
          </w14:textFill>
        </w:rPr>
        <w:t xml:space="preserve">单 位 负 责 人: </w:t>
      </w:r>
      <w:r>
        <w:rPr>
          <w:rFonts w:ascii="仿宋_GB2312" w:eastAsia="仿宋_GB2312" w:hint="eastAsia"/>
          <w:color w:val="000000"/>
          <w:sz w:val="32"/>
          <w:szCs w:val="32"/>
          <w:u w:val="single"/>
          <w:lang w:eastAsia="zh-CN"/>
        </w:rPr>
        <w:t>王远林</w:t>
      </w:r>
      <w:r>
        <w:rPr>
          <w:rFonts w:ascii="仿宋_GB2312" w:eastAsia="仿宋_GB2312" w:hint="eastAsia"/>
          <w:color w:val="000000"/>
          <w:sz w:val="32"/>
          <w:szCs w:val="32"/>
          <w:u w:val="single"/>
        </w:rPr>
        <w:t xml:space="preserve"> (签章)</w:t>
      </w:r>
    </w:p>
    <w:p>
      <w:pPr>
        <w:spacing w:line="480" w:lineRule="exact"/>
        <w:ind w:firstLine="1280" w:firstLineChars="400"/>
        <w:jc w:val="left"/>
        <w:outlineLvl w:val="0"/>
        <w:rPr>
          <w:rFonts w:ascii="仿宋_GB2312" w:eastAsia="仿宋_GB2312"/>
          <w:color w:val="000000"/>
          <w:sz w:val="32"/>
          <w:szCs w:val="32"/>
        </w:rPr>
      </w:pPr>
      <w:r>
        <w:rPr>
          <w:rFonts w:ascii="仿宋" w:eastAsia="仿宋" w:hAnsi="仿宋" w:hint="eastAsia"/>
          <w:color w:val="000000" w:themeColor="text1"/>
          <w:sz w:val="32"/>
          <w:szCs w:val="32"/>
          <w14:textFill>
            <w14:solidFill>
              <w14:schemeClr w14:val="tx1"/>
            </w14:solidFill>
          </w14:textFill>
        </w:rPr>
        <w:t>分管内控负责人:</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lang w:eastAsia="zh-CN"/>
        </w:rPr>
        <w:t>叶丽婷</w:t>
      </w:r>
      <w:r>
        <w:rPr>
          <w:rFonts w:ascii="仿宋_GB2312" w:eastAsia="仿宋_GB2312" w:hint="eastAsia"/>
          <w:color w:val="000000"/>
          <w:sz w:val="32"/>
          <w:szCs w:val="32"/>
          <w:u w:val="single"/>
        </w:rPr>
        <w:t xml:space="preserve"> (签章)</w:t>
      </w:r>
    </w:p>
    <w:p>
      <w:pPr>
        <w:spacing w:line="480" w:lineRule="exact"/>
        <w:ind w:firstLine="1280" w:firstLineChars="400"/>
        <w:jc w:val="left"/>
        <w:outlineLvl w:val="0"/>
        <w:rPr>
          <w:rFonts w:ascii="仿宋_GB2312" w:eastAsia="仿宋_GB2312"/>
          <w:color w:val="000000"/>
          <w:sz w:val="32"/>
          <w:szCs w:val="32"/>
        </w:rPr>
      </w:pPr>
      <w:r>
        <w:rPr>
          <w:rFonts w:ascii="仿宋" w:eastAsia="仿宋" w:hAnsi="仿宋" w:hint="eastAsia"/>
          <w:color w:val="000000" w:themeColor="text1"/>
          <w:sz w:val="32"/>
          <w:szCs w:val="32"/>
          <w14:textFill>
            <w14:solidFill>
              <w14:schemeClr w14:val="tx1"/>
            </w14:solidFill>
          </w14:textFill>
        </w:rPr>
        <w:t>牵头部门负责人</w:t>
      </w:r>
      <w:r>
        <w:rPr>
          <w:rFonts w:ascii="仿宋_GB2312" w:eastAsia="仿宋_GB2312" w:hint="eastAsia"/>
          <w:color w:val="000000"/>
          <w:sz w:val="32"/>
          <w:szCs w:val="32"/>
        </w:rPr>
        <w:t>:</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lang w:eastAsia="zh-CN"/>
        </w:rPr>
        <w:t>邓粹红</w:t>
      </w:r>
      <w:r>
        <w:rPr>
          <w:rFonts w:ascii="仿宋_GB2312" w:eastAsia="仿宋_GB2312" w:hint="eastAsia"/>
          <w:color w:val="000000"/>
          <w:sz w:val="32"/>
          <w:szCs w:val="32"/>
          <w:u w:val="single"/>
        </w:rPr>
        <w:t xml:space="preserve"> (签章)</w:t>
      </w:r>
    </w:p>
    <w:p>
      <w:pPr>
        <w:spacing w:line="480" w:lineRule="exact"/>
        <w:ind w:firstLine="1280" w:firstLineChars="400"/>
        <w:jc w:val="left"/>
        <w:outlineLvl w:val="0"/>
        <w:rPr>
          <w:rFonts w:ascii="仿宋_GB2312" w:eastAsia="仿宋_GB2312"/>
          <w:color w:val="000000"/>
          <w:sz w:val="32"/>
          <w:szCs w:val="32"/>
        </w:rPr>
      </w:pPr>
      <w:r>
        <w:rPr>
          <w:rFonts w:ascii="仿宋_GB2312" w:eastAsia="仿宋_GB2312" w:hint="eastAsia"/>
          <w:color w:val="000000"/>
          <w:sz w:val="32"/>
          <w:szCs w:val="32"/>
        </w:rPr>
        <w:t>填  表  人:</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lang w:eastAsia="zh-CN"/>
        </w:rPr>
        <w:t>施海平</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rPr>
        <w:t>(签章)</w:t>
      </w:r>
    </w:p>
    <w:p>
      <w:pPr>
        <w:spacing w:line="480" w:lineRule="exact"/>
        <w:ind w:firstLine="1280" w:firstLineChars="400"/>
        <w:jc w:val="left"/>
        <w:outlineLvl w:val="0"/>
        <w:rPr>
          <w:rFonts w:ascii="仿宋_GB2312" w:eastAsia="仿宋_GB2312" w:hint="eastAsia"/>
          <w:color w:val="000000"/>
          <w:sz w:val="32"/>
          <w:szCs w:val="32"/>
          <w:lang w:eastAsia="zh-CN"/>
        </w:rPr>
      </w:pPr>
      <w:r>
        <w:rPr>
          <w:rFonts w:ascii="仿宋_GB2312" w:eastAsia="仿宋_GB2312" w:hint="eastAsia"/>
          <w:color w:val="000000"/>
          <w:sz w:val="32"/>
          <w:szCs w:val="32"/>
        </w:rPr>
        <w:t>填 表 部 门:</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lang w:eastAsia="zh-CN"/>
        </w:rPr>
        <w:t>会计科</w:t>
      </w:r>
    </w:p>
    <w:p>
      <w:pPr>
        <w:spacing w:line="480" w:lineRule="exact"/>
        <w:ind w:firstLine="1280" w:firstLineChars="400"/>
        <w:jc w:val="left"/>
        <w:outlineLvl w:val="0"/>
        <w:rPr>
          <w:rFonts w:ascii="仿宋_GB2312" w:eastAsia="仿宋_GB2312" w:hint="eastAsia"/>
          <w:color w:val="000000"/>
          <w:sz w:val="32"/>
          <w:szCs w:val="32"/>
          <w:u w:val="single"/>
          <w:lang w:eastAsia="zh-CN"/>
        </w:rPr>
      </w:pPr>
      <w:r>
        <w:rPr>
          <w:rFonts w:ascii="仿宋_GB2312" w:eastAsia="仿宋_GB2312" w:hint="eastAsia"/>
          <w:color w:val="000000"/>
          <w:sz w:val="32"/>
          <w:szCs w:val="32"/>
        </w:rPr>
        <w:t>电 话 号 码:</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lang w:eastAsia="zh-CN"/>
        </w:rPr>
        <w:t>0750-3501622</w:t>
      </w:r>
    </w:p>
    <w:p>
      <w:pPr>
        <w:spacing w:line="480" w:lineRule="exact"/>
        <w:ind w:firstLine="1280" w:firstLineChars="400"/>
        <w:jc w:val="left"/>
        <w:outlineLvl w:val="0"/>
        <w:rPr>
          <w:rFonts w:ascii="仿宋_GB2312" w:eastAsia="仿宋_GB2312" w:hint="eastAsia"/>
          <w:color w:val="000000"/>
          <w:sz w:val="32"/>
          <w:szCs w:val="32"/>
          <w:u w:val="single"/>
          <w:lang w:eastAsia="zh-CN"/>
        </w:rPr>
      </w:pPr>
      <w:r>
        <w:rPr>
          <w:rFonts w:ascii="仿宋_GB2312" w:eastAsia="仿宋_GB2312" w:hint="eastAsia"/>
          <w:color w:val="000000"/>
          <w:sz w:val="32"/>
          <w:szCs w:val="32"/>
        </w:rPr>
        <w:t>单 位 地 址:</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lang w:eastAsia="zh-CN"/>
        </w:rPr>
        <w:t>广东省江门市蓬江区华园中路21、23号</w:t>
      </w:r>
    </w:p>
    <w:p>
      <w:pPr>
        <w:spacing w:line="480" w:lineRule="exact"/>
        <w:ind w:firstLine="1280" w:firstLineChars="400"/>
        <w:jc w:val="left"/>
        <w:outlineLvl w:val="0"/>
        <w:rPr>
          <w:rFonts w:ascii="仿宋_GB2312" w:eastAsia="仿宋_GB2312" w:hint="eastAsia"/>
          <w:b/>
          <w:color w:val="000000"/>
          <w:sz w:val="32"/>
          <w:szCs w:val="32"/>
          <w:u w:val="single"/>
          <w:lang w:eastAsia="zh-CN"/>
        </w:rPr>
      </w:pPr>
      <w:r>
        <w:rPr>
          <w:rFonts w:ascii="仿宋_GB2312" w:eastAsia="仿宋_GB2312" w:hint="eastAsia"/>
          <w:color w:val="000000"/>
          <w:sz w:val="32"/>
          <w:szCs w:val="32"/>
        </w:rPr>
        <w:t>邮 政 编 码:</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lang w:eastAsia="zh-CN"/>
        </w:rPr>
        <w:t>529000</w:t>
      </w:r>
    </w:p>
    <w:p>
      <w:pPr>
        <w:spacing w:line="480" w:lineRule="exact"/>
        <w:ind w:firstLine="1280" w:firstLineChars="400"/>
        <w:jc w:val="left"/>
        <w:outlineLvl w:val="0"/>
        <w:rPr>
          <w:rFonts w:ascii="仿宋_GB2312" w:eastAsia="仿宋_GB2312"/>
          <w:color w:val="000000"/>
          <w:sz w:val="32"/>
          <w:szCs w:val="32"/>
          <w:u w:val="single"/>
        </w:rPr>
      </w:pPr>
      <w:r>
        <w:rPr>
          <w:rFonts w:ascii="仿宋_GB2312" w:eastAsia="仿宋_GB2312" w:hint="eastAsia"/>
          <w:color w:val="000000"/>
          <w:sz w:val="32"/>
          <w:szCs w:val="32"/>
        </w:rPr>
        <w:t>报 送 日 期:</w:t>
      </w:r>
      <w:r>
        <w:rPr>
          <w:rFonts w:ascii="仿宋_GB2312" w:eastAsia="仿宋_GB2312"/>
          <w:color w:val="000000"/>
          <w:sz w:val="32"/>
          <w:szCs w:val="32"/>
          <w:u w:val="single"/>
        </w:rPr>
        <w:t xml:space="preserve"> </w:t>
      </w:r>
      <w:r>
        <w:rPr>
          <w:rFonts w:ascii="仿宋_GB2312" w:eastAsia="仿宋_GB2312" w:hint="eastAsia"/>
          <w:color w:val="000000"/>
          <w:sz w:val="32"/>
          <w:szCs w:val="32"/>
          <w:u w:val="single"/>
          <w:lang w:eastAsia="zh-CN"/>
        </w:rPr>
        <w:t>2024</w:t>
      </w:r>
      <w:r>
        <w:rPr>
          <w:rFonts w:ascii="仿宋_GB2312" w:eastAsia="仿宋_GB2312" w:hint="eastAsia"/>
          <w:color w:val="000000"/>
          <w:sz w:val="32"/>
          <w:szCs w:val="32"/>
          <w:u w:val="single"/>
        </w:rPr>
        <w:t>年</w:t>
      </w:r>
      <w:r>
        <w:rPr>
          <w:rFonts w:ascii="仿宋_GB2312" w:eastAsia="仿宋_GB2312" w:hint="eastAsia"/>
          <w:color w:val="000000"/>
          <w:sz w:val="32"/>
          <w:szCs w:val="32"/>
          <w:u w:val="single"/>
          <w:lang w:eastAsia="zh-CN"/>
        </w:rPr>
        <w:t>5</w:t>
      </w:r>
      <w:r>
        <w:rPr>
          <w:rFonts w:ascii="仿宋_GB2312" w:eastAsia="仿宋_GB2312" w:hint="eastAsia"/>
          <w:color w:val="000000"/>
          <w:sz w:val="32"/>
          <w:szCs w:val="32"/>
          <w:u w:val="single"/>
        </w:rPr>
        <w:t>月</w:t>
      </w:r>
      <w:r>
        <w:rPr>
          <w:rFonts w:ascii="仿宋_GB2312" w:eastAsia="仿宋_GB2312" w:hint="eastAsia"/>
          <w:color w:val="000000"/>
          <w:sz w:val="32"/>
          <w:szCs w:val="32"/>
          <w:u w:val="single"/>
          <w:lang w:val="en-US" w:eastAsia="zh-CN"/>
        </w:rPr>
        <w:t>31</w:t>
      </w:r>
      <w:r>
        <w:rPr>
          <w:rFonts w:ascii="仿宋_GB2312" w:eastAsia="仿宋_GB2312" w:hint="eastAsia"/>
          <w:color w:val="000000"/>
          <w:sz w:val="32"/>
          <w:szCs w:val="32"/>
          <w:u w:val="single"/>
        </w:rPr>
        <w:t>日</w:t>
      </w:r>
    </w:p>
    <w:p>
      <w:pPr>
        <w:pStyle w:val="BodyText"/>
        <w:adjustRightInd/>
        <w:spacing w:after="62" w:afterLines="20" w:line="520" w:lineRule="exact"/>
        <w:ind w:firstLine="616"/>
        <w:jc w:val="center"/>
        <w:textAlignment w:val="auto"/>
        <w:rPr>
          <w:rFonts w:ascii="楷体_GB2312" w:eastAsia="楷体_GB2312" w:hAnsi="宋体" w:cs="宋体"/>
          <w:color w:val="000000" w:themeColor="text1"/>
          <w:spacing w:val="-6"/>
          <w:kern w:val="0"/>
          <w:sz w:val="32"/>
          <w:szCs w:val="32"/>
          <w14:textFill>
            <w14:solidFill>
              <w14:schemeClr w14:val="tx1"/>
            </w14:solidFill>
          </w14:textFill>
        </w:rPr>
      </w:pPr>
    </w:p>
    <w:p>
      <w:pPr>
        <w:pStyle w:val="BodyText"/>
        <w:adjustRightInd/>
        <w:spacing w:after="62" w:afterLines="20" w:line="520" w:lineRule="exact"/>
        <w:ind w:firstLine="616"/>
        <w:jc w:val="center"/>
        <w:textAlignment w:val="auto"/>
        <w:rPr>
          <w:rFonts w:ascii="楷体_GB2312" w:eastAsia="楷体_GB2312" w:hAnsi="宋体" w:cs="宋体"/>
          <w:color w:val="000000" w:themeColor="text1"/>
          <w:spacing w:val="-6"/>
          <w:kern w:val="0"/>
          <w:sz w:val="32"/>
          <w:szCs w:val="32"/>
          <w14:textFill>
            <w14:solidFill>
              <w14:schemeClr w14:val="tx1"/>
            </w14:solidFill>
          </w14:textFill>
        </w:rPr>
      </w:pPr>
    </w:p>
    <w:p>
      <w:pPr>
        <w:pStyle w:val="BodyText"/>
        <w:adjustRightInd/>
        <w:spacing w:after="62" w:afterLines="20" w:line="520" w:lineRule="exact"/>
        <w:jc w:val="center"/>
        <w:textAlignment w:val="auto"/>
        <w:rPr>
          <w:rFonts w:ascii="楷体_GB2312" w:eastAsia="楷体_GB2312" w:hAnsi="宋体" w:cs="宋体"/>
          <w:color w:val="000000" w:themeColor="text1"/>
          <w:spacing w:val="-6"/>
          <w:kern w:val="0"/>
          <w:sz w:val="32"/>
          <w:szCs w:val="32"/>
          <w14:textFill>
            <w14:solidFill>
              <w14:schemeClr w14:val="tx1"/>
            </w14:solidFill>
          </w14:textFill>
        </w:rPr>
      </w:pPr>
      <w:r>
        <w:rPr>
          <w:rFonts w:ascii="楷体_GB2312" w:eastAsia="楷体_GB2312" w:hAnsi="宋体" w:cs="宋体" w:hint="eastAsia"/>
          <w:color w:val="000000" w:themeColor="text1"/>
          <w:spacing w:val="-6"/>
          <w:kern w:val="0"/>
          <w:sz w:val="32"/>
          <w:szCs w:val="32"/>
          <w14:textFill>
            <w14:solidFill>
              <w14:schemeClr w14:val="tx1"/>
            </w14:solidFill>
          </w14:textFill>
        </w:rPr>
        <w:t>财政部</w:t>
      </w:r>
    </w:p>
    <w:p>
      <w:pPr>
        <w:pStyle w:val="BodyText"/>
        <w:adjustRightInd/>
        <w:spacing w:after="62" w:afterLines="20" w:line="520" w:lineRule="exact"/>
        <w:jc w:val="center"/>
        <w:textAlignment w:val="auto"/>
        <w:rPr>
          <w:rFonts w:ascii="黑体" w:eastAsia="黑体"/>
          <w:color w:val="000000" w:themeColor="text1"/>
          <w:sz w:val="32"/>
          <w:szCs w:val="32"/>
          <w14:textFill>
            <w14:solidFill>
              <w14:schemeClr w14:val="tx1"/>
            </w14:solidFill>
          </w14:textFill>
        </w:rPr>
      </w:pPr>
      <w:r>
        <w:rPr>
          <w:rFonts w:eastAsia="楷体_GB2312" w:hint="eastAsia"/>
          <w:color w:val="000000" w:themeColor="text1"/>
          <w:spacing w:val="-6"/>
          <w:kern w:val="0"/>
          <w:sz w:val="32"/>
          <w:szCs w:val="32"/>
          <w14:textFill>
            <w14:solidFill>
              <w14:schemeClr w14:val="tx1"/>
            </w14:solidFill>
          </w14:textFill>
        </w:rPr>
        <w:t>202</w:t>
      </w:r>
      <w:r>
        <w:rPr>
          <w:rFonts w:eastAsia="楷体_GB2312"/>
          <w:color w:val="000000" w:themeColor="text1"/>
          <w:spacing w:val="-6"/>
          <w:kern w:val="0"/>
          <w:sz w:val="32"/>
          <w:szCs w:val="32"/>
          <w14:textFill>
            <w14:solidFill>
              <w14:schemeClr w14:val="tx1"/>
            </w14:solidFill>
          </w14:textFill>
        </w:rPr>
        <w:t>4</w:t>
      </w:r>
      <w:r>
        <w:rPr>
          <w:rFonts w:ascii="楷体_GB2312" w:eastAsia="楷体_GB2312" w:hAnsi="宋体" w:cs="宋体" w:hint="eastAsia"/>
          <w:color w:val="000000" w:themeColor="text1"/>
          <w:spacing w:val="-6"/>
          <w:kern w:val="0"/>
          <w:sz w:val="32"/>
          <w:szCs w:val="32"/>
          <w14:textFill>
            <w14:solidFill>
              <w14:schemeClr w14:val="tx1"/>
            </w14:solidFill>
          </w14:textFill>
        </w:rPr>
        <w:t>年 制</w:t>
      </w:r>
    </w:p>
    <w:p>
      <w:pPr>
        <w:spacing w:line="480" w:lineRule="exact"/>
        <w:ind w:firstLine="640"/>
        <w:rPr>
          <w:rFonts w:ascii="黑体" w:eastAsia="黑体"/>
          <w:color w:val="000000" w:themeColor="text1"/>
          <w:sz w:val="32"/>
          <w:szCs w:val="32"/>
          <w14:textFill>
            <w14:solidFill>
              <w14:schemeClr w14:val="tx1"/>
            </w14:solidFill>
          </w14:textFill>
        </w:rPr>
      </w:pPr>
    </w:p>
    <w:p>
      <w:pPr>
        <w:tabs>
          <w:tab w:val="left" w:pos="851"/>
        </w:tabs>
        <w:ind w:firstLine="562"/>
        <w:rPr>
          <w:rFonts w:ascii="仿宋_GB2312" w:eastAsia="仿宋_GB2312"/>
          <w:b/>
          <w:color w:val="000000" w:themeColor="text1"/>
          <w:sz w:val="28"/>
          <w:szCs w:val="28"/>
          <w14:textFill>
            <w14:solidFill>
              <w14:schemeClr w14:val="tx1"/>
            </w14:solidFill>
          </w14:textFill>
        </w:rPr>
        <w:sectPr>
          <w:footerReference w:type="even" r:id="rId5"/>
          <w:footerReference w:type="default" r:id="rId6"/>
          <w:pgSz w:w="11906" w:h="16838"/>
          <w:pgMar w:top="1440" w:right="1080" w:bottom="1440" w:left="1423" w:header="851" w:footer="499" w:gutter="0"/>
          <w:cols w:num="1" w:space="720"/>
          <w:docGrid w:type="lines" w:linePitch="312" w:charSpace="0"/>
        </w:sectPr>
      </w:pPr>
    </w:p>
    <w:p>
      <w:pPr>
        <w:spacing w:line="560" w:lineRule="exact"/>
        <w:jc w:val="center"/>
        <w:rPr>
          <w:rFonts w:ascii="黑体" w:eastAsia="黑体"/>
          <w:color w:val="000000" w:themeColor="text1"/>
          <w:spacing w:val="-10"/>
          <w:sz w:val="44"/>
          <w:szCs w:val="44"/>
          <w14:textFill>
            <w14:solidFill>
              <w14:schemeClr w14:val="tx1"/>
            </w14:solidFill>
          </w14:textFill>
        </w:rPr>
      </w:pPr>
      <w:r>
        <w:rPr>
          <w:rFonts w:ascii="黑体" w:eastAsia="黑体" w:cs="方正小标宋简体" w:hint="eastAsia"/>
          <w:color w:val="000000" w:themeColor="text1"/>
          <w:spacing w:val="-10"/>
          <w:sz w:val="44"/>
          <w:szCs w:val="44"/>
          <w14:textFill>
            <w14:solidFill>
              <w14:schemeClr w14:val="tx1"/>
            </w14:solidFill>
          </w14:textFill>
        </w:rPr>
        <w:t>填 报 须 知</w:t>
      </w:r>
    </w:p>
    <w:p>
      <w:pPr>
        <w:spacing w:line="460" w:lineRule="exact"/>
        <w:ind w:firstLine="600" w:firstLineChars="200"/>
        <w:rPr>
          <w:rFonts w:eastAsia="仿宋_GB2312" w:cs="仿宋_GB2312"/>
          <w:color w:val="000000" w:themeColor="text1"/>
          <w:spacing w:val="4"/>
          <w:sz w:val="30"/>
          <w:szCs w:val="30"/>
          <w14:textFill>
            <w14:solidFill>
              <w14:schemeClr w14:val="tx1"/>
            </w14:solidFill>
          </w14:textFill>
        </w:rPr>
      </w:pP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1.2023</w:t>
      </w:r>
      <w:r>
        <w:rPr>
          <w:rFonts w:eastAsia="仿宋_GB2312" w:cs="仿宋_GB2312" w:hint="eastAsia"/>
          <w:color w:val="000000" w:themeColor="text1"/>
          <w:spacing w:val="4"/>
          <w:sz w:val="28"/>
          <w:szCs w:val="28"/>
          <w14:textFill>
            <w14:solidFill>
              <w14:schemeClr w14:val="tx1"/>
            </w14:solidFill>
          </w14:textFill>
        </w:rPr>
        <w:t>年度地区（部门）汇总内部控制报告分为正文和附表两个部分。</w:t>
      </w: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2.</w:t>
      </w:r>
      <w:r>
        <w:rPr>
          <w:rFonts w:eastAsia="仿宋_GB2312" w:cs="仿宋_GB2312" w:hint="eastAsia"/>
          <w:color w:val="000000" w:themeColor="text1"/>
          <w:spacing w:val="4"/>
          <w:sz w:val="28"/>
          <w:szCs w:val="28"/>
          <w14:textFill>
            <w14:solidFill>
              <w14:schemeClr w14:val="tx1"/>
            </w14:solidFill>
          </w14:textFill>
        </w:rPr>
        <w:t>本报告由地方各级财政部门和各级行政主管部门根据本地区（部门）所属单位内部控制报告编报情况如实填报，并对所填情况的真实性、完整性负责。</w:t>
      </w: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3.</w:t>
      </w:r>
      <w:r>
        <w:rPr>
          <w:rFonts w:eastAsia="仿宋_GB2312" w:cs="仿宋_GB2312" w:hint="eastAsia"/>
          <w:color w:val="000000" w:themeColor="text1"/>
          <w:spacing w:val="4"/>
          <w:sz w:val="28"/>
          <w:szCs w:val="28"/>
          <w14:textFill>
            <w14:solidFill>
              <w14:schemeClr w14:val="tx1"/>
            </w14:solidFill>
          </w14:textFill>
        </w:rPr>
        <w:t>各地区、各部门应在</w:t>
      </w:r>
      <w:r>
        <w:rPr>
          <w:rFonts w:eastAsia="仿宋_GB2312" w:cs="仿宋_GB2312"/>
          <w:color w:val="000000" w:themeColor="text1"/>
          <w:spacing w:val="4"/>
          <w:sz w:val="28"/>
          <w:szCs w:val="28"/>
          <w14:textFill>
            <w14:solidFill>
              <w14:schemeClr w14:val="tx1"/>
            </w14:solidFill>
          </w14:textFill>
        </w:rPr>
        <w:t>2023</w:t>
      </w:r>
      <w:r>
        <w:rPr>
          <w:rFonts w:eastAsia="仿宋_GB2312" w:cs="仿宋_GB2312" w:hint="eastAsia"/>
          <w:color w:val="000000" w:themeColor="text1"/>
          <w:spacing w:val="4"/>
          <w:sz w:val="28"/>
          <w:szCs w:val="28"/>
          <w14:textFill>
            <w14:solidFill>
              <w14:schemeClr w14:val="tx1"/>
            </w14:solidFill>
          </w14:textFill>
        </w:rPr>
        <w:t>年度行政事业单位内部控制报告填报系统中填报相关内容，汇总所属单位内部控制报告相关数据，系统自动生成“</w:t>
      </w:r>
      <w:r>
        <w:rPr>
          <w:rFonts w:eastAsia="仿宋_GB2312" w:cs="仿宋_GB2312"/>
          <w:color w:val="000000" w:themeColor="text1"/>
          <w:spacing w:val="4"/>
          <w:sz w:val="28"/>
          <w:szCs w:val="28"/>
          <w14:textFill>
            <w14:solidFill>
              <w14:schemeClr w14:val="tx1"/>
            </w14:solidFill>
          </w14:textFill>
        </w:rPr>
        <w:t>2023</w:t>
      </w:r>
      <w:r>
        <w:rPr>
          <w:rFonts w:eastAsia="仿宋_GB2312" w:cs="仿宋_GB2312" w:hint="eastAsia"/>
          <w:color w:val="000000" w:themeColor="text1"/>
          <w:spacing w:val="4"/>
          <w:sz w:val="28"/>
          <w:szCs w:val="28"/>
          <w14:textFill>
            <w14:solidFill>
              <w14:schemeClr w14:val="tx1"/>
            </w14:solidFill>
          </w14:textFill>
        </w:rPr>
        <w:t>年度地区（部门）行政事业单位汇总内部控制报告”。</w:t>
      </w: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4.</w:t>
      </w:r>
      <w:r>
        <w:rPr>
          <w:rFonts w:eastAsia="仿宋_GB2312" w:cs="仿宋_GB2312" w:hint="eastAsia"/>
          <w:color w:val="000000" w:themeColor="text1"/>
          <w:spacing w:val="4"/>
          <w:sz w:val="28"/>
          <w:szCs w:val="28"/>
          <w14:textFill>
            <w14:solidFill>
              <w14:schemeClr w14:val="tx1"/>
            </w14:solidFill>
          </w14:textFill>
        </w:rPr>
        <w:t>表内的年、月、日一律用公历和阿拉伯数字表示。</w:t>
      </w: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5.</w:t>
      </w:r>
      <w:r>
        <w:rPr>
          <w:rFonts w:eastAsia="仿宋_GB2312" w:cs="仿宋_GB2312" w:hint="eastAsia"/>
          <w:color w:val="000000" w:themeColor="text1"/>
          <w:spacing w:val="4"/>
          <w:sz w:val="28"/>
          <w:szCs w:val="28"/>
          <w14:textFill>
            <w14:solidFill>
              <w14:schemeClr w14:val="tx1"/>
            </w14:solidFill>
          </w14:textFill>
        </w:rPr>
        <w:t>电话号码处填写填表人的联系电话号码。</w:t>
      </w: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6.</w:t>
      </w:r>
      <w:r>
        <w:rPr>
          <w:rFonts w:eastAsia="仿宋_GB2312" w:cs="仿宋_GB2312" w:hint="eastAsia"/>
          <w:color w:val="000000" w:themeColor="text1"/>
          <w:spacing w:val="4"/>
          <w:sz w:val="28"/>
          <w:szCs w:val="28"/>
          <w14:textFill>
            <w14:solidFill>
              <w14:schemeClr w14:val="tx1"/>
            </w14:solidFill>
          </w14:textFill>
        </w:rPr>
        <w:t>报送日期填写单位负责人审批通过内部控制报告的时间。</w:t>
      </w: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7.</w:t>
      </w:r>
      <w:r>
        <w:rPr>
          <w:rFonts w:eastAsia="仿宋_GB2312" w:cs="仿宋_GB2312" w:hint="eastAsia"/>
          <w:color w:val="000000" w:themeColor="text1"/>
          <w:spacing w:val="4"/>
          <w:sz w:val="28"/>
          <w:szCs w:val="28"/>
          <w14:textFill>
            <w14:solidFill>
              <w14:schemeClr w14:val="tx1"/>
            </w14:solidFill>
          </w14:textFill>
        </w:rPr>
        <w:t>如内部控制工作方案、典型案例等内容较多，无法在报告中详述的，可作为报告附件一并报送，并在报告中的相应位置作简要说明。</w:t>
      </w: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8.</w:t>
      </w:r>
      <w:r>
        <w:rPr>
          <w:rFonts w:eastAsia="仿宋_GB2312" w:cs="仿宋_GB2312" w:hint="eastAsia"/>
          <w:color w:val="000000" w:themeColor="text1"/>
          <w:spacing w:val="4"/>
          <w:sz w:val="28"/>
          <w:szCs w:val="28"/>
          <w14:textFill>
            <w14:solidFill>
              <w14:schemeClr w14:val="tx1"/>
            </w14:solidFill>
          </w14:textFill>
        </w:rPr>
        <w:t>本报告附表的填报请参考《</w:t>
      </w:r>
      <w:r>
        <w:rPr>
          <w:rFonts w:eastAsia="仿宋_GB2312" w:cs="仿宋_GB2312"/>
          <w:color w:val="000000" w:themeColor="text1"/>
          <w:spacing w:val="4"/>
          <w:sz w:val="28"/>
          <w:szCs w:val="28"/>
          <w14:textFill>
            <w14:solidFill>
              <w14:schemeClr w14:val="tx1"/>
            </w14:solidFill>
          </w14:textFill>
        </w:rPr>
        <w:t>2023</w:t>
      </w:r>
      <w:r>
        <w:rPr>
          <w:rFonts w:eastAsia="仿宋_GB2312" w:cs="仿宋_GB2312" w:hint="eastAsia"/>
          <w:color w:val="000000" w:themeColor="text1"/>
          <w:spacing w:val="4"/>
          <w:sz w:val="28"/>
          <w:szCs w:val="28"/>
          <w14:textFill>
            <w14:solidFill>
              <w14:schemeClr w14:val="tx1"/>
            </w14:solidFill>
          </w14:textFill>
        </w:rPr>
        <w:t>年度行政事业单位内部控制报告》相关指标的填写说明。</w:t>
      </w:r>
    </w:p>
    <w:p>
      <w:pPr>
        <w:spacing w:line="360" w:lineRule="auto"/>
        <w:ind w:firstLine="560" w:firstLineChars="200"/>
        <w:rPr>
          <w:rFonts w:eastAsia="仿宋_GB2312" w:cs="仿宋_GB2312"/>
          <w:color w:val="000000" w:themeColor="text1"/>
          <w:spacing w:val="4"/>
          <w:sz w:val="28"/>
          <w:szCs w:val="28"/>
          <w14:textFill>
            <w14:solidFill>
              <w14:schemeClr w14:val="tx1"/>
            </w14:solidFill>
          </w14:textFill>
        </w:rPr>
      </w:pPr>
      <w:r>
        <w:rPr>
          <w:rFonts w:eastAsia="仿宋_GB2312" w:cs="仿宋_GB2312"/>
          <w:color w:val="000000" w:themeColor="text1"/>
          <w:spacing w:val="4"/>
          <w:sz w:val="28"/>
          <w:szCs w:val="28"/>
          <w14:textFill>
            <w14:solidFill>
              <w14:schemeClr w14:val="tx1"/>
            </w14:solidFill>
          </w14:textFill>
        </w:rPr>
        <w:t>9.</w:t>
      </w:r>
      <w:r>
        <w:rPr>
          <w:rFonts w:eastAsia="仿宋_GB2312" w:cs="仿宋_GB2312" w:hint="eastAsia"/>
          <w:color w:val="000000" w:themeColor="text1"/>
          <w:spacing w:val="4"/>
          <w:sz w:val="28"/>
          <w:szCs w:val="28"/>
          <w14:textFill>
            <w14:solidFill>
              <w14:schemeClr w14:val="tx1"/>
            </w14:solidFill>
          </w14:textFill>
        </w:rPr>
        <w:t>本报告应当按照规定进行脱敏脱密处理，严禁报送涉密信息，敏感信息通过光盘报送。</w:t>
      </w:r>
    </w:p>
    <w:p>
      <w:pPr>
        <w:spacing w:line="360" w:lineRule="auto"/>
        <w:ind w:firstLine="600" w:firstLineChars="200"/>
        <w:rPr>
          <w:rFonts w:eastAsia="仿宋_GB2312" w:cs="仿宋_GB2312"/>
          <w:color w:val="000000" w:themeColor="text1"/>
          <w:spacing w:val="4"/>
          <w:sz w:val="30"/>
          <w:szCs w:val="30"/>
          <w14:textFill>
            <w14:solidFill>
              <w14:schemeClr w14:val="tx1"/>
            </w14:solidFill>
          </w14:textFill>
        </w:rPr>
      </w:pPr>
    </w:p>
    <w:p>
      <w:pPr>
        <w:spacing w:line="360" w:lineRule="auto"/>
        <w:ind w:firstLine="600" w:firstLineChars="200"/>
        <w:rPr>
          <w:rFonts w:eastAsia="仿宋_GB2312" w:cs="仿宋_GB2312"/>
          <w:color w:val="000000" w:themeColor="text1"/>
          <w:spacing w:val="4"/>
          <w:sz w:val="30"/>
          <w:szCs w:val="30"/>
          <w14:textFill>
            <w14:solidFill>
              <w14:schemeClr w14:val="tx1"/>
            </w14:solidFill>
          </w14:textFill>
        </w:rPr>
      </w:pPr>
    </w:p>
    <w:p>
      <w:pPr>
        <w:autoSpaceDE w:val="0"/>
        <w:autoSpaceDN w:val="0"/>
        <w:spacing w:before="156" w:beforeLines="50" w:after="156" w:afterLines="50"/>
        <w:ind w:firstLine="721"/>
        <w:jc w:val="center"/>
        <w:textAlignment w:val="baseline"/>
        <w:rPr>
          <w:rFonts w:ascii="华文中宋" w:eastAsia="华文中宋" w:hAnsi="华文中宋"/>
          <w:b/>
          <w:color w:val="000000" w:themeColor="text1"/>
          <w:sz w:val="36"/>
          <w:szCs w:val="36"/>
          <w14:textFill>
            <w14:solidFill>
              <w14:schemeClr w14:val="tx1"/>
            </w14:solidFill>
          </w14:textFill>
        </w:rPr>
        <w:sectPr>
          <w:pgSz w:w="11906" w:h="16838"/>
          <w:pgMar w:top="1440" w:right="1080" w:bottom="1440" w:left="1423" w:header="851" w:footer="499" w:gutter="0"/>
          <w:cols w:num="1" w:space="720"/>
          <w:docGrid w:type="lines" w:linePitch="312" w:charSpace="0"/>
        </w:sectPr>
      </w:pPr>
    </w:p>
    <w:p>
      <w:pPr>
        <w:autoSpaceDE w:val="0"/>
        <w:autoSpaceDN w:val="0"/>
        <w:spacing w:before="156" w:beforeLines="50" w:after="156" w:afterLines="50"/>
        <w:ind w:firstLine="721"/>
        <w:jc w:val="center"/>
        <w:textAlignment w:val="baseline"/>
        <w:outlineLvl w:val="1"/>
        <w:rPr>
          <w:rFonts w:ascii="华文中宋" w:eastAsia="华文中宋" w:hAnsi="华文中宋"/>
          <w:b/>
          <w:color w:val="000000"/>
          <w:sz w:val="36"/>
          <w:szCs w:val="36"/>
        </w:rPr>
      </w:pPr>
      <w:r>
        <w:rPr>
          <w:rFonts w:ascii="华文中宋" w:eastAsia="华文中宋" w:hAnsi="华文中宋" w:hint="eastAsia"/>
          <w:b/>
          <w:color w:val="000000"/>
          <w:sz w:val="36"/>
          <w:szCs w:val="36"/>
          <w:lang w:eastAsia="zh-CN"/>
        </w:rPr>
        <w:t>广东省江门市</w:t>
      </w:r>
      <w:r>
        <w:rPr>
          <w:rFonts w:ascii="华文中宋" w:eastAsia="华文中宋" w:hAnsi="华文中宋" w:hint="eastAsia"/>
          <w:b/>
          <w:color w:val="000000"/>
          <w:sz w:val="36"/>
          <w:szCs w:val="36"/>
        </w:rPr>
        <w:t>行政事业单位内部控制报告</w:t>
      </w:r>
    </w:p>
    <w:p>
      <w:pPr>
        <w:autoSpaceDE w:val="0"/>
        <w:autoSpaceDN w:val="0"/>
        <w:ind w:firstLine="560" w:firstLineChars="200"/>
        <w:textAlignment w:val="baseline"/>
        <w:rPr>
          <w:rFonts w:ascii="仿宋_GB2312" w:eastAsia="仿宋_GB2312" w:hAnsi="仿宋_GB2312" w:cs="仿宋_GB2312" w:hint="eastAsia"/>
          <w:color w:val="000000" w:themeColor="text1"/>
          <w:sz w:val="28"/>
          <w:szCs w:val="28"/>
        </w:rPr>
      </w:pPr>
      <w:r>
        <w:rPr>
          <w:rFonts w:ascii="仿宋_GB2312" w:eastAsia="仿宋_GB2312" w:hAnsi="仿宋_GB2312" w:cs="仿宋_GB2312" w:hint="eastAsia"/>
          <w:color w:val="000000" w:themeColor="text1"/>
          <w:sz w:val="28"/>
          <w:szCs w:val="28"/>
        </w:rPr>
        <w:t>为贯彻落实《财政部关于全面推进行政事业单位内部控制建设的指导意见》（财会〔</w:t>
      </w:r>
      <w:r>
        <w:rPr>
          <w:rFonts w:ascii="仿宋_GB2312" w:eastAsia="仿宋_GB2312" w:hAnsi="仿宋_GB2312" w:cs="仿宋_GB2312" w:hint="eastAsia"/>
          <w:color w:val="000000" w:themeColor="text1"/>
          <w:sz w:val="28"/>
          <w:szCs w:val="28"/>
        </w:rPr>
        <w:t>2015</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24</w:t>
      </w:r>
      <w:r>
        <w:rPr>
          <w:rFonts w:ascii="仿宋_GB2312" w:eastAsia="仿宋_GB2312" w:hAnsi="仿宋_GB2312" w:cs="仿宋_GB2312" w:hint="eastAsia"/>
          <w:color w:val="000000" w:themeColor="text1"/>
          <w:sz w:val="28"/>
          <w:szCs w:val="28"/>
        </w:rPr>
        <w:t>号）的有关精神，依据《行政事业单位内部控制规范（试行）》（财会〔</w:t>
      </w:r>
      <w:r>
        <w:rPr>
          <w:rFonts w:ascii="仿宋_GB2312" w:eastAsia="仿宋_GB2312" w:hAnsi="仿宋_GB2312" w:cs="仿宋_GB2312" w:hint="eastAsia"/>
          <w:color w:val="000000" w:themeColor="text1"/>
          <w:sz w:val="28"/>
          <w:szCs w:val="28"/>
        </w:rPr>
        <w:t>2012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21</w:t>
      </w:r>
      <w:r>
        <w:rPr>
          <w:rFonts w:ascii="仿宋_GB2312" w:eastAsia="仿宋_GB2312" w:hAnsi="仿宋_GB2312" w:cs="仿宋_GB2312" w:hint="eastAsia"/>
          <w:color w:val="000000" w:themeColor="text1"/>
          <w:sz w:val="28"/>
          <w:szCs w:val="28"/>
        </w:rPr>
        <w:t>号）和《行政事业单位内部控制报告管理制度（试行）》（财会〔</w:t>
      </w:r>
      <w:r>
        <w:rPr>
          <w:rFonts w:ascii="仿宋_GB2312" w:eastAsia="仿宋_GB2312" w:hAnsi="仿宋_GB2312" w:cs="仿宋_GB2312" w:hint="eastAsia"/>
          <w:color w:val="000000" w:themeColor="text1"/>
          <w:sz w:val="28"/>
          <w:szCs w:val="28"/>
        </w:rPr>
        <w:t>2017</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号）的有关规定，现将本地区（部门）</w:t>
      </w:r>
      <w:r>
        <w:rPr>
          <w:rFonts w:ascii="仿宋_GB2312" w:eastAsia="仿宋_GB2312" w:hAnsi="仿宋_GB2312" w:cs="仿宋_GB2312" w:hint="eastAsia"/>
          <w:color w:val="000000" w:themeColor="text1"/>
          <w:sz w:val="28"/>
          <w:szCs w:val="28"/>
        </w:rPr>
        <w:t>20</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年度行政事业单位内部控制工作情况报告如下：</w:t>
      </w:r>
    </w:p>
    <w:p>
      <w:pPr>
        <w:autoSpaceDE w:val="0"/>
        <w:autoSpaceDN w:val="0"/>
        <w:ind w:firstLine="566" w:firstLineChars="202"/>
        <w:textAlignment w:val="baseline"/>
        <w:outlineLvl w:val="1"/>
        <w:rPr>
          <w:rFonts w:ascii="方正黑体_GBK" w:eastAsia="方正黑体_GBK" w:hAnsi="方正黑体_GBK" w:cs="方正黑体_GBK" w:hint="eastAsia"/>
          <w:b/>
          <w:bCs/>
          <w:color w:val="000000" w:themeColor="text1"/>
          <w:sz w:val="28"/>
          <w:szCs w:val="28"/>
        </w:rPr>
      </w:pPr>
      <w:r>
        <w:rPr>
          <w:rFonts w:ascii="方正黑体_GBK" w:eastAsia="方正黑体_GBK" w:hAnsi="方正黑体_GBK" w:cs="方正黑体_GBK" w:hint="eastAsia"/>
          <w:b/>
          <w:bCs/>
          <w:color w:val="000000" w:themeColor="text1"/>
          <w:sz w:val="28"/>
          <w:szCs w:val="28"/>
        </w:rPr>
        <w:t>一、地区（部门）内部控制工作的总体情况</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（一）地区（部门）层面工作协调机制的建立与2</w:t>
      </w:r>
      <w:r>
        <w:rPr>
          <w:rFonts w:ascii="楷体_GB2312" w:eastAsia="楷体_GB2312" w:hAnsi="楷体_GB2312" w:cs="楷体_GB2312" w:hint="eastAsia"/>
          <w:b/>
          <w:bCs/>
          <w:color w:val="000000" w:themeColor="text1"/>
          <w:sz w:val="28"/>
          <w:szCs w:val="28"/>
        </w:rPr>
        <w:t>023</w:t>
      </w:r>
      <w:r>
        <w:rPr>
          <w:rFonts w:ascii="楷体_GB2312" w:eastAsia="楷体_GB2312" w:hAnsi="楷体_GB2312" w:cs="楷体_GB2312" w:hint="eastAsia"/>
          <w:b/>
          <w:bCs/>
          <w:color w:val="000000" w:themeColor="text1"/>
          <w:sz w:val="28"/>
          <w:szCs w:val="28"/>
        </w:rPr>
        <w:t>年度运行情况。</w:t>
      </w:r>
    </w:p>
    <w:p>
      <w:pPr>
        <w:autoSpaceDE w:val="0"/>
        <w:autoSpaceDN w:val="0"/>
        <w:ind w:firstLine="560" w:firstLineChars="200"/>
        <w:textAlignment w:val="baseline"/>
        <w:rPr>
          <w:rFonts w:ascii="仿宋_GB2312" w:eastAsia="仿宋_GB2312" w:hAnsi="仿宋_GB2312" w:cs="仿宋_GB2312" w:hint="eastAsia"/>
          <w:color w:val="000000" w:themeColor="text1"/>
          <w:sz w:val="28"/>
          <w:szCs w:val="28"/>
          <w:lang w:val="en-US" w:eastAsia="zh-CN"/>
        </w:rPr>
      </w:pPr>
      <w:r>
        <w:rPr>
          <w:rFonts w:ascii="仿宋_GB2312" w:eastAsia="仿宋_GB2312" w:hAnsi="仿宋_GB2312" w:cs="仿宋_GB2312" w:hint="eastAsia"/>
          <w:color w:val="000000" w:themeColor="text1"/>
          <w:sz w:val="28"/>
          <w:szCs w:val="28"/>
        </w:rPr>
        <w:t xml:space="preserve"> 根据《广东省财政厅关于开展202</w:t>
      </w:r>
      <w:r>
        <w:rPr>
          <w:rFonts w:ascii="仿宋_GB2312" w:eastAsia="仿宋_GB2312" w:hAnsi="仿宋_GB2312" w:cs="仿宋_GB2312" w:hint="eastAsia"/>
          <w:color w:val="000000" w:themeColor="text1"/>
          <w:sz w:val="28"/>
          <w:szCs w:val="28"/>
          <w:lang w:val="en-US" w:eastAsia="zh-CN"/>
        </w:rPr>
        <w:t>3</w:t>
      </w:r>
      <w:r>
        <w:rPr>
          <w:rFonts w:ascii="仿宋_GB2312" w:eastAsia="仿宋_GB2312" w:hAnsi="仿宋_GB2312" w:cs="仿宋_GB2312" w:hint="eastAsia"/>
          <w:color w:val="000000" w:themeColor="text1"/>
          <w:sz w:val="28"/>
          <w:szCs w:val="28"/>
        </w:rPr>
        <w:t>年度行政事业单位内部控制报告编报工作的通知》</w:t>
      </w:r>
      <w:r>
        <w:rPr>
          <w:rFonts w:ascii="仿宋_GB2312" w:eastAsia="仿宋_GB2312" w:hAnsi="仿宋_GB2312" w:cs="仿宋_GB2312" w:hint="eastAsia"/>
          <w:color w:val="000000" w:themeColor="text1"/>
          <w:sz w:val="28"/>
          <w:szCs w:val="28"/>
        </w:rPr>
        <w:t>的相关要求</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color w:val="000000" w:themeColor="text1"/>
          <w:sz w:val="28"/>
          <w:szCs w:val="28"/>
          <w:lang w:val="en-US" w:eastAsia="zh-CN"/>
        </w:rPr>
        <w:t>我市迅速反应，</w:t>
      </w:r>
      <w:r>
        <w:rPr>
          <w:rFonts w:ascii="仿宋_GB2312" w:eastAsia="仿宋_GB2312" w:hAnsi="仿宋_GB2312" w:cs="仿宋_GB2312" w:hint="eastAsia"/>
          <w:color w:val="000000" w:themeColor="text1"/>
          <w:sz w:val="28"/>
          <w:szCs w:val="28"/>
        </w:rPr>
        <w:t>积极加</w:t>
      </w:r>
      <w:r>
        <w:rPr>
          <w:rFonts w:ascii="仿宋_GB2312" w:eastAsia="仿宋_GB2312" w:hAnsi="仿宋_GB2312" w:cs="仿宋_GB2312" w:hint="eastAsia"/>
          <w:color w:val="000000" w:themeColor="text1"/>
          <w:sz w:val="28"/>
          <w:szCs w:val="28"/>
          <w:highlight w:val="none"/>
        </w:rPr>
        <w:t>强对我市</w:t>
      </w:r>
      <w:r>
        <w:rPr>
          <w:rFonts w:ascii="仿宋_GB2312" w:eastAsia="仿宋_GB2312" w:hAnsi="仿宋_GB2312" w:cs="仿宋_GB2312" w:hint="eastAsia"/>
          <w:color w:val="000000" w:themeColor="text1"/>
          <w:sz w:val="28"/>
          <w:szCs w:val="28"/>
          <w:highlight w:val="none"/>
          <w:lang w:val="en-US" w:eastAsia="zh-CN"/>
        </w:rPr>
        <w:t>共</w:t>
      </w:r>
      <w:r>
        <w:rPr>
          <w:rFonts w:ascii="仿宋_GB2312" w:eastAsia="仿宋_GB2312" w:hAnsi="仿宋_GB2312" w:cs="仿宋_GB2312" w:hint="eastAsia"/>
          <w:color w:val="000000" w:themeColor="text1"/>
          <w:sz w:val="28"/>
          <w:szCs w:val="28"/>
          <w:highlight w:val="none"/>
          <w:lang w:val="en-US" w:eastAsia="zh-CN"/>
        </w:rPr>
        <w:t>1952</w:t>
      </w:r>
      <w:r>
        <w:rPr>
          <w:rFonts w:ascii="仿宋_GB2312" w:eastAsia="仿宋_GB2312" w:hAnsi="仿宋_GB2312" w:cs="仿宋_GB2312" w:hint="eastAsia"/>
          <w:color w:val="000000" w:themeColor="text1"/>
          <w:sz w:val="28"/>
          <w:szCs w:val="28"/>
          <w:highlight w:val="none"/>
          <w:lang w:val="en-US" w:eastAsia="zh-CN"/>
        </w:rPr>
        <w:t>家</w:t>
      </w:r>
      <w:r>
        <w:rPr>
          <w:rFonts w:ascii="仿宋_GB2312" w:eastAsia="仿宋_GB2312" w:hAnsi="仿宋_GB2312" w:cs="仿宋_GB2312" w:hint="eastAsia"/>
          <w:color w:val="000000" w:themeColor="text1"/>
          <w:sz w:val="28"/>
          <w:szCs w:val="28"/>
          <w:highlight w:val="none"/>
        </w:rPr>
        <w:t>行政</w:t>
      </w:r>
      <w:r>
        <w:rPr>
          <w:rFonts w:ascii="仿宋_GB2312" w:eastAsia="仿宋_GB2312" w:hAnsi="仿宋_GB2312" w:cs="仿宋_GB2312" w:hint="eastAsia"/>
          <w:color w:val="000000" w:themeColor="text1"/>
          <w:sz w:val="28"/>
          <w:szCs w:val="28"/>
        </w:rPr>
        <w:t>事业单位</w:t>
      </w:r>
      <w:r>
        <w:rPr>
          <w:rFonts w:ascii="仿宋_GB2312" w:eastAsia="仿宋_GB2312" w:hAnsi="仿宋_GB2312" w:cs="仿宋_GB2312" w:hint="eastAsia"/>
          <w:sz w:val="28"/>
          <w:szCs w:val="28"/>
          <w:lang w:val="en-US" w:eastAsia="zh-CN"/>
        </w:rPr>
        <w:t>（以下简称单位）内</w:t>
      </w:r>
      <w:r>
        <w:rPr>
          <w:rFonts w:ascii="仿宋_GB2312" w:eastAsia="仿宋_GB2312" w:hAnsi="仿宋_GB2312" w:cs="仿宋_GB2312" w:hint="eastAsia"/>
          <w:color w:val="000000" w:themeColor="text1"/>
          <w:sz w:val="28"/>
          <w:szCs w:val="28"/>
          <w:lang w:val="en-US" w:eastAsia="zh-CN"/>
        </w:rPr>
        <w:t>控报告编报工作组织</w:t>
      </w:r>
      <w:r>
        <w:rPr>
          <w:rFonts w:ascii="仿宋_GB2312" w:eastAsia="仿宋_GB2312" w:hAnsi="仿宋_GB2312" w:cs="仿宋_GB2312" w:hint="eastAsia"/>
          <w:color w:val="000000" w:themeColor="text1"/>
          <w:sz w:val="28"/>
          <w:szCs w:val="28"/>
        </w:rPr>
        <w:t>和统筹协调</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color w:val="000000" w:themeColor="text1"/>
          <w:sz w:val="28"/>
          <w:szCs w:val="28"/>
        </w:rPr>
        <w:t>持续指导和督促</w:t>
      </w:r>
      <w:r>
        <w:rPr>
          <w:rFonts w:ascii="仿宋_GB2312" w:eastAsia="仿宋_GB2312" w:hAnsi="仿宋_GB2312" w:cs="仿宋_GB2312" w:hint="eastAsia"/>
          <w:color w:val="000000" w:themeColor="text1"/>
          <w:sz w:val="28"/>
          <w:szCs w:val="28"/>
          <w:lang w:val="en-US" w:eastAsia="zh-CN"/>
        </w:rPr>
        <w:t>各行政事业单位</w:t>
      </w:r>
      <w:r>
        <w:rPr>
          <w:rFonts w:ascii="仿宋_GB2312" w:eastAsia="仿宋_GB2312" w:hAnsi="仿宋_GB2312" w:cs="仿宋_GB2312" w:hint="eastAsia"/>
          <w:color w:val="000000" w:themeColor="text1"/>
          <w:sz w:val="28"/>
          <w:szCs w:val="28"/>
        </w:rPr>
        <w:t>的内控报告编报工作</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b/>
          <w:bCs/>
          <w:color w:val="000000" w:themeColor="text1"/>
          <w:sz w:val="28"/>
          <w:szCs w:val="28"/>
          <w:lang w:val="en-US" w:eastAsia="zh-CN"/>
        </w:rPr>
        <w:t>一是</w:t>
      </w:r>
      <w:r>
        <w:rPr>
          <w:rFonts w:ascii="仿宋_GB2312" w:eastAsia="仿宋_GB2312" w:hAnsi="仿宋_GB2312" w:cs="仿宋_GB2312" w:hint="eastAsia"/>
          <w:b w:val="0"/>
          <w:bCs w:val="0"/>
          <w:color w:val="000000" w:themeColor="text1"/>
          <w:sz w:val="28"/>
          <w:szCs w:val="28"/>
          <w:lang w:val="en-US" w:eastAsia="zh-CN"/>
        </w:rPr>
        <w:t>加强组织领导。</w:t>
      </w:r>
      <w:r>
        <w:rPr>
          <w:rFonts w:ascii="仿宋_GB2312" w:eastAsia="仿宋_GB2312" w:hAnsi="仿宋_GB2312" w:cs="仿宋_GB2312" w:hint="eastAsia"/>
          <w:b w:val="0"/>
          <w:bCs w:val="0"/>
          <w:color w:val="000000" w:themeColor="text1"/>
          <w:sz w:val="28"/>
          <w:szCs w:val="28"/>
        </w:rPr>
        <w:t>我</w:t>
      </w:r>
      <w:r>
        <w:rPr>
          <w:rFonts w:ascii="仿宋_GB2312" w:eastAsia="仿宋_GB2312" w:hAnsi="仿宋_GB2312" w:cs="仿宋_GB2312" w:hint="eastAsia"/>
          <w:color w:val="000000" w:themeColor="text1"/>
          <w:sz w:val="28"/>
          <w:szCs w:val="28"/>
        </w:rPr>
        <w:t>市成立内部控制委员会，由</w:t>
      </w:r>
      <w:r>
        <w:rPr>
          <w:rFonts w:ascii="仿宋_GB2312" w:eastAsia="仿宋_GB2312" w:hAnsi="仿宋_GB2312" w:cs="仿宋_GB2312" w:hint="eastAsia"/>
          <w:color w:val="000000" w:themeColor="text1"/>
          <w:sz w:val="28"/>
          <w:szCs w:val="28"/>
          <w:lang w:val="en-US" w:eastAsia="zh-CN"/>
        </w:rPr>
        <w:t>江门市</w:t>
      </w:r>
      <w:r>
        <w:rPr>
          <w:rFonts w:ascii="仿宋_GB2312" w:eastAsia="仿宋_GB2312" w:hAnsi="仿宋_GB2312" w:cs="仿宋_GB2312" w:hint="eastAsia"/>
          <w:color w:val="000000" w:themeColor="text1"/>
          <w:sz w:val="28"/>
          <w:szCs w:val="28"/>
        </w:rPr>
        <w:t>财政局</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sz w:val="28"/>
          <w:szCs w:val="28"/>
          <w:lang w:val="en-US" w:eastAsia="zh-CN"/>
        </w:rPr>
        <w:t>以下简称</w:t>
      </w:r>
      <w:r>
        <w:rPr>
          <w:rFonts w:ascii="仿宋_GB2312" w:eastAsia="仿宋_GB2312" w:hAnsi="仿宋_GB2312" w:cs="仿宋_GB2312" w:hint="eastAsia"/>
          <w:color w:val="000000" w:themeColor="text1"/>
          <w:sz w:val="28"/>
          <w:szCs w:val="28"/>
          <w:lang w:val="en-US" w:eastAsia="zh-CN"/>
        </w:rPr>
        <w:t>市</w:t>
      </w:r>
      <w:r>
        <w:rPr>
          <w:rFonts w:ascii="仿宋_GB2312" w:eastAsia="仿宋_GB2312" w:hAnsi="仿宋_GB2312" w:cs="仿宋_GB2312" w:hint="eastAsia"/>
          <w:color w:val="000000" w:themeColor="text1"/>
          <w:sz w:val="28"/>
          <w:szCs w:val="28"/>
        </w:rPr>
        <w:t>财政局</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color w:val="000000" w:themeColor="text1"/>
          <w:sz w:val="28"/>
          <w:szCs w:val="28"/>
        </w:rPr>
        <w:t>党组书记、局长担任主任，其他党组成员、副局长任副主任，各科室负责人任委员</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color w:val="000000" w:themeColor="text1"/>
          <w:sz w:val="28"/>
          <w:szCs w:val="28"/>
        </w:rPr>
        <w:t>协调解决重大事项，监督、指导内部控制工作开展</w:t>
      </w:r>
      <w:r>
        <w:rPr>
          <w:rFonts w:ascii="仿宋_GB2312" w:eastAsia="仿宋_GB2312" w:hAnsi="仿宋_GB2312" w:cs="仿宋_GB2312" w:hint="eastAsia"/>
          <w:color w:val="000000" w:themeColor="text1"/>
          <w:sz w:val="28"/>
          <w:szCs w:val="28"/>
          <w:lang w:eastAsia="zh-CN"/>
        </w:rPr>
        <w:t>，</w:t>
      </w:r>
      <w:r>
        <w:rPr>
          <w:rFonts w:ascii="仿宋_GB2312" w:eastAsia="仿宋_GB2312" w:hAnsi="仿宋_GB2312" w:cs="仿宋_GB2312" w:hint="eastAsia"/>
          <w:color w:val="000000" w:themeColor="text1"/>
          <w:sz w:val="28"/>
          <w:szCs w:val="28"/>
          <w:lang w:val="en-US" w:eastAsia="zh-CN"/>
        </w:rPr>
        <w:t>由</w:t>
      </w:r>
      <w:r>
        <w:rPr>
          <w:rFonts w:ascii="仿宋_GB2312" w:eastAsia="仿宋_GB2312" w:hAnsi="仿宋_GB2312" w:cs="仿宋_GB2312" w:hint="eastAsia"/>
          <w:color w:val="000000" w:themeColor="text1"/>
          <w:sz w:val="28"/>
          <w:szCs w:val="28"/>
        </w:rPr>
        <w:t>会计科牵头负责</w:t>
      </w:r>
      <w:r>
        <w:rPr>
          <w:rFonts w:ascii="仿宋_GB2312" w:eastAsia="仿宋_GB2312" w:hAnsi="仿宋_GB2312" w:cs="仿宋_GB2312" w:hint="eastAsia"/>
          <w:b w:val="0"/>
          <w:bCs w:val="0"/>
          <w:color w:val="auto"/>
          <w:sz w:val="28"/>
          <w:szCs w:val="28"/>
          <w:highlight w:val="none"/>
          <w:lang w:eastAsia="zh-CN"/>
        </w:rPr>
        <w:t>部署全</w:t>
      </w:r>
      <w:r>
        <w:rPr>
          <w:rFonts w:ascii="仿宋_GB2312" w:eastAsia="仿宋_GB2312" w:hAnsi="仿宋_GB2312" w:cs="仿宋_GB2312" w:hint="eastAsia"/>
          <w:b w:val="0"/>
          <w:bCs w:val="0"/>
          <w:color w:val="auto"/>
          <w:sz w:val="28"/>
          <w:szCs w:val="28"/>
          <w:highlight w:val="none"/>
          <w:lang w:val="en-US" w:eastAsia="zh-CN"/>
        </w:rPr>
        <w:t>市2023年度</w:t>
      </w:r>
      <w:r>
        <w:rPr>
          <w:rFonts w:ascii="仿宋_GB2312" w:eastAsia="仿宋_GB2312" w:hAnsi="仿宋_GB2312" w:cs="仿宋_GB2312" w:hint="eastAsia"/>
          <w:b w:val="0"/>
          <w:bCs w:val="0"/>
          <w:color w:val="auto"/>
          <w:sz w:val="28"/>
          <w:szCs w:val="28"/>
          <w:highlight w:val="none"/>
          <w:lang w:eastAsia="zh-CN"/>
        </w:rPr>
        <w:t>行政事业单位内部控制报告编制工作</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b/>
          <w:bCs/>
          <w:color w:val="000000" w:themeColor="text1"/>
          <w:sz w:val="28"/>
          <w:szCs w:val="28"/>
          <w:lang w:val="en-US" w:eastAsia="zh-CN"/>
        </w:rPr>
        <w:t>二是</w:t>
      </w:r>
      <w:r>
        <w:rPr>
          <w:rFonts w:ascii="仿宋_GB2312" w:eastAsia="仿宋_GB2312" w:hAnsi="仿宋_GB2312" w:cs="仿宋_GB2312" w:hint="eastAsia"/>
          <w:b w:val="0"/>
          <w:bCs w:val="0"/>
          <w:color w:val="000000" w:themeColor="text1"/>
          <w:sz w:val="28"/>
          <w:szCs w:val="28"/>
          <w:lang w:val="en-US" w:eastAsia="zh-CN"/>
        </w:rPr>
        <w:t>及时印发通知文件。我</w:t>
      </w:r>
      <w:r>
        <w:rPr>
          <w:rFonts w:ascii="仿宋_GB2312" w:eastAsia="仿宋_GB2312" w:hAnsi="仿宋_GB2312" w:cs="仿宋_GB2312" w:hint="eastAsia"/>
          <w:color w:val="000000" w:themeColor="text1"/>
          <w:sz w:val="28"/>
          <w:szCs w:val="28"/>
          <w:lang w:val="en-US" w:eastAsia="zh-CN"/>
        </w:rPr>
        <w:t>市</w:t>
      </w:r>
      <w:r>
        <w:rPr>
          <w:rFonts w:ascii="仿宋_GB2312" w:eastAsia="仿宋_GB2312" w:hAnsi="仿宋_GB2312" w:cs="仿宋_GB2312" w:hint="eastAsia"/>
          <w:b w:val="0"/>
          <w:bCs w:val="0"/>
          <w:color w:val="auto"/>
          <w:sz w:val="28"/>
          <w:szCs w:val="28"/>
          <w:highlight w:val="none"/>
          <w:lang w:val="en-US" w:eastAsia="zh-CN"/>
        </w:rPr>
        <w:t>于4月19日印发</w:t>
      </w:r>
      <w:r>
        <w:rPr>
          <w:rFonts w:ascii="仿宋_GB2312" w:eastAsia="仿宋_GB2312" w:hAnsi="仿宋_GB2312" w:cs="仿宋_GB2312" w:hint="eastAsia"/>
          <w:b w:val="0"/>
          <w:bCs w:val="0"/>
          <w:color w:val="auto"/>
          <w:sz w:val="28"/>
          <w:szCs w:val="28"/>
          <w:highlight w:val="none"/>
          <w:lang w:eastAsia="zh-CN"/>
        </w:rPr>
        <w:t>《江门市财政局</w:t>
      </w:r>
      <w:r>
        <w:rPr>
          <w:rFonts w:ascii="仿宋_GB2312" w:eastAsia="仿宋_GB2312" w:hAnsi="仿宋_GB2312" w:cs="仿宋_GB2312" w:hint="eastAsia"/>
          <w:b w:val="0"/>
          <w:bCs w:val="0"/>
          <w:color w:val="auto"/>
          <w:sz w:val="28"/>
          <w:szCs w:val="28"/>
          <w:highlight w:val="none"/>
        </w:rPr>
        <w:t>关于开展202</w:t>
      </w:r>
      <w:r>
        <w:rPr>
          <w:rFonts w:ascii="仿宋_GB2312" w:eastAsia="仿宋_GB2312" w:hAnsi="仿宋_GB2312" w:cs="仿宋_GB2312" w:hint="eastAsia"/>
          <w:b w:val="0"/>
          <w:bCs w:val="0"/>
          <w:color w:val="auto"/>
          <w:sz w:val="28"/>
          <w:szCs w:val="28"/>
          <w:highlight w:val="none"/>
          <w:lang w:val="en-US" w:eastAsia="zh-CN"/>
        </w:rPr>
        <w:t>3</w:t>
      </w:r>
      <w:r>
        <w:rPr>
          <w:rFonts w:ascii="仿宋_GB2312" w:eastAsia="仿宋_GB2312" w:hAnsi="仿宋_GB2312" w:cs="仿宋_GB2312" w:hint="eastAsia"/>
          <w:b w:val="0"/>
          <w:bCs w:val="0"/>
          <w:color w:val="auto"/>
          <w:sz w:val="28"/>
          <w:szCs w:val="28"/>
          <w:highlight w:val="none"/>
          <w:lang w:eastAsia="zh-CN"/>
        </w:rPr>
        <w:t>年</w:t>
      </w:r>
      <w:r>
        <w:rPr>
          <w:rFonts w:ascii="仿宋_GB2312" w:eastAsia="仿宋_GB2312" w:hAnsi="仿宋_GB2312" w:cs="仿宋_GB2312" w:hint="eastAsia"/>
          <w:b w:val="0"/>
          <w:bCs w:val="0"/>
          <w:color w:val="auto"/>
          <w:sz w:val="28"/>
          <w:szCs w:val="28"/>
          <w:highlight w:val="none"/>
        </w:rPr>
        <w:t>度行政事业单位内部控制报告编报工作的通知》</w:t>
      </w:r>
      <w:r>
        <w:rPr>
          <w:rFonts w:ascii="仿宋_GB2312" w:eastAsia="仿宋_GB2312" w:hAnsi="仿宋_GB2312" w:cs="仿宋_GB2312" w:hint="eastAsia"/>
          <w:b w:val="0"/>
          <w:bCs w:val="0"/>
          <w:color w:val="auto"/>
          <w:sz w:val="28"/>
          <w:szCs w:val="28"/>
          <w:highlight w:val="none"/>
          <w:lang w:eastAsia="zh-CN"/>
        </w:rPr>
        <w:t>，对</w:t>
      </w:r>
      <w:r>
        <w:rPr>
          <w:rFonts w:ascii="仿宋_GB2312" w:eastAsia="仿宋_GB2312" w:hAnsi="仿宋_GB2312" w:cs="仿宋_GB2312" w:hint="eastAsia"/>
          <w:b w:val="0"/>
          <w:bCs w:val="0"/>
          <w:color w:val="auto"/>
          <w:sz w:val="28"/>
          <w:szCs w:val="28"/>
          <w:highlight w:val="none"/>
          <w:lang w:val="en-US" w:eastAsia="zh-CN"/>
        </w:rPr>
        <w:t>我市各单位</w:t>
      </w:r>
      <w:r>
        <w:rPr>
          <w:rFonts w:ascii="仿宋_GB2312" w:eastAsia="仿宋_GB2312" w:hAnsi="仿宋_GB2312" w:cs="仿宋_GB2312" w:hint="eastAsia"/>
          <w:b w:val="0"/>
          <w:bCs w:val="0"/>
          <w:color w:val="auto"/>
          <w:sz w:val="28"/>
          <w:szCs w:val="28"/>
          <w:highlight w:val="none"/>
          <w:lang w:eastAsia="zh-CN"/>
        </w:rPr>
        <w:t>内部控制工作进行统一布置，</w:t>
      </w:r>
      <w:r>
        <w:rPr>
          <w:rFonts w:ascii="仿宋_GB2312" w:eastAsia="仿宋_GB2312" w:hAnsi="仿宋_GB2312" w:cs="仿宋_GB2312" w:hint="eastAsia"/>
          <w:b w:val="0"/>
          <w:bCs w:val="0"/>
          <w:color w:val="000000" w:themeColor="text1"/>
          <w:sz w:val="28"/>
          <w:szCs w:val="28"/>
          <w:lang w:val="en-US" w:eastAsia="zh-CN"/>
        </w:rPr>
        <w:t>督促指导各单位有序完成内控报告编报等各项工作。</w:t>
      </w:r>
      <w:r>
        <w:rPr>
          <w:rFonts w:ascii="仿宋_GB2312" w:eastAsia="仿宋_GB2312" w:hAnsi="仿宋_GB2312" w:cs="仿宋_GB2312" w:hint="eastAsia"/>
          <w:b/>
          <w:bCs/>
          <w:color w:val="000000" w:themeColor="text1"/>
          <w:sz w:val="28"/>
          <w:szCs w:val="28"/>
          <w:lang w:val="en-US" w:eastAsia="zh-CN"/>
        </w:rPr>
        <w:t>三是</w:t>
      </w:r>
      <w:r>
        <w:rPr>
          <w:rFonts w:ascii="仿宋_GB2312" w:eastAsia="仿宋_GB2312" w:hAnsi="仿宋_GB2312" w:cs="仿宋_GB2312" w:hint="eastAsia"/>
          <w:b w:val="0"/>
          <w:bCs w:val="0"/>
          <w:color w:val="000000" w:themeColor="text1"/>
          <w:sz w:val="28"/>
          <w:szCs w:val="28"/>
          <w:lang w:val="en-US" w:eastAsia="zh-CN"/>
        </w:rPr>
        <w:t>建立市、县（市、区）、镇（街道）三级联动</w:t>
      </w:r>
      <w:r>
        <w:rPr>
          <w:rFonts w:ascii="仿宋_GB2312" w:eastAsia="仿宋_GB2312" w:hAnsi="仿宋_GB2312" w:cs="仿宋_GB2312" w:hint="eastAsia"/>
          <w:b w:val="0"/>
          <w:bCs w:val="0"/>
          <w:color w:val="000000" w:themeColor="text1"/>
          <w:sz w:val="28"/>
          <w:szCs w:val="28"/>
          <w:lang w:eastAsia="zh-CN"/>
        </w:rPr>
        <w:t>机制</w:t>
      </w:r>
      <w:r>
        <w:rPr>
          <w:rFonts w:ascii="仿宋_GB2312" w:eastAsia="仿宋_GB2312" w:hAnsi="仿宋_GB2312" w:cs="仿宋_GB2312" w:hint="eastAsia"/>
          <w:b w:val="0"/>
          <w:bCs w:val="0"/>
          <w:color w:val="000000" w:themeColor="text1"/>
          <w:sz w:val="28"/>
          <w:szCs w:val="28"/>
          <w:lang w:val="en-US" w:eastAsia="zh-CN"/>
        </w:rPr>
        <w:t>，按照省财政厅对属于独立核算机构但</w:t>
      </w:r>
      <w:r>
        <w:rPr>
          <w:rFonts w:ascii="仿宋_GB2312" w:eastAsia="仿宋_GB2312" w:hAnsi="仿宋_GB2312" w:cs="仿宋_GB2312" w:hint="eastAsia"/>
          <w:b w:val="0"/>
          <w:bCs w:val="0"/>
          <w:color w:val="auto"/>
          <w:sz w:val="28"/>
          <w:szCs w:val="28"/>
          <w:highlight w:val="none"/>
          <w:lang w:val="en-US" w:eastAsia="zh-CN"/>
        </w:rPr>
        <w:t>纳入汇总报送决算报告的单位进行自查的要求，我市组织各镇（街道）进行自查调研，确定内部控制报告应报送户数且全部进行新增，确保上级内部控制相关信息及时传达到基层单位，做到贯彻落实不打折扣，实施范围不留死角。</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（二）2023年度地区（部门）层面内部控制工作的组织实施情况。</w:t>
      </w:r>
    </w:p>
    <w:p>
      <w:pPr>
        <w:autoSpaceDE w:val="0"/>
        <w:autoSpaceDN w:val="0"/>
        <w:ind w:firstLine="560" w:firstLineChars="200"/>
        <w:textAlignment w:val="baseline"/>
        <w:rPr>
          <w:rFonts w:ascii="仿宋_GB2312" w:eastAsia="仿宋_GB2312" w:hAnsi="仿宋_GB2312" w:cs="仿宋_GB2312" w:hint="eastAsia"/>
          <w:b w:val="0"/>
          <w:bCs w:val="0"/>
          <w:color w:val="auto"/>
          <w:sz w:val="28"/>
          <w:szCs w:val="28"/>
          <w:highlight w:val="none"/>
          <w:lang w:val="en-US" w:eastAsia="zh-CN"/>
        </w:rPr>
      </w:pPr>
      <w:r>
        <w:rPr>
          <w:rFonts w:ascii="仿宋_GB2312" w:eastAsia="仿宋_GB2312" w:hAnsi="仿宋_GB2312" w:cs="仿宋_GB2312" w:hint="eastAsia"/>
          <w:sz w:val="28"/>
          <w:szCs w:val="28"/>
          <w:lang w:val="en-US" w:eastAsia="zh-CN"/>
        </w:rPr>
        <w:t>根据省财政厅相关文件精神，我市高度重视行政事业单位内部控制建设工作</w:t>
      </w:r>
      <w:r>
        <w:rPr>
          <w:rFonts w:ascii="仿宋_GB2312" w:eastAsia="仿宋_GB2312" w:hAnsi="仿宋_GB2312" w:cs="仿宋_GB2312" w:hint="eastAsia"/>
          <w:b w:val="0"/>
          <w:bCs w:val="0"/>
          <w:color w:val="auto"/>
          <w:sz w:val="28"/>
          <w:szCs w:val="28"/>
          <w:highlight w:val="none"/>
          <w:lang w:val="en-US" w:eastAsia="zh-CN"/>
        </w:rPr>
        <w:t>，</w:t>
      </w:r>
      <w:r>
        <w:rPr>
          <w:rFonts w:ascii="仿宋_GB2312" w:eastAsia="仿宋_GB2312" w:hAnsi="仿宋_GB2312" w:cs="仿宋_GB2312" w:hint="eastAsia"/>
          <w:sz w:val="28"/>
          <w:szCs w:val="28"/>
          <w:lang w:val="en-US" w:eastAsia="zh-CN"/>
        </w:rPr>
        <w:t>由市财政局牵头，统一部署，切实加强对各单位内部控制建设的组织领导，</w:t>
      </w:r>
      <w:r>
        <w:rPr>
          <w:rFonts w:ascii="仿宋_GB2312" w:eastAsia="仿宋_GB2312" w:hAnsi="仿宋_GB2312" w:cs="仿宋_GB2312" w:hint="eastAsia"/>
          <w:b w:val="0"/>
          <w:bCs w:val="0"/>
          <w:color w:val="auto"/>
          <w:sz w:val="28"/>
          <w:szCs w:val="28"/>
          <w:highlight w:val="none"/>
          <w:lang w:val="en-US" w:eastAsia="zh-CN"/>
        </w:rPr>
        <w:t>推动我市各行政事业单位如期完成内部控制报告的编报工作，主要体现在以下四个方面：</w:t>
      </w:r>
    </w:p>
    <w:p>
      <w:pPr>
        <w:autoSpaceDE w:val="0"/>
        <w:autoSpaceDN w:val="0"/>
        <w:ind w:firstLine="560" w:firstLineChars="200"/>
        <w:textAlignment w:val="baseline"/>
        <w:rPr>
          <w:rFonts w:ascii="仿宋_GB2312" w:eastAsia="仿宋_GB2312" w:hAnsi="仿宋_GB2312" w:cs="仿宋_GB2312" w:hint="default"/>
          <w:b w:val="0"/>
          <w:bCs w:val="0"/>
          <w:color w:val="auto"/>
          <w:sz w:val="28"/>
          <w:szCs w:val="28"/>
          <w:highlight w:val="none"/>
          <w:lang w:val="en-US" w:eastAsia="zh-CN"/>
        </w:rPr>
      </w:pPr>
      <w:r>
        <w:rPr>
          <w:rFonts w:ascii="仿宋_GB2312" w:eastAsia="仿宋_GB2312" w:hAnsi="仿宋_GB2312" w:cs="仿宋_GB2312" w:hint="eastAsia"/>
          <w:b/>
          <w:bCs/>
          <w:color w:val="auto"/>
          <w:sz w:val="28"/>
          <w:szCs w:val="28"/>
          <w:highlight w:val="none"/>
          <w:lang w:val="en-US" w:eastAsia="zh-CN"/>
        </w:rPr>
        <w:t>1.编制年度内部控制重点工作指引。</w:t>
      </w:r>
      <w:r>
        <w:rPr>
          <w:rFonts w:ascii="仿宋_GB2312" w:eastAsia="仿宋_GB2312" w:hAnsi="仿宋_GB2312" w:cs="仿宋_GB2312" w:hint="eastAsia"/>
          <w:b w:val="0"/>
          <w:bCs w:val="0"/>
          <w:color w:val="auto"/>
          <w:sz w:val="28"/>
          <w:szCs w:val="28"/>
          <w:highlight w:val="none"/>
          <w:lang w:val="en-US" w:eastAsia="zh-CN"/>
        </w:rPr>
        <w:t>2023年11月，市财政局综合全市2022年度各单位内控报告审核检查情况、内控关键指标对比分析情况、其他监管部门对内控工作的审查审计情况，印发《江门市2023年度行政事业单位内部控制重点工作指引》文件，确定各单位年度内控工作重点事项，引导各单位对照指引顺利完成年度内的重点工作任务。</w:t>
      </w:r>
    </w:p>
    <w:p>
      <w:pPr>
        <w:autoSpaceDE w:val="0"/>
        <w:autoSpaceDN w:val="0"/>
        <w:ind w:firstLine="560" w:firstLineChars="200"/>
        <w:textAlignment w:val="baseline"/>
        <w:rPr>
          <w:rFonts w:ascii="仿宋_GB2312" w:eastAsia="仿宋_GB2312" w:hAnsi="仿宋_GB2312" w:cs="仿宋_GB2312" w:hint="default"/>
          <w:b w:val="0"/>
          <w:bCs w:val="0"/>
          <w:color w:val="auto"/>
          <w:sz w:val="28"/>
          <w:szCs w:val="28"/>
          <w:highlight w:val="none"/>
          <w:lang w:val="en-US" w:eastAsia="zh-CN"/>
        </w:rPr>
      </w:pPr>
      <w:r>
        <w:rPr>
          <w:rFonts w:ascii="仿宋_GB2312" w:eastAsia="仿宋_GB2312" w:hAnsi="仿宋_GB2312" w:cs="仿宋_GB2312" w:hint="eastAsia"/>
          <w:b w:val="0"/>
          <w:bCs w:val="0"/>
          <w:color w:val="auto"/>
          <w:sz w:val="28"/>
          <w:szCs w:val="28"/>
          <w:highlight w:val="none"/>
          <w:lang w:val="en-US" w:eastAsia="zh-CN"/>
        </w:rPr>
        <w:t>2.</w:t>
      </w:r>
      <w:r>
        <w:rPr>
          <w:rFonts w:ascii="仿宋_GB2312" w:eastAsia="仿宋_GB2312" w:hAnsi="仿宋_GB2312" w:cs="仿宋_GB2312" w:hint="eastAsia"/>
          <w:b/>
          <w:bCs/>
          <w:color w:val="auto"/>
          <w:sz w:val="28"/>
          <w:szCs w:val="28"/>
          <w:highlight w:val="none"/>
          <w:lang w:val="en-US" w:eastAsia="zh-CN"/>
        </w:rPr>
        <w:t>制定总体工作方案，加强组织协调。一是</w:t>
      </w:r>
      <w:r>
        <w:rPr>
          <w:rFonts w:ascii="仿宋_GB2312" w:eastAsia="仿宋_GB2312" w:hAnsi="仿宋_GB2312" w:cs="仿宋_GB2312" w:hint="eastAsia"/>
          <w:b w:val="0"/>
          <w:bCs w:val="0"/>
          <w:color w:val="auto"/>
          <w:sz w:val="28"/>
          <w:szCs w:val="28"/>
          <w:highlight w:val="none"/>
          <w:lang w:val="en-US" w:eastAsia="zh-CN"/>
        </w:rPr>
        <w:t>召开内控工作专题会议，制定内部控制编报工作方案，及时印发通知文件，结合我市实际情况明确市直部门、县（市、区）财政部门的上报时间节点，明确各单位内控报告的编制要求、审核检查比例、</w:t>
      </w:r>
      <w:r>
        <w:rPr>
          <w:rFonts w:ascii="仿宋_GB2312" w:eastAsia="仿宋_GB2312" w:hAnsi="仿宋_GB2312" w:cs="仿宋_GB2312" w:hint="default"/>
          <w:b w:val="0"/>
          <w:bCs w:val="0"/>
          <w:color w:val="auto"/>
          <w:sz w:val="28"/>
          <w:szCs w:val="28"/>
          <w:highlight w:val="none"/>
          <w:lang w:val="en-US" w:eastAsia="zh-CN"/>
        </w:rPr>
        <w:t>绩效考核</w:t>
      </w:r>
      <w:r>
        <w:rPr>
          <w:rFonts w:ascii="仿宋_GB2312" w:eastAsia="仿宋_GB2312" w:hAnsi="仿宋_GB2312" w:cs="仿宋_GB2312" w:hint="eastAsia"/>
          <w:b w:val="0"/>
          <w:bCs w:val="0"/>
          <w:color w:val="auto"/>
          <w:sz w:val="28"/>
          <w:szCs w:val="28"/>
          <w:highlight w:val="none"/>
          <w:lang w:val="en-US" w:eastAsia="zh-CN"/>
        </w:rPr>
        <w:t>等重点内容。</w:t>
      </w:r>
      <w:r>
        <w:rPr>
          <w:rFonts w:ascii="仿宋_GB2312" w:eastAsia="仿宋_GB2312" w:hAnsi="仿宋_GB2312" w:cs="仿宋_GB2312" w:hint="eastAsia"/>
          <w:b/>
          <w:bCs/>
          <w:color w:val="auto"/>
          <w:sz w:val="28"/>
          <w:szCs w:val="28"/>
          <w:highlight w:val="none"/>
          <w:lang w:val="en-US" w:eastAsia="zh-CN"/>
        </w:rPr>
        <w:t>二是</w:t>
      </w:r>
      <w:r>
        <w:rPr>
          <w:rFonts w:ascii="仿宋_GB2312" w:eastAsia="仿宋_GB2312" w:hAnsi="仿宋_GB2312" w:cs="仿宋_GB2312" w:hint="eastAsia"/>
          <w:b w:val="0"/>
          <w:bCs w:val="0"/>
          <w:color w:val="auto"/>
          <w:sz w:val="28"/>
          <w:szCs w:val="28"/>
          <w:highlight w:val="none"/>
          <w:lang w:val="en-US" w:eastAsia="zh-CN"/>
        </w:rPr>
        <w:t>开展全市内部控制建设培训，我市于4月25日以线上直播的形式开展2023年度内控报告填报指标解读及培训，据统计，全市共1491家单位观看直播、参加培训。</w:t>
      </w:r>
      <w:r>
        <w:rPr>
          <w:rFonts w:ascii="仿宋_GB2312" w:eastAsia="仿宋_GB2312" w:hAnsi="仿宋_GB2312" w:cs="仿宋_GB2312" w:hint="eastAsia"/>
          <w:b/>
          <w:bCs/>
          <w:color w:val="auto"/>
          <w:sz w:val="28"/>
          <w:szCs w:val="28"/>
          <w:highlight w:val="none"/>
          <w:lang w:val="en-US" w:eastAsia="zh-CN"/>
        </w:rPr>
        <w:t>三是</w:t>
      </w:r>
      <w:r>
        <w:rPr>
          <w:rFonts w:ascii="仿宋_GB2312" w:eastAsia="仿宋_GB2312" w:hAnsi="仿宋_GB2312" w:cs="仿宋_GB2312" w:hint="eastAsia"/>
          <w:b w:val="0"/>
          <w:bCs w:val="0"/>
          <w:color w:val="auto"/>
          <w:sz w:val="28"/>
          <w:szCs w:val="28"/>
          <w:highlight w:val="none"/>
          <w:lang w:val="en-US" w:eastAsia="zh-CN"/>
        </w:rPr>
        <w:t>建立持续性的辅导和沟通机制</w:t>
      </w:r>
      <w:r>
        <w:rPr>
          <w:rFonts w:ascii="仿宋_GB2312" w:eastAsia="仿宋_GB2312" w:hAnsi="仿宋_GB2312" w:cs="仿宋_GB2312" w:hint="eastAsia"/>
          <w:kern w:val="2"/>
          <w:sz w:val="28"/>
          <w:szCs w:val="28"/>
          <w:lang w:val="en-US" w:eastAsia="zh-CN" w:bidi="ar-SA"/>
        </w:rPr>
        <w:t>，通过粤政易</w:t>
      </w:r>
      <w:r>
        <w:rPr>
          <w:rFonts w:ascii="仿宋_GB2312" w:eastAsia="仿宋_GB2312" w:hAnsi="仿宋_GB2312" w:cs="仿宋_GB2312" w:hint="eastAsia"/>
          <w:kern w:val="2"/>
          <w:sz w:val="28"/>
          <w:szCs w:val="28"/>
          <w:lang w:eastAsia="zh-CN" w:bidi="ar-SA"/>
        </w:rPr>
        <w:t>工作</w:t>
      </w:r>
      <w:r>
        <w:rPr>
          <w:rFonts w:ascii="仿宋_GB2312" w:eastAsia="仿宋_GB2312" w:hAnsi="仿宋_GB2312" w:cs="仿宋_GB2312" w:hint="eastAsia"/>
          <w:kern w:val="2"/>
          <w:sz w:val="28"/>
          <w:szCs w:val="28"/>
          <w:lang w:eastAsia="zh-CN" w:bidi="ar-SA"/>
        </w:rPr>
        <w:t>群</w:t>
      </w:r>
      <w:r>
        <w:rPr>
          <w:rFonts w:ascii="仿宋_GB2312" w:eastAsia="仿宋_GB2312" w:hAnsi="仿宋_GB2312" w:cs="仿宋_GB2312" w:hint="eastAsia"/>
          <w:kern w:val="2"/>
          <w:sz w:val="28"/>
          <w:szCs w:val="28"/>
          <w:lang w:val="en-US" w:eastAsia="zh-CN" w:bidi="ar-SA"/>
        </w:rPr>
        <w:t>、电话等方式随时解答各单位在内部控制报告编报过程中出现的具体疑难问题，指导督促各单位认真编制、汇总内控报告，确保内控编报工作有序开展。</w:t>
      </w:r>
    </w:p>
    <w:p>
      <w:pPr>
        <w:autoSpaceDE w:val="0"/>
        <w:autoSpaceDN w:val="0"/>
        <w:spacing w:line="360" w:lineRule="auto"/>
        <w:ind w:firstLine="567"/>
        <w:textAlignment w:val="baseline"/>
        <w:rPr>
          <w:rFonts w:ascii="仿宋_GB2312" w:eastAsia="仿宋_GB2312" w:hAnsi="仿宋_GB2312" w:cs="仿宋_GB2312" w:hint="eastAsia"/>
          <w:b w:val="0"/>
          <w:bCs w:val="0"/>
          <w:color w:val="auto"/>
          <w:sz w:val="28"/>
          <w:szCs w:val="28"/>
          <w:highlight w:val="none"/>
          <w:lang w:val="en-US" w:eastAsia="zh-CN"/>
        </w:rPr>
      </w:pPr>
      <w:r>
        <w:rPr>
          <w:rFonts w:ascii="仿宋_GB2312" w:eastAsia="仿宋_GB2312" w:hAnsi="仿宋_GB2312" w:cs="仿宋_GB2312" w:hint="eastAsia"/>
          <w:b/>
          <w:bCs/>
          <w:color w:val="auto"/>
          <w:sz w:val="28"/>
          <w:szCs w:val="28"/>
          <w:highlight w:val="none"/>
          <w:lang w:val="en-US" w:eastAsia="zh-CN"/>
        </w:rPr>
        <w:t>3.提高审核比例，纳入绩效考核。一是</w:t>
      </w:r>
      <w:r>
        <w:rPr>
          <w:rFonts w:ascii="仿宋_GB2312" w:eastAsia="仿宋_GB2312" w:hAnsi="仿宋_GB2312" w:cs="仿宋_GB2312" w:hint="eastAsia"/>
          <w:b w:val="0"/>
          <w:bCs w:val="0"/>
          <w:color w:val="auto"/>
          <w:sz w:val="28"/>
          <w:szCs w:val="28"/>
          <w:highlight w:val="none"/>
          <w:lang w:val="en-US" w:eastAsia="zh-CN"/>
        </w:rPr>
        <w:t>我市为进一步</w:t>
      </w:r>
      <w:r>
        <w:rPr>
          <w:rFonts w:ascii="仿宋_GB2312" w:eastAsia="仿宋_GB2312" w:hAnsi="仿宋_GB2312" w:cs="仿宋_GB2312" w:hint="eastAsia"/>
          <w:b w:val="0"/>
          <w:bCs w:val="0"/>
          <w:color w:val="auto"/>
          <w:sz w:val="28"/>
          <w:szCs w:val="28"/>
          <w:highlight w:val="none"/>
          <w:lang w:val="en-US" w:eastAsia="zh-CN"/>
        </w:rPr>
        <w:t>推进内部控制建设工作稳步开展，督促各单位提高内部控制报告填报质量，要求各县（市、区）抽查比例</w:t>
      </w:r>
      <w:r>
        <w:rPr>
          <w:rFonts w:ascii="仿宋_GB2312" w:eastAsia="仿宋_GB2312" w:hAnsi="仿宋_GB2312" w:cs="仿宋_GB2312" w:hint="default"/>
          <w:b w:val="0"/>
          <w:bCs w:val="0"/>
          <w:color w:val="auto"/>
          <w:sz w:val="28"/>
          <w:szCs w:val="28"/>
          <w:highlight w:val="none"/>
          <w:lang w:eastAsia="zh-CN"/>
        </w:rPr>
        <w:t>由</w:t>
      </w:r>
      <w:r>
        <w:rPr>
          <w:rFonts w:ascii="仿宋_GB2312" w:eastAsia="仿宋_GB2312" w:hAnsi="仿宋_GB2312" w:cs="仿宋_GB2312" w:hint="default"/>
          <w:b w:val="0"/>
          <w:bCs w:val="0"/>
          <w:color w:val="auto"/>
          <w:sz w:val="28"/>
          <w:szCs w:val="28"/>
          <w:highlight w:val="none"/>
          <w:lang w:eastAsia="zh-CN"/>
        </w:rPr>
        <w:t>省</w:t>
      </w:r>
      <w:r>
        <w:rPr>
          <w:rFonts w:ascii="仿宋_GB2312" w:eastAsia="仿宋_GB2312" w:hAnsi="仿宋_GB2312" w:cs="仿宋_GB2312" w:hint="default"/>
          <w:b w:val="0"/>
          <w:bCs w:val="0"/>
          <w:color w:val="auto"/>
          <w:sz w:val="28"/>
          <w:szCs w:val="28"/>
          <w:highlight w:val="none"/>
          <w:lang w:eastAsia="zh-CN"/>
        </w:rPr>
        <w:t>财政厅</w:t>
      </w:r>
      <w:r>
        <w:rPr>
          <w:rFonts w:ascii="仿宋_GB2312" w:eastAsia="仿宋_GB2312" w:hAnsi="仿宋_GB2312" w:cs="仿宋_GB2312" w:hint="default"/>
          <w:b w:val="0"/>
          <w:bCs w:val="0"/>
          <w:color w:val="auto"/>
          <w:sz w:val="28"/>
          <w:szCs w:val="28"/>
          <w:highlight w:val="none"/>
          <w:lang w:eastAsia="zh-CN"/>
        </w:rPr>
        <w:t>要求</w:t>
      </w:r>
      <w:r>
        <w:rPr>
          <w:rFonts w:ascii="仿宋_GB2312" w:eastAsia="仿宋_GB2312" w:hAnsi="仿宋_GB2312" w:cs="仿宋_GB2312" w:hint="default"/>
          <w:b w:val="0"/>
          <w:bCs w:val="0"/>
          <w:color w:val="auto"/>
          <w:sz w:val="28"/>
          <w:szCs w:val="28"/>
          <w:highlight w:val="none"/>
          <w:lang w:eastAsia="zh-CN"/>
        </w:rPr>
        <w:t>的</w:t>
      </w:r>
      <w:r>
        <w:rPr>
          <w:rFonts w:ascii="仿宋_GB2312" w:eastAsia="仿宋_GB2312" w:hAnsi="仿宋_GB2312" w:cs="仿宋_GB2312" w:hint="default"/>
          <w:b w:val="0"/>
          <w:bCs w:val="0"/>
          <w:color w:val="auto"/>
          <w:sz w:val="28"/>
          <w:szCs w:val="28"/>
          <w:highlight w:val="none"/>
          <w:lang w:eastAsia="zh-CN"/>
        </w:rPr>
        <w:t>不少于</w:t>
      </w:r>
      <w:r>
        <w:rPr>
          <w:rFonts w:ascii="仿宋_GB2312" w:eastAsia="仿宋_GB2312" w:hAnsi="仿宋_GB2312" w:cs="仿宋_GB2312" w:hint="default"/>
          <w:b w:val="0"/>
          <w:bCs w:val="0"/>
          <w:color w:val="auto"/>
          <w:sz w:val="28"/>
          <w:szCs w:val="28"/>
          <w:highlight w:val="none"/>
          <w:lang w:eastAsia="zh-CN"/>
        </w:rPr>
        <w:t>5</w:t>
      </w:r>
      <w:r>
        <w:rPr>
          <w:rFonts w:ascii="仿宋_GB2312" w:eastAsia="仿宋_GB2312" w:hAnsi="仿宋_GB2312" w:cs="仿宋_GB2312" w:hint="default"/>
          <w:b w:val="0"/>
          <w:bCs w:val="0"/>
          <w:color w:val="auto"/>
          <w:sz w:val="28"/>
          <w:szCs w:val="28"/>
          <w:highlight w:val="none"/>
          <w:lang w:eastAsia="zh-CN"/>
        </w:rPr>
        <w:t>%</w:t>
      </w:r>
      <w:r>
        <w:rPr>
          <w:rFonts w:ascii="仿宋_GB2312" w:eastAsia="仿宋_GB2312" w:hAnsi="仿宋_GB2312" w:cs="仿宋_GB2312" w:hint="eastAsia"/>
          <w:b w:val="0"/>
          <w:bCs w:val="0"/>
          <w:color w:val="auto"/>
          <w:sz w:val="28"/>
          <w:szCs w:val="28"/>
          <w:highlight w:val="none"/>
          <w:lang w:val="en-US" w:eastAsia="zh-CN"/>
        </w:rPr>
        <w:t>提高至不少于10%，对被检查单位的</w:t>
      </w:r>
      <w:r>
        <w:rPr>
          <w:rFonts w:ascii="仿宋_GB2312" w:eastAsia="仿宋_GB2312" w:hAnsi="仿宋_GB2312" w:cs="仿宋_GB2312" w:hint="default"/>
          <w:b w:val="0"/>
          <w:bCs w:val="0"/>
          <w:color w:val="auto"/>
          <w:sz w:val="28"/>
          <w:szCs w:val="28"/>
          <w:highlight w:val="none"/>
          <w:lang w:val="en-US" w:eastAsia="zh-CN"/>
        </w:rPr>
        <w:t>内部控制建设情况和</w:t>
      </w:r>
      <w:r>
        <w:rPr>
          <w:rFonts w:ascii="仿宋_GB2312" w:eastAsia="仿宋_GB2312" w:hAnsi="仿宋_GB2312" w:cs="仿宋_GB2312" w:hint="eastAsia"/>
          <w:b w:val="0"/>
          <w:bCs w:val="0"/>
          <w:color w:val="auto"/>
          <w:sz w:val="28"/>
          <w:szCs w:val="28"/>
          <w:highlight w:val="none"/>
          <w:lang w:val="en-US" w:eastAsia="zh-CN"/>
        </w:rPr>
        <w:t>内控报告编报质量进行检查。</w:t>
      </w:r>
      <w:r>
        <w:rPr>
          <w:rFonts w:ascii="仿宋_GB2312" w:eastAsia="仿宋_GB2312" w:hAnsi="仿宋_GB2312" w:cs="仿宋_GB2312" w:hint="eastAsia"/>
          <w:b/>
          <w:bCs/>
          <w:color w:val="auto"/>
          <w:sz w:val="28"/>
          <w:szCs w:val="28"/>
          <w:highlight w:val="none"/>
          <w:lang w:val="en-US" w:eastAsia="zh-CN"/>
        </w:rPr>
        <w:t>二是</w:t>
      </w:r>
      <w:r>
        <w:rPr>
          <w:rFonts w:ascii="仿宋_GB2312" w:eastAsia="仿宋_GB2312" w:hAnsi="仿宋_GB2312" w:cs="仿宋_GB2312" w:hint="eastAsia"/>
          <w:b w:val="0"/>
          <w:bCs w:val="0"/>
          <w:color w:val="auto"/>
          <w:sz w:val="28"/>
          <w:szCs w:val="28"/>
          <w:highlight w:val="none"/>
          <w:lang w:val="en-US" w:eastAsia="zh-CN"/>
        </w:rPr>
        <w:t>我市将内控</w:t>
      </w:r>
      <w:r>
        <w:rPr>
          <w:rFonts w:ascii="仿宋_GB2312" w:eastAsia="仿宋_GB2312" w:hAnsi="仿宋_GB2312" w:cs="仿宋_GB2312" w:hint="default"/>
          <w:b w:val="0"/>
          <w:bCs w:val="0"/>
          <w:color w:val="auto"/>
          <w:sz w:val="28"/>
          <w:szCs w:val="28"/>
          <w:highlight w:val="none"/>
          <w:lang w:eastAsia="zh-CN"/>
        </w:rPr>
        <w:t>相关</w:t>
      </w:r>
      <w:r>
        <w:rPr>
          <w:rFonts w:ascii="仿宋_GB2312" w:eastAsia="仿宋_GB2312" w:hAnsi="仿宋_GB2312" w:cs="仿宋_GB2312" w:hint="eastAsia"/>
          <w:b w:val="0"/>
          <w:bCs w:val="0"/>
          <w:color w:val="auto"/>
          <w:sz w:val="28"/>
          <w:szCs w:val="28"/>
          <w:highlight w:val="none"/>
          <w:lang w:val="en-US" w:eastAsia="zh-CN"/>
        </w:rPr>
        <w:t>指标纳入部门绩效评价指标体系，建立市级单位内控与预算管理的联动机制，加强对各单位内控建设质量的考核力度，形成“评价—反馈—整改—提升”的良性循环。</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9"/>
        <w:rPr>
          <w:rFonts w:ascii="仿宋_GB2312" w:eastAsia="仿宋_GB2312" w:hAnsi="仿宋_GB2312" w:cs="仿宋_GB2312" w:hint="default"/>
          <w:b/>
          <w:bCs/>
          <w:color w:val="auto"/>
          <w:sz w:val="28"/>
          <w:szCs w:val="28"/>
          <w:highlight w:val="none"/>
          <w:lang w:val="en-US" w:eastAsia="zh-CN"/>
        </w:rPr>
      </w:pPr>
      <w:r>
        <w:rPr>
          <w:rFonts w:ascii="仿宋_GB2312" w:eastAsia="仿宋_GB2312" w:hAnsi="仿宋_GB2312" w:cs="仿宋_GB2312" w:hint="eastAsia"/>
          <w:b/>
          <w:bCs/>
          <w:color w:val="auto"/>
          <w:sz w:val="28"/>
          <w:szCs w:val="28"/>
          <w:highlight w:val="none"/>
          <w:lang w:val="en-US" w:eastAsia="zh-CN"/>
        </w:rPr>
        <w:t>4.</w:t>
      </w:r>
      <w:r>
        <w:rPr>
          <w:rFonts w:ascii="仿宋_GB2312" w:eastAsia="仿宋_GB2312" w:hAnsi="仿宋_GB2312" w:cs="仿宋_GB2312" w:hint="eastAsia"/>
          <w:b/>
          <w:bCs/>
          <w:color w:val="auto"/>
          <w:sz w:val="28"/>
          <w:szCs w:val="28"/>
          <w:highlight w:val="none"/>
          <w:lang w:val="en-US" w:eastAsia="zh-CN"/>
        </w:rPr>
        <w:t>扎实开展案例征集、实地检查工作。一是</w:t>
      </w:r>
      <w:r>
        <w:rPr>
          <w:rFonts w:ascii="仿宋_GB2312" w:eastAsia="仿宋_GB2312" w:hAnsi="仿宋_GB2312" w:cs="仿宋_GB2312" w:hint="eastAsia"/>
          <w:b w:val="0"/>
          <w:bCs w:val="0"/>
          <w:color w:val="auto"/>
          <w:sz w:val="28"/>
          <w:szCs w:val="28"/>
          <w:highlight w:val="none"/>
          <w:lang w:val="en-US" w:eastAsia="zh-CN"/>
        </w:rPr>
        <w:t>积极开展我市各类型单位的内部控制案例征集工作，目前共收到15篇内控典型案例，对促进单位之间的经验交流和学习起到促进作用，我市将探索对典型案例的</w:t>
      </w:r>
      <w:r>
        <w:rPr>
          <w:rFonts w:ascii="仿宋_GB2312" w:eastAsia="仿宋_GB2312" w:hAnsi="仿宋_GB2312" w:cs="仿宋_GB2312" w:hint="default"/>
          <w:b w:val="0"/>
          <w:bCs w:val="0"/>
          <w:color w:val="auto"/>
          <w:sz w:val="28"/>
          <w:szCs w:val="28"/>
          <w:highlight w:val="none"/>
          <w:lang w:val="en-US" w:eastAsia="zh-CN"/>
        </w:rPr>
        <w:t>推广与应用</w:t>
      </w:r>
      <w:r>
        <w:rPr>
          <w:rFonts w:ascii="仿宋_GB2312" w:eastAsia="仿宋_GB2312" w:hAnsi="仿宋_GB2312" w:cs="仿宋_GB2312" w:hint="eastAsia"/>
          <w:b w:val="0"/>
          <w:bCs w:val="0"/>
          <w:color w:val="auto"/>
          <w:sz w:val="28"/>
          <w:szCs w:val="28"/>
          <w:highlight w:val="none"/>
          <w:lang w:val="en-US" w:eastAsia="zh-CN"/>
        </w:rPr>
        <w:t>方式。</w:t>
      </w:r>
      <w:r>
        <w:rPr>
          <w:rFonts w:ascii="仿宋_GB2312" w:eastAsia="仿宋_GB2312" w:hAnsi="仿宋_GB2312" w:cs="仿宋_GB2312" w:hint="eastAsia"/>
          <w:b/>
          <w:bCs/>
          <w:color w:val="auto"/>
          <w:sz w:val="28"/>
          <w:szCs w:val="28"/>
          <w:highlight w:val="none"/>
          <w:lang w:val="en-US" w:eastAsia="zh-CN"/>
        </w:rPr>
        <w:t>二是</w:t>
      </w:r>
      <w:r>
        <w:rPr>
          <w:rFonts w:ascii="仿宋_GB2312" w:eastAsia="仿宋_GB2312" w:hAnsi="仿宋_GB2312" w:cs="仿宋_GB2312" w:hint="eastAsia"/>
          <w:kern w:val="2"/>
          <w:sz w:val="28"/>
          <w:szCs w:val="28"/>
          <w:lang w:val="en-US" w:eastAsia="zh-CN" w:bidi="ar-SA"/>
        </w:rPr>
        <w:t>结合</w:t>
      </w:r>
      <w:r>
        <w:rPr>
          <w:rFonts w:ascii="仿宋_GB2312" w:eastAsia="仿宋_GB2312" w:hAnsi="仿宋_GB2312" w:cs="仿宋_GB2312" w:hint="eastAsia"/>
          <w:kern w:val="2"/>
          <w:sz w:val="28"/>
          <w:szCs w:val="28"/>
          <w:lang w:val="en-US" w:eastAsia="zh-CN" w:bidi="ar-SA"/>
        </w:rPr>
        <w:t>我</w:t>
      </w:r>
      <w:r>
        <w:rPr>
          <w:rFonts w:ascii="仿宋_GB2312" w:eastAsia="仿宋_GB2312" w:hAnsi="仿宋_GB2312" w:cs="仿宋_GB2312" w:hint="eastAsia"/>
          <w:kern w:val="2"/>
          <w:sz w:val="28"/>
          <w:szCs w:val="28"/>
          <w:lang w:val="en-US" w:eastAsia="zh-CN" w:bidi="ar-SA"/>
        </w:rPr>
        <w:t>市内控报告检查工作</w:t>
      </w:r>
      <w:r>
        <w:rPr>
          <w:rFonts w:ascii="仿宋_GB2312" w:eastAsia="仿宋_GB2312" w:hAnsi="仿宋_GB2312" w:cs="仿宋_GB2312" w:hint="eastAsia"/>
          <w:kern w:val="2"/>
          <w:sz w:val="28"/>
          <w:szCs w:val="28"/>
          <w:lang w:val="en-US" w:eastAsia="zh-CN" w:bidi="ar-SA"/>
        </w:rPr>
        <w:t>计划</w:t>
      </w:r>
      <w:r>
        <w:rPr>
          <w:rFonts w:ascii="仿宋_GB2312" w:eastAsia="仿宋_GB2312" w:hAnsi="仿宋_GB2312" w:cs="仿宋_GB2312" w:hint="eastAsia"/>
          <w:kern w:val="2"/>
          <w:sz w:val="28"/>
          <w:szCs w:val="28"/>
          <w:lang w:val="en-US" w:eastAsia="zh-CN" w:bidi="ar-SA"/>
        </w:rPr>
        <w:t>，</w:t>
      </w:r>
      <w:r>
        <w:rPr>
          <w:rFonts w:ascii="仿宋_GB2312" w:eastAsia="仿宋_GB2312" w:hAnsi="仿宋_GB2312" w:cs="仿宋_GB2312" w:hint="eastAsia"/>
          <w:kern w:val="2"/>
          <w:sz w:val="28"/>
          <w:szCs w:val="28"/>
          <w:lang w:val="en-US" w:eastAsia="zh-CN" w:bidi="ar-SA"/>
        </w:rPr>
        <w:t>抽取3家单位</w:t>
      </w:r>
      <w:r>
        <w:rPr>
          <w:rFonts w:ascii="仿宋_GB2312" w:eastAsia="仿宋_GB2312" w:hAnsi="仿宋_GB2312" w:cs="仿宋_GB2312" w:hint="eastAsia"/>
          <w:kern w:val="2"/>
          <w:sz w:val="28"/>
          <w:szCs w:val="28"/>
          <w:lang w:val="en-US" w:eastAsia="zh-CN" w:bidi="ar-SA"/>
        </w:rPr>
        <w:t>开展实地调研，对</w:t>
      </w:r>
      <w:r>
        <w:rPr>
          <w:rFonts w:ascii="仿宋_GB2312" w:eastAsia="仿宋_GB2312" w:hAnsi="仿宋_GB2312" w:cs="仿宋_GB2312" w:hint="eastAsia"/>
          <w:kern w:val="2"/>
          <w:sz w:val="28"/>
          <w:szCs w:val="28"/>
          <w:lang w:val="en-US" w:eastAsia="zh-CN" w:bidi="ar-SA"/>
        </w:rPr>
        <w:t>单位</w:t>
      </w:r>
      <w:r>
        <w:rPr>
          <w:rFonts w:ascii="仿宋_GB2312" w:eastAsia="仿宋_GB2312" w:hAnsi="仿宋_GB2312" w:cs="仿宋_GB2312" w:hint="eastAsia"/>
          <w:kern w:val="2"/>
          <w:sz w:val="28"/>
          <w:szCs w:val="28"/>
          <w:lang w:eastAsia="zh-CN" w:bidi="ar-SA"/>
        </w:rPr>
        <w:t>在</w:t>
      </w:r>
      <w:r>
        <w:rPr>
          <w:rFonts w:ascii="仿宋_GB2312" w:eastAsia="仿宋_GB2312" w:hAnsi="仿宋_GB2312" w:cs="仿宋_GB2312" w:hint="eastAsia"/>
          <w:kern w:val="2"/>
          <w:sz w:val="28"/>
          <w:szCs w:val="28"/>
          <w:lang w:val="en-US" w:eastAsia="zh-CN" w:bidi="ar-SA"/>
        </w:rPr>
        <w:t>单位层面、业务层面</w:t>
      </w:r>
      <w:r>
        <w:rPr>
          <w:rFonts w:ascii="仿宋_GB2312" w:eastAsia="仿宋_GB2312" w:hAnsi="仿宋_GB2312" w:cs="仿宋_GB2312" w:hint="eastAsia"/>
          <w:kern w:val="2"/>
          <w:sz w:val="28"/>
          <w:szCs w:val="28"/>
          <w:lang w:val="en-US" w:eastAsia="zh-CN" w:bidi="ar-SA"/>
        </w:rPr>
        <w:t>等内部控制管理</w:t>
      </w:r>
      <w:r>
        <w:rPr>
          <w:rFonts w:ascii="仿宋_GB2312" w:eastAsia="仿宋_GB2312" w:hAnsi="仿宋_GB2312" w:cs="仿宋_GB2312" w:hint="eastAsia"/>
          <w:kern w:val="2"/>
          <w:sz w:val="28"/>
          <w:szCs w:val="28"/>
          <w:lang w:eastAsia="zh-CN" w:bidi="ar-SA"/>
        </w:rPr>
        <w:t>工作</w:t>
      </w:r>
      <w:r>
        <w:rPr>
          <w:rFonts w:ascii="仿宋_GB2312" w:eastAsia="仿宋_GB2312" w:hAnsi="仿宋_GB2312" w:cs="仿宋_GB2312" w:hint="eastAsia"/>
          <w:kern w:val="2"/>
          <w:sz w:val="28"/>
          <w:szCs w:val="28"/>
          <w:lang w:eastAsia="zh-CN" w:bidi="ar-SA"/>
        </w:rPr>
        <w:t>方面</w:t>
      </w:r>
      <w:r>
        <w:rPr>
          <w:rFonts w:ascii="仿宋_GB2312" w:eastAsia="仿宋_GB2312" w:hAnsi="仿宋_GB2312" w:cs="仿宋_GB2312" w:hint="eastAsia"/>
          <w:kern w:val="2"/>
          <w:sz w:val="28"/>
          <w:szCs w:val="28"/>
          <w:lang w:val="en-US" w:eastAsia="zh-CN" w:bidi="ar-SA"/>
        </w:rPr>
        <w:t>进行深入交流探讨，并查找存在的薄弱环节和风险隐患，汇总整理共性问题，以点带面，为指导各</w:t>
      </w:r>
      <w:r>
        <w:rPr>
          <w:rFonts w:ascii="仿宋_GB2312" w:eastAsia="仿宋_GB2312" w:hAnsi="仿宋_GB2312" w:cs="仿宋_GB2312" w:hint="eastAsia"/>
          <w:kern w:val="2"/>
          <w:sz w:val="28"/>
          <w:szCs w:val="28"/>
          <w:lang w:val="en-US" w:eastAsia="zh-CN" w:bidi="ar-SA"/>
        </w:rPr>
        <w:t>单位</w:t>
      </w:r>
      <w:r>
        <w:rPr>
          <w:rFonts w:ascii="仿宋_GB2312" w:eastAsia="仿宋_GB2312" w:hAnsi="仿宋_GB2312" w:cs="仿宋_GB2312" w:hint="eastAsia"/>
          <w:kern w:val="2"/>
          <w:sz w:val="28"/>
          <w:szCs w:val="28"/>
          <w:lang w:val="en-US" w:eastAsia="zh-CN" w:bidi="ar-SA"/>
        </w:rPr>
        <w:t>进一步完善内控管理提供案例支撑。</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（三）地区（部门）层面内部控制制度建设情况以及2023年度更新及在本地区（部门）的落实执行情况。</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9"/>
        <w:rPr>
          <w:rFonts w:ascii="仿宋_GB2312" w:eastAsia="仿宋_GB2312" w:hAnsi="仿宋_GB2312" w:cs="仿宋_GB2312" w:hint="eastAsia"/>
          <w:kern w:val="2"/>
          <w:sz w:val="28"/>
          <w:szCs w:val="28"/>
          <w:lang w:val="en-US" w:eastAsia="zh-CN" w:bidi="ar-SA"/>
        </w:rPr>
      </w:pPr>
      <w:r>
        <w:rPr>
          <w:rFonts w:ascii="仿宋_GB2312" w:eastAsia="仿宋_GB2312" w:hAnsi="仿宋_GB2312" w:cs="仿宋_GB2312" w:hint="eastAsia"/>
          <w:kern w:val="2"/>
          <w:sz w:val="28"/>
          <w:szCs w:val="28"/>
          <w:lang w:eastAsia="zh-CN" w:bidi="ar-SA"/>
        </w:rPr>
        <w:t>经</w:t>
      </w:r>
      <w:r>
        <w:rPr>
          <w:rFonts w:ascii="仿宋_GB2312" w:eastAsia="仿宋_GB2312" w:hAnsi="仿宋_GB2312" w:cs="仿宋_GB2312" w:hint="eastAsia"/>
          <w:kern w:val="2"/>
          <w:sz w:val="28"/>
          <w:szCs w:val="28"/>
          <w:lang w:val="en-US" w:eastAsia="zh-CN" w:bidi="ar-SA"/>
        </w:rPr>
        <w:t>对全</w:t>
      </w:r>
      <w:r>
        <w:rPr>
          <w:rFonts w:ascii="仿宋_GB2312" w:eastAsia="仿宋_GB2312" w:hAnsi="仿宋_GB2312" w:cs="仿宋_GB2312" w:hint="eastAsia"/>
          <w:kern w:val="2"/>
          <w:sz w:val="28"/>
          <w:szCs w:val="28"/>
          <w:highlight w:val="none"/>
          <w:lang w:val="en-US" w:eastAsia="zh-CN" w:bidi="ar-SA"/>
        </w:rPr>
        <w:t>市共</w:t>
      </w:r>
      <w:r>
        <w:rPr>
          <w:rFonts w:ascii="仿宋_GB2312" w:eastAsia="仿宋_GB2312" w:hAnsi="仿宋_GB2312" w:cs="仿宋_GB2312" w:hint="eastAsia"/>
          <w:kern w:val="2"/>
          <w:sz w:val="28"/>
          <w:szCs w:val="28"/>
          <w:highlight w:val="none"/>
          <w:lang w:val="en-US" w:eastAsia="zh-CN" w:bidi="ar-SA"/>
        </w:rPr>
        <w:t>1952</w:t>
      </w:r>
      <w:r>
        <w:rPr>
          <w:rFonts w:ascii="仿宋_GB2312" w:eastAsia="仿宋_GB2312" w:hAnsi="仿宋_GB2312" w:cs="仿宋_GB2312" w:hint="eastAsia"/>
          <w:kern w:val="2"/>
          <w:sz w:val="28"/>
          <w:szCs w:val="28"/>
          <w:highlight w:val="none"/>
          <w:lang w:val="en-US" w:eastAsia="zh-CN" w:bidi="ar-SA"/>
        </w:rPr>
        <w:t>家单位2023年度内部控</w:t>
      </w:r>
      <w:r>
        <w:rPr>
          <w:rFonts w:ascii="仿宋_GB2312" w:eastAsia="仿宋_GB2312" w:hAnsi="仿宋_GB2312" w:cs="仿宋_GB2312" w:hint="eastAsia"/>
          <w:kern w:val="2"/>
          <w:sz w:val="28"/>
          <w:szCs w:val="28"/>
          <w:lang w:val="en-US" w:eastAsia="zh-CN" w:bidi="ar-SA"/>
        </w:rPr>
        <w:t>制报告进行梳理和分析，我市在内部控制制度建设、更新及落实执行情况如下：</w:t>
      </w:r>
    </w:p>
    <w:p>
      <w:pPr>
        <w:autoSpaceDE w:val="0"/>
        <w:autoSpaceDN w:val="0"/>
        <w:spacing w:line="360" w:lineRule="auto"/>
        <w:ind w:firstLine="560" w:firstLineChars="200"/>
        <w:textAlignment w:val="baseline"/>
        <w:rPr>
          <w:rFonts w:ascii="仿宋_GB2312" w:eastAsia="仿宋_GB2312" w:hAnsi="仿宋_GB2312" w:cs="仿宋_GB2312" w:hint="eastAsia"/>
          <w:b/>
          <w:bCs/>
          <w:kern w:val="2"/>
          <w:sz w:val="28"/>
          <w:szCs w:val="28"/>
          <w:highlight w:val="none"/>
          <w:lang w:val="en-US" w:eastAsia="zh-CN" w:bidi="ar-SA"/>
        </w:rPr>
      </w:pPr>
      <w:r>
        <w:rPr>
          <w:rFonts w:ascii="仿宋_GB2312" w:eastAsia="仿宋_GB2312" w:hAnsi="仿宋_GB2312" w:cs="仿宋_GB2312" w:hint="eastAsia"/>
          <w:b/>
          <w:bCs/>
          <w:kern w:val="2"/>
          <w:sz w:val="28"/>
          <w:szCs w:val="28"/>
          <w:lang w:val="en-US" w:eastAsia="zh-CN" w:bidi="ar-SA"/>
        </w:rPr>
        <w:t>1.持续完善内控制度</w:t>
      </w:r>
      <w:r>
        <w:rPr>
          <w:rFonts w:ascii="仿宋_GB2312" w:eastAsia="仿宋_GB2312" w:hAnsi="仿宋_GB2312" w:cs="仿宋_GB2312" w:hint="eastAsia"/>
          <w:b/>
          <w:bCs/>
          <w:kern w:val="2"/>
          <w:sz w:val="28"/>
          <w:szCs w:val="28"/>
          <w:lang w:val="en-US" w:eastAsia="zh-CN" w:bidi="ar-SA"/>
        </w:rPr>
        <w:t>与流程图</w:t>
      </w:r>
      <w:r>
        <w:rPr>
          <w:rFonts w:ascii="仿宋_GB2312" w:eastAsia="仿宋_GB2312" w:hAnsi="仿宋_GB2312" w:cs="仿宋_GB2312" w:hint="eastAsia"/>
          <w:b/>
          <w:bCs/>
          <w:kern w:val="2"/>
          <w:sz w:val="28"/>
          <w:szCs w:val="28"/>
          <w:lang w:val="en-US" w:eastAsia="zh-CN" w:bidi="ar-SA"/>
        </w:rPr>
        <w:t>。</w:t>
      </w:r>
      <w:r>
        <w:rPr>
          <w:rFonts w:ascii="仿宋_GB2312" w:eastAsia="仿宋_GB2312" w:hAnsi="仿宋_GB2312" w:cs="仿宋_GB2312" w:hint="eastAsia"/>
          <w:kern w:val="2"/>
          <w:sz w:val="28"/>
          <w:szCs w:val="28"/>
          <w:lang w:val="en-US" w:eastAsia="zh-CN" w:bidi="ar-SA"/>
        </w:rPr>
        <w:t>从报告汇总数据来看，业务适用单位中六大经济业务制度建立的平均</w:t>
      </w:r>
      <w:r>
        <w:rPr>
          <w:rFonts w:ascii="仿宋_GB2312" w:eastAsia="仿宋_GB2312" w:hAnsi="仿宋_GB2312" w:cs="仿宋_GB2312" w:hint="eastAsia"/>
          <w:kern w:val="2"/>
          <w:sz w:val="28"/>
          <w:szCs w:val="28"/>
          <w:highlight w:val="none"/>
          <w:lang w:val="en-US" w:eastAsia="zh-CN" w:bidi="ar-SA"/>
        </w:rPr>
        <w:t>比例分别为</w:t>
      </w:r>
      <w:r>
        <w:rPr>
          <w:rFonts w:ascii="仿宋_GB2312" w:eastAsia="仿宋_GB2312" w:hAnsi="仿宋_GB2312" w:cs="仿宋_GB2312" w:hint="eastAsia"/>
          <w:kern w:val="2"/>
          <w:sz w:val="28"/>
          <w:szCs w:val="28"/>
          <w:highlight w:val="none"/>
          <w:lang w:val="en-US" w:eastAsia="zh-CN" w:bidi="ar-SA"/>
        </w:rPr>
        <w:t>90.41</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90.35</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90.65</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89.73</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89.34</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90.47</w:t>
      </w:r>
      <w:r>
        <w:rPr>
          <w:rFonts w:ascii="仿宋_GB2312" w:eastAsia="仿宋_GB2312" w:hAnsi="仿宋_GB2312" w:cs="仿宋_GB2312" w:hint="eastAsia"/>
          <w:kern w:val="2"/>
          <w:sz w:val="28"/>
          <w:szCs w:val="28"/>
          <w:highlight w:val="none"/>
          <w:lang w:val="en-US" w:eastAsia="zh-CN" w:bidi="ar-SA"/>
        </w:rPr>
        <w:t>%，六大经济业务</w:t>
      </w:r>
      <w:r>
        <w:rPr>
          <w:rFonts w:ascii="仿宋_GB2312" w:eastAsia="仿宋_GB2312" w:hAnsi="仿宋_GB2312" w:cs="仿宋_GB2312" w:hint="eastAsia"/>
          <w:kern w:val="2"/>
          <w:sz w:val="28"/>
          <w:szCs w:val="28"/>
          <w:highlight w:val="none"/>
          <w:lang w:val="en-US" w:eastAsia="zh-CN" w:bidi="ar-SA"/>
        </w:rPr>
        <w:t>流程图建立的平均比例分别为72.89%、72.53%、73.52%、72.12%、71.78%、72.28%</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我市各单位已基本建立预算业务、收支业务、政府采购业务、资产业务、建设项目、合同业务等六大经济业务管理制度，重视内部控制制度建设和更新工作。</w:t>
      </w:r>
    </w:p>
    <w:p>
      <w:pPr>
        <w:autoSpaceDE w:val="0"/>
        <w:autoSpaceDN w:val="0"/>
        <w:spacing w:line="360" w:lineRule="auto"/>
        <w:ind w:firstLine="560" w:firstLineChars="200"/>
        <w:textAlignment w:val="baseline"/>
        <w:rPr>
          <w:rFonts w:ascii="仿宋_GB2312" w:eastAsia="仿宋_GB2312" w:hAnsi="仿宋_GB2312" w:cs="仿宋_GB2312" w:hint="eastAsia"/>
          <w:b/>
          <w:bCs/>
          <w:sz w:val="28"/>
          <w:szCs w:val="28"/>
          <w:highlight w:val="none"/>
          <w:lang w:val="en-US" w:eastAsia="zh-CN"/>
        </w:rPr>
      </w:pPr>
      <w:r>
        <w:rPr>
          <w:rFonts w:ascii="仿宋_GB2312" w:eastAsia="仿宋_GB2312" w:hAnsi="仿宋_GB2312" w:cs="仿宋_GB2312" w:hint="eastAsia"/>
          <w:b/>
          <w:bCs/>
          <w:kern w:val="2"/>
          <w:sz w:val="28"/>
          <w:szCs w:val="28"/>
          <w:highlight w:val="none"/>
          <w:lang w:val="en-US" w:eastAsia="zh-CN" w:bidi="ar-SA"/>
        </w:rPr>
        <w:t>2.内部控制落实执行到位。</w:t>
      </w:r>
      <w:r>
        <w:rPr>
          <w:rFonts w:ascii="仿宋_GB2312" w:eastAsia="仿宋_GB2312" w:hAnsi="仿宋_GB2312" w:cs="仿宋_GB2312" w:hint="eastAsia"/>
          <w:kern w:val="2"/>
          <w:sz w:val="28"/>
          <w:szCs w:val="28"/>
          <w:highlight w:val="none"/>
          <w:lang w:val="en-US" w:eastAsia="zh-CN" w:bidi="ar-SA"/>
        </w:rPr>
        <w:t>从报告汇总数据来看，我市各单位内部控制执行情况落实到位。</w:t>
      </w:r>
      <w:r>
        <w:rPr>
          <w:rFonts w:ascii="仿宋_GB2312" w:eastAsia="仿宋_GB2312" w:hAnsi="仿宋_GB2312" w:cs="仿宋_GB2312" w:hint="eastAsia"/>
          <w:b/>
          <w:bCs/>
          <w:kern w:val="2"/>
          <w:sz w:val="28"/>
          <w:szCs w:val="28"/>
          <w:highlight w:val="none"/>
          <w:lang w:val="en-US" w:eastAsia="zh-CN" w:bidi="ar-SA"/>
        </w:rPr>
        <w:t>一是</w:t>
      </w:r>
      <w:r>
        <w:rPr>
          <w:rFonts w:ascii="仿宋_GB2312" w:eastAsia="仿宋_GB2312" w:hAnsi="仿宋_GB2312" w:cs="仿宋_GB2312" w:hint="eastAsia"/>
          <w:kern w:val="2"/>
          <w:sz w:val="28"/>
          <w:szCs w:val="28"/>
          <w:highlight w:val="none"/>
          <w:lang w:val="en-US" w:eastAsia="zh-CN" w:bidi="ar-SA"/>
        </w:rPr>
        <w:t>预算业务执行情况良好，重大项目事前绩效评估率为9</w:t>
      </w:r>
      <w:r>
        <w:rPr>
          <w:rFonts w:ascii="仿宋_GB2312" w:eastAsia="仿宋_GB2312" w:hAnsi="仿宋_GB2312" w:cs="仿宋_GB2312" w:hint="eastAsia"/>
          <w:kern w:val="2"/>
          <w:sz w:val="28"/>
          <w:szCs w:val="28"/>
          <w:highlight w:val="none"/>
          <w:lang w:val="en-US" w:eastAsia="zh-CN" w:bidi="ar-SA"/>
        </w:rPr>
        <w:t>6</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85</w:t>
      </w:r>
      <w:r>
        <w:rPr>
          <w:rFonts w:ascii="仿宋_GB2312" w:eastAsia="仿宋_GB2312" w:hAnsi="仿宋_GB2312" w:cs="仿宋_GB2312" w:hint="eastAsia"/>
          <w:kern w:val="2"/>
          <w:sz w:val="28"/>
          <w:szCs w:val="28"/>
          <w:highlight w:val="none"/>
          <w:lang w:val="en-US" w:eastAsia="zh-CN" w:bidi="ar-SA"/>
        </w:rPr>
        <w:t>%，项目开展绩效目标执行率为</w:t>
      </w:r>
      <w:r>
        <w:rPr>
          <w:rFonts w:ascii="仿宋_GB2312" w:eastAsia="仿宋_GB2312" w:hAnsi="仿宋_GB2312" w:cs="仿宋_GB2312" w:hint="eastAsia"/>
          <w:kern w:val="2"/>
          <w:sz w:val="28"/>
          <w:szCs w:val="28"/>
          <w:highlight w:val="none"/>
          <w:lang w:val="en-US" w:eastAsia="zh-CN" w:bidi="ar-SA"/>
        </w:rPr>
        <w:t>9</w:t>
      </w:r>
      <w:r>
        <w:rPr>
          <w:rFonts w:ascii="仿宋_GB2312" w:eastAsia="仿宋_GB2312" w:hAnsi="仿宋_GB2312" w:cs="仿宋_GB2312" w:hint="eastAsia"/>
          <w:kern w:val="2"/>
          <w:sz w:val="28"/>
          <w:szCs w:val="28"/>
          <w:highlight w:val="none"/>
          <w:lang w:val="en-US" w:eastAsia="zh-CN" w:bidi="ar-SA"/>
        </w:rPr>
        <w:t>2</w:t>
      </w:r>
      <w:r>
        <w:rPr>
          <w:rFonts w:ascii="仿宋_GB2312" w:eastAsia="仿宋_GB2312" w:hAnsi="仿宋_GB2312" w:cs="仿宋_GB2312" w:hint="eastAsia"/>
          <w:kern w:val="2"/>
          <w:sz w:val="28"/>
          <w:szCs w:val="28"/>
          <w:highlight w:val="none"/>
          <w:lang w:val="en-US" w:eastAsia="zh-CN" w:bidi="ar-SA"/>
        </w:rPr>
        <w:t>.34</w:t>
      </w:r>
      <w:r>
        <w:rPr>
          <w:rFonts w:ascii="仿宋_GB2312" w:eastAsia="仿宋_GB2312" w:hAnsi="仿宋_GB2312" w:cs="仿宋_GB2312" w:hint="eastAsia"/>
          <w:kern w:val="2"/>
          <w:sz w:val="28"/>
          <w:szCs w:val="28"/>
          <w:highlight w:val="none"/>
          <w:lang w:val="en-US" w:eastAsia="zh-CN" w:bidi="ar-SA"/>
        </w:rPr>
        <w:t>%，预算项目绩效运行监控执行率为</w:t>
      </w:r>
      <w:r>
        <w:rPr>
          <w:rFonts w:ascii="仿宋_GB2312" w:eastAsia="仿宋_GB2312" w:hAnsi="仿宋_GB2312" w:cs="仿宋_GB2312" w:hint="eastAsia"/>
          <w:kern w:val="2"/>
          <w:sz w:val="28"/>
          <w:szCs w:val="28"/>
          <w:highlight w:val="none"/>
          <w:lang w:val="en-US" w:eastAsia="zh-CN" w:bidi="ar-SA"/>
        </w:rPr>
        <w:t>8</w:t>
      </w:r>
      <w:r>
        <w:rPr>
          <w:rFonts w:ascii="仿宋_GB2312" w:eastAsia="仿宋_GB2312" w:hAnsi="仿宋_GB2312" w:cs="仿宋_GB2312" w:hint="eastAsia"/>
          <w:kern w:val="2"/>
          <w:sz w:val="28"/>
          <w:szCs w:val="28"/>
          <w:highlight w:val="none"/>
          <w:lang w:val="en-US" w:eastAsia="zh-CN" w:bidi="ar-SA"/>
        </w:rPr>
        <w:t>9</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4</w:t>
      </w:r>
      <w:r>
        <w:rPr>
          <w:rFonts w:ascii="仿宋_GB2312" w:eastAsia="仿宋_GB2312" w:hAnsi="仿宋_GB2312" w:cs="仿宋_GB2312" w:hint="eastAsia"/>
          <w:kern w:val="2"/>
          <w:sz w:val="28"/>
          <w:szCs w:val="28"/>
          <w:highlight w:val="none"/>
          <w:lang w:val="en-US" w:eastAsia="zh-CN" w:bidi="ar-SA"/>
        </w:rPr>
        <w:t>8</w:t>
      </w:r>
      <w:r>
        <w:rPr>
          <w:rFonts w:ascii="仿宋_GB2312" w:eastAsia="仿宋_GB2312" w:hAnsi="仿宋_GB2312" w:cs="仿宋_GB2312" w:hint="eastAsia"/>
          <w:kern w:val="2"/>
          <w:sz w:val="28"/>
          <w:szCs w:val="28"/>
          <w:highlight w:val="none"/>
          <w:lang w:val="en-US" w:eastAsia="zh-CN" w:bidi="ar-SA"/>
        </w:rPr>
        <w:t>%，项目绩效自评执行率为</w:t>
      </w:r>
      <w:r>
        <w:rPr>
          <w:rFonts w:ascii="仿宋_GB2312" w:eastAsia="仿宋_GB2312" w:hAnsi="仿宋_GB2312" w:cs="仿宋_GB2312" w:hint="eastAsia"/>
          <w:kern w:val="2"/>
          <w:sz w:val="28"/>
          <w:szCs w:val="28"/>
          <w:highlight w:val="none"/>
          <w:lang w:val="en-US" w:eastAsia="zh-CN" w:bidi="ar-SA"/>
        </w:rPr>
        <w:t>82</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04</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b/>
          <w:bCs/>
          <w:kern w:val="2"/>
          <w:sz w:val="28"/>
          <w:szCs w:val="28"/>
          <w:highlight w:val="none"/>
          <w:lang w:val="en-US" w:eastAsia="zh-CN" w:bidi="ar-SA"/>
        </w:rPr>
        <w:t>二是</w:t>
      </w:r>
      <w:r>
        <w:rPr>
          <w:rFonts w:ascii="仿宋_GB2312" w:eastAsia="仿宋_GB2312" w:hAnsi="仿宋_GB2312" w:cs="仿宋_GB2312" w:hint="eastAsia"/>
          <w:kern w:val="2"/>
          <w:sz w:val="28"/>
          <w:szCs w:val="28"/>
          <w:highlight w:val="none"/>
          <w:lang w:val="en-US" w:eastAsia="zh-CN" w:bidi="ar-SA"/>
        </w:rPr>
        <w:t>收支业务执行情况有效，非税收入上缴完成率为99.</w:t>
      </w:r>
      <w:r>
        <w:rPr>
          <w:rFonts w:ascii="仿宋_GB2312" w:eastAsia="仿宋_GB2312" w:hAnsi="仿宋_GB2312" w:cs="仿宋_GB2312" w:hint="eastAsia"/>
          <w:kern w:val="2"/>
          <w:sz w:val="28"/>
          <w:szCs w:val="28"/>
          <w:highlight w:val="none"/>
          <w:lang w:val="en-US" w:eastAsia="zh-CN" w:bidi="ar-SA"/>
        </w:rPr>
        <w:t>5</w:t>
      </w:r>
      <w:r>
        <w:rPr>
          <w:rFonts w:ascii="仿宋_GB2312" w:eastAsia="仿宋_GB2312" w:hAnsi="仿宋_GB2312" w:cs="仿宋_GB2312" w:hint="eastAsia"/>
          <w:kern w:val="2"/>
          <w:sz w:val="28"/>
          <w:szCs w:val="28"/>
          <w:highlight w:val="none"/>
          <w:lang w:val="en-US" w:eastAsia="zh-CN" w:bidi="ar-SA"/>
        </w:rPr>
        <w:t>5%，支出预决算对比执行率为</w:t>
      </w:r>
      <w:r>
        <w:rPr>
          <w:rFonts w:ascii="仿宋_GB2312" w:eastAsia="仿宋_GB2312" w:hAnsi="仿宋_GB2312" w:cs="仿宋_GB2312" w:hint="eastAsia"/>
          <w:kern w:val="2"/>
          <w:sz w:val="28"/>
          <w:szCs w:val="28"/>
          <w:highlight w:val="none"/>
          <w:lang w:val="en-US" w:eastAsia="zh-CN" w:bidi="ar-SA"/>
        </w:rPr>
        <w:t>97.84</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b/>
          <w:bCs/>
          <w:kern w:val="2"/>
          <w:sz w:val="28"/>
          <w:szCs w:val="28"/>
          <w:highlight w:val="none"/>
          <w:lang w:val="en-US" w:eastAsia="zh-CN" w:bidi="ar-SA"/>
        </w:rPr>
        <w:t>三是</w:t>
      </w:r>
      <w:r>
        <w:rPr>
          <w:rFonts w:ascii="仿宋_GB2312" w:eastAsia="仿宋_GB2312" w:hAnsi="仿宋_GB2312" w:cs="仿宋_GB2312" w:hint="eastAsia"/>
          <w:kern w:val="2"/>
          <w:sz w:val="28"/>
          <w:szCs w:val="28"/>
          <w:highlight w:val="none"/>
          <w:lang w:val="en-US" w:eastAsia="zh-CN" w:bidi="ar-SA"/>
        </w:rPr>
        <w:t>政府采购业务管控有效，政府采购预算完成率为</w:t>
      </w:r>
      <w:r>
        <w:rPr>
          <w:rFonts w:ascii="仿宋_GB2312" w:eastAsia="仿宋_GB2312" w:hAnsi="仿宋_GB2312" w:cs="仿宋_GB2312" w:hint="eastAsia"/>
          <w:kern w:val="2"/>
          <w:sz w:val="28"/>
          <w:szCs w:val="28"/>
          <w:highlight w:val="none"/>
          <w:lang w:val="en-US" w:eastAsia="zh-CN" w:bidi="ar-SA"/>
        </w:rPr>
        <w:t>82.25</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b/>
          <w:bCs/>
          <w:kern w:val="2"/>
          <w:sz w:val="28"/>
          <w:szCs w:val="28"/>
          <w:highlight w:val="none"/>
          <w:lang w:val="en-US" w:eastAsia="zh-CN" w:bidi="ar-SA"/>
        </w:rPr>
        <w:t>四是</w:t>
      </w:r>
      <w:r>
        <w:rPr>
          <w:rFonts w:ascii="仿宋_GB2312" w:eastAsia="仿宋_GB2312" w:hAnsi="仿宋_GB2312" w:cs="仿宋_GB2312" w:hint="eastAsia"/>
          <w:b w:val="0"/>
          <w:bCs w:val="0"/>
          <w:kern w:val="2"/>
          <w:sz w:val="28"/>
          <w:szCs w:val="28"/>
          <w:highlight w:val="none"/>
          <w:lang w:val="en-US" w:eastAsia="zh-CN" w:bidi="ar-SA"/>
        </w:rPr>
        <w:t>固定资</w:t>
      </w:r>
      <w:r>
        <w:rPr>
          <w:rFonts w:ascii="仿宋_GB2312" w:eastAsia="仿宋_GB2312" w:hAnsi="仿宋_GB2312" w:cs="仿宋_GB2312" w:hint="eastAsia"/>
          <w:kern w:val="2"/>
          <w:sz w:val="28"/>
          <w:szCs w:val="28"/>
          <w:highlight w:val="none"/>
          <w:lang w:val="en-US" w:eastAsia="zh-CN" w:bidi="ar-SA"/>
        </w:rPr>
        <w:t>产管理执行有效，固定资产账实相符率</w:t>
      </w:r>
      <w:r>
        <w:rPr>
          <w:rFonts w:ascii="仿宋_GB2312" w:eastAsia="仿宋_GB2312" w:hAnsi="仿宋_GB2312" w:cs="仿宋_GB2312" w:hint="eastAsia"/>
          <w:kern w:val="2"/>
          <w:sz w:val="28"/>
          <w:szCs w:val="28"/>
          <w:highlight w:val="none"/>
          <w:lang w:val="en-US" w:eastAsia="zh-CN" w:bidi="ar-SA"/>
        </w:rPr>
        <w:t>88.</w:t>
      </w:r>
      <w:r>
        <w:rPr>
          <w:rFonts w:ascii="仿宋_GB2312" w:eastAsia="仿宋_GB2312" w:hAnsi="仿宋_GB2312" w:cs="仿宋_GB2312" w:hint="eastAsia"/>
          <w:kern w:val="2"/>
          <w:sz w:val="28"/>
          <w:szCs w:val="28"/>
          <w:highlight w:val="none"/>
          <w:lang w:val="en-US" w:eastAsia="zh-CN" w:bidi="ar-SA"/>
        </w:rPr>
        <w:t>15</w:t>
      </w:r>
      <w:bookmarkStart w:id="0" w:name="_GoBack"/>
      <w:bookmarkEnd w:id="0"/>
      <w:r>
        <w:rPr>
          <w:rFonts w:ascii="仿宋_GB2312" w:eastAsia="仿宋_GB2312" w:hAnsi="仿宋_GB2312" w:cs="仿宋_GB2312" w:hint="eastAsia"/>
          <w:kern w:val="2"/>
          <w:sz w:val="28"/>
          <w:szCs w:val="28"/>
          <w:highlight w:val="none"/>
          <w:lang w:val="en-US" w:eastAsia="zh-CN" w:bidi="ar-SA"/>
        </w:rPr>
        <w:t>%（即开展资产盘点单位比例）</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b/>
          <w:bCs/>
          <w:kern w:val="2"/>
          <w:sz w:val="28"/>
          <w:szCs w:val="28"/>
          <w:highlight w:val="none"/>
          <w:lang w:val="en-US" w:eastAsia="zh-CN" w:bidi="ar-SA"/>
        </w:rPr>
        <w:t>五是</w:t>
      </w:r>
      <w:r>
        <w:rPr>
          <w:rFonts w:ascii="仿宋_GB2312" w:eastAsia="仿宋_GB2312" w:hAnsi="仿宋_GB2312" w:cs="仿宋_GB2312" w:hint="eastAsia"/>
          <w:kern w:val="2"/>
          <w:sz w:val="28"/>
          <w:szCs w:val="28"/>
          <w:highlight w:val="none"/>
          <w:lang w:val="en-US" w:eastAsia="zh-CN" w:bidi="ar-SA"/>
        </w:rPr>
        <w:t>建设项目业务管理制度执行有效，</w:t>
      </w:r>
      <w:r>
        <w:rPr>
          <w:rFonts w:ascii="仿宋_GB2312" w:eastAsia="仿宋_GB2312" w:hAnsi="仿宋_GB2312" w:cs="仿宋_GB2312" w:hint="eastAsia"/>
          <w:kern w:val="2"/>
          <w:sz w:val="28"/>
          <w:szCs w:val="28"/>
          <w:highlight w:val="none"/>
          <w:lang w:val="en-US" w:eastAsia="zh-CN" w:bidi="ar-SA"/>
        </w:rPr>
        <w:t>2</w:t>
      </w:r>
      <w:r>
        <w:rPr>
          <w:rFonts w:ascii="仿宋_GB2312" w:eastAsia="仿宋_GB2312" w:hAnsi="仿宋_GB2312" w:cs="仿宋_GB2312" w:hint="eastAsia"/>
          <w:kern w:val="2"/>
          <w:sz w:val="28"/>
          <w:szCs w:val="28"/>
          <w:highlight w:val="none"/>
          <w:lang w:val="en-US" w:eastAsia="zh-CN" w:bidi="ar-SA"/>
        </w:rPr>
        <w:t>023</w:t>
      </w:r>
      <w:r>
        <w:rPr>
          <w:rFonts w:ascii="仿宋_GB2312" w:eastAsia="仿宋_GB2312" w:hAnsi="仿宋_GB2312" w:cs="仿宋_GB2312" w:hint="eastAsia"/>
          <w:kern w:val="2"/>
          <w:sz w:val="28"/>
          <w:szCs w:val="28"/>
          <w:highlight w:val="none"/>
          <w:lang w:val="en-US" w:eastAsia="zh-CN" w:bidi="ar-SA"/>
        </w:rPr>
        <w:t>年</w:t>
      </w:r>
      <w:r>
        <w:rPr>
          <w:rFonts w:ascii="仿宋_GB2312" w:eastAsia="仿宋_GB2312" w:hAnsi="仿宋_GB2312" w:cs="仿宋_GB2312" w:hint="eastAsia"/>
          <w:kern w:val="2"/>
          <w:sz w:val="28"/>
          <w:szCs w:val="28"/>
          <w:highlight w:val="none"/>
          <w:lang w:val="en-US" w:eastAsia="zh-CN" w:bidi="ar-SA"/>
        </w:rPr>
        <w:t>度</w:t>
      </w:r>
      <w:r>
        <w:rPr>
          <w:rFonts w:ascii="仿宋_GB2312" w:eastAsia="仿宋_GB2312" w:hAnsi="仿宋_GB2312" w:cs="仿宋_GB2312" w:hint="eastAsia"/>
          <w:kern w:val="2"/>
          <w:sz w:val="28"/>
          <w:szCs w:val="28"/>
          <w:highlight w:val="none"/>
          <w:lang w:val="en-US" w:eastAsia="zh-CN" w:bidi="ar-SA"/>
        </w:rPr>
        <w:t>实际</w:t>
      </w:r>
      <w:r>
        <w:rPr>
          <w:rFonts w:ascii="仿宋_GB2312" w:eastAsia="仿宋_GB2312" w:hAnsi="仿宋_GB2312" w:cs="仿宋_GB2312" w:hint="eastAsia"/>
          <w:kern w:val="2"/>
          <w:sz w:val="28"/>
          <w:szCs w:val="28"/>
          <w:highlight w:val="none"/>
          <w:lang w:val="en-US" w:eastAsia="zh-CN" w:bidi="ar-SA"/>
        </w:rPr>
        <w:t>投资</w:t>
      </w:r>
      <w:r>
        <w:rPr>
          <w:rFonts w:ascii="仿宋_GB2312" w:eastAsia="仿宋_GB2312" w:hAnsi="仿宋_GB2312" w:cs="仿宋_GB2312" w:hint="eastAsia"/>
          <w:kern w:val="2"/>
          <w:sz w:val="28"/>
          <w:szCs w:val="28"/>
          <w:highlight w:val="none"/>
          <w:lang w:val="en-US" w:eastAsia="zh-CN" w:bidi="ar-SA"/>
        </w:rPr>
        <w:t>总额</w:t>
      </w:r>
      <w:r>
        <w:rPr>
          <w:rFonts w:ascii="仿宋_GB2312" w:eastAsia="仿宋_GB2312" w:hAnsi="仿宋_GB2312" w:cs="仿宋_GB2312" w:hint="eastAsia"/>
          <w:kern w:val="2"/>
          <w:sz w:val="28"/>
          <w:szCs w:val="28"/>
          <w:highlight w:val="none"/>
          <w:lang w:val="en-US" w:eastAsia="zh-CN" w:bidi="ar-SA"/>
        </w:rPr>
        <w:t>为</w:t>
      </w:r>
      <w:r>
        <w:rPr>
          <w:rFonts w:ascii="仿宋_GB2312" w:eastAsia="仿宋_GB2312" w:hAnsi="仿宋_GB2312" w:cs="仿宋_GB2312" w:hint="eastAsia"/>
          <w:kern w:val="2"/>
          <w:sz w:val="28"/>
          <w:szCs w:val="28"/>
          <w:highlight w:val="none"/>
          <w:lang w:val="en-US" w:eastAsia="zh-CN" w:bidi="ar-SA"/>
        </w:rPr>
        <w:t>4</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8</w:t>
      </w:r>
      <w:r>
        <w:rPr>
          <w:rFonts w:ascii="仿宋_GB2312" w:eastAsia="仿宋_GB2312" w:hAnsi="仿宋_GB2312" w:cs="仿宋_GB2312" w:hint="eastAsia"/>
          <w:kern w:val="2"/>
          <w:sz w:val="28"/>
          <w:szCs w:val="28"/>
          <w:highlight w:val="none"/>
          <w:lang w:val="en-US" w:eastAsia="zh-CN" w:bidi="ar-SA"/>
        </w:rPr>
        <w:t>72</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7</w:t>
      </w:r>
      <w:r>
        <w:rPr>
          <w:rFonts w:ascii="仿宋_GB2312" w:eastAsia="仿宋_GB2312" w:hAnsi="仿宋_GB2312" w:cs="仿宋_GB2312" w:hint="eastAsia"/>
          <w:kern w:val="2"/>
          <w:sz w:val="28"/>
          <w:szCs w:val="28"/>
          <w:highlight w:val="none"/>
          <w:lang w:val="en-US" w:eastAsia="zh-CN" w:bidi="ar-SA"/>
        </w:rPr>
        <w:t>10</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94</w:t>
      </w:r>
      <w:r>
        <w:rPr>
          <w:rFonts w:ascii="仿宋_GB2312" w:eastAsia="仿宋_GB2312" w:hAnsi="仿宋_GB2312" w:cs="仿宋_GB2312" w:hint="eastAsia"/>
          <w:kern w:val="2"/>
          <w:sz w:val="28"/>
          <w:szCs w:val="28"/>
          <w:highlight w:val="none"/>
          <w:lang w:val="en-US" w:eastAsia="zh-CN" w:bidi="ar-SA"/>
        </w:rPr>
        <w:t>0.</w:t>
      </w:r>
      <w:r>
        <w:rPr>
          <w:rFonts w:ascii="仿宋_GB2312" w:eastAsia="仿宋_GB2312" w:hAnsi="仿宋_GB2312" w:cs="仿宋_GB2312" w:hint="eastAsia"/>
          <w:kern w:val="2"/>
          <w:sz w:val="28"/>
          <w:szCs w:val="28"/>
          <w:highlight w:val="none"/>
          <w:lang w:val="en-US" w:eastAsia="zh-CN" w:bidi="ar-SA"/>
        </w:rPr>
        <w:t>09</w:t>
      </w:r>
      <w:r>
        <w:rPr>
          <w:rFonts w:ascii="仿宋_GB2312" w:eastAsia="仿宋_GB2312" w:hAnsi="仿宋_GB2312" w:cs="仿宋_GB2312" w:hint="eastAsia"/>
          <w:kern w:val="2"/>
          <w:sz w:val="28"/>
          <w:szCs w:val="28"/>
          <w:highlight w:val="none"/>
          <w:lang w:val="en-US" w:eastAsia="zh-CN" w:bidi="ar-SA"/>
        </w:rPr>
        <w:t>元</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b/>
          <w:bCs/>
          <w:kern w:val="2"/>
          <w:sz w:val="28"/>
          <w:szCs w:val="28"/>
          <w:highlight w:val="none"/>
          <w:lang w:val="en-US" w:eastAsia="zh-CN" w:bidi="ar-SA"/>
        </w:rPr>
        <w:t>六是</w:t>
      </w:r>
      <w:r>
        <w:rPr>
          <w:rFonts w:ascii="仿宋_GB2312" w:eastAsia="仿宋_GB2312" w:hAnsi="仿宋_GB2312" w:cs="仿宋_GB2312" w:hint="eastAsia"/>
          <w:kern w:val="2"/>
          <w:sz w:val="28"/>
          <w:szCs w:val="28"/>
          <w:highlight w:val="none"/>
          <w:lang w:val="en-US" w:eastAsia="zh-CN" w:bidi="ar-SA"/>
        </w:rPr>
        <w:t>合同业务管理制度执行有效，经合法性审查的合同数占比93.</w:t>
      </w:r>
      <w:r>
        <w:rPr>
          <w:rFonts w:ascii="仿宋_GB2312" w:eastAsia="仿宋_GB2312" w:hAnsi="仿宋_GB2312" w:cs="仿宋_GB2312" w:hint="eastAsia"/>
          <w:kern w:val="2"/>
          <w:sz w:val="28"/>
          <w:szCs w:val="28"/>
          <w:highlight w:val="none"/>
          <w:lang w:val="en-US" w:eastAsia="zh-CN" w:bidi="ar-SA"/>
        </w:rPr>
        <w:t>7</w:t>
      </w:r>
      <w:r>
        <w:rPr>
          <w:rFonts w:ascii="仿宋_GB2312" w:eastAsia="仿宋_GB2312" w:hAnsi="仿宋_GB2312" w:cs="仿宋_GB2312" w:hint="eastAsia"/>
          <w:kern w:val="2"/>
          <w:sz w:val="28"/>
          <w:szCs w:val="28"/>
          <w:highlight w:val="none"/>
          <w:lang w:val="en-US" w:eastAsia="zh-CN" w:bidi="ar-SA"/>
        </w:rPr>
        <w:t>0%。</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（四）2023年度地区（部门）层面的内部控制评价与监督情况。</w:t>
      </w:r>
    </w:p>
    <w:p>
      <w:pPr>
        <w:autoSpaceDE w:val="0"/>
        <w:autoSpaceDN w:val="0"/>
        <w:spacing w:line="360" w:lineRule="auto"/>
        <w:ind w:firstLine="560" w:firstLineChars="200"/>
        <w:textAlignment w:val="baseline"/>
        <w:rPr>
          <w:rFonts w:ascii="仿宋_GB2312" w:eastAsia="仿宋_GB2312" w:hAnsi="仿宋_GB2312" w:cs="仿宋_GB2312" w:hint="eastAsia"/>
          <w:kern w:val="2"/>
          <w:sz w:val="28"/>
          <w:szCs w:val="28"/>
          <w:highlight w:val="none"/>
          <w:lang w:val="en-US" w:eastAsia="zh-CN" w:bidi="ar-SA"/>
        </w:rPr>
      </w:pPr>
      <w:r>
        <w:rPr>
          <w:rFonts w:ascii="仿宋_GB2312" w:eastAsia="仿宋_GB2312" w:hAnsi="仿宋_GB2312" w:cs="仿宋_GB2312" w:hint="eastAsia"/>
          <w:b/>
          <w:bCs/>
          <w:kern w:val="2"/>
          <w:sz w:val="28"/>
          <w:szCs w:val="28"/>
          <w:highlight w:val="none"/>
          <w:lang w:val="en-US" w:eastAsia="zh-CN" w:bidi="ar-SA"/>
        </w:rPr>
        <w:t>1.内控评价与监督工作机制建立情况。</w:t>
      </w:r>
      <w:r>
        <w:rPr>
          <w:rFonts w:ascii="仿宋_GB2312" w:eastAsia="仿宋_GB2312" w:hAnsi="仿宋_GB2312" w:cs="仿宋_GB2312" w:hint="eastAsia"/>
          <w:kern w:val="2"/>
          <w:sz w:val="28"/>
          <w:szCs w:val="28"/>
          <w:highlight w:val="none"/>
          <w:lang w:val="en-US" w:eastAsia="zh-CN" w:bidi="ar-SA"/>
        </w:rPr>
        <w:t>全市已上报的1</w:t>
      </w:r>
      <w:r>
        <w:rPr>
          <w:rFonts w:ascii="仿宋_GB2312" w:eastAsia="仿宋_GB2312" w:hAnsi="仿宋_GB2312" w:cs="仿宋_GB2312" w:hint="eastAsia"/>
          <w:kern w:val="2"/>
          <w:sz w:val="28"/>
          <w:szCs w:val="28"/>
          <w:highlight w:val="none"/>
          <w:lang w:val="en-US" w:eastAsia="zh-CN" w:bidi="ar-SA"/>
        </w:rPr>
        <w:t>952</w:t>
      </w:r>
      <w:r>
        <w:rPr>
          <w:rFonts w:ascii="仿宋_GB2312" w:eastAsia="仿宋_GB2312" w:hAnsi="仿宋_GB2312" w:cs="仿宋_GB2312" w:hint="eastAsia"/>
          <w:kern w:val="2"/>
          <w:sz w:val="28"/>
          <w:szCs w:val="28"/>
          <w:highlight w:val="none"/>
          <w:lang w:val="en-US" w:eastAsia="zh-CN" w:bidi="ar-SA"/>
        </w:rPr>
        <w:t>家单位中已设置内控体系建设评价与监督部门的为16</w:t>
      </w:r>
      <w:r>
        <w:rPr>
          <w:rFonts w:ascii="仿宋_GB2312" w:eastAsia="仿宋_GB2312" w:hAnsi="仿宋_GB2312" w:cs="仿宋_GB2312" w:hint="eastAsia"/>
          <w:kern w:val="2"/>
          <w:sz w:val="28"/>
          <w:szCs w:val="28"/>
          <w:highlight w:val="none"/>
          <w:lang w:val="en-US" w:eastAsia="zh-CN" w:bidi="ar-SA"/>
        </w:rPr>
        <w:t>68</w:t>
      </w:r>
      <w:r>
        <w:rPr>
          <w:rFonts w:ascii="仿宋_GB2312" w:eastAsia="仿宋_GB2312" w:hAnsi="仿宋_GB2312" w:cs="仿宋_GB2312" w:hint="eastAsia"/>
          <w:kern w:val="2"/>
          <w:sz w:val="28"/>
          <w:szCs w:val="28"/>
          <w:highlight w:val="none"/>
          <w:lang w:val="en-US" w:eastAsia="zh-CN" w:bidi="ar-SA"/>
        </w:rPr>
        <w:t>家，占比8</w:t>
      </w:r>
      <w:r>
        <w:rPr>
          <w:rFonts w:ascii="仿宋_GB2312" w:eastAsia="仿宋_GB2312" w:hAnsi="仿宋_GB2312" w:cs="仿宋_GB2312" w:hint="eastAsia"/>
          <w:kern w:val="2"/>
          <w:sz w:val="28"/>
          <w:szCs w:val="28"/>
          <w:highlight w:val="none"/>
          <w:lang w:val="en-US" w:eastAsia="zh-CN" w:bidi="ar-SA"/>
        </w:rPr>
        <w:t>5</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4</w:t>
      </w:r>
      <w:r>
        <w:rPr>
          <w:rFonts w:ascii="仿宋_GB2312" w:eastAsia="仿宋_GB2312" w:hAnsi="仿宋_GB2312" w:cs="仿宋_GB2312" w:hint="eastAsia"/>
          <w:kern w:val="2"/>
          <w:sz w:val="28"/>
          <w:szCs w:val="28"/>
          <w:highlight w:val="none"/>
          <w:lang w:val="en-US" w:eastAsia="zh-CN" w:bidi="ar-SA"/>
        </w:rPr>
        <w:t>5%。</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9"/>
        <w:rPr>
          <w:rFonts w:ascii="仿宋_GB2312" w:eastAsia="仿宋_GB2312" w:hAnsi="仿宋_GB2312" w:cs="仿宋_GB2312" w:hint="eastAsia"/>
          <w:kern w:val="2"/>
          <w:sz w:val="28"/>
          <w:szCs w:val="28"/>
          <w:highlight w:val="none"/>
          <w:lang w:val="en-US" w:eastAsia="zh-CN" w:bidi="ar-SA"/>
        </w:rPr>
      </w:pPr>
      <w:r>
        <w:rPr>
          <w:rFonts w:ascii="仿宋_GB2312" w:eastAsia="仿宋_GB2312" w:hAnsi="仿宋_GB2312" w:cs="仿宋_GB2312" w:hint="eastAsia"/>
          <w:b/>
          <w:bCs/>
          <w:kern w:val="2"/>
          <w:sz w:val="28"/>
          <w:szCs w:val="28"/>
          <w:highlight w:val="none"/>
          <w:lang w:val="en-US" w:eastAsia="zh-CN" w:bidi="ar-SA"/>
        </w:rPr>
        <w:t>2.内控评价与监督工作落实情况。</w:t>
      </w:r>
      <w:r>
        <w:rPr>
          <w:rFonts w:ascii="仿宋_GB2312" w:eastAsia="仿宋_GB2312" w:hAnsi="仿宋_GB2312" w:cs="仿宋_GB2312" w:hint="eastAsia"/>
          <w:kern w:val="2"/>
          <w:sz w:val="28"/>
          <w:szCs w:val="28"/>
          <w:highlight w:val="none"/>
          <w:lang w:val="en-US" w:eastAsia="zh-CN" w:bidi="ar-SA"/>
        </w:rPr>
        <w:t>全市已上报的1</w:t>
      </w:r>
      <w:r>
        <w:rPr>
          <w:rFonts w:ascii="仿宋_GB2312" w:eastAsia="仿宋_GB2312" w:hAnsi="仿宋_GB2312" w:cs="仿宋_GB2312" w:hint="eastAsia"/>
          <w:kern w:val="2"/>
          <w:sz w:val="28"/>
          <w:szCs w:val="28"/>
          <w:highlight w:val="none"/>
          <w:lang w:val="en-US" w:eastAsia="zh-CN" w:bidi="ar-SA"/>
        </w:rPr>
        <w:t>952</w:t>
      </w:r>
      <w:r>
        <w:rPr>
          <w:rFonts w:ascii="仿宋_GB2312" w:eastAsia="仿宋_GB2312" w:hAnsi="仿宋_GB2312" w:cs="仿宋_GB2312" w:hint="eastAsia"/>
          <w:kern w:val="2"/>
          <w:sz w:val="28"/>
          <w:szCs w:val="28"/>
          <w:highlight w:val="none"/>
          <w:lang w:val="en-US" w:eastAsia="zh-CN" w:bidi="ar-SA"/>
        </w:rPr>
        <w:t>家单位中组织开展内部控制考核评价的单位为1</w:t>
      </w:r>
      <w:r>
        <w:rPr>
          <w:rFonts w:ascii="仿宋_GB2312" w:eastAsia="仿宋_GB2312" w:hAnsi="仿宋_GB2312" w:cs="仿宋_GB2312" w:hint="eastAsia"/>
          <w:kern w:val="2"/>
          <w:sz w:val="28"/>
          <w:szCs w:val="28"/>
          <w:highlight w:val="none"/>
          <w:lang w:val="en-US" w:eastAsia="zh-CN" w:bidi="ar-SA"/>
        </w:rPr>
        <w:t>604</w:t>
      </w:r>
      <w:r>
        <w:rPr>
          <w:rFonts w:ascii="仿宋_GB2312" w:eastAsia="仿宋_GB2312" w:hAnsi="仿宋_GB2312" w:cs="仿宋_GB2312" w:hint="eastAsia"/>
          <w:kern w:val="2"/>
          <w:sz w:val="28"/>
          <w:szCs w:val="28"/>
          <w:highlight w:val="none"/>
          <w:lang w:val="en-US" w:eastAsia="zh-CN" w:bidi="ar-SA"/>
        </w:rPr>
        <w:t>家，占比8</w:t>
      </w:r>
      <w:r>
        <w:rPr>
          <w:rFonts w:ascii="仿宋_GB2312" w:eastAsia="仿宋_GB2312" w:hAnsi="仿宋_GB2312" w:cs="仿宋_GB2312" w:hint="eastAsia"/>
          <w:kern w:val="2"/>
          <w:sz w:val="28"/>
          <w:szCs w:val="28"/>
          <w:highlight w:val="none"/>
          <w:lang w:val="en-US" w:eastAsia="zh-CN" w:bidi="ar-SA"/>
        </w:rPr>
        <w:t>2.17</w:t>
      </w:r>
      <w:r>
        <w:rPr>
          <w:rFonts w:ascii="仿宋_GB2312" w:eastAsia="仿宋_GB2312" w:hAnsi="仿宋_GB2312" w:cs="仿宋_GB2312" w:hint="eastAsia"/>
          <w:kern w:val="2"/>
          <w:sz w:val="28"/>
          <w:szCs w:val="28"/>
          <w:highlight w:val="none"/>
          <w:lang w:val="en-US" w:eastAsia="zh-CN" w:bidi="ar-SA"/>
        </w:rPr>
        <w:t>%。其中，将内部控制评价结果作为完善内部管理制度、绩效管理、监督问责、领导干部选拔任用的依据比例分别96.</w:t>
      </w:r>
      <w:r>
        <w:rPr>
          <w:rFonts w:ascii="仿宋_GB2312" w:eastAsia="仿宋_GB2312" w:hAnsi="仿宋_GB2312" w:cs="仿宋_GB2312" w:hint="eastAsia"/>
          <w:kern w:val="2"/>
          <w:sz w:val="28"/>
          <w:szCs w:val="28"/>
          <w:highlight w:val="none"/>
          <w:lang w:val="en-US" w:eastAsia="zh-CN" w:bidi="ar-SA"/>
        </w:rPr>
        <w:t>45</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、7</w:t>
      </w:r>
      <w:r>
        <w:rPr>
          <w:rFonts w:ascii="仿宋_GB2312" w:eastAsia="仿宋_GB2312" w:hAnsi="仿宋_GB2312" w:cs="仿宋_GB2312" w:hint="eastAsia"/>
          <w:kern w:val="2"/>
          <w:sz w:val="28"/>
          <w:szCs w:val="28"/>
          <w:highlight w:val="none"/>
          <w:lang w:val="en-US" w:eastAsia="zh-CN" w:bidi="ar-SA"/>
        </w:rPr>
        <w:t>7</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62</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、7</w:t>
      </w:r>
      <w:r>
        <w:rPr>
          <w:rFonts w:ascii="仿宋_GB2312" w:eastAsia="仿宋_GB2312" w:hAnsi="仿宋_GB2312" w:cs="仿宋_GB2312" w:hint="eastAsia"/>
          <w:kern w:val="2"/>
          <w:sz w:val="28"/>
          <w:szCs w:val="28"/>
          <w:highlight w:val="none"/>
          <w:lang w:val="en-US" w:eastAsia="zh-CN" w:bidi="ar-SA"/>
        </w:rPr>
        <w:t>4</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69</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、6</w:t>
      </w:r>
      <w:r>
        <w:rPr>
          <w:rFonts w:ascii="仿宋_GB2312" w:eastAsia="仿宋_GB2312" w:hAnsi="仿宋_GB2312" w:cs="仿宋_GB2312" w:hint="eastAsia"/>
          <w:kern w:val="2"/>
          <w:sz w:val="28"/>
          <w:szCs w:val="28"/>
          <w:highlight w:val="none"/>
          <w:lang w:val="en-US" w:eastAsia="zh-CN" w:bidi="ar-SA"/>
        </w:rPr>
        <w:t>5</w:t>
      </w:r>
      <w:r>
        <w:rPr>
          <w:rFonts w:ascii="仿宋_GB2312" w:eastAsia="仿宋_GB2312" w:hAnsi="仿宋_GB2312" w:cs="仿宋_GB2312" w:hint="eastAsia"/>
          <w:kern w:val="2"/>
          <w:sz w:val="28"/>
          <w:szCs w:val="28"/>
          <w:highlight w:val="none"/>
          <w:lang w:val="en-US" w:eastAsia="zh-CN" w:bidi="ar-SA"/>
        </w:rPr>
        <w:t>.</w:t>
      </w:r>
      <w:r>
        <w:rPr>
          <w:rFonts w:ascii="仿宋_GB2312" w:eastAsia="仿宋_GB2312" w:hAnsi="仿宋_GB2312" w:cs="仿宋_GB2312" w:hint="eastAsia"/>
          <w:kern w:val="2"/>
          <w:sz w:val="28"/>
          <w:szCs w:val="28"/>
          <w:highlight w:val="none"/>
          <w:lang w:val="en-US" w:eastAsia="zh-CN" w:bidi="ar-SA"/>
        </w:rPr>
        <w:t>77</w:t>
      </w:r>
      <w:r>
        <w:rPr>
          <w:rFonts w:ascii="仿宋_GB2312" w:eastAsia="仿宋_GB2312" w:hAnsi="仿宋_GB2312" w:cs="仿宋_GB2312" w:hint="eastAsia"/>
          <w:kern w:val="2"/>
          <w:sz w:val="28"/>
          <w:szCs w:val="28"/>
          <w:highlight w:val="none"/>
          <w:lang w:val="en-US" w:eastAsia="zh-CN" w:bidi="ar-SA"/>
        </w:rPr>
        <w:t>%。</w:t>
      </w:r>
    </w:p>
    <w:p>
      <w:pPr>
        <w:autoSpaceDE w:val="0"/>
        <w:autoSpaceDN w:val="0"/>
        <w:ind w:firstLine="566" w:firstLineChars="202"/>
        <w:textAlignment w:val="baseline"/>
        <w:outlineLvl w:val="1"/>
        <w:rPr>
          <w:rFonts w:ascii="方正黑体_GBK" w:eastAsia="方正黑体_GBK" w:hAnsi="方正黑体_GBK" w:cs="方正黑体_GBK" w:hint="eastAsia"/>
          <w:b/>
          <w:bCs/>
          <w:color w:val="000000" w:themeColor="text1"/>
          <w:sz w:val="28"/>
          <w:szCs w:val="28"/>
        </w:rPr>
      </w:pPr>
      <w:r>
        <w:rPr>
          <w:rFonts w:ascii="方正黑体_GBK" w:eastAsia="方正黑体_GBK" w:hAnsi="方正黑体_GBK" w:cs="方正黑体_GBK" w:hint="eastAsia"/>
          <w:b/>
          <w:bCs/>
          <w:color w:val="000000" w:themeColor="text1"/>
          <w:sz w:val="28"/>
          <w:szCs w:val="28"/>
        </w:rPr>
        <w:t>二、地区（部门）内部控制报告审核情况</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（一）对本地区（部门）所属单位内部控制报告审核检查情况。</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both"/>
        <w:textAlignment w:val="baseline"/>
        <w:outlineLvl w:val="9"/>
        <w:rPr>
          <w:rFonts w:ascii="仿宋_GB2312" w:eastAsia="仿宋_GB2312" w:hAnsi="仿宋_GB2312" w:cs="仿宋_GB2312" w:hint="eastAsia"/>
          <w:kern w:val="2"/>
          <w:sz w:val="28"/>
          <w:szCs w:val="28"/>
          <w:highlight w:val="none"/>
          <w:lang w:val="en-US" w:eastAsia="zh-CN" w:bidi="ar-SA"/>
        </w:rPr>
      </w:pPr>
      <w:r>
        <w:rPr>
          <w:rFonts w:ascii="仿宋_GB2312" w:eastAsia="仿宋_GB2312" w:hAnsi="仿宋_GB2312" w:cs="仿宋_GB2312" w:hint="eastAsia"/>
          <w:kern w:val="2"/>
          <w:sz w:val="28"/>
          <w:szCs w:val="28"/>
          <w:lang w:val="en-US" w:eastAsia="zh-CN" w:bidi="ar-SA"/>
        </w:rPr>
        <w:t>为落实做好抽查工作，我市按照分级负责原则，由各级财政部门分别负责市直及各县（市、区）行政事业单位的内控报告的抽查工作，</w:t>
      </w:r>
      <w:r>
        <w:rPr>
          <w:rFonts w:ascii="仿宋_GB2312" w:eastAsia="仿宋_GB2312" w:hAnsi="仿宋_GB2312" w:cs="仿宋_GB2312" w:hint="eastAsia"/>
          <w:sz w:val="28"/>
          <w:szCs w:val="28"/>
          <w:lang w:val="en-US" w:eastAsia="zh-CN"/>
        </w:rPr>
        <w:t>对被抽查单位内控编报质量进行检查，重点关注内控报告内容的真实性、完整性、规范性。</w:t>
      </w:r>
      <w:r>
        <w:rPr>
          <w:rFonts w:ascii="仿宋_GB2312" w:eastAsia="仿宋_GB2312" w:hAnsi="仿宋_GB2312" w:cs="仿宋_GB2312" w:hint="eastAsia"/>
          <w:kern w:val="2"/>
          <w:sz w:val="28"/>
          <w:szCs w:val="28"/>
          <w:lang w:val="en-US" w:eastAsia="zh-CN" w:bidi="ar-SA"/>
        </w:rPr>
        <w:t>其中市直行政事业单位由市财政局负责，县（市、区）行政事业单位由各县（市、</w:t>
      </w:r>
      <w:r>
        <w:rPr>
          <w:rFonts w:ascii="仿宋_GB2312" w:eastAsia="仿宋_GB2312" w:hAnsi="仿宋_GB2312" w:cs="仿宋_GB2312" w:hint="eastAsia"/>
          <w:kern w:val="2"/>
          <w:sz w:val="28"/>
          <w:szCs w:val="28"/>
          <w:highlight w:val="none"/>
          <w:lang w:val="en-US" w:eastAsia="zh-CN" w:bidi="ar-SA"/>
        </w:rPr>
        <w:t>区）财政局负责。经统计，全市共抽取</w:t>
      </w:r>
      <w:r>
        <w:rPr>
          <w:rFonts w:ascii="仿宋_GB2312" w:eastAsia="仿宋_GB2312" w:hAnsi="仿宋_GB2312" w:cs="仿宋_GB2312" w:hint="eastAsia"/>
          <w:kern w:val="2"/>
          <w:sz w:val="28"/>
          <w:szCs w:val="28"/>
          <w:highlight w:val="none"/>
          <w:lang w:val="en-US" w:eastAsia="zh-CN" w:bidi="ar-SA"/>
        </w:rPr>
        <w:t>206</w:t>
      </w:r>
      <w:r>
        <w:rPr>
          <w:rFonts w:ascii="仿宋_GB2312" w:eastAsia="仿宋_GB2312" w:hAnsi="仿宋_GB2312" w:cs="仿宋_GB2312" w:hint="eastAsia"/>
          <w:kern w:val="2"/>
          <w:sz w:val="28"/>
          <w:szCs w:val="28"/>
          <w:highlight w:val="none"/>
          <w:lang w:val="en-US" w:eastAsia="zh-CN" w:bidi="ar-SA"/>
        </w:rPr>
        <w:t>家单位进行审核，抽查比例为</w:t>
      </w:r>
      <w:r>
        <w:rPr>
          <w:rFonts w:ascii="仿宋_GB2312" w:eastAsia="仿宋_GB2312" w:hAnsi="仿宋_GB2312" w:cs="仿宋_GB2312" w:hint="eastAsia"/>
          <w:kern w:val="2"/>
          <w:sz w:val="28"/>
          <w:szCs w:val="28"/>
          <w:highlight w:val="none"/>
          <w:lang w:val="en-US" w:eastAsia="zh-CN" w:bidi="ar-SA"/>
        </w:rPr>
        <w:t>10.55</w:t>
      </w:r>
      <w:r>
        <w:rPr>
          <w:rFonts w:ascii="仿宋_GB2312" w:eastAsia="仿宋_GB2312" w:hAnsi="仿宋_GB2312" w:cs="仿宋_GB2312" w:hint="eastAsia"/>
          <w:kern w:val="2"/>
          <w:sz w:val="28"/>
          <w:szCs w:val="28"/>
          <w:highlight w:val="none"/>
          <w:lang w:val="en-US" w:eastAsia="zh-CN" w:bidi="ar-SA"/>
        </w:rPr>
        <w:t>%，高于省财政厅要求的不低于5%。其中，市直单位253家，共抽查26家，抽查比例为10.</w:t>
      </w:r>
      <w:r>
        <w:rPr>
          <w:rFonts w:ascii="仿宋_GB2312" w:eastAsia="仿宋_GB2312" w:hAnsi="仿宋_GB2312" w:cs="仿宋_GB2312" w:hint="eastAsia"/>
          <w:kern w:val="2"/>
          <w:sz w:val="28"/>
          <w:szCs w:val="28"/>
          <w:highlight w:val="none"/>
          <w:lang w:val="en-US" w:eastAsia="zh-CN" w:bidi="ar-SA"/>
        </w:rPr>
        <w:t>28</w:t>
      </w:r>
      <w:r>
        <w:rPr>
          <w:rFonts w:ascii="仿宋_GB2312" w:eastAsia="仿宋_GB2312" w:hAnsi="仿宋_GB2312" w:cs="仿宋_GB2312" w:hint="eastAsia"/>
          <w:kern w:val="2"/>
          <w:sz w:val="28"/>
          <w:szCs w:val="28"/>
          <w:highlight w:val="none"/>
          <w:lang w:val="en-US" w:eastAsia="zh-CN" w:bidi="ar-SA"/>
        </w:rPr>
        <w:t>%；蓬江区单位122家，共抽查13家，抽查比例为10.</w:t>
      </w:r>
      <w:r>
        <w:rPr>
          <w:rFonts w:ascii="仿宋_GB2312" w:eastAsia="仿宋_GB2312" w:hAnsi="仿宋_GB2312" w:cs="仿宋_GB2312" w:hint="eastAsia"/>
          <w:kern w:val="2"/>
          <w:sz w:val="28"/>
          <w:szCs w:val="28"/>
          <w:highlight w:val="none"/>
          <w:lang w:val="en-US" w:eastAsia="zh-CN" w:bidi="ar-SA"/>
        </w:rPr>
        <w:t>66</w:t>
      </w:r>
      <w:r>
        <w:rPr>
          <w:rFonts w:ascii="仿宋_GB2312" w:eastAsia="仿宋_GB2312" w:hAnsi="仿宋_GB2312" w:cs="仿宋_GB2312" w:hint="eastAsia"/>
          <w:kern w:val="2"/>
          <w:sz w:val="28"/>
          <w:szCs w:val="28"/>
          <w:highlight w:val="none"/>
          <w:lang w:val="en-US" w:eastAsia="zh-CN" w:bidi="ar-SA"/>
        </w:rPr>
        <w:t>%；江海区单位139家，共抽查</w:t>
      </w:r>
      <w:r>
        <w:rPr>
          <w:rFonts w:ascii="仿宋_GB2312" w:eastAsia="仿宋_GB2312" w:hAnsi="仿宋_GB2312" w:cs="仿宋_GB2312" w:hint="eastAsia"/>
          <w:kern w:val="2"/>
          <w:sz w:val="28"/>
          <w:szCs w:val="28"/>
          <w:highlight w:val="none"/>
          <w:lang w:val="en-US" w:eastAsia="zh-CN" w:bidi="ar-SA"/>
        </w:rPr>
        <w:t>14</w:t>
      </w:r>
      <w:r>
        <w:rPr>
          <w:rFonts w:ascii="仿宋_GB2312" w:eastAsia="仿宋_GB2312" w:hAnsi="仿宋_GB2312" w:cs="仿宋_GB2312" w:hint="eastAsia"/>
          <w:kern w:val="2"/>
          <w:sz w:val="28"/>
          <w:szCs w:val="28"/>
          <w:highlight w:val="none"/>
          <w:lang w:val="en-US" w:eastAsia="zh-CN" w:bidi="ar-SA"/>
        </w:rPr>
        <w:t>家，抽查比例为10.</w:t>
      </w:r>
      <w:r>
        <w:rPr>
          <w:rFonts w:ascii="仿宋_GB2312" w:eastAsia="仿宋_GB2312" w:hAnsi="仿宋_GB2312" w:cs="仿宋_GB2312" w:hint="eastAsia"/>
          <w:kern w:val="2"/>
          <w:sz w:val="28"/>
          <w:szCs w:val="28"/>
          <w:highlight w:val="none"/>
          <w:lang w:val="en-US" w:eastAsia="zh-CN" w:bidi="ar-SA"/>
        </w:rPr>
        <w:t>07</w:t>
      </w:r>
      <w:r>
        <w:rPr>
          <w:rFonts w:ascii="仿宋_GB2312" w:eastAsia="仿宋_GB2312" w:hAnsi="仿宋_GB2312" w:cs="仿宋_GB2312" w:hint="eastAsia"/>
          <w:kern w:val="2"/>
          <w:sz w:val="28"/>
          <w:szCs w:val="28"/>
          <w:highlight w:val="none"/>
          <w:lang w:val="en-US" w:eastAsia="zh-CN" w:bidi="ar-SA"/>
        </w:rPr>
        <w:t>%；新会区单位</w:t>
      </w:r>
      <w:r>
        <w:rPr>
          <w:rFonts w:ascii="仿宋_GB2312" w:eastAsia="仿宋_GB2312" w:hAnsi="仿宋_GB2312" w:cs="仿宋_GB2312" w:hint="eastAsia"/>
          <w:kern w:val="2"/>
          <w:sz w:val="28"/>
          <w:szCs w:val="28"/>
          <w:highlight w:val="none"/>
          <w:lang w:val="en-US" w:eastAsia="zh-CN" w:bidi="ar-SA"/>
        </w:rPr>
        <w:t>396</w:t>
      </w:r>
      <w:r>
        <w:rPr>
          <w:rFonts w:ascii="仿宋_GB2312" w:eastAsia="仿宋_GB2312" w:hAnsi="仿宋_GB2312" w:cs="仿宋_GB2312" w:hint="eastAsia"/>
          <w:kern w:val="2"/>
          <w:sz w:val="28"/>
          <w:szCs w:val="28"/>
          <w:highlight w:val="none"/>
          <w:lang w:val="en-US" w:eastAsia="zh-CN" w:bidi="ar-SA"/>
        </w:rPr>
        <w:t>家（含新增镇街单位），共抽查</w:t>
      </w:r>
      <w:r>
        <w:rPr>
          <w:rFonts w:ascii="仿宋_GB2312" w:eastAsia="仿宋_GB2312" w:hAnsi="仿宋_GB2312" w:cs="仿宋_GB2312" w:hint="eastAsia"/>
          <w:kern w:val="2"/>
          <w:sz w:val="28"/>
          <w:szCs w:val="28"/>
          <w:highlight w:val="none"/>
          <w:lang w:val="en-US" w:eastAsia="zh-CN" w:bidi="ar-SA"/>
        </w:rPr>
        <w:t>40</w:t>
      </w:r>
      <w:r>
        <w:rPr>
          <w:rFonts w:ascii="仿宋_GB2312" w:eastAsia="仿宋_GB2312" w:hAnsi="仿宋_GB2312" w:cs="仿宋_GB2312" w:hint="eastAsia"/>
          <w:kern w:val="2"/>
          <w:sz w:val="28"/>
          <w:szCs w:val="28"/>
          <w:highlight w:val="none"/>
          <w:lang w:val="en-US" w:eastAsia="zh-CN" w:bidi="ar-SA"/>
        </w:rPr>
        <w:t>家，抽查比例为</w:t>
      </w:r>
      <w:r>
        <w:rPr>
          <w:rFonts w:ascii="仿宋_GB2312" w:eastAsia="仿宋_GB2312" w:hAnsi="仿宋_GB2312" w:cs="仿宋_GB2312" w:hint="eastAsia"/>
          <w:kern w:val="2"/>
          <w:sz w:val="28"/>
          <w:szCs w:val="28"/>
          <w:highlight w:val="none"/>
          <w:lang w:val="en-US" w:eastAsia="zh-CN" w:bidi="ar-SA"/>
        </w:rPr>
        <w:t>10.10</w:t>
      </w:r>
      <w:r>
        <w:rPr>
          <w:rFonts w:ascii="仿宋_GB2312" w:eastAsia="仿宋_GB2312" w:hAnsi="仿宋_GB2312" w:cs="仿宋_GB2312" w:hint="eastAsia"/>
          <w:kern w:val="2"/>
          <w:sz w:val="28"/>
          <w:szCs w:val="28"/>
          <w:highlight w:val="none"/>
          <w:lang w:val="en-US" w:eastAsia="zh-CN" w:bidi="ar-SA"/>
        </w:rPr>
        <w:t>%；台山市单位</w:t>
      </w:r>
      <w:r>
        <w:rPr>
          <w:rFonts w:ascii="仿宋_GB2312" w:eastAsia="仿宋_GB2312" w:hAnsi="仿宋_GB2312" w:cs="仿宋_GB2312" w:hint="eastAsia"/>
          <w:kern w:val="2"/>
          <w:sz w:val="28"/>
          <w:szCs w:val="28"/>
          <w:highlight w:val="none"/>
          <w:lang w:val="en-US" w:eastAsia="zh-CN" w:bidi="ar-SA"/>
        </w:rPr>
        <w:t>341</w:t>
      </w:r>
      <w:r>
        <w:rPr>
          <w:rFonts w:ascii="仿宋_GB2312" w:eastAsia="仿宋_GB2312" w:hAnsi="仿宋_GB2312" w:cs="仿宋_GB2312" w:hint="eastAsia"/>
          <w:kern w:val="2"/>
          <w:sz w:val="28"/>
          <w:szCs w:val="28"/>
          <w:highlight w:val="none"/>
          <w:lang w:val="en-US" w:eastAsia="zh-CN" w:bidi="ar-SA"/>
        </w:rPr>
        <w:t>家（含新增镇街单位），共抽查</w:t>
      </w:r>
      <w:r>
        <w:rPr>
          <w:rFonts w:ascii="仿宋_GB2312" w:eastAsia="仿宋_GB2312" w:hAnsi="仿宋_GB2312" w:cs="仿宋_GB2312" w:hint="eastAsia"/>
          <w:kern w:val="2"/>
          <w:sz w:val="28"/>
          <w:szCs w:val="28"/>
          <w:highlight w:val="none"/>
          <w:lang w:val="en-US" w:eastAsia="zh-CN" w:bidi="ar-SA"/>
        </w:rPr>
        <w:t>35</w:t>
      </w:r>
      <w:r>
        <w:rPr>
          <w:rFonts w:ascii="仿宋_GB2312" w:eastAsia="仿宋_GB2312" w:hAnsi="仿宋_GB2312" w:cs="仿宋_GB2312" w:hint="eastAsia"/>
          <w:kern w:val="2"/>
          <w:sz w:val="28"/>
          <w:szCs w:val="28"/>
          <w:highlight w:val="none"/>
          <w:lang w:val="en-US" w:eastAsia="zh-CN" w:bidi="ar-SA"/>
        </w:rPr>
        <w:t>家，抽查比例为</w:t>
      </w:r>
      <w:r>
        <w:rPr>
          <w:rFonts w:ascii="仿宋_GB2312" w:eastAsia="仿宋_GB2312" w:hAnsi="仿宋_GB2312" w:cs="仿宋_GB2312" w:hint="eastAsia"/>
          <w:kern w:val="2"/>
          <w:sz w:val="28"/>
          <w:szCs w:val="28"/>
          <w:highlight w:val="none"/>
          <w:lang w:val="en-US" w:eastAsia="zh-CN" w:bidi="ar-SA"/>
        </w:rPr>
        <w:t>10.26</w:t>
      </w:r>
      <w:r>
        <w:rPr>
          <w:rFonts w:ascii="仿宋_GB2312" w:eastAsia="仿宋_GB2312" w:hAnsi="仿宋_GB2312" w:cs="仿宋_GB2312" w:hint="eastAsia"/>
          <w:kern w:val="2"/>
          <w:sz w:val="28"/>
          <w:szCs w:val="28"/>
          <w:highlight w:val="none"/>
          <w:lang w:val="en-US" w:eastAsia="zh-CN" w:bidi="ar-SA"/>
        </w:rPr>
        <w:t>%；开平市单位285家，共抽查30家，抽查比例为10.</w:t>
      </w:r>
      <w:r>
        <w:rPr>
          <w:rFonts w:ascii="仿宋_GB2312" w:eastAsia="仿宋_GB2312" w:hAnsi="仿宋_GB2312" w:cs="仿宋_GB2312" w:hint="eastAsia"/>
          <w:kern w:val="2"/>
          <w:sz w:val="28"/>
          <w:szCs w:val="28"/>
          <w:highlight w:val="none"/>
          <w:lang w:val="en-US" w:eastAsia="zh-CN" w:bidi="ar-SA"/>
        </w:rPr>
        <w:t>53</w:t>
      </w:r>
      <w:r>
        <w:rPr>
          <w:rFonts w:ascii="仿宋_GB2312" w:eastAsia="仿宋_GB2312" w:hAnsi="仿宋_GB2312" w:cs="仿宋_GB2312" w:hint="eastAsia"/>
          <w:kern w:val="2"/>
          <w:sz w:val="28"/>
          <w:szCs w:val="28"/>
          <w:highlight w:val="none"/>
          <w:lang w:val="en-US" w:eastAsia="zh-CN" w:bidi="ar-SA"/>
        </w:rPr>
        <w:t>%；鹤山市单位2</w:t>
      </w:r>
      <w:r>
        <w:rPr>
          <w:rFonts w:ascii="仿宋_GB2312" w:eastAsia="仿宋_GB2312" w:hAnsi="仿宋_GB2312" w:cs="仿宋_GB2312" w:hint="eastAsia"/>
          <w:kern w:val="2"/>
          <w:sz w:val="28"/>
          <w:szCs w:val="28"/>
          <w:highlight w:val="none"/>
          <w:lang w:val="en-US" w:eastAsia="zh-CN" w:bidi="ar-SA"/>
        </w:rPr>
        <w:t>53</w:t>
      </w:r>
      <w:r>
        <w:rPr>
          <w:rFonts w:ascii="仿宋_GB2312" w:eastAsia="仿宋_GB2312" w:hAnsi="仿宋_GB2312" w:cs="仿宋_GB2312" w:hint="eastAsia"/>
          <w:kern w:val="2"/>
          <w:sz w:val="28"/>
          <w:szCs w:val="28"/>
          <w:highlight w:val="none"/>
          <w:lang w:val="en-US" w:eastAsia="zh-CN" w:bidi="ar-SA"/>
        </w:rPr>
        <w:t>家（含新增镇街单位），共抽查</w:t>
      </w:r>
      <w:r>
        <w:rPr>
          <w:rFonts w:ascii="仿宋_GB2312" w:eastAsia="仿宋_GB2312" w:hAnsi="仿宋_GB2312" w:cs="仿宋_GB2312" w:hint="eastAsia"/>
          <w:kern w:val="2"/>
          <w:sz w:val="28"/>
          <w:szCs w:val="28"/>
          <w:highlight w:val="none"/>
          <w:lang w:val="en-US" w:eastAsia="zh-CN" w:bidi="ar-SA"/>
        </w:rPr>
        <w:t>30</w:t>
      </w:r>
      <w:r>
        <w:rPr>
          <w:rFonts w:ascii="仿宋_GB2312" w:eastAsia="仿宋_GB2312" w:hAnsi="仿宋_GB2312" w:cs="仿宋_GB2312" w:hint="eastAsia"/>
          <w:kern w:val="2"/>
          <w:sz w:val="28"/>
          <w:szCs w:val="28"/>
          <w:highlight w:val="none"/>
          <w:lang w:val="en-US" w:eastAsia="zh-CN" w:bidi="ar-SA"/>
        </w:rPr>
        <w:t>家，抽查比例为</w:t>
      </w:r>
      <w:r>
        <w:rPr>
          <w:rFonts w:ascii="仿宋_GB2312" w:eastAsia="仿宋_GB2312" w:hAnsi="仿宋_GB2312" w:cs="仿宋_GB2312" w:hint="eastAsia"/>
          <w:kern w:val="2"/>
          <w:sz w:val="28"/>
          <w:szCs w:val="28"/>
          <w:highlight w:val="none"/>
          <w:lang w:val="en-US" w:eastAsia="zh-CN" w:bidi="ar-SA"/>
        </w:rPr>
        <w:t>11.86</w:t>
      </w:r>
      <w:r>
        <w:rPr>
          <w:rFonts w:ascii="仿宋_GB2312" w:eastAsia="仿宋_GB2312" w:hAnsi="仿宋_GB2312" w:cs="仿宋_GB2312" w:hint="eastAsia"/>
          <w:kern w:val="2"/>
          <w:sz w:val="28"/>
          <w:szCs w:val="28"/>
          <w:highlight w:val="none"/>
          <w:lang w:val="en-US" w:eastAsia="zh-CN" w:bidi="ar-SA"/>
        </w:rPr>
        <w:t>%；恩平市单位163家，共抽查18家，抽查比例为</w:t>
      </w:r>
      <w:r>
        <w:rPr>
          <w:rFonts w:ascii="仿宋_GB2312" w:eastAsia="仿宋_GB2312" w:hAnsi="仿宋_GB2312" w:cs="仿宋_GB2312" w:hint="eastAsia"/>
          <w:kern w:val="2"/>
          <w:sz w:val="28"/>
          <w:szCs w:val="28"/>
          <w:highlight w:val="none"/>
          <w:lang w:val="en-US" w:eastAsia="zh-CN" w:bidi="ar-SA"/>
        </w:rPr>
        <w:t>11.04</w:t>
      </w:r>
      <w:r>
        <w:rPr>
          <w:rFonts w:ascii="仿宋_GB2312" w:eastAsia="仿宋_GB2312" w:hAnsi="仿宋_GB2312" w:cs="仿宋_GB2312" w:hint="eastAsia"/>
          <w:kern w:val="2"/>
          <w:sz w:val="28"/>
          <w:szCs w:val="28"/>
          <w:highlight w:val="none"/>
          <w:lang w:val="en-US" w:eastAsia="zh-CN" w:bidi="ar-SA"/>
        </w:rPr>
        <w:t>%。</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（二）地区（部门）汇总报告的规范性。</w:t>
      </w:r>
    </w:p>
    <w:p>
      <w:pPr>
        <w:autoSpaceDE w:val="0"/>
        <w:autoSpaceDN w:val="0"/>
        <w:spacing w:line="360" w:lineRule="auto"/>
        <w:ind w:firstLine="636" w:firstLineChars="227"/>
        <w:textAlignment w:val="baseline"/>
        <w:rPr>
          <w:rFonts w:ascii="仿宋_GB2312" w:eastAsia="仿宋_GB2312" w:hAnsi="仿宋_GB2312" w:cs="仿宋_GB2312" w:hint="eastAsia"/>
          <w:sz w:val="28"/>
          <w:szCs w:val="28"/>
          <w:lang w:val="en-US" w:eastAsia="zh-CN"/>
        </w:rPr>
      </w:pPr>
      <w:r>
        <w:rPr>
          <w:rFonts w:ascii="仿宋_GB2312" w:eastAsia="仿宋_GB2312" w:hAnsi="仿宋_GB2312" w:cs="仿宋_GB2312" w:hint="eastAsia"/>
          <w:b/>
          <w:bCs/>
          <w:sz w:val="28"/>
          <w:szCs w:val="28"/>
          <w:lang w:val="en-US" w:eastAsia="zh-CN"/>
        </w:rPr>
        <w:t>1.报告材料的规范性。</w:t>
      </w:r>
      <w:r>
        <w:rPr>
          <w:rFonts w:ascii="仿宋_GB2312" w:eastAsia="仿宋_GB2312" w:hAnsi="仿宋_GB2312" w:cs="仿宋_GB2312" w:hint="eastAsia"/>
          <w:sz w:val="28"/>
          <w:szCs w:val="28"/>
          <w:lang w:val="en-US" w:eastAsia="zh-CN"/>
        </w:rPr>
        <w:t>江门市2023年度行政事业单位内部控制报告文字材料完整，数据填列齐全，汇总报告封面指标填列完整，正式行文报送时经市财政局主要负责人签字，并加盖单位行政公章。</w:t>
      </w:r>
    </w:p>
    <w:p>
      <w:pPr>
        <w:autoSpaceDE w:val="0"/>
        <w:autoSpaceDN w:val="0"/>
        <w:spacing w:line="360" w:lineRule="auto"/>
        <w:ind w:firstLine="636" w:firstLineChars="227"/>
        <w:textAlignment w:val="baseline"/>
        <w:rPr>
          <w:rFonts w:ascii="仿宋_GB2312" w:eastAsia="仿宋_GB2312" w:hAnsi="仿宋_GB2312" w:cs="仿宋_GB2312" w:hint="eastAsia"/>
          <w:sz w:val="28"/>
          <w:szCs w:val="28"/>
          <w:lang w:val="en-US" w:eastAsia="zh-CN"/>
        </w:rPr>
      </w:pPr>
      <w:r>
        <w:rPr>
          <w:rFonts w:ascii="仿宋_GB2312" w:eastAsia="仿宋_GB2312" w:hAnsi="仿宋_GB2312" w:cs="仿宋_GB2312" w:hint="eastAsia"/>
          <w:b/>
          <w:bCs/>
          <w:sz w:val="28"/>
          <w:szCs w:val="28"/>
          <w:lang w:val="en-US" w:eastAsia="zh-CN"/>
        </w:rPr>
        <w:t>2.基础数据的规范性。</w:t>
      </w:r>
      <w:r>
        <w:rPr>
          <w:rFonts w:ascii="仿宋_GB2312" w:eastAsia="仿宋_GB2312" w:hAnsi="仿宋_GB2312" w:cs="仿宋_GB2312" w:hint="eastAsia"/>
          <w:sz w:val="28"/>
          <w:szCs w:val="28"/>
          <w:lang w:val="en-US" w:eastAsia="zh-CN"/>
        </w:rPr>
        <w:t>江门市2023年度内部控制报告电子树形结构规范、清晰，报告内容规范，公式审核无误，勾稽关系准确，隶属关系与实际预算管理级次一致，无异常项提示。</w:t>
      </w:r>
    </w:p>
    <w:p>
      <w:pPr>
        <w:autoSpaceDE w:val="0"/>
        <w:autoSpaceDN w:val="0"/>
        <w:ind w:firstLine="560"/>
        <w:textAlignment w:val="baseline"/>
        <w:outlineLvl w:val="2"/>
        <w:rPr>
          <w:rFonts w:ascii="仿宋_GB2312" w:eastAsia="仿宋_GB2312" w:hAnsi="仿宋_GB2312" w:cs="仿宋_GB2312" w:hint="eastAsia"/>
          <w:b/>
          <w:bCs/>
          <w:color w:val="000000" w:themeColor="text1"/>
          <w:sz w:val="28"/>
          <w:szCs w:val="28"/>
        </w:rPr>
      </w:pPr>
      <w:r>
        <w:rPr>
          <w:rFonts w:ascii="仿宋_GB2312" w:eastAsia="仿宋_GB2312" w:hAnsi="仿宋_GB2312" w:cs="仿宋_GB2312" w:hint="eastAsia"/>
          <w:b/>
          <w:bCs/>
          <w:color w:val="000000" w:themeColor="text1"/>
          <w:sz w:val="28"/>
          <w:szCs w:val="28"/>
        </w:rPr>
        <w:t>（三）地区（部门）汇总报告上下年数据变动合理性。</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9"/>
        <w:rPr>
          <w:rFonts w:ascii="仿宋_GB2312" w:eastAsia="仿宋_GB2312" w:hAnsi="仿宋_GB2312" w:cs="仿宋_GB2312" w:hint="eastAsia"/>
          <w:sz w:val="28"/>
          <w:szCs w:val="28"/>
          <w:lang w:val="en-US" w:eastAsia="zh-CN"/>
        </w:rPr>
      </w:pPr>
      <w:r>
        <w:rPr>
          <w:rFonts w:ascii="仿宋_GB2312" w:eastAsia="仿宋_GB2312" w:hAnsi="仿宋_GB2312" w:cs="仿宋_GB2312" w:hint="eastAsia"/>
          <w:b/>
          <w:bCs/>
          <w:sz w:val="28"/>
          <w:szCs w:val="28"/>
          <w:lang w:val="en-US" w:eastAsia="zh-CN"/>
        </w:rPr>
        <w:t>1.报送户数。</w:t>
      </w:r>
      <w:r>
        <w:rPr>
          <w:rFonts w:ascii="仿宋_GB2312" w:eastAsia="仿宋_GB2312" w:hAnsi="仿宋_GB2312" w:cs="仿宋_GB2312" w:hint="eastAsia"/>
          <w:sz w:val="28"/>
          <w:szCs w:val="28"/>
          <w:lang w:val="en-US" w:eastAsia="zh-CN"/>
        </w:rPr>
        <w:t>我市2023年度报送的单户数量为1</w:t>
      </w:r>
      <w:r>
        <w:rPr>
          <w:rFonts w:ascii="仿宋_GB2312" w:eastAsia="仿宋_GB2312" w:hAnsi="仿宋_GB2312" w:cs="仿宋_GB2312" w:hint="eastAsia"/>
          <w:sz w:val="28"/>
          <w:szCs w:val="28"/>
          <w:lang w:val="en-US" w:eastAsia="zh-CN"/>
        </w:rPr>
        <w:t>952</w:t>
      </w:r>
      <w:r>
        <w:rPr>
          <w:rFonts w:ascii="仿宋_GB2312" w:eastAsia="仿宋_GB2312" w:hAnsi="仿宋_GB2312" w:cs="仿宋_GB2312" w:hint="eastAsia"/>
          <w:sz w:val="28"/>
          <w:szCs w:val="28"/>
          <w:lang w:val="en-US" w:eastAsia="zh-CN"/>
        </w:rPr>
        <w:t>户，2022年度报送的单户数量为1597户，新增</w:t>
      </w:r>
      <w:r>
        <w:rPr>
          <w:rFonts w:ascii="仿宋_GB2312" w:eastAsia="仿宋_GB2312" w:hAnsi="仿宋_GB2312" w:cs="仿宋_GB2312" w:hint="eastAsia"/>
          <w:sz w:val="28"/>
          <w:szCs w:val="28"/>
          <w:lang w:val="en-US" w:eastAsia="zh-CN"/>
        </w:rPr>
        <w:t>355</w:t>
      </w:r>
      <w:r>
        <w:rPr>
          <w:rFonts w:ascii="仿宋_GB2312" w:eastAsia="仿宋_GB2312" w:hAnsi="仿宋_GB2312" w:cs="仿宋_GB2312" w:hint="eastAsia"/>
          <w:sz w:val="28"/>
          <w:szCs w:val="28"/>
          <w:lang w:val="en-US" w:eastAsia="zh-CN"/>
        </w:rPr>
        <w:t>户，变动率为</w:t>
      </w:r>
      <w:r>
        <w:rPr>
          <w:rFonts w:ascii="仿宋_GB2312" w:eastAsia="仿宋_GB2312" w:hAnsi="仿宋_GB2312" w:cs="仿宋_GB2312" w:hint="eastAsia"/>
          <w:color w:val="000000"/>
          <w:kern w:val="0"/>
          <w:sz w:val="28"/>
          <w:szCs w:val="28"/>
          <w:lang w:val="en-US" w:eastAsia="zh-CN" w:bidi="ar"/>
        </w:rPr>
        <w:t>22.23</w:t>
      </w:r>
      <w:r>
        <w:rPr>
          <w:rFonts w:ascii="仿宋_GB2312" w:eastAsia="仿宋_GB2312" w:hAnsi="仿宋_GB2312" w:cs="仿宋_GB2312" w:hint="eastAsia"/>
          <w:sz w:val="28"/>
          <w:szCs w:val="28"/>
          <w:lang w:val="en-US" w:eastAsia="zh-CN"/>
        </w:rPr>
        <w:t>%，主要原因为按照</w:t>
      </w:r>
      <w:r>
        <w:rPr>
          <w:rFonts w:ascii="仿宋_GB2312" w:eastAsia="仿宋_GB2312" w:hAnsi="仿宋_GB2312" w:cs="仿宋_GB2312" w:hint="eastAsia"/>
          <w:b w:val="0"/>
          <w:bCs w:val="0"/>
          <w:color w:val="000000" w:themeColor="text1"/>
          <w:sz w:val="28"/>
          <w:szCs w:val="28"/>
          <w:lang w:val="en-US" w:eastAsia="zh-CN"/>
        </w:rPr>
        <w:t>对属于独立核算机构但</w:t>
      </w:r>
      <w:r>
        <w:rPr>
          <w:rFonts w:ascii="仿宋_GB2312" w:eastAsia="仿宋_GB2312" w:hAnsi="仿宋_GB2312" w:cs="仿宋_GB2312" w:hint="eastAsia"/>
          <w:b w:val="0"/>
          <w:bCs w:val="0"/>
          <w:color w:val="auto"/>
          <w:sz w:val="28"/>
          <w:szCs w:val="28"/>
          <w:highlight w:val="none"/>
          <w:lang w:val="en-US" w:eastAsia="zh-CN"/>
        </w:rPr>
        <w:t>纳入汇总报送决算报告的单位进行自查的要求，我市共新增316</w:t>
      </w:r>
      <w:r>
        <w:rPr>
          <w:rFonts w:ascii="仿宋_GB2312" w:eastAsia="仿宋_GB2312" w:hAnsi="仿宋_GB2312" w:cs="仿宋_GB2312" w:hint="default"/>
          <w:b w:val="0"/>
          <w:bCs w:val="0"/>
          <w:color w:val="auto"/>
          <w:sz w:val="28"/>
          <w:szCs w:val="28"/>
          <w:highlight w:val="none"/>
          <w:lang w:eastAsia="zh-CN"/>
        </w:rPr>
        <w:t>户</w:t>
      </w:r>
      <w:r>
        <w:rPr>
          <w:rFonts w:ascii="仿宋_GB2312" w:eastAsia="仿宋_GB2312" w:hAnsi="仿宋_GB2312" w:cs="仿宋_GB2312" w:hint="eastAsia"/>
          <w:b w:val="0"/>
          <w:bCs w:val="0"/>
          <w:color w:val="auto"/>
          <w:sz w:val="28"/>
          <w:szCs w:val="28"/>
          <w:highlight w:val="none"/>
          <w:lang w:val="en-US" w:eastAsia="zh-CN"/>
        </w:rPr>
        <w:t>单位进行填报，其他变动属于正常单位注销、新增、合并或机构改革等情况</w:t>
      </w:r>
      <w:r>
        <w:rPr>
          <w:rFonts w:ascii="仿宋_GB2312" w:eastAsia="仿宋_GB2312" w:hAnsi="仿宋_GB2312" w:cs="仿宋_GB2312" w:hint="eastAsia"/>
          <w:sz w:val="28"/>
          <w:szCs w:val="28"/>
          <w:highlight w:val="none"/>
          <w:lang w:val="en-US" w:eastAsia="zh-CN"/>
        </w:rPr>
        <w:t>。</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9"/>
        <w:rPr>
          <w:rFonts w:ascii="仿宋_GB2312" w:eastAsia="仿宋_GB2312" w:hAnsi="仿宋_GB2312" w:cs="仿宋_GB2312" w:hint="eastAsia"/>
          <w:sz w:val="28"/>
          <w:szCs w:val="28"/>
          <w:lang w:val="en-US" w:eastAsia="zh-CN"/>
        </w:rPr>
      </w:pPr>
      <w:r>
        <w:rPr>
          <w:rFonts w:ascii="仿宋_GB2312" w:eastAsia="仿宋_GB2312" w:hAnsi="仿宋_GB2312" w:cs="仿宋_GB2312" w:hint="eastAsia"/>
          <w:b/>
          <w:bCs/>
          <w:sz w:val="28"/>
          <w:szCs w:val="28"/>
          <w:lang w:val="en-US" w:eastAsia="zh-CN"/>
        </w:rPr>
        <w:t>2.上下年“三公”经费决算数</w:t>
      </w:r>
      <w:r>
        <w:rPr>
          <w:rFonts w:ascii="仿宋_GB2312" w:eastAsia="仿宋_GB2312" w:hAnsi="仿宋_GB2312" w:cs="仿宋_GB2312" w:hint="eastAsia"/>
          <w:sz w:val="28"/>
          <w:szCs w:val="28"/>
          <w:lang w:val="en-US" w:eastAsia="zh-CN"/>
        </w:rPr>
        <w:t>。我市2023年度“三公”经费决算数金额为119</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lang w:val="en-US" w:eastAsia="zh-CN"/>
        </w:rPr>
        <w:t>210</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lang w:val="en-US" w:eastAsia="zh-CN"/>
        </w:rPr>
        <w:t>116.9元，2022年度“三公”经费决算数金额为118</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lang w:val="en-US" w:eastAsia="zh-CN"/>
        </w:rPr>
        <w:t>699</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lang w:val="en-US" w:eastAsia="zh-CN"/>
        </w:rPr>
        <w:t>745.39</w:t>
      </w:r>
      <w:r>
        <w:rPr>
          <w:rFonts w:ascii="仿宋_GB2312" w:eastAsia="仿宋_GB2312" w:hAnsi="仿宋_GB2312" w:cs="仿宋_GB2312" w:hint="eastAsia"/>
          <w:sz w:val="28"/>
          <w:szCs w:val="28"/>
          <w:lang w:val="en-US" w:eastAsia="zh-CN"/>
        </w:rPr>
        <w:t>元</w:t>
      </w:r>
      <w:r>
        <w:rPr>
          <w:rFonts w:ascii="仿宋_GB2312" w:eastAsia="仿宋_GB2312" w:hAnsi="仿宋_GB2312" w:cs="仿宋_GB2312" w:hint="eastAsia"/>
          <w:sz w:val="28"/>
          <w:szCs w:val="28"/>
          <w:lang w:val="en-US" w:eastAsia="zh-CN"/>
        </w:rPr>
        <w:t>，变动率为</w:t>
      </w:r>
      <w:r>
        <w:rPr>
          <w:rFonts w:ascii="仿宋_GB2312" w:eastAsia="仿宋_GB2312" w:hAnsi="仿宋_GB2312" w:cs="仿宋_GB2312" w:hint="eastAsia"/>
          <w:sz w:val="28"/>
          <w:szCs w:val="28"/>
          <w:lang w:val="en-US" w:eastAsia="zh-CN"/>
        </w:rPr>
        <w:t>0.43</w:t>
      </w:r>
      <w:r>
        <w:rPr>
          <w:rFonts w:ascii="仿宋_GB2312" w:eastAsia="仿宋_GB2312" w:hAnsi="仿宋_GB2312" w:cs="仿宋_GB2312" w:hint="eastAsia"/>
          <w:sz w:val="28"/>
          <w:szCs w:val="28"/>
          <w:lang w:val="en-US" w:eastAsia="zh-CN"/>
        </w:rPr>
        <w:t>%，上下年数据变动合理。</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（四）地区（部门）汇总报告业务数据的准确性。</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9"/>
        <w:rPr>
          <w:rFonts w:ascii="仿宋_GB2312" w:eastAsia="仿宋_GB2312" w:hAnsi="仿宋_GB2312" w:cs="仿宋_GB2312" w:hint="eastAsia"/>
          <w:sz w:val="28"/>
          <w:szCs w:val="28"/>
          <w:lang w:val="en-US" w:eastAsia="zh-CN"/>
        </w:rPr>
      </w:pPr>
      <w:r>
        <w:rPr>
          <w:rFonts w:ascii="仿宋_GB2312" w:eastAsia="仿宋_GB2312" w:hAnsi="仿宋_GB2312" w:cs="仿宋_GB2312" w:hint="eastAsia"/>
          <w:sz w:val="28"/>
          <w:szCs w:val="28"/>
          <w:lang w:val="en-US" w:eastAsia="zh-CN"/>
        </w:rPr>
        <w:t>经过数据比对核查，我市内控汇总报告中“年末在职人数”“应上缴非税收入金额”“实际上缴非税收入金额”“支出预算金额”“实际支出总额”“2022</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val="en-US" w:eastAsia="zh-CN"/>
        </w:rPr>
        <w:t>‘三公’经费决算数”“2023年‘三公’经费决算数”“实际采购金额”、“实际投资额”“固定资产减少额”等业务数据指标同我市决算报表、资产报表数据进行比对，差异率都维持在10%以内，各项业务数据准确。</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（五）地区（部门）汇总报告数值型指标的合理性。</w:t>
      </w:r>
    </w:p>
    <w:p>
      <w:pPr>
        <w:autoSpaceDE w:val="0"/>
        <w:autoSpaceDN w:val="0"/>
        <w:spacing w:line="360" w:lineRule="auto"/>
        <w:ind w:firstLine="560" w:firstLineChars="200"/>
        <w:textAlignment w:val="baseline"/>
        <w:rPr>
          <w:rFonts w:ascii="仿宋_GB2312" w:eastAsia="仿宋_GB2312" w:hAnsi="仿宋_GB2312" w:cs="仿宋_GB2312" w:hint="eastAsia"/>
          <w:sz w:val="28"/>
          <w:szCs w:val="28"/>
          <w:lang w:val="en-US" w:eastAsia="zh-CN"/>
        </w:rPr>
      </w:pPr>
      <w:r>
        <w:rPr>
          <w:rFonts w:ascii="仿宋_GB2312" w:eastAsia="仿宋_GB2312" w:hAnsi="仿宋_GB2312" w:cs="仿宋_GB2312" w:hint="eastAsia"/>
          <w:sz w:val="28"/>
          <w:szCs w:val="28"/>
          <w:lang w:val="en-US" w:eastAsia="zh-CN"/>
        </w:rPr>
        <w:t>经核查，我</w:t>
      </w:r>
      <w:r>
        <w:rPr>
          <w:rFonts w:ascii="仿宋_GB2312" w:eastAsia="仿宋_GB2312" w:hAnsi="仿宋_GB2312" w:cs="仿宋_GB2312" w:hint="eastAsia"/>
          <w:sz w:val="28"/>
          <w:szCs w:val="28"/>
          <w:lang w:eastAsia="zh-CN"/>
        </w:rPr>
        <w:t>市</w:t>
      </w:r>
      <w:r>
        <w:rPr>
          <w:rFonts w:ascii="仿宋_GB2312" w:eastAsia="仿宋_GB2312" w:hAnsi="仿宋_GB2312" w:cs="仿宋_GB2312" w:hint="eastAsia"/>
          <w:sz w:val="28"/>
          <w:szCs w:val="28"/>
          <w:lang w:val="en-US" w:eastAsia="zh-CN"/>
        </w:rPr>
        <w:t>汇总报告中内部控制领导小组会议次数、内部控制相关培训次数、内部控制相关问题数量、通过内部控制体系进行整改的问题数量、各单位的项目数量、合同订立数、经合法性审查的合同数填报均不存在不合理的异常值。</w:t>
      </w:r>
    </w:p>
    <w:p>
      <w:pPr>
        <w:autoSpaceDE w:val="0"/>
        <w:autoSpaceDN w:val="0"/>
        <w:ind w:firstLine="566" w:firstLineChars="202"/>
        <w:textAlignment w:val="baseline"/>
        <w:outlineLvl w:val="1"/>
        <w:rPr>
          <w:rFonts w:ascii="方正黑体_GBK" w:eastAsia="方正黑体_GBK" w:hAnsi="方正黑体_GBK" w:cs="方正黑体_GBK" w:hint="eastAsia"/>
          <w:b/>
          <w:bCs/>
          <w:color w:val="000000" w:themeColor="text1"/>
          <w:sz w:val="28"/>
          <w:szCs w:val="28"/>
        </w:rPr>
      </w:pPr>
      <w:r>
        <w:rPr>
          <w:rFonts w:ascii="方正黑体_GBK" w:eastAsia="方正黑体_GBK" w:hAnsi="方正黑体_GBK" w:cs="方正黑体_GBK" w:hint="eastAsia"/>
          <w:b/>
          <w:bCs/>
          <w:color w:val="000000" w:themeColor="text1"/>
          <w:sz w:val="28"/>
          <w:szCs w:val="28"/>
        </w:rPr>
        <w:t>三、组织开展内部控制工作的经验做法和取得的成效</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（一）在组织本地区（部门）所属单位建立与实施内部控制的过程中总结出的有关经验做法。</w:t>
      </w:r>
    </w:p>
    <w:p>
      <w:pPr>
        <w:autoSpaceDE w:val="0"/>
        <w:autoSpaceDN w:val="0"/>
        <w:spacing w:line="360" w:lineRule="auto"/>
        <w:ind w:firstLine="627" w:firstLineChars="224"/>
        <w:textAlignment w:val="baseline"/>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b/>
          <w:bCs/>
          <w:color w:val="000000"/>
          <w:kern w:val="0"/>
          <w:sz w:val="28"/>
          <w:szCs w:val="28"/>
        </w:rPr>
        <w:t>一是建立单位内部控制运行制约机制。</w:t>
      </w:r>
      <w:r>
        <w:rPr>
          <w:rFonts w:ascii="仿宋_GB2312" w:eastAsia="仿宋_GB2312" w:hAnsi="仿宋_GB2312" w:cs="仿宋_GB2312" w:hint="eastAsia"/>
          <w:color w:val="000000"/>
          <w:kern w:val="0"/>
          <w:sz w:val="28"/>
          <w:szCs w:val="28"/>
        </w:rPr>
        <w:t>主要包括：内控管理职责分工，经济活动决策机制，关键岗位责任机制，关键人员资质能力，财务信息编报要求，信息技术应用要求，经济活动风险评估，内部控制监督评价。</w:t>
      </w:r>
    </w:p>
    <w:p>
      <w:pPr>
        <w:autoSpaceDE w:val="0"/>
        <w:autoSpaceDN w:val="0"/>
        <w:spacing w:line="360" w:lineRule="auto"/>
        <w:ind w:firstLine="689" w:firstLineChars="246"/>
        <w:textAlignment w:val="baseline"/>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b/>
          <w:bCs/>
          <w:color w:val="000000"/>
          <w:kern w:val="0"/>
          <w:sz w:val="28"/>
          <w:szCs w:val="28"/>
        </w:rPr>
        <w:t>二是梳理单位主要经济业务管理制度及流程。</w:t>
      </w:r>
      <w:r>
        <w:rPr>
          <w:rFonts w:ascii="仿宋_GB2312" w:eastAsia="仿宋_GB2312" w:hAnsi="仿宋_GB2312" w:cs="仿宋_GB2312" w:hint="eastAsia"/>
          <w:color w:val="000000"/>
          <w:kern w:val="0"/>
          <w:sz w:val="28"/>
          <w:szCs w:val="28"/>
        </w:rPr>
        <w:t>针对预（决）算管理、经费收支管理、专项资金管理、政府采购管理、资产管理、建设项目管理和合同管理等经济业务模块，建立一系列既有实体性内容又有程序性要求的工作制度，形成相互监督、相互制约、相互协调和相互促进的工作机制，逐步把内控机制建设引向深入。</w:t>
      </w:r>
    </w:p>
    <w:p>
      <w:pPr>
        <w:autoSpaceDE w:val="0"/>
        <w:autoSpaceDN w:val="0"/>
        <w:spacing w:line="360" w:lineRule="auto"/>
        <w:ind w:firstLine="633" w:firstLineChars="226"/>
        <w:textAlignment w:val="baseline"/>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b/>
          <w:bCs/>
          <w:color w:val="000000"/>
          <w:kern w:val="0"/>
          <w:sz w:val="28"/>
          <w:szCs w:val="28"/>
        </w:rPr>
        <w:t>三是汇编内控管理工作手册。</w:t>
      </w:r>
      <w:r>
        <w:rPr>
          <w:rFonts w:ascii="仿宋_GB2312" w:eastAsia="仿宋_GB2312" w:hAnsi="仿宋_GB2312" w:cs="仿宋_GB2312" w:hint="eastAsia"/>
          <w:color w:val="000000"/>
          <w:kern w:val="0"/>
          <w:sz w:val="28"/>
          <w:szCs w:val="28"/>
        </w:rPr>
        <w:t>从手册说明、单位层面内控概况、业务层面内控实施、内控监督评价等部分，汇总整理本单位《内部控制规范管理手册》。工作手册做到经济业务管理规范有序，内控管理职责清晰，以实现内部管理的规范化、制度化和信息化为工作目标。</w:t>
      </w:r>
    </w:p>
    <w:p>
      <w:pPr>
        <w:autoSpaceDE w:val="0"/>
        <w:autoSpaceDN w:val="0"/>
        <w:spacing w:line="360" w:lineRule="auto"/>
        <w:ind w:firstLine="633" w:firstLineChars="226"/>
        <w:textAlignment w:val="baseline"/>
        <w:rPr>
          <w:rFonts w:ascii="仿宋_GB2312" w:eastAsia="仿宋_GB2312" w:hAnsi="仿宋_GB2312" w:cs="仿宋_GB2312" w:hint="eastAsia"/>
          <w:color w:val="000000"/>
          <w:sz w:val="28"/>
          <w:szCs w:val="28"/>
          <w:lang w:eastAsia="zh-CN"/>
        </w:rPr>
      </w:pPr>
      <w:r>
        <w:rPr>
          <w:rFonts w:ascii="仿宋_GB2312" w:eastAsia="仿宋_GB2312" w:hAnsi="仿宋_GB2312" w:cs="仿宋_GB2312" w:hint="eastAsia"/>
          <w:b/>
          <w:bCs/>
          <w:color w:val="000000"/>
          <w:kern w:val="0"/>
          <w:sz w:val="28"/>
          <w:szCs w:val="28"/>
        </w:rPr>
        <w:t>四是通过信息化手段对制度和流程进行完善。</w:t>
      </w:r>
      <w:r>
        <w:rPr>
          <w:rFonts w:ascii="仿宋_GB2312" w:eastAsia="仿宋_GB2312" w:hAnsi="仿宋_GB2312" w:cs="仿宋_GB2312" w:hint="eastAsia"/>
          <w:color w:val="000000"/>
          <w:kern w:val="0"/>
          <w:sz w:val="28"/>
          <w:szCs w:val="28"/>
        </w:rPr>
        <w:t>信息化是保障内部控制真正能落地实施的重要手段，各行政事业单位大力推进内部控制信息化建设，进一步促进依法行政和科学管理。</w:t>
      </w:r>
    </w:p>
    <w:p>
      <w:pPr>
        <w:autoSpaceDE w:val="0"/>
        <w:autoSpaceDN w:val="0"/>
        <w:ind w:firstLine="560"/>
        <w:textAlignment w:val="baseline"/>
        <w:outlineLvl w:val="2"/>
        <w:rPr>
          <w:rFonts w:ascii="楷体_GB2312" w:eastAsia="楷体_GB2312" w:hAnsi="楷体_GB2312" w:cs="楷体_GB2312" w:hint="eastAsia"/>
          <w:b/>
          <w:bCs/>
          <w:color w:val="000000" w:themeColor="text1"/>
          <w:sz w:val="28"/>
          <w:szCs w:val="28"/>
        </w:rPr>
      </w:pPr>
      <w:r>
        <w:rPr>
          <w:rFonts w:ascii="楷体_GB2312" w:eastAsia="楷体_GB2312" w:hAnsi="楷体_GB2312" w:cs="楷体_GB2312" w:hint="eastAsia"/>
          <w:b/>
          <w:bCs/>
          <w:color w:val="000000" w:themeColor="text1"/>
          <w:sz w:val="28"/>
          <w:szCs w:val="28"/>
        </w:rPr>
        <w:t>（二）本地区（部门）建立与实施内部控制后取得的有关成效。</w:t>
      </w:r>
    </w:p>
    <w:p>
      <w:pPr>
        <w:autoSpaceDE w:val="0"/>
        <w:autoSpaceDN w:val="0"/>
        <w:spacing w:line="360" w:lineRule="auto"/>
        <w:ind w:firstLine="560" w:firstLineChars="200"/>
        <w:textAlignment w:val="baseline"/>
        <w:rPr>
          <w:rFonts w:ascii="仿宋_GB2312" w:eastAsia="仿宋_GB2312" w:hAnsi="仿宋_GB2312" w:cs="仿宋_GB2312" w:hint="eastAsia"/>
          <w:color w:val="000000"/>
          <w:kern w:val="0"/>
          <w:sz w:val="28"/>
          <w:szCs w:val="28"/>
          <w:lang w:eastAsia="zh-CN"/>
        </w:rPr>
      </w:pPr>
      <w:r>
        <w:rPr>
          <w:rFonts w:ascii="仿宋_GB2312" w:eastAsia="仿宋_GB2312" w:hAnsi="仿宋_GB2312" w:cs="仿宋_GB2312" w:hint="eastAsia"/>
          <w:b/>
          <w:bCs/>
          <w:color w:val="000000"/>
          <w:sz w:val="28"/>
          <w:szCs w:val="28"/>
          <w:lang w:val="en-US" w:eastAsia="zh-CN"/>
        </w:rPr>
        <w:t>1.</w:t>
      </w:r>
      <w:r>
        <w:rPr>
          <w:rFonts w:ascii="仿宋_GB2312" w:eastAsia="仿宋_GB2312" w:hAnsi="仿宋_GB2312" w:cs="仿宋_GB2312" w:hint="eastAsia"/>
          <w:b/>
          <w:bCs/>
          <w:color w:val="000000"/>
          <w:sz w:val="28"/>
          <w:szCs w:val="28"/>
        </w:rPr>
        <w:t>在提升内部控制意识及管理水平上的整体成效</w:t>
      </w:r>
      <w:r>
        <w:rPr>
          <w:rFonts w:ascii="仿宋_GB2312" w:eastAsia="仿宋_GB2312" w:hAnsi="仿宋_GB2312" w:cs="仿宋_GB2312" w:hint="eastAsia"/>
          <w:b/>
          <w:bCs/>
          <w:color w:val="000000"/>
          <w:sz w:val="28"/>
          <w:szCs w:val="28"/>
          <w:lang w:eastAsia="zh-CN"/>
        </w:rPr>
        <w:t>。</w:t>
      </w:r>
      <w:r>
        <w:rPr>
          <w:rFonts w:ascii="仿宋_GB2312" w:eastAsia="仿宋_GB2312" w:hAnsi="仿宋_GB2312" w:cs="仿宋_GB2312" w:hint="eastAsia"/>
          <w:b/>
          <w:bCs/>
          <w:color w:val="000000"/>
          <w:sz w:val="28"/>
          <w:szCs w:val="28"/>
          <w:lang w:val="en-US" w:eastAsia="zh-CN"/>
        </w:rPr>
        <w:t>一是</w:t>
      </w:r>
      <w:r>
        <w:rPr>
          <w:rFonts w:ascii="仿宋_GB2312" w:eastAsia="仿宋_GB2312" w:hAnsi="仿宋_GB2312" w:cs="仿宋_GB2312" w:hint="eastAsia"/>
          <w:color w:val="000000"/>
          <w:kern w:val="0"/>
          <w:sz w:val="28"/>
          <w:szCs w:val="28"/>
          <w:lang w:eastAsia="zh-CN"/>
        </w:rPr>
        <w:t>内控报告编报率持续提升。</w:t>
      </w:r>
      <w:r>
        <w:rPr>
          <w:rFonts w:ascii="仿宋_GB2312" w:eastAsia="仿宋_GB2312" w:hAnsi="仿宋_GB2312" w:cs="仿宋_GB2312" w:hint="eastAsia"/>
          <w:color w:val="000000"/>
          <w:kern w:val="0"/>
          <w:sz w:val="28"/>
          <w:szCs w:val="28"/>
          <w:lang w:val="en-US" w:eastAsia="zh-CN"/>
        </w:rPr>
        <w:t>与上年相比，我市</w:t>
      </w:r>
      <w:r>
        <w:rPr>
          <w:rFonts w:ascii="仿宋_GB2312" w:eastAsia="仿宋_GB2312" w:hAnsi="仿宋_GB2312" w:cs="仿宋_GB2312" w:hint="eastAsia"/>
          <w:sz w:val="28"/>
          <w:szCs w:val="28"/>
          <w:lang w:val="en-US" w:eastAsia="zh-CN"/>
        </w:rPr>
        <w:t>新增</w:t>
      </w:r>
      <w:r>
        <w:rPr>
          <w:rFonts w:ascii="仿宋_GB2312" w:eastAsia="仿宋_GB2312" w:hAnsi="仿宋_GB2312" w:cs="仿宋_GB2312" w:hint="eastAsia"/>
          <w:sz w:val="28"/>
          <w:szCs w:val="28"/>
          <w:lang w:val="en-US" w:eastAsia="zh-CN"/>
        </w:rPr>
        <w:t>355</w:t>
      </w:r>
      <w:r>
        <w:rPr>
          <w:rFonts w:ascii="仿宋_GB2312" w:eastAsia="仿宋_GB2312" w:hAnsi="仿宋_GB2312" w:cs="仿宋_GB2312" w:hint="eastAsia"/>
          <w:sz w:val="28"/>
          <w:szCs w:val="28"/>
          <w:lang w:val="en-US" w:eastAsia="zh-CN"/>
        </w:rPr>
        <w:t>户</w:t>
      </w:r>
      <w:r>
        <w:rPr>
          <w:rFonts w:ascii="仿宋_GB2312" w:eastAsia="仿宋_GB2312" w:hAnsi="仿宋_GB2312" w:cs="仿宋_GB2312" w:hint="eastAsia"/>
          <w:b w:val="0"/>
          <w:bCs w:val="0"/>
          <w:color w:val="auto"/>
          <w:sz w:val="28"/>
          <w:szCs w:val="28"/>
          <w:highlight w:val="none"/>
          <w:lang w:val="en-US" w:eastAsia="zh-CN"/>
        </w:rPr>
        <w:t>单位，上报率正向变动率22.23%。</w:t>
      </w:r>
      <w:r>
        <w:rPr>
          <w:rFonts w:ascii="仿宋_GB2312" w:eastAsia="仿宋_GB2312" w:hAnsi="仿宋_GB2312" w:cs="仿宋_GB2312" w:hint="eastAsia"/>
          <w:b/>
          <w:bCs/>
          <w:color w:val="000000"/>
          <w:kern w:val="0"/>
          <w:sz w:val="28"/>
          <w:szCs w:val="28"/>
          <w:lang w:val="en-US" w:eastAsia="zh-CN"/>
        </w:rPr>
        <w:t>二</w:t>
      </w:r>
      <w:r>
        <w:rPr>
          <w:rFonts w:ascii="仿宋_GB2312" w:eastAsia="仿宋_GB2312" w:hAnsi="仿宋_GB2312" w:cs="仿宋_GB2312" w:hint="eastAsia"/>
          <w:b/>
          <w:bCs/>
          <w:color w:val="000000"/>
          <w:kern w:val="0"/>
          <w:sz w:val="28"/>
          <w:szCs w:val="28"/>
          <w:lang w:eastAsia="zh-CN"/>
        </w:rPr>
        <w:t>是</w:t>
      </w:r>
      <w:r>
        <w:rPr>
          <w:rFonts w:ascii="仿宋_GB2312" w:eastAsia="仿宋_GB2312" w:hAnsi="仿宋_GB2312" w:cs="仿宋_GB2312" w:hint="eastAsia"/>
          <w:color w:val="000000"/>
          <w:kern w:val="0"/>
          <w:sz w:val="28"/>
          <w:szCs w:val="28"/>
          <w:lang w:eastAsia="zh-CN"/>
        </w:rPr>
        <w:t>内控建设重视程度持续提升。与上</w:t>
      </w:r>
      <w:r>
        <w:rPr>
          <w:rFonts w:ascii="仿宋_GB2312" w:eastAsia="仿宋_GB2312" w:hAnsi="仿宋_GB2312" w:cs="仿宋_GB2312" w:hint="eastAsia"/>
          <w:color w:val="000000"/>
          <w:kern w:val="0"/>
          <w:sz w:val="28"/>
          <w:szCs w:val="28"/>
          <w:lang w:val="en-US" w:eastAsia="zh-CN"/>
        </w:rPr>
        <w:t>年相比，市内</w:t>
      </w:r>
      <w:r>
        <w:rPr>
          <w:rFonts w:ascii="仿宋_GB2312" w:eastAsia="仿宋_GB2312" w:hAnsi="仿宋_GB2312" w:cs="仿宋_GB2312" w:hint="default"/>
          <w:color w:val="000000"/>
          <w:kern w:val="0"/>
          <w:sz w:val="28"/>
          <w:szCs w:val="28"/>
          <w:lang w:eastAsia="zh-CN"/>
        </w:rPr>
        <w:t>以</w:t>
      </w:r>
      <w:r>
        <w:rPr>
          <w:rFonts w:ascii="仿宋_GB2312" w:eastAsia="仿宋_GB2312" w:hAnsi="仿宋_GB2312" w:cs="仿宋_GB2312" w:hint="eastAsia"/>
          <w:color w:val="000000"/>
          <w:kern w:val="0"/>
          <w:sz w:val="28"/>
          <w:szCs w:val="28"/>
          <w:lang w:val="en-US" w:eastAsia="zh-CN"/>
        </w:rPr>
        <w:t>单位主要负责人担任内控领导小组组长的单位比例提升1.59</w:t>
      </w:r>
      <w:r>
        <w:rPr>
          <w:rFonts w:ascii="仿宋_GB2312" w:eastAsia="仿宋_GB2312" w:hAnsi="仿宋_GB2312" w:cs="仿宋_GB2312" w:hint="eastAsia"/>
          <w:color w:val="000000"/>
          <w:kern w:val="0"/>
          <w:sz w:val="28"/>
          <w:szCs w:val="28"/>
          <w:lang w:val="en-US" w:eastAsia="zh-CN"/>
        </w:rPr>
        <w:t>%</w:t>
      </w:r>
      <w:r>
        <w:rPr>
          <w:rFonts w:ascii="仿宋_GB2312" w:eastAsia="仿宋_GB2312" w:hAnsi="仿宋_GB2312" w:cs="仿宋_GB2312" w:hint="eastAsia"/>
          <w:color w:val="000000"/>
          <w:kern w:val="0"/>
          <w:sz w:val="28"/>
          <w:szCs w:val="28"/>
          <w:lang w:val="en-US" w:eastAsia="zh-CN"/>
        </w:rPr>
        <w:t>，各单位内部控制意识明显增强。</w:t>
      </w:r>
    </w:p>
    <w:p>
      <w:pPr>
        <w:autoSpaceDE w:val="0"/>
        <w:autoSpaceDN w:val="0"/>
        <w:spacing w:line="360" w:lineRule="auto"/>
        <w:ind w:firstLine="633" w:firstLineChars="226"/>
        <w:textAlignment w:val="baseline"/>
        <w:rPr>
          <w:rFonts w:ascii="仿宋_GB2312" w:eastAsia="仿宋_GB2312" w:hAnsi="仿宋_GB2312" w:cs="仿宋_GB2312" w:hint="default"/>
          <w:b/>
          <w:bCs/>
          <w:color w:val="000000"/>
          <w:sz w:val="28"/>
          <w:szCs w:val="28"/>
          <w:lang w:eastAsia="zh-CN"/>
        </w:rPr>
      </w:pPr>
      <w:r>
        <w:rPr>
          <w:rFonts w:ascii="仿宋_GB2312" w:eastAsia="仿宋_GB2312" w:hAnsi="仿宋_GB2312" w:cs="仿宋_GB2312" w:hint="eastAsia"/>
          <w:b/>
          <w:bCs/>
          <w:color w:val="000000"/>
          <w:sz w:val="28"/>
          <w:szCs w:val="28"/>
          <w:lang w:val="en-US" w:eastAsia="zh-CN"/>
        </w:rPr>
        <w:t>2.</w:t>
      </w:r>
      <w:r>
        <w:rPr>
          <w:rFonts w:ascii="仿宋_GB2312" w:eastAsia="仿宋_GB2312" w:hAnsi="仿宋_GB2312" w:cs="仿宋_GB2312" w:hint="eastAsia"/>
          <w:b/>
          <w:bCs/>
          <w:color w:val="000000"/>
          <w:sz w:val="28"/>
          <w:szCs w:val="28"/>
        </w:rPr>
        <w:t>在预算业务、收支业务、政府采购业务、资产管理、建设项目管理</w:t>
      </w:r>
      <w:r>
        <w:rPr>
          <w:rFonts w:ascii="仿宋_GB2312" w:eastAsia="仿宋_GB2312" w:hAnsi="仿宋_GB2312" w:cs="仿宋_GB2312" w:hint="eastAsia"/>
          <w:b/>
          <w:bCs/>
          <w:color w:val="000000"/>
          <w:sz w:val="28"/>
          <w:szCs w:val="28"/>
          <w:lang w:eastAsia="zh-CN"/>
        </w:rPr>
        <w:t>、</w:t>
      </w:r>
      <w:r>
        <w:rPr>
          <w:rFonts w:ascii="仿宋_GB2312" w:eastAsia="仿宋_GB2312" w:hAnsi="仿宋_GB2312" w:cs="仿宋_GB2312" w:hint="eastAsia"/>
          <w:b/>
          <w:bCs/>
          <w:color w:val="000000"/>
          <w:sz w:val="28"/>
          <w:szCs w:val="28"/>
        </w:rPr>
        <w:t>合同管理六大经济业务领域</w:t>
      </w:r>
      <w:r>
        <w:rPr>
          <w:rFonts w:ascii="仿宋_GB2312" w:eastAsia="仿宋_GB2312" w:hAnsi="仿宋_GB2312" w:cs="仿宋_GB2312" w:hint="eastAsia"/>
          <w:b/>
          <w:bCs/>
          <w:color w:val="000000"/>
          <w:sz w:val="28"/>
          <w:szCs w:val="28"/>
          <w:lang w:eastAsia="zh-CN"/>
        </w:rPr>
        <w:t>，</w:t>
      </w:r>
      <w:r>
        <w:rPr>
          <w:rFonts w:ascii="仿宋_GB2312" w:eastAsia="仿宋_GB2312" w:hAnsi="仿宋_GB2312" w:cs="仿宋_GB2312" w:hint="eastAsia"/>
          <w:b/>
          <w:bCs/>
          <w:color w:val="000000"/>
          <w:sz w:val="28"/>
          <w:szCs w:val="28"/>
        </w:rPr>
        <w:t>以及其他业务</w:t>
      </w:r>
      <w:r>
        <w:rPr>
          <w:rFonts w:ascii="仿宋_GB2312" w:eastAsia="仿宋_GB2312" w:hAnsi="仿宋_GB2312" w:cs="仿宋_GB2312" w:hint="eastAsia"/>
          <w:b/>
          <w:bCs/>
          <w:color w:val="000000"/>
          <w:sz w:val="28"/>
          <w:szCs w:val="28"/>
        </w:rPr>
        <w:t>方面取得的整体成效</w:t>
      </w:r>
      <w:r>
        <w:rPr>
          <w:rFonts w:ascii="仿宋_GB2312" w:eastAsia="仿宋_GB2312" w:hAnsi="仿宋_GB2312" w:cs="仿宋_GB2312" w:hint="eastAsia"/>
          <w:b/>
          <w:bCs/>
          <w:color w:val="000000"/>
          <w:sz w:val="28"/>
          <w:szCs w:val="28"/>
          <w:lang w:eastAsia="zh-CN"/>
        </w:rPr>
        <w:t>。</w:t>
      </w:r>
      <w:r>
        <w:rPr>
          <w:rFonts w:ascii="仿宋_GB2312" w:eastAsia="仿宋_GB2312" w:hAnsi="仿宋_GB2312" w:cs="仿宋_GB2312" w:hint="eastAsia"/>
          <w:color w:val="000000"/>
          <w:kern w:val="0"/>
          <w:sz w:val="28"/>
          <w:szCs w:val="28"/>
          <w:lang w:val="en-US" w:eastAsia="zh-CN"/>
        </w:rPr>
        <w:t>全市行政事业单位在内部控制报告编报过程中，进一步梳理了预算业务管理、收支业务管理、政府采购业务管理、资产管理、建设项目管理及合同管理在内的六大经济业务领域管理制度及流程，明确各环节的工作内容，建立各项业务活动的关键管控点，实现各业务模块之间相互制约、相互监督的工作机制，有效解决了单位内部管理制度和标准缺失、弱化、模糊、脱节等问题，将原来支出范围、标准、权责不明确的经济事项，从事前、事中、事后建立管理规则，实现按职责权限和按流程办事，实现单位经济活动的规范、便捷和高效运行。</w:t>
      </w:r>
    </w:p>
    <w:p>
      <w:pPr>
        <w:autoSpaceDE w:val="0"/>
        <w:autoSpaceDN w:val="0"/>
        <w:spacing w:line="360" w:lineRule="auto"/>
        <w:ind w:firstLine="560" w:firstLineChars="200"/>
        <w:textAlignment w:val="baseline"/>
        <w:rPr>
          <w:rFonts w:ascii="仿宋_GB2312" w:eastAsia="仿宋_GB2312" w:hAnsi="仿宋_GB2312" w:cs="仿宋_GB2312" w:hint="eastAsia"/>
          <w:b/>
          <w:bCs/>
          <w:color w:val="000000"/>
          <w:sz w:val="28"/>
          <w:szCs w:val="28"/>
          <w:lang w:val="en-US"/>
        </w:rPr>
      </w:pPr>
      <w:r>
        <w:rPr>
          <w:rFonts w:ascii="仿宋_GB2312" w:eastAsia="仿宋_GB2312" w:hAnsi="仿宋_GB2312" w:cs="仿宋_GB2312" w:hint="eastAsia"/>
          <w:b/>
          <w:bCs/>
          <w:color w:val="000000"/>
          <w:sz w:val="28"/>
          <w:szCs w:val="28"/>
          <w:lang w:val="en-US" w:eastAsia="zh-CN"/>
        </w:rPr>
        <w:t>3.</w:t>
      </w:r>
      <w:r>
        <w:rPr>
          <w:rFonts w:ascii="仿宋_GB2312" w:eastAsia="仿宋_GB2312" w:hAnsi="仿宋_GB2312" w:cs="仿宋_GB2312" w:hint="eastAsia"/>
          <w:b/>
          <w:bCs/>
          <w:color w:val="000000"/>
          <w:sz w:val="28"/>
          <w:szCs w:val="28"/>
        </w:rPr>
        <w:t>在内部控制评价监督方面取得的整体成效。</w:t>
      </w:r>
      <w:r>
        <w:rPr>
          <w:rFonts w:ascii="仿宋_GB2312" w:eastAsia="仿宋_GB2312" w:hAnsi="仿宋_GB2312" w:cs="仿宋_GB2312" w:hint="eastAsia"/>
          <w:color w:val="000000"/>
          <w:kern w:val="0"/>
          <w:sz w:val="28"/>
          <w:szCs w:val="28"/>
          <w:lang w:val="en-US" w:eastAsia="zh-CN"/>
        </w:rPr>
        <w:t>汇总报告数据显示，我市单位2023年度内部控制考核评价发现、巡视发现、纪检监察发现、审计发现、财会</w:t>
      </w:r>
      <w:r>
        <w:rPr>
          <w:rFonts w:ascii="仿宋_GB2312" w:eastAsia="仿宋_GB2312" w:hAnsi="仿宋_GB2312" w:cs="仿宋_GB2312" w:hint="eastAsia"/>
          <w:color w:val="000000"/>
          <w:kern w:val="0"/>
          <w:sz w:val="28"/>
          <w:szCs w:val="28"/>
          <w:highlight w:val="none"/>
          <w:lang w:val="en-US" w:eastAsia="zh-CN"/>
        </w:rPr>
        <w:t>监督发现的已完成整改问题数量的比率为81.11%，正在整改的问题数量比率为18.42%，各单位通过内部控制评价与监督，能够及时发现管理中存在的不足，及时整改，提升单位管理水平。</w:t>
      </w:r>
    </w:p>
    <w:p>
      <w:pPr>
        <w:autoSpaceDE w:val="0"/>
        <w:autoSpaceDN w:val="0"/>
        <w:spacing w:line="360" w:lineRule="auto"/>
        <w:ind w:firstLine="560" w:firstLineChars="200"/>
        <w:textAlignment w:val="baseline"/>
        <w:rPr>
          <w:rFonts w:ascii="仿宋_GB2312" w:eastAsia="仿宋_GB2312" w:hAnsi="仿宋_GB2312" w:cs="仿宋_GB2312" w:hint="eastAsia"/>
          <w:b/>
          <w:bCs/>
          <w:color w:val="000000"/>
          <w:sz w:val="28"/>
          <w:szCs w:val="28"/>
          <w:lang w:val="en-US" w:eastAsia="zh-CN"/>
        </w:rPr>
      </w:pPr>
      <w:r>
        <w:rPr>
          <w:rFonts w:ascii="仿宋_GB2312" w:eastAsia="仿宋_GB2312" w:hAnsi="仿宋_GB2312" w:cs="仿宋_GB2312" w:hint="eastAsia"/>
          <w:b/>
          <w:bCs/>
          <w:color w:val="000000"/>
          <w:sz w:val="28"/>
          <w:szCs w:val="28"/>
          <w:lang w:val="en-US" w:eastAsia="zh-CN"/>
        </w:rPr>
        <w:t>4.</w:t>
      </w:r>
      <w:r>
        <w:rPr>
          <w:rFonts w:ascii="仿宋_GB2312" w:eastAsia="仿宋_GB2312" w:hAnsi="仿宋_GB2312" w:cs="仿宋_GB2312" w:hint="eastAsia"/>
          <w:b/>
          <w:bCs/>
          <w:color w:val="000000"/>
          <w:sz w:val="28"/>
          <w:szCs w:val="28"/>
        </w:rPr>
        <w:t>在单位</w:t>
      </w:r>
      <w:r>
        <w:rPr>
          <w:rFonts w:ascii="仿宋_GB2312" w:eastAsia="仿宋_GB2312" w:hAnsi="仿宋_GB2312" w:cs="仿宋_GB2312" w:hint="eastAsia"/>
          <w:b/>
          <w:bCs/>
          <w:color w:val="000000"/>
          <w:sz w:val="28"/>
          <w:szCs w:val="28"/>
          <w:lang w:eastAsia="zh-CN"/>
        </w:rPr>
        <w:t>内部控制</w:t>
      </w:r>
      <w:r>
        <w:rPr>
          <w:rFonts w:ascii="仿宋_GB2312" w:eastAsia="仿宋_GB2312" w:hAnsi="仿宋_GB2312" w:cs="仿宋_GB2312" w:hint="eastAsia"/>
          <w:b/>
          <w:bCs/>
          <w:color w:val="000000"/>
          <w:sz w:val="28"/>
          <w:szCs w:val="28"/>
        </w:rPr>
        <w:t>信息化方面的整体成效</w:t>
      </w:r>
      <w:r>
        <w:rPr>
          <w:rFonts w:ascii="仿宋_GB2312" w:eastAsia="仿宋_GB2312" w:hAnsi="仿宋_GB2312" w:cs="仿宋_GB2312" w:hint="eastAsia"/>
          <w:b/>
          <w:bCs/>
          <w:color w:val="000000"/>
          <w:sz w:val="28"/>
          <w:szCs w:val="28"/>
          <w:lang w:eastAsia="zh-CN"/>
        </w:rPr>
        <w:t>。</w:t>
      </w:r>
      <w:r>
        <w:rPr>
          <w:rFonts w:ascii="仿宋_GB2312" w:eastAsia="仿宋_GB2312" w:hAnsi="仿宋_GB2312" w:cs="仿宋_GB2312" w:hint="eastAsia"/>
          <w:color w:val="000000"/>
          <w:kern w:val="0"/>
          <w:sz w:val="28"/>
          <w:szCs w:val="28"/>
          <w:lang w:val="en-US" w:eastAsia="zh-CN"/>
        </w:rPr>
        <w:t>汇总报告数据显示，我市已建立信息化系统的单位共1001家，占比51.28%，与2022年度基本持平，数据说明全市内控信息化建设水平有待进一步提高。</w:t>
      </w:r>
    </w:p>
    <w:p>
      <w:pPr>
        <w:autoSpaceDE w:val="0"/>
        <w:autoSpaceDN w:val="0"/>
        <w:ind w:firstLine="566" w:firstLineChars="202"/>
        <w:textAlignment w:val="baseline"/>
        <w:outlineLvl w:val="1"/>
        <w:rPr>
          <w:rFonts w:ascii="方正黑体_GBK" w:eastAsia="方正黑体_GBK" w:hAnsi="方正黑体_GBK" w:cs="方正黑体_GBK" w:hint="eastAsia"/>
          <w:b/>
          <w:bCs/>
          <w:color w:val="000000" w:themeColor="text1"/>
          <w:sz w:val="28"/>
          <w:szCs w:val="28"/>
        </w:rPr>
      </w:pPr>
      <w:r>
        <w:rPr>
          <w:rFonts w:ascii="方正黑体_GBK" w:eastAsia="方正黑体_GBK" w:hAnsi="方正黑体_GBK" w:cs="方正黑体_GBK" w:hint="eastAsia"/>
          <w:b/>
          <w:bCs/>
          <w:color w:val="000000" w:themeColor="text1"/>
          <w:sz w:val="28"/>
          <w:szCs w:val="28"/>
        </w:rPr>
        <w:t>四、有关意见及建议</w:t>
      </w:r>
    </w:p>
    <w:p>
      <w:pPr>
        <w:autoSpaceDE w:val="0"/>
        <w:autoSpaceDN w:val="0"/>
        <w:ind w:firstLine="567"/>
        <w:textAlignment w:val="baseline"/>
        <w:outlineLvl w:val="0"/>
        <w:rPr>
          <w:rFonts w:ascii="仿宋_GB2312" w:eastAsia="仿宋_GB2312" w:hAnsi="仿宋_GB2312" w:cs="仿宋_GB2312" w:hint="eastAsia"/>
          <w:color w:val="000000"/>
          <w:kern w:val="0"/>
          <w:sz w:val="28"/>
          <w:szCs w:val="28"/>
          <w:lang w:val="en-US" w:eastAsia="zh-CN"/>
        </w:rPr>
      </w:pPr>
      <w:r>
        <w:rPr>
          <w:rFonts w:ascii="楷体_GB2312" w:eastAsia="楷体_GB2312" w:hAnsi="楷体_GB2312" w:cs="楷体_GB2312" w:hint="eastAsia"/>
          <w:b/>
          <w:bCs/>
          <w:sz w:val="28"/>
          <w:szCs w:val="28"/>
        </w:rPr>
        <w:t>（</w:t>
      </w:r>
      <w:r>
        <w:rPr>
          <w:rFonts w:ascii="楷体_GB2312" w:eastAsia="楷体_GB2312" w:hAnsi="楷体_GB2312" w:cs="楷体_GB2312" w:hint="eastAsia"/>
          <w:b/>
          <w:bCs/>
          <w:sz w:val="28"/>
          <w:szCs w:val="28"/>
          <w:lang w:val="en-US" w:eastAsia="zh-CN"/>
        </w:rPr>
        <w:t>一</w:t>
      </w:r>
      <w:r>
        <w:rPr>
          <w:rFonts w:ascii="楷体_GB2312" w:eastAsia="楷体_GB2312" w:hAnsi="楷体_GB2312" w:cs="楷体_GB2312" w:hint="eastAsia"/>
          <w:b/>
          <w:bCs/>
          <w:sz w:val="28"/>
          <w:szCs w:val="28"/>
        </w:rPr>
        <w:t>）解决小单位难执行问题，做到不留死角。</w:t>
      </w:r>
      <w:r>
        <w:rPr>
          <w:rFonts w:ascii="仿宋_GB2312" w:eastAsia="仿宋_GB2312" w:hAnsi="仿宋_GB2312" w:cs="仿宋_GB2312" w:hint="eastAsia"/>
          <w:color w:val="000000"/>
          <w:kern w:val="0"/>
          <w:sz w:val="28"/>
          <w:szCs w:val="28"/>
          <w:lang w:val="en-US" w:eastAsia="zh-CN"/>
        </w:rPr>
        <w:t>我市各单位反映强烈的问题是小规模单位（编制3人以内）很难达到内控要求，建议上级财政部门出台适合小规模单位的简化内控制度建设方案，并相应简化内控报告内容，为基层减负。</w:t>
      </w:r>
    </w:p>
    <w:p>
      <w:pPr>
        <w:pStyle w:val="BodyText"/>
        <w:ind w:firstLine="560" w:firstLineChars="200"/>
        <w:rPr>
          <w:rFonts w:ascii="仿宋_GB2312" w:eastAsia="仿宋_GB2312" w:hAnsi="仿宋_GB2312" w:cs="仿宋_GB2312" w:hint="eastAsia"/>
          <w:color w:val="000000"/>
          <w:sz w:val="28"/>
          <w:szCs w:val="28"/>
          <w:lang w:eastAsia="zh-CN"/>
        </w:rPr>
      </w:pPr>
      <w:r>
        <w:rPr>
          <w:rFonts w:ascii="楷体_GB2312" w:eastAsia="楷体_GB2312" w:hAnsi="楷体_GB2312" w:cs="楷体_GB2312" w:hint="eastAsia"/>
          <w:b/>
          <w:bCs/>
          <w:kern w:val="2"/>
          <w:sz w:val="28"/>
          <w:szCs w:val="28"/>
          <w:lang w:val="en-US" w:eastAsia="zh-CN" w:bidi="ar-SA"/>
        </w:rPr>
        <w:t>（二）</w:t>
      </w:r>
      <w:r>
        <w:rPr>
          <w:rFonts w:ascii="楷体_GB2312" w:eastAsia="楷体_GB2312" w:hAnsi="楷体_GB2312" w:cs="楷体_GB2312" w:hint="eastAsia"/>
          <w:b/>
          <w:bCs/>
          <w:sz w:val="28"/>
          <w:szCs w:val="28"/>
        </w:rPr>
        <w:t>内部控制监督检查工作制度化、规范化</w:t>
      </w:r>
      <w:r>
        <w:rPr>
          <w:rFonts w:ascii="楷体_GB2312" w:eastAsia="楷体_GB2312" w:hAnsi="楷体_GB2312" w:cs="楷体_GB2312" w:hint="eastAsia"/>
          <w:b/>
          <w:bCs/>
          <w:sz w:val="28"/>
          <w:szCs w:val="28"/>
          <w:lang w:eastAsia="zh-CN"/>
        </w:rPr>
        <w:t>。</w:t>
      </w:r>
      <w:r>
        <w:rPr>
          <w:rFonts w:ascii="仿宋_GB2312" w:eastAsia="仿宋_GB2312" w:hAnsi="仿宋_GB2312" w:cs="仿宋_GB2312" w:hint="eastAsia"/>
          <w:sz w:val="28"/>
          <w:szCs w:val="28"/>
        </w:rPr>
        <w:t>建议</w:t>
      </w:r>
      <w:r>
        <w:rPr>
          <w:rFonts w:ascii="仿宋_GB2312" w:eastAsia="仿宋_GB2312" w:hAnsi="仿宋_GB2312" w:cs="仿宋_GB2312" w:hint="eastAsia"/>
          <w:sz w:val="28"/>
          <w:szCs w:val="28"/>
          <w:lang w:val="en-US" w:eastAsia="zh-CN"/>
        </w:rPr>
        <w:t>上级</w:t>
      </w:r>
      <w:r>
        <w:rPr>
          <w:rFonts w:ascii="仿宋_GB2312" w:eastAsia="仿宋_GB2312" w:hAnsi="仿宋_GB2312" w:cs="仿宋_GB2312" w:hint="eastAsia"/>
          <w:sz w:val="28"/>
          <w:szCs w:val="28"/>
        </w:rPr>
        <w:t>财政</w:t>
      </w:r>
      <w:r>
        <w:rPr>
          <w:rFonts w:ascii="仿宋_GB2312" w:eastAsia="仿宋_GB2312" w:hAnsi="仿宋_GB2312" w:cs="仿宋_GB2312" w:hint="eastAsia"/>
          <w:sz w:val="28"/>
          <w:szCs w:val="28"/>
          <w:lang w:val="en-US" w:eastAsia="zh-CN"/>
        </w:rPr>
        <w:t>部门</w:t>
      </w:r>
      <w:r>
        <w:rPr>
          <w:rFonts w:ascii="仿宋_GB2312" w:eastAsia="仿宋_GB2312" w:hAnsi="仿宋_GB2312" w:cs="仿宋_GB2312" w:hint="eastAsia"/>
          <w:sz w:val="28"/>
          <w:szCs w:val="28"/>
        </w:rPr>
        <w:t>出台内部控制制度建设和实施的监督检查规范，将内控制度</w:t>
      </w:r>
      <w:r>
        <w:rPr>
          <w:rFonts w:ascii="仿宋_GB2312" w:eastAsia="仿宋_GB2312" w:hAnsi="仿宋_GB2312" w:cs="仿宋_GB2312" w:hint="default"/>
          <w:sz w:val="28"/>
          <w:szCs w:val="28"/>
        </w:rPr>
        <w:t>作</w:t>
      </w:r>
      <w:r>
        <w:rPr>
          <w:rFonts w:ascii="仿宋_GB2312" w:eastAsia="仿宋_GB2312" w:hAnsi="仿宋_GB2312" w:cs="仿宋_GB2312" w:hint="eastAsia"/>
          <w:sz w:val="28"/>
          <w:szCs w:val="28"/>
        </w:rPr>
        <w:t>为各类资金审计、经济责任审计、监督检查和巡视的重要内容，加强内部审计和外部审计的监督力量，必要时引入第三方机构对内控建设情况进行检查。强化主管部门对内控工作的管控责任，加强所属单位的内控检查督促力度。</w:t>
      </w:r>
    </w:p>
    <w:p>
      <w:pPr>
        <w:autoSpaceDE w:val="0"/>
        <w:autoSpaceDN w:val="0"/>
        <w:ind w:firstLine="566" w:firstLineChars="202"/>
        <w:textAlignment w:val="baseline"/>
        <w:outlineLvl w:val="1"/>
        <w:rPr>
          <w:rFonts w:ascii="方正黑体_GBK" w:eastAsia="方正黑体_GBK" w:hAnsi="方正黑体_GBK" w:cs="方正黑体_GBK" w:hint="eastAsia"/>
          <w:b/>
          <w:bCs/>
          <w:color w:val="000000" w:themeColor="text1"/>
          <w:sz w:val="28"/>
          <w:szCs w:val="28"/>
        </w:rPr>
      </w:pPr>
      <w:r>
        <w:rPr>
          <w:rFonts w:ascii="方正黑体_GBK" w:eastAsia="方正黑体_GBK" w:hAnsi="方正黑体_GBK" w:cs="方正黑体_GBK" w:hint="eastAsia"/>
          <w:b/>
          <w:bCs/>
          <w:color w:val="000000" w:themeColor="text1"/>
          <w:sz w:val="28"/>
          <w:szCs w:val="28"/>
        </w:rPr>
        <w:t>五、典型案例</w:t>
      </w:r>
    </w:p>
    <w:p>
      <w:pPr>
        <w:autoSpaceDE w:val="0"/>
        <w:autoSpaceDN w:val="0"/>
        <w:spacing w:line="360" w:lineRule="auto"/>
        <w:ind w:firstLine="700" w:firstLineChars="250"/>
        <w:textAlignment w:val="baseline"/>
        <w:rPr>
          <w:rFonts w:ascii="仿宋_GB2312" w:eastAsia="仿宋_GB2312" w:hAnsi="仿宋_GB2312" w:cs="仿宋_GB2312" w:hint="eastAsia"/>
          <w:kern w:val="2"/>
          <w:sz w:val="28"/>
          <w:szCs w:val="28"/>
          <w:lang w:val="en-US" w:eastAsia="zh-CN" w:bidi="ar-SA"/>
        </w:rPr>
      </w:pPr>
      <w:r>
        <w:rPr>
          <w:rFonts w:ascii="仿宋_GB2312" w:eastAsia="仿宋_GB2312" w:hAnsi="仿宋_GB2312" w:cs="仿宋_GB2312" w:hint="eastAsia"/>
          <w:kern w:val="2"/>
          <w:sz w:val="28"/>
          <w:szCs w:val="28"/>
          <w:lang w:val="en-US" w:eastAsia="zh-CN" w:bidi="ar-SA"/>
        </w:rPr>
        <w:t>我市推荐的典型案例单位有：江门市住房和城乡建设局、江门市交通运输局、江门市五邑中医院恩平分院。</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1"/>
        <w:rPr>
          <w:rFonts w:ascii="楷体_GB2312" w:eastAsia="楷体_GB2312" w:hAnsi="楷体_GB2312" w:cs="楷体_GB2312" w:hint="eastAsia"/>
          <w:b/>
          <w:bCs/>
          <w:color w:val="auto"/>
          <w:sz w:val="28"/>
          <w:szCs w:val="28"/>
          <w:lang w:val="en-US" w:eastAsia="zh-CN"/>
        </w:rPr>
      </w:pPr>
      <w:r>
        <w:rPr>
          <w:rFonts w:ascii="楷体_GB2312" w:eastAsia="楷体_GB2312" w:hAnsi="楷体_GB2312" w:cs="楷体_GB2312" w:hint="eastAsia"/>
          <w:b/>
          <w:bCs/>
          <w:color w:val="auto"/>
          <w:sz w:val="28"/>
          <w:szCs w:val="28"/>
        </w:rPr>
        <w:t>（一）</w:t>
      </w:r>
      <w:r>
        <w:rPr>
          <w:rFonts w:ascii="楷体_GB2312" w:eastAsia="楷体_GB2312" w:hAnsi="楷体_GB2312" w:cs="楷体_GB2312" w:hint="eastAsia"/>
          <w:b/>
          <w:bCs/>
          <w:color w:val="auto"/>
          <w:sz w:val="28"/>
          <w:szCs w:val="28"/>
          <w:lang w:val="en-US" w:eastAsia="zh-CN"/>
        </w:rPr>
        <w:t xml:space="preserve">案例1 </w:t>
      </w:r>
      <w:r>
        <w:rPr>
          <w:rFonts w:ascii="楷体_GB2312" w:eastAsia="楷体_GB2312" w:hAnsi="楷体_GB2312" w:cs="楷体_GB2312" w:hint="eastAsia"/>
          <w:b/>
          <w:bCs/>
          <w:color w:val="auto"/>
          <w:sz w:val="28"/>
          <w:szCs w:val="28"/>
        </w:rPr>
        <w:t>江门市住房和城乡建设局住建一体化管理平台</w:t>
      </w:r>
      <w:r>
        <w:rPr>
          <w:rFonts w:ascii="楷体_GB2312" w:eastAsia="楷体_GB2312" w:hAnsi="楷体_GB2312" w:cs="楷体_GB2312" w:hint="eastAsia"/>
          <w:b/>
          <w:bCs/>
          <w:color w:val="auto"/>
          <w:sz w:val="28"/>
          <w:szCs w:val="28"/>
          <w:lang w:val="en-US" w:eastAsia="zh-CN"/>
        </w:rPr>
        <w:t>案例</w:t>
      </w:r>
    </w:p>
    <w:p>
      <w:pPr>
        <w:autoSpaceDE w:val="0"/>
        <w:autoSpaceDN w:val="0"/>
        <w:spacing w:line="360" w:lineRule="auto"/>
        <w:ind w:firstLine="700" w:firstLineChars="250"/>
        <w:textAlignment w:val="baseline"/>
        <w:rPr>
          <w:rFonts w:ascii="仿宋_GB2312" w:eastAsia="仿宋_GB2312" w:hAnsi="仿宋_GB2312" w:cs="仿宋_GB2312" w:hint="eastAsia"/>
          <w:color w:val="000000" w:themeColor="text1"/>
          <w:sz w:val="28"/>
          <w:szCs w:val="28"/>
          <w:lang w:eastAsia="zh-CN"/>
        </w:rPr>
      </w:pPr>
      <w:r>
        <w:rPr>
          <w:rFonts w:ascii="仿宋_GB2312" w:eastAsia="仿宋_GB2312" w:hAnsi="仿宋_GB2312" w:cs="仿宋_GB2312" w:hint="eastAsia"/>
          <w:kern w:val="2"/>
          <w:sz w:val="28"/>
          <w:szCs w:val="28"/>
          <w:lang w:val="en-US" w:eastAsia="zh-CN" w:bidi="ar-SA"/>
        </w:rPr>
        <w:fldChar w:fldCharType="begin"/>
      </w:r>
      <w:r>
        <w:rPr>
          <w:rFonts w:ascii="仿宋_GB2312" w:eastAsia="仿宋_GB2312" w:hAnsi="仿宋_GB2312" w:cs="仿宋_GB2312" w:hint="eastAsia"/>
          <w:kern w:val="2"/>
          <w:sz w:val="28"/>
          <w:szCs w:val="28"/>
          <w:lang w:val="en-US" w:eastAsia="zh-CN" w:bidi="ar-SA"/>
        </w:rPr>
        <w:instrText xml:space="preserve"> HYPERLINK "coco://sendMessage?ext=%7B%22s%24wiki_link%22%3A%22https%3A%2F%2Fm.baike.com%2Fwikiid%2F9206366052932252812%22%7D&amp;msg=%E6%B1%9F%E9%97%A8%E5%B8%82" \t "_blank" </w:instrText>
      </w:r>
      <w:r>
        <w:rPr>
          <w:rFonts w:ascii="仿宋_GB2312" w:eastAsia="仿宋_GB2312" w:hAnsi="仿宋_GB2312" w:cs="仿宋_GB2312" w:hint="eastAsia"/>
          <w:kern w:val="2"/>
          <w:sz w:val="28"/>
          <w:szCs w:val="28"/>
          <w:lang w:val="en-US" w:eastAsia="zh-CN" w:bidi="ar-SA"/>
        </w:rPr>
        <w:fldChar w:fldCharType="separate"/>
      </w:r>
      <w:r>
        <w:rPr>
          <w:rFonts w:ascii="仿宋_GB2312" w:eastAsia="仿宋_GB2312" w:hAnsi="仿宋_GB2312" w:cs="仿宋_GB2312" w:hint="eastAsia"/>
          <w:kern w:val="2"/>
          <w:sz w:val="28"/>
          <w:szCs w:val="28"/>
          <w:lang w:val="en-US" w:eastAsia="zh-CN" w:bidi="ar-SA"/>
        </w:rPr>
        <w:t>江门市</w:t>
      </w:r>
      <w:r>
        <w:rPr>
          <w:rFonts w:ascii="仿宋_GB2312" w:eastAsia="仿宋_GB2312" w:hAnsi="仿宋_GB2312" w:cs="仿宋_GB2312" w:hint="eastAsia"/>
          <w:kern w:val="2"/>
          <w:sz w:val="28"/>
          <w:szCs w:val="28"/>
          <w:lang w:val="en-US" w:eastAsia="zh-CN" w:bidi="ar-SA"/>
        </w:rPr>
        <w:fldChar w:fldCharType="end"/>
      </w:r>
      <w:r>
        <w:rPr>
          <w:rFonts w:ascii="仿宋_GB2312" w:eastAsia="仿宋_GB2312" w:hAnsi="仿宋_GB2312" w:cs="仿宋_GB2312" w:hint="eastAsia"/>
          <w:kern w:val="2"/>
          <w:sz w:val="28"/>
          <w:szCs w:val="28"/>
          <w:lang w:val="en-US" w:eastAsia="zh-CN" w:bidi="ar-SA"/>
        </w:rPr>
        <w:t>住房和城乡建设局将流程优化与系统建设同步进行，打造一体化管控平台以强化风险防控能力。一是经过系统梳理，完善预算、收支、采购、资产、合同及建设项目管理各项业务制度和流程表单，构建内控体系，并优化组织结构，保证了内部控制工作的动态管理。二是借助信息化手段，对关键业务领域的关键管控环节进行重点管控。在内控系统上线后，持续推进管理改革，建立健全预算、收支、采购、合同管理模块信息系统，打造互联互通。通过制度的不断完善和科学有效的信息化措施有机结合，使得各项业务流程更加优化，业务流转和审批速度大幅提升，成功打造“住建一体化管理平台”，为区域内其他单位加强内控精细化管理积累经验。</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1"/>
        <w:rPr>
          <w:rFonts w:ascii="楷体_GB2312" w:eastAsia="楷体_GB2312" w:hAnsi="楷体_GB2312" w:cs="楷体_GB2312" w:hint="eastAsia"/>
          <w:b/>
          <w:bCs/>
          <w:kern w:val="2"/>
          <w:sz w:val="28"/>
          <w:szCs w:val="28"/>
          <w:lang w:val="en-US" w:eastAsia="zh-CN" w:bidi="ar-SA"/>
        </w:rPr>
      </w:pPr>
      <w:r>
        <w:rPr>
          <w:rFonts w:ascii="楷体_GB2312" w:eastAsia="楷体_GB2312" w:hAnsi="楷体_GB2312" w:cs="楷体_GB2312" w:hint="eastAsia"/>
          <w:b/>
          <w:bCs/>
          <w:color w:val="auto"/>
          <w:sz w:val="28"/>
          <w:szCs w:val="28"/>
        </w:rPr>
        <w:t>（</w:t>
      </w:r>
      <w:r>
        <w:rPr>
          <w:rFonts w:ascii="楷体_GB2312" w:eastAsia="楷体_GB2312" w:hAnsi="楷体_GB2312" w:cs="楷体_GB2312" w:hint="eastAsia"/>
          <w:b/>
          <w:bCs/>
          <w:color w:val="auto"/>
          <w:sz w:val="28"/>
          <w:szCs w:val="28"/>
          <w:lang w:val="en-US" w:eastAsia="zh-CN"/>
        </w:rPr>
        <w:t>二</w:t>
      </w:r>
      <w:r>
        <w:rPr>
          <w:rFonts w:ascii="楷体_GB2312" w:eastAsia="楷体_GB2312" w:hAnsi="楷体_GB2312" w:cs="楷体_GB2312" w:hint="eastAsia"/>
          <w:b/>
          <w:bCs/>
          <w:color w:val="auto"/>
          <w:sz w:val="28"/>
          <w:szCs w:val="28"/>
        </w:rPr>
        <w:t>）</w:t>
      </w:r>
      <w:r>
        <w:rPr>
          <w:rFonts w:ascii="楷体_GB2312" w:eastAsia="楷体_GB2312" w:hAnsi="楷体_GB2312" w:cs="楷体_GB2312" w:hint="eastAsia"/>
          <w:b/>
          <w:bCs/>
          <w:color w:val="auto"/>
          <w:sz w:val="28"/>
          <w:szCs w:val="28"/>
          <w:lang w:val="en-US" w:eastAsia="zh-CN"/>
        </w:rPr>
        <w:t>案例2 江门市交通运输局利用内审职能推动内部控制建设案例</w:t>
      </w:r>
    </w:p>
    <w:p>
      <w:pPr>
        <w:autoSpaceDE w:val="0"/>
        <w:autoSpaceDN w:val="0"/>
        <w:textAlignment w:val="baseline"/>
        <w:rPr>
          <w:rFonts w:ascii="仿宋_GB2312" w:eastAsia="仿宋_GB2312" w:hAnsi="仿宋_GB2312" w:cs="仿宋_GB2312" w:hint="eastAsia"/>
          <w:kern w:val="2"/>
          <w:sz w:val="28"/>
          <w:szCs w:val="28"/>
          <w:lang w:val="en-US" w:eastAsia="zh-CN" w:bidi="ar-SA"/>
        </w:rPr>
      </w:pPr>
      <w:r>
        <w:rPr>
          <w:rFonts w:ascii="仿宋_GB2312" w:eastAsia="仿宋_GB2312" w:hAnsi="仿宋_GB2312" w:cs="仿宋_GB2312" w:hint="eastAsia"/>
          <w:kern w:val="2"/>
          <w:sz w:val="28"/>
          <w:szCs w:val="28"/>
          <w:lang w:val="en-US" w:eastAsia="zh-CN" w:bidi="ar-SA"/>
        </w:rPr>
        <w:tab/>
      </w:r>
      <w:r>
        <w:rPr>
          <w:rFonts w:ascii="仿宋_GB2312" w:eastAsia="仿宋_GB2312" w:hAnsi="仿宋_GB2312" w:cs="仿宋_GB2312" w:hint="default"/>
          <w:kern w:val="2"/>
          <w:sz w:val="28"/>
          <w:szCs w:val="28"/>
          <w:lang w:eastAsia="zh-CN" w:bidi="ar-SA"/>
        </w:rPr>
        <w:t xml:space="preserve"> </w:t>
      </w:r>
      <w:r>
        <w:rPr>
          <w:rFonts w:ascii="仿宋_GB2312" w:eastAsia="仿宋_GB2312" w:hAnsi="仿宋_GB2312" w:cs="仿宋_GB2312" w:hint="eastAsia"/>
          <w:kern w:val="2"/>
          <w:sz w:val="28"/>
          <w:szCs w:val="28"/>
          <w:lang w:val="en-US" w:eastAsia="zh-CN" w:bidi="ar-SA"/>
        </w:rPr>
        <w:t>江门市交通运输局充分利用内部审计的评价和监督职能，建立以“防”为主的监控防线，结合专项审计等“查”的方式，在业务层面实施内部监控措施，及时发现问题，有效防止内部控制失效，通过分析问题产生的原因和影响,协助单位完善内部控制体系的建设, 促成良好控制环境的建立,有效增强内部控制执行的有效性。</w:t>
      </w:r>
    </w:p>
    <w:p>
      <w:pPr>
        <w:keepNext w:val="0"/>
        <w:keepLines w:val="0"/>
        <w:pageBreakBefore w:val="0"/>
        <w:widowControl w:val="0"/>
        <w:kinsoku/>
        <w:wordWrap w:val="0"/>
        <w:overflowPunct/>
        <w:topLinePunct w:val="0"/>
        <w:autoSpaceDE w:val="0"/>
        <w:autoSpaceDN w:val="0"/>
        <w:bidi w:val="0"/>
        <w:adjustRightInd/>
        <w:snapToGrid/>
        <w:spacing w:line="240" w:lineRule="auto"/>
        <w:ind w:firstLine="560" w:firstLineChars="200"/>
        <w:jc w:val="both"/>
        <w:textAlignment w:val="baseline"/>
        <w:outlineLvl w:val="1"/>
        <w:rPr>
          <w:rFonts w:ascii="楷体_GB2312" w:eastAsia="楷体_GB2312" w:hAnsi="楷体_GB2312" w:cs="楷体_GB2312" w:hint="eastAsia"/>
          <w:b/>
          <w:bCs/>
          <w:kern w:val="2"/>
          <w:sz w:val="28"/>
          <w:szCs w:val="28"/>
          <w:lang w:val="en-US" w:eastAsia="zh-CN" w:bidi="ar-SA"/>
        </w:rPr>
      </w:pPr>
      <w:r>
        <w:rPr>
          <w:rFonts w:ascii="楷体_GB2312" w:eastAsia="楷体_GB2312" w:hAnsi="楷体_GB2312" w:cs="楷体_GB2312" w:hint="eastAsia"/>
          <w:b/>
          <w:bCs/>
          <w:color w:val="auto"/>
          <w:sz w:val="28"/>
          <w:szCs w:val="28"/>
          <w:lang w:val="en-US" w:eastAsia="zh-CN"/>
        </w:rPr>
        <w:t>（三）案例3 江门市五邑中医院恩平分院内部控制助力清廉医院建设案例</w:t>
      </w:r>
    </w:p>
    <w:p>
      <w:pPr>
        <w:autoSpaceDE w:val="0"/>
        <w:autoSpaceDN w:val="0"/>
        <w:ind w:firstLine="560" w:firstLineChars="200"/>
        <w:textAlignment w:val="baseline"/>
        <w:outlineLvl w:val="9"/>
        <w:rPr>
          <w:rFonts w:ascii="仿宋" w:eastAsia="仿宋" w:hAnsi="仿宋"/>
          <w:color w:val="000000" w:themeColor="text1"/>
          <w:sz w:val="28"/>
          <w:szCs w:val="28"/>
          <w14:textFill>
            <w14:solidFill>
              <w14:schemeClr w14:val="tx1"/>
            </w14:solidFill>
          </w14:textFill>
        </w:rPr>
      </w:pPr>
      <w:r>
        <w:rPr>
          <w:rFonts w:ascii="仿宋_GB2312" w:eastAsia="仿宋_GB2312" w:hAnsi="仿宋_GB2312" w:cs="仿宋_GB2312" w:hint="eastAsia"/>
          <w:kern w:val="2"/>
          <w:sz w:val="28"/>
          <w:szCs w:val="28"/>
          <w:lang w:val="en-US" w:eastAsia="zh-CN" w:bidi="ar-SA"/>
        </w:rPr>
        <w:t>江门市五邑中医院恩平分院于2018</w:t>
      </w:r>
      <w:r>
        <w:rPr>
          <w:rFonts w:ascii="仿宋_GB2312" w:eastAsia="仿宋_GB2312" w:hAnsi="仿宋_GB2312" w:cs="仿宋_GB2312" w:hint="default"/>
          <w:kern w:val="2"/>
          <w:sz w:val="28"/>
          <w:szCs w:val="28"/>
          <w:lang w:eastAsia="zh-CN" w:bidi="ar-SA"/>
        </w:rPr>
        <w:t>年</w:t>
      </w:r>
      <w:r>
        <w:rPr>
          <w:rFonts w:ascii="仿宋_GB2312" w:eastAsia="仿宋_GB2312" w:hAnsi="仿宋_GB2312" w:cs="仿宋_GB2312" w:hint="eastAsia"/>
          <w:kern w:val="2"/>
          <w:sz w:val="28"/>
          <w:szCs w:val="28"/>
          <w:lang w:val="en-US" w:eastAsia="zh-CN" w:bidi="ar-SA"/>
        </w:rPr>
        <w:t>从专人负责到成立专职机构（内审办）负责牵头内部控制工作，实行内部控制全覆盖，对经济事项全流程监督管理，加强风险防控机制建设，严格执行内部管理制度， 围绕重点环节和关键领域，对重点岗位、关键医务人员、具体诊疗行为开展整治行动，加强对人事、财务、设备、后勤基建、药品等高风险权力的动态监控，基本建立一个权责一致、制衡有效、运行顺畅、执行有力的内部控制体系，助力风清气正廉洁医院建设。</w:t>
      </w:r>
    </w:p>
    <w:p>
      <w:pPr>
        <w:autoSpaceDE w:val="0"/>
        <w:autoSpaceDN w:val="0"/>
        <w:ind w:firstLine="0"/>
        <w:textAlignment w:val="baseline"/>
        <w:rPr>
          <w:rFonts w:ascii="仿宋" w:eastAsia="仿宋" w:hAnsi="仿宋"/>
          <w:color w:val="000000" w:themeColor="text1"/>
          <w:sz w:val="28"/>
          <w:szCs w:val="28"/>
          <w14:textFill>
            <w14:solidFill>
              <w14:schemeClr w14:val="tx1"/>
            </w14:solidFill>
          </w14:textFill>
        </w:rPr>
        <w:sectPr>
          <w:pgSz w:w="11906" w:h="16838"/>
          <w:pgMar w:top="1440" w:right="1080" w:bottom="1440" w:left="1423" w:header="851" w:footer="499" w:gutter="0"/>
          <w:cols w:num="1" w:space="720"/>
          <w:docGrid w:type="lines" w:linePitch="312" w:charSpace="0"/>
        </w:sectPr>
      </w:pPr>
    </w:p>
    <w:p>
      <w:pPr>
        <w:ind w:firstLine="616"/>
        <w:rPr>
          <w:rFonts w:eastAsia="仿宋_GB2312" w:cs="仿宋_GB2312"/>
          <w:color w:val="000000" w:themeColor="text1"/>
          <w:spacing w:val="4"/>
          <w:sz w:val="30"/>
          <w:szCs w:val="30"/>
          <w14:textFill>
            <w14:solidFill>
              <w14:schemeClr w14:val="tx1"/>
            </w14:solidFill>
          </w14:textFill>
        </w:rPr>
      </w:pPr>
      <w:r>
        <w:rPr>
          <w:rFonts w:eastAsia="仿宋_GB2312" w:cs="仿宋_GB2312" w:hint="eastAsia"/>
          <w:color w:val="000000" w:themeColor="text1"/>
          <w:spacing w:val="4"/>
          <w:sz w:val="30"/>
          <w:szCs w:val="30"/>
          <w14:textFill>
            <w14:solidFill>
              <w14:schemeClr w14:val="tx1"/>
            </w14:solidFill>
          </w14:textFill>
        </w:rPr>
        <w:t>附表：</w:t>
      </w:r>
    </w:p>
    <w:p>
      <w:pPr>
        <w:tabs>
          <w:tab w:val="left" w:pos="851"/>
        </w:tabs>
        <w:spacing w:after="156" w:afterLines="50" w:line="360" w:lineRule="auto"/>
        <w:ind w:firstLine="752"/>
        <w:jc w:val="center"/>
        <w:rPr>
          <w:rFonts w:ascii="黑体" w:eastAsia="黑体" w:cs="方正小标宋简体"/>
          <w:color w:val="000000" w:themeColor="text1"/>
          <w:spacing w:val="8"/>
          <w:sz w:val="36"/>
          <w:szCs w:val="36"/>
          <w14:textFill>
            <w14:solidFill>
              <w14:schemeClr w14:val="tx1"/>
            </w14:solidFill>
          </w14:textFill>
        </w:rPr>
      </w:pPr>
      <w:r>
        <w:rPr>
          <w:rFonts w:ascii="黑体" w:eastAsia="黑体" w:cs="方正小标宋简体" w:hint="eastAsia"/>
          <w:color w:val="000000" w:themeColor="text1"/>
          <w:spacing w:val="8"/>
          <w:sz w:val="36"/>
          <w:szCs w:val="36"/>
          <w14:textFill>
            <w14:solidFill>
              <w14:schemeClr w14:val="tx1"/>
            </w14:solidFill>
          </w14:textFill>
        </w:rPr>
        <w:t>一、地区（部门）基本情况</w:t>
      </w:r>
    </w:p>
    <w:tbl>
      <w:tblPr>
        <w:tblStyle w:val="TableNormal"/>
        <w:tblpPr w:leftFromText="180" w:rightFromText="180" w:vertAnchor="text" w:horzAnchor="margin" w:tblpXSpec="center" w:tblpY="27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25"/>
        <w:gridCol w:w="749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trPr>
        <w:tc>
          <w:tcPr>
            <w:tcW w:w="1725" w:type="dxa"/>
            <w:vAlign w:val="center"/>
          </w:tcPr>
          <w:p>
            <w:pPr>
              <w:widowControl/>
              <w:autoSpaceDE w:val="0"/>
              <w:autoSpaceDN w:val="0"/>
              <w:jc w:val="center"/>
              <w:textAlignment w:val="baseline"/>
              <w:rPr>
                <w:rFonts w:ascii="仿宋_GB2312" w:eastAsia="仿宋_GB2312"/>
                <w:color w:val="000000" w:themeColor="text1"/>
                <w:sz w:val="24"/>
                <w14:textFill>
                  <w14:solidFill>
                    <w14:schemeClr w14:val="tx1"/>
                  </w14:solidFill>
                </w14:textFill>
              </w:rPr>
            </w:pPr>
            <w:r>
              <w:rPr>
                <w:rFonts w:ascii="仿宋_GB2312" w:eastAsia="仿宋_GB2312" w:hint="eastAsia"/>
                <w:color w:val="000000" w:themeColor="text1"/>
                <w:sz w:val="24"/>
                <w14:textFill>
                  <w14:solidFill>
                    <w14:schemeClr w14:val="tx1"/>
                  </w14:solidFill>
                </w14:textFill>
              </w:rPr>
              <w:br w:type="page"/>
            </w:r>
            <w:r>
              <w:rPr>
                <w:rFonts w:ascii="仿宋_GB2312" w:eastAsia="仿宋_GB2312" w:hint="eastAsia"/>
                <w:color w:val="000000" w:themeColor="text1"/>
                <w:sz w:val="24"/>
                <w14:textFill>
                  <w14:solidFill>
                    <w14:schemeClr w14:val="tx1"/>
                  </w14:solidFill>
                </w14:textFill>
              </w:rPr>
              <w:t>地区（部门）名称</w:t>
            </w:r>
          </w:p>
        </w:tc>
        <w:tc>
          <w:tcPr>
            <w:tcW w:w="7494" w:type="dxa"/>
            <w:vAlign w:val="center"/>
          </w:tcPr>
          <w:p>
            <w:pPr>
              <w:autoSpaceDE w:val="0"/>
              <w:autoSpaceDN w:val="0"/>
              <w:spacing w:line="360" w:lineRule="auto"/>
              <w:ind w:firstLine="560" w:firstLineChars="200"/>
              <w:jc w:val="center"/>
              <w:textAlignment w:val="baseline"/>
              <w:rPr>
                <w:rFonts w:ascii="仿宋" w:eastAsia="仿宋" w:hAnsi="仿宋" w:hint="eastAsia"/>
                <w:color w:val="000000"/>
                <w:sz w:val="28"/>
                <w:szCs w:val="28"/>
                <w:lang w:eastAsia="zh-CN"/>
              </w:rPr>
            </w:pPr>
            <w:r>
              <w:rPr>
                <w:rFonts w:ascii="仿宋" w:eastAsia="仿宋" w:hAnsi="仿宋" w:hint="eastAsia"/>
                <w:color w:val="000000"/>
                <w:sz w:val="28"/>
                <w:szCs w:val="28"/>
                <w:lang w:eastAsia="zh-CN"/>
              </w:rPr>
              <w:t>广东省江门市</w:t>
            </w:r>
          </w:p>
        </w:tc>
      </w:tr>
      <w:tr>
        <w:tblPrEx>
          <w:tblW w:w="0" w:type="auto"/>
          <w:tblInd w:w="0" w:type="dxa"/>
          <w:tblLayout w:type="fixed"/>
          <w:tblCellMar>
            <w:top w:w="0" w:type="dxa"/>
            <w:left w:w="108" w:type="dxa"/>
            <w:bottom w:w="0" w:type="dxa"/>
            <w:right w:w="108" w:type="dxa"/>
          </w:tblCellMar>
        </w:tblPrEx>
        <w:trPr>
          <w:trHeight w:val="492"/>
        </w:trPr>
        <w:tc>
          <w:tcPr>
            <w:tcW w:w="1725" w:type="dxa"/>
            <w:vAlign w:val="center"/>
          </w:tcPr>
          <w:p>
            <w:pPr>
              <w:widowControl/>
              <w:autoSpaceDE w:val="0"/>
              <w:autoSpaceDN w:val="0"/>
              <w:jc w:val="left"/>
              <w:textAlignment w:val="baseline"/>
              <w:rPr>
                <w:rFonts w:ascii="仿宋_GB2312" w:eastAsia="仿宋_GB2312"/>
                <w:color w:val="000000" w:themeColor="text1"/>
                <w:sz w:val="24"/>
                <w14:textFill>
                  <w14:solidFill>
                    <w14:schemeClr w14:val="tx1"/>
                  </w14:solidFill>
                </w14:textFill>
              </w:rPr>
            </w:pPr>
            <w:r>
              <w:rPr>
                <w:rFonts w:ascii="仿宋_GB2312" w:eastAsia="仿宋_GB2312" w:hint="eastAsia"/>
                <w:color w:val="000000" w:themeColor="text1"/>
                <w:sz w:val="24"/>
                <w14:textFill>
                  <w14:solidFill>
                    <w14:schemeClr w14:val="tx1"/>
                  </w14:solidFill>
                </w14:textFill>
              </w:rPr>
              <w:t>汇总的单位数</w:t>
            </w:r>
          </w:p>
        </w:tc>
        <w:tc>
          <w:tcPr>
            <w:tcW w:w="7494" w:type="dxa"/>
            <w:vAlign w:val="center"/>
          </w:tcPr>
          <w:p>
            <w:pPr>
              <w:widowControl/>
              <w:autoSpaceDE w:val="0"/>
              <w:autoSpaceDN w:val="0"/>
              <w:jc w:val="center"/>
              <w:textAlignment w:val="baseline"/>
              <w:rPr>
                <w:rFonts w:ascii="仿宋_GB2312" w:eastAsia="仿宋" w:hint="eastAsia"/>
                <w:color w:val="000000" w:themeColor="text1"/>
                <w:sz w:val="24"/>
                <w:lang w:eastAsia="zh-CN"/>
                <w14:textFill>
                  <w14:solidFill>
                    <w14:schemeClr w14:val="tx1"/>
                  </w14:solidFill>
                </w14:textFill>
              </w:rPr>
            </w:pPr>
            <w:r>
              <w:rPr>
                <w:rFonts w:ascii="仿宋" w:eastAsia="仿宋" w:hAnsi="仿宋" w:hint="eastAsia"/>
                <w:color w:val="000000"/>
                <w:sz w:val="28"/>
                <w:szCs w:val="28"/>
                <w:lang w:eastAsia="zh-CN"/>
              </w:rPr>
              <w:t>1952</w:t>
            </w:r>
          </w:p>
        </w:tc>
      </w:tr>
      <w:tr>
        <w:tblPrEx>
          <w:tblW w:w="0" w:type="auto"/>
          <w:tblInd w:w="0" w:type="dxa"/>
          <w:tblLayout w:type="fixed"/>
          <w:tblCellMar>
            <w:top w:w="0" w:type="dxa"/>
            <w:left w:w="108" w:type="dxa"/>
            <w:bottom w:w="0" w:type="dxa"/>
            <w:right w:w="108" w:type="dxa"/>
          </w:tblCellMar>
        </w:tblPrEx>
        <w:trPr>
          <w:trHeight w:val="557"/>
        </w:trPr>
        <w:tc>
          <w:tcPr>
            <w:tcW w:w="1725" w:type="dxa"/>
            <w:vAlign w:val="center"/>
          </w:tcPr>
          <w:p>
            <w:pPr>
              <w:widowControl/>
              <w:autoSpaceDE w:val="0"/>
              <w:autoSpaceDN w:val="0"/>
              <w:jc w:val="left"/>
              <w:textAlignment w:val="baseline"/>
              <w:rPr>
                <w:rFonts w:ascii="仿宋_GB2312" w:eastAsia="仿宋_GB2312"/>
                <w:color w:val="000000" w:themeColor="text1"/>
                <w:sz w:val="24"/>
                <w14:textFill>
                  <w14:solidFill>
                    <w14:schemeClr w14:val="tx1"/>
                  </w14:solidFill>
                </w14:textFill>
              </w:rPr>
            </w:pPr>
            <w:r>
              <w:rPr>
                <w:rFonts w:ascii="仿宋_GB2312" w:eastAsia="仿宋_GB2312" w:hint="eastAsia"/>
                <w:color w:val="000000" w:themeColor="text1"/>
                <w:sz w:val="24"/>
                <w14:textFill>
                  <w14:solidFill>
                    <w14:schemeClr w14:val="tx1"/>
                  </w14:solidFill>
                </w14:textFill>
              </w:rPr>
              <w:t>预算级次</w:t>
            </w:r>
          </w:p>
        </w:tc>
        <w:tc>
          <w:tcPr>
            <w:tcW w:w="7494" w:type="dxa"/>
            <w:vAlign w:val="center"/>
          </w:tcPr>
          <w:p>
            <w:pPr>
              <w:widowControl/>
              <w:autoSpaceDE w:val="0"/>
              <w:autoSpaceDN w:val="0"/>
              <w:jc w:val="center"/>
              <w:textAlignment w:val="baseline"/>
              <w:rPr>
                <w:rFonts w:ascii="仿宋_GB2312" w:eastAsia="仿宋" w:hint="eastAsia"/>
                <w:color w:val="000000" w:themeColor="text1"/>
                <w:sz w:val="24"/>
                <w:lang w:val="en-US" w:eastAsia="zh-CN"/>
                <w14:textFill>
                  <w14:solidFill>
                    <w14:schemeClr w14:val="tx1"/>
                  </w14:solidFill>
                </w14:textFill>
              </w:rPr>
            </w:pPr>
            <w:r>
              <w:rPr>
                <w:rFonts w:ascii="仿宋_GB2312" w:eastAsia="仿宋" w:hint="eastAsia"/>
                <w:color w:val="000000" w:themeColor="text1"/>
                <w:sz w:val="24"/>
                <w:lang w:val="en-US" w:eastAsia="zh-CN"/>
                <w14:textFill>
                  <w14:solidFill>
                    <w14:schemeClr w14:val="tx1"/>
                  </w14:solidFill>
                </w14:textFill>
              </w:rPr>
              <w:t>30 地（市）级</w:t>
            </w:r>
          </w:p>
        </w:tc>
      </w:tr>
    </w:tbl>
    <w:p>
      <w:pPr>
        <w:pStyle w:val="ListParagraph"/>
        <w:tabs>
          <w:tab w:val="left" w:pos="851"/>
        </w:tabs>
        <w:spacing w:line="360" w:lineRule="auto"/>
        <w:ind w:firstLine="480"/>
        <w:rPr>
          <w:rFonts w:eastAsia="楷体_GB2312" w:cs="楷体_GB2312"/>
          <w:color w:val="000000" w:themeColor="text1"/>
          <w:sz w:val="24"/>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说明：汇总的单位数根据填报系统中实际汇总的内部控制报告数量填列。如有使用单机版软件填报情况，还应当包括单机版软件中汇总的内部控制报告数量。</w:t>
      </w:r>
    </w:p>
    <w:p>
      <w:pPr>
        <w:pStyle w:val="ListParagraph"/>
        <w:tabs>
          <w:tab w:val="left" w:pos="851"/>
        </w:tabs>
        <w:spacing w:line="360" w:lineRule="auto"/>
        <w:ind w:firstLine="480"/>
        <w:rPr>
          <w:rFonts w:eastAsia="楷体_GB2312" w:cs="楷体_GB2312"/>
          <w:color w:val="000000" w:themeColor="text1"/>
          <w:sz w:val="24"/>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预算级次按单位预算分级管理的级次选择填列。</w:t>
      </w:r>
    </w:p>
    <w:p>
      <w:pPr>
        <w:tabs>
          <w:tab w:val="left" w:pos="851"/>
        </w:tabs>
        <w:spacing w:after="156" w:afterLines="50" w:line="360" w:lineRule="auto"/>
        <w:ind w:firstLine="752"/>
        <w:jc w:val="center"/>
        <w:rPr>
          <w:rFonts w:ascii="黑体" w:eastAsia="黑体" w:cs="方正小标宋简体"/>
          <w:color w:val="000000" w:themeColor="text1"/>
          <w:spacing w:val="8"/>
          <w:sz w:val="36"/>
          <w:szCs w:val="36"/>
          <w14:textFill>
            <w14:solidFill>
              <w14:schemeClr w14:val="tx1"/>
            </w14:solidFill>
          </w14:textFill>
        </w:rPr>
      </w:pPr>
      <w:r>
        <w:rPr>
          <w:rFonts w:ascii="黑体" w:eastAsia="黑体" w:cs="方正小标宋简体" w:hint="eastAsia"/>
          <w:color w:val="000000" w:themeColor="text1"/>
          <w:spacing w:val="8"/>
          <w:sz w:val="36"/>
          <w:szCs w:val="36"/>
          <w14:textFill>
            <w14:solidFill>
              <w14:schemeClr w14:val="tx1"/>
            </w14:solidFill>
          </w14:textFill>
        </w:rPr>
        <w:t>二、单位层面内部控制汇总情况</w:t>
      </w:r>
    </w:p>
    <w:p>
      <w:pPr>
        <w:ind w:firstLine="512"/>
        <w:rPr>
          <w:rFonts w:eastAsia="仿宋_GB2312" w:cs="仿宋_GB2312"/>
          <w:color w:val="000000" w:themeColor="text1"/>
          <w:spacing w:val="-12"/>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（一）内部控制机构组成情况（单位数）</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1776"/>
        <w:gridCol w:w="2669"/>
        <w:gridCol w:w="1701"/>
        <w:gridCol w:w="307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702"/>
          <w:jc w:val="center"/>
        </w:trPr>
        <w:tc>
          <w:tcPr>
            <w:tcW w:w="1776" w:type="dxa"/>
            <w:vAlign w:val="center"/>
          </w:tcPr>
          <w:p>
            <w:pPr>
              <w:spacing w:line="320" w:lineRule="exact"/>
              <w:jc w:val="center"/>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单位是否成立内部控制领导小组</w:t>
            </w:r>
          </w:p>
        </w:tc>
        <w:tc>
          <w:tcPr>
            <w:tcW w:w="2669"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1709</w:t>
            </w:r>
          </w:p>
          <w:p>
            <w:pPr>
              <w:widowControl/>
              <w:jc w:val="left"/>
              <w:rPr>
                <w:rFonts w:ascii="楷体" w:eastAsia="仿宋" w:hAnsi="楷体"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243</w:t>
            </w:r>
          </w:p>
        </w:tc>
        <w:tc>
          <w:tcPr>
            <w:tcW w:w="1701" w:type="dxa"/>
            <w:vAlign w:val="center"/>
          </w:tcPr>
          <w:p>
            <w:pPr>
              <w:widowControl/>
              <w:jc w:val="left"/>
              <w:rPr>
                <w:rFonts w:ascii="楷体" w:eastAsia="楷体" w:hAnsi="楷体"/>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单位是否成立内部控制工作小组</w:t>
            </w:r>
          </w:p>
        </w:tc>
        <w:tc>
          <w:tcPr>
            <w:tcW w:w="3074"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1708</w:t>
            </w:r>
          </w:p>
          <w:p>
            <w:pPr>
              <w:widowControl/>
              <w:jc w:val="left"/>
              <w:rPr>
                <w:rFonts w:ascii="楷体" w:eastAsia="仿宋" w:hAnsi="楷体"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244</w:t>
            </w:r>
          </w:p>
        </w:tc>
      </w:tr>
      <w:tr>
        <w:tblPrEx>
          <w:tblW w:w="0" w:type="auto"/>
          <w:jc w:val="center"/>
          <w:tblLayout w:type="fixed"/>
          <w:tblCellMar>
            <w:top w:w="0" w:type="dxa"/>
            <w:left w:w="57" w:type="dxa"/>
            <w:bottom w:w="0" w:type="dxa"/>
            <w:right w:w="57" w:type="dxa"/>
          </w:tblCellMar>
        </w:tblPrEx>
        <w:trPr>
          <w:cantSplit/>
          <w:trHeight w:val="702"/>
          <w:jc w:val="center"/>
        </w:trPr>
        <w:tc>
          <w:tcPr>
            <w:tcW w:w="1776" w:type="dxa"/>
            <w:vAlign w:val="center"/>
          </w:tcPr>
          <w:p>
            <w:pPr>
              <w:spacing w:line="320" w:lineRule="exact"/>
              <w:jc w:val="center"/>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单位内部控制领导小组负责人为</w:t>
            </w:r>
          </w:p>
        </w:tc>
        <w:tc>
          <w:tcPr>
            <w:tcW w:w="7444" w:type="dxa"/>
            <w:gridSpan w:val="3"/>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单位负责人：</w:t>
            </w:r>
            <w:r>
              <w:rPr>
                <w:rFonts w:ascii="仿宋" w:eastAsia="仿宋" w:hAnsi="仿宋" w:cs="楷体_GB2312" w:hint="eastAsia"/>
                <w:color w:val="000000" w:themeColor="text1"/>
                <w:sz w:val="24"/>
                <w:lang w:eastAsia="zh-CN"/>
                <w14:textFill>
                  <w14:solidFill>
                    <w14:schemeClr w14:val="tx1"/>
                  </w14:solidFill>
                </w14:textFill>
              </w:rPr>
              <w:t>1582</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分管综合事务负责人：</w:t>
            </w:r>
            <w:r>
              <w:rPr>
                <w:rFonts w:ascii="仿宋" w:eastAsia="仿宋" w:hAnsi="仿宋" w:cs="楷体_GB2312" w:hint="eastAsia"/>
                <w:color w:val="000000" w:themeColor="text1"/>
                <w:sz w:val="24"/>
                <w:lang w:eastAsia="zh-CN"/>
                <w14:textFill>
                  <w14:solidFill>
                    <w14:schemeClr w14:val="tx1"/>
                  </w14:solidFill>
                </w14:textFill>
              </w:rPr>
              <w:t>15</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分管财务负责人：</w:t>
            </w:r>
            <w:r>
              <w:rPr>
                <w:rFonts w:ascii="仿宋" w:eastAsia="仿宋" w:hAnsi="仿宋" w:cs="楷体_GB2312" w:hint="eastAsia"/>
                <w:color w:val="000000" w:themeColor="text1"/>
                <w:sz w:val="24"/>
                <w:lang w:eastAsia="zh-CN"/>
                <w14:textFill>
                  <w14:solidFill>
                    <w14:schemeClr w14:val="tx1"/>
                  </w14:solidFill>
                </w14:textFill>
              </w:rPr>
              <w:t>104</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分管其他业务负责人：</w:t>
            </w:r>
            <w:r>
              <w:rPr>
                <w:rFonts w:ascii="仿宋" w:eastAsia="仿宋" w:hAnsi="仿宋" w:cs="楷体_GB2312" w:hint="eastAsia"/>
                <w:color w:val="000000" w:themeColor="text1"/>
                <w:sz w:val="24"/>
                <w:lang w:eastAsia="zh-CN"/>
                <w14:textFill>
                  <w14:solidFill>
                    <w14:schemeClr w14:val="tx1"/>
                  </w14:solidFill>
                </w14:textFill>
              </w:rPr>
              <w:t>8</w:t>
            </w:r>
          </w:p>
        </w:tc>
      </w:tr>
      <w:tr>
        <w:tblPrEx>
          <w:tblW w:w="0" w:type="auto"/>
          <w:jc w:val="center"/>
          <w:tblLayout w:type="fixed"/>
          <w:tblCellMar>
            <w:top w:w="0" w:type="dxa"/>
            <w:left w:w="57" w:type="dxa"/>
            <w:bottom w:w="0" w:type="dxa"/>
            <w:right w:w="57" w:type="dxa"/>
          </w:tblCellMar>
        </w:tblPrEx>
        <w:trPr>
          <w:cantSplit/>
          <w:trHeight w:val="659"/>
          <w:jc w:val="center"/>
        </w:trPr>
        <w:tc>
          <w:tcPr>
            <w:tcW w:w="1776" w:type="dxa"/>
            <w:vAlign w:val="center"/>
          </w:tcPr>
          <w:p>
            <w:pPr>
              <w:spacing w:line="320" w:lineRule="exact"/>
              <w:jc w:val="center"/>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内部控制建设牵头部门设在</w:t>
            </w:r>
          </w:p>
        </w:tc>
        <w:tc>
          <w:tcPr>
            <w:tcW w:w="7444" w:type="dxa"/>
            <w:gridSpan w:val="3"/>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行政管理部门：</w:t>
            </w:r>
            <w:r>
              <w:rPr>
                <w:rFonts w:ascii="仿宋" w:eastAsia="仿宋" w:hAnsi="仿宋" w:cs="楷体_GB2312" w:hint="eastAsia"/>
                <w:color w:val="000000" w:themeColor="text1"/>
                <w:sz w:val="24"/>
                <w:lang w:eastAsia="zh-CN"/>
                <w14:textFill>
                  <w14:solidFill>
                    <w14:schemeClr w14:val="tx1"/>
                  </w14:solidFill>
                </w14:textFill>
              </w:rPr>
              <w:t>698</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财务部门：</w:t>
            </w:r>
            <w:r>
              <w:rPr>
                <w:rFonts w:ascii="仿宋" w:eastAsia="仿宋" w:hAnsi="仿宋" w:cs="楷体_GB2312" w:hint="eastAsia"/>
                <w:color w:val="000000" w:themeColor="text1"/>
                <w:sz w:val="24"/>
                <w:lang w:eastAsia="zh-CN"/>
                <w14:textFill>
                  <w14:solidFill>
                    <w14:schemeClr w14:val="tx1"/>
                  </w14:solidFill>
                </w14:textFill>
              </w:rPr>
              <w:t>855</w:t>
            </w:r>
          </w:p>
          <w:p>
            <w:pPr>
              <w:widowControl/>
              <w:jc w:val="left"/>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内审部门：</w:t>
            </w:r>
            <w:r>
              <w:rPr>
                <w:rFonts w:ascii="仿宋" w:eastAsia="仿宋" w:hAnsi="仿宋" w:cs="楷体_GB2312" w:hint="eastAsia"/>
                <w:color w:val="000000" w:themeColor="text1"/>
                <w:sz w:val="24"/>
                <w:lang w:eastAsia="zh-CN"/>
                <w14:textFill>
                  <w14:solidFill>
                    <w14:schemeClr w14:val="tx1"/>
                  </w14:solidFill>
                </w14:textFill>
              </w:rPr>
              <w:t>37</w:t>
            </w:r>
            <w:r>
              <w:rPr>
                <w:rFonts w:ascii="仿宋" w:eastAsia="仿宋" w:hAnsi="仿宋" w:cs="楷体_GB2312"/>
                <w:color w:val="000000" w:themeColor="text1"/>
                <w:sz w:val="24"/>
                <w14:textFill>
                  <w14:solidFill>
                    <w14:schemeClr w14:val="tx1"/>
                  </w14:solidFill>
                </w14:textFill>
              </w:rPr>
              <w:t>;</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纪检监察部门：</w:t>
            </w:r>
            <w:r>
              <w:rPr>
                <w:rFonts w:ascii="仿宋" w:eastAsia="仿宋" w:hAnsi="仿宋" w:cs="楷体_GB2312" w:hint="eastAsia"/>
                <w:color w:val="000000" w:themeColor="text1"/>
                <w:sz w:val="24"/>
                <w:lang w:eastAsia="zh-CN"/>
                <w14:textFill>
                  <w14:solidFill>
                    <w14:schemeClr w14:val="tx1"/>
                  </w14:solidFill>
                </w14:textFill>
              </w:rPr>
              <w:t>8</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其他部门：</w:t>
            </w:r>
            <w:r>
              <w:rPr>
                <w:rFonts w:ascii="仿宋" w:eastAsia="仿宋" w:hAnsi="仿宋" w:cs="楷体_GB2312" w:hint="eastAsia"/>
                <w:color w:val="000000" w:themeColor="text1"/>
                <w:sz w:val="24"/>
                <w:lang w:eastAsia="zh-CN"/>
                <w14:textFill>
                  <w14:solidFill>
                    <w14:schemeClr w14:val="tx1"/>
                  </w14:solidFill>
                </w14:textFill>
              </w:rPr>
              <w:t>120</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未设置：</w:t>
            </w:r>
            <w:r>
              <w:rPr>
                <w:rFonts w:ascii="仿宋" w:eastAsia="仿宋" w:hAnsi="仿宋" w:cs="楷体_GB2312" w:hint="eastAsia"/>
                <w:color w:val="000000" w:themeColor="text1"/>
                <w:sz w:val="24"/>
                <w:lang w:eastAsia="zh-CN"/>
                <w14:textFill>
                  <w14:solidFill>
                    <w14:schemeClr w14:val="tx1"/>
                  </w14:solidFill>
                </w14:textFill>
              </w:rPr>
              <w:t>234</w:t>
            </w:r>
          </w:p>
        </w:tc>
      </w:tr>
      <w:tr>
        <w:tblPrEx>
          <w:tblW w:w="0" w:type="auto"/>
          <w:jc w:val="center"/>
          <w:tblLayout w:type="fixed"/>
          <w:tblCellMar>
            <w:top w:w="0" w:type="dxa"/>
            <w:left w:w="57" w:type="dxa"/>
            <w:bottom w:w="0" w:type="dxa"/>
            <w:right w:w="57" w:type="dxa"/>
          </w:tblCellMar>
        </w:tblPrEx>
        <w:trPr>
          <w:cantSplit/>
          <w:trHeight w:val="702"/>
          <w:jc w:val="center"/>
        </w:trPr>
        <w:tc>
          <w:tcPr>
            <w:tcW w:w="1776" w:type="dxa"/>
            <w:shd w:val="clear" w:color="auto" w:fill="FFFFFF"/>
            <w:vAlign w:val="center"/>
          </w:tcPr>
          <w:p>
            <w:pPr>
              <w:spacing w:line="320" w:lineRule="exact"/>
              <w:jc w:val="center"/>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内部控制评价与监督部门设在</w:t>
            </w:r>
          </w:p>
        </w:tc>
        <w:tc>
          <w:tcPr>
            <w:tcW w:w="7444" w:type="dxa"/>
            <w:gridSpan w:val="3"/>
            <w:shd w:val="clear" w:color="auto" w:fill="FFFFFF"/>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行政管理部门：</w:t>
            </w:r>
            <w:r>
              <w:rPr>
                <w:rFonts w:ascii="仿宋" w:eastAsia="仿宋" w:hAnsi="仿宋" w:cs="楷体_GB2312" w:hint="eastAsia"/>
                <w:color w:val="000000" w:themeColor="text1"/>
                <w:sz w:val="24"/>
                <w:lang w:eastAsia="zh-CN"/>
                <w14:textFill>
                  <w14:solidFill>
                    <w14:schemeClr w14:val="tx1"/>
                  </w14:solidFill>
                </w14:textFill>
              </w:rPr>
              <w:t>700</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财务部门：</w:t>
            </w:r>
            <w:r>
              <w:rPr>
                <w:rFonts w:ascii="仿宋" w:eastAsia="仿宋" w:hAnsi="仿宋" w:cs="楷体_GB2312" w:hint="eastAsia"/>
                <w:color w:val="000000" w:themeColor="text1"/>
                <w:sz w:val="24"/>
                <w:lang w:eastAsia="zh-CN"/>
                <w14:textFill>
                  <w14:solidFill>
                    <w14:schemeClr w14:val="tx1"/>
                  </w14:solidFill>
                </w14:textFill>
              </w:rPr>
              <w:t>325</w:t>
            </w:r>
          </w:p>
          <w:p>
            <w:pPr>
              <w:widowControl/>
              <w:jc w:val="left"/>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内审部门：</w:t>
            </w:r>
            <w:r>
              <w:rPr>
                <w:rFonts w:ascii="仿宋" w:eastAsia="仿宋" w:hAnsi="仿宋" w:cs="楷体_GB2312" w:hint="eastAsia"/>
                <w:color w:val="000000" w:themeColor="text1"/>
                <w:sz w:val="24"/>
                <w:lang w:eastAsia="zh-CN"/>
                <w14:textFill>
                  <w14:solidFill>
                    <w14:schemeClr w14:val="tx1"/>
                  </w14:solidFill>
                </w14:textFill>
              </w:rPr>
              <w:t>234</w:t>
            </w:r>
            <w:r>
              <w:rPr>
                <w:rFonts w:ascii="仿宋" w:eastAsia="仿宋" w:hAnsi="仿宋" w:cs="楷体_GB2312"/>
                <w:color w:val="000000" w:themeColor="text1"/>
                <w:sz w:val="24"/>
                <w14:textFill>
                  <w14:solidFill>
                    <w14:schemeClr w14:val="tx1"/>
                  </w14:solidFill>
                </w14:textFill>
              </w:rPr>
              <w:t>;</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纪检监察部门：</w:t>
            </w:r>
            <w:r>
              <w:rPr>
                <w:rFonts w:ascii="仿宋" w:eastAsia="仿宋" w:hAnsi="仿宋" w:cs="楷体_GB2312" w:hint="eastAsia"/>
                <w:color w:val="000000" w:themeColor="text1"/>
                <w:sz w:val="24"/>
                <w:lang w:eastAsia="zh-CN"/>
                <w14:textFill>
                  <w14:solidFill>
                    <w14:schemeClr w14:val="tx1"/>
                  </w14:solidFill>
                </w14:textFill>
              </w:rPr>
              <w:t>189</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其他部门：</w:t>
            </w:r>
            <w:r>
              <w:rPr>
                <w:rFonts w:ascii="仿宋" w:eastAsia="仿宋" w:hAnsi="仿宋" w:cs="楷体_GB2312" w:hint="eastAsia"/>
                <w:color w:val="000000" w:themeColor="text1"/>
                <w:sz w:val="24"/>
                <w:lang w:eastAsia="zh-CN"/>
                <w14:textFill>
                  <w14:solidFill>
                    <w14:schemeClr w14:val="tx1"/>
                  </w14:solidFill>
                </w14:textFill>
              </w:rPr>
              <w:t>220</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未设置：</w:t>
            </w:r>
            <w:r>
              <w:rPr>
                <w:rFonts w:ascii="仿宋" w:eastAsia="仿宋" w:hAnsi="仿宋" w:cs="楷体_GB2312" w:hint="eastAsia"/>
                <w:color w:val="000000" w:themeColor="text1"/>
                <w:sz w:val="24"/>
                <w:lang w:eastAsia="zh-CN"/>
                <w14:textFill>
                  <w14:solidFill>
                    <w14:schemeClr w14:val="tx1"/>
                  </w14:solidFill>
                </w14:textFill>
              </w:rPr>
              <w:t>284</w:t>
            </w:r>
          </w:p>
        </w:tc>
      </w:tr>
    </w:tbl>
    <w:p>
      <w:pPr>
        <w:ind w:firstLine="512"/>
        <w:rPr>
          <w:rFonts w:eastAsia="仿宋_GB2312" w:cs="仿宋_GB2312"/>
          <w:color w:val="000000" w:themeColor="text1"/>
          <w:spacing w:val="-12"/>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（二）内部控制机构运行情况（单位数）</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1776"/>
        <w:gridCol w:w="2827"/>
        <w:gridCol w:w="2303"/>
        <w:gridCol w:w="2314"/>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702"/>
          <w:jc w:val="center"/>
        </w:trPr>
        <w:tc>
          <w:tcPr>
            <w:tcW w:w="1776" w:type="dxa"/>
            <w:vAlign w:val="center"/>
          </w:tcPr>
          <w:p>
            <w:pPr>
              <w:widowControl/>
              <w:jc w:val="left"/>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年度单位召开内部控制领导小组会议次数</w:t>
            </w:r>
          </w:p>
        </w:tc>
        <w:tc>
          <w:tcPr>
            <w:tcW w:w="2827"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汇总数：</w:t>
            </w:r>
            <w:r>
              <w:rPr>
                <w:rFonts w:ascii="仿宋" w:eastAsia="仿宋" w:hAnsi="仿宋" w:cs="楷体_GB2312" w:hint="eastAsia"/>
                <w:color w:val="000000" w:themeColor="text1"/>
                <w:sz w:val="24"/>
                <w:lang w:eastAsia="zh-CN"/>
                <w14:textFill>
                  <w14:solidFill>
                    <w14:schemeClr w14:val="tx1"/>
                  </w14:solidFill>
                </w14:textFill>
              </w:rPr>
              <w:t>4304</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2</w:t>
            </w:r>
          </w:p>
        </w:tc>
        <w:tc>
          <w:tcPr>
            <w:tcW w:w="2303" w:type="dxa"/>
            <w:vAlign w:val="center"/>
          </w:tcPr>
          <w:p>
            <w:pPr>
              <w:widowControl/>
              <w:jc w:val="left"/>
              <w:rPr>
                <w:rFonts w:eastAsia="楷体_GB2312" w:cs="楷体_GB2312"/>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年度单位开展内部控制相关培训次数</w:t>
            </w:r>
          </w:p>
        </w:tc>
        <w:tc>
          <w:tcPr>
            <w:tcW w:w="2314"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汇总数：</w:t>
            </w:r>
            <w:r>
              <w:rPr>
                <w:rFonts w:ascii="仿宋" w:eastAsia="仿宋" w:hAnsi="仿宋" w:cs="楷体_GB2312" w:hint="eastAsia"/>
                <w:color w:val="000000" w:themeColor="text1"/>
                <w:sz w:val="24"/>
                <w:lang w:eastAsia="zh-CN"/>
                <w14:textFill>
                  <w14:solidFill>
                    <w14:schemeClr w14:val="tx1"/>
                  </w14:solidFill>
                </w14:textFill>
              </w:rPr>
              <w:t>3007</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1</w:t>
            </w:r>
          </w:p>
        </w:tc>
      </w:tr>
      <w:tr>
        <w:tblPrEx>
          <w:tblW w:w="0" w:type="auto"/>
          <w:jc w:val="center"/>
          <w:tblLayout w:type="fixed"/>
          <w:tblCellMar>
            <w:top w:w="0" w:type="dxa"/>
            <w:left w:w="57" w:type="dxa"/>
            <w:bottom w:w="0" w:type="dxa"/>
            <w:right w:w="57" w:type="dxa"/>
          </w:tblCellMar>
        </w:tblPrEx>
        <w:trPr>
          <w:cantSplit/>
          <w:trHeight w:val="1303"/>
          <w:jc w:val="center"/>
        </w:trPr>
        <w:tc>
          <w:tcPr>
            <w:tcW w:w="1776" w:type="dxa"/>
            <w:tcBorders>
              <w:right w:val="single" w:sz="4" w:space="0" w:color="auto"/>
            </w:tcBorders>
            <w:vAlign w:val="center"/>
          </w:tcPr>
          <w:p>
            <w:pPr>
              <w:widowControl/>
              <w:jc w:val="left"/>
              <w:rPr>
                <w:color w:val="000000" w:themeColor="text1"/>
                <w:sz w:val="24"/>
                <w14:textFill>
                  <w14:solidFill>
                    <w14:schemeClr w14:val="tx1"/>
                  </w14:solidFill>
                </w14:textFill>
              </w:rPr>
            </w:pPr>
            <w:bookmarkStart w:id="1" w:name="_Hlk25680435"/>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年度单位层面内部控制风险评估覆盖情况</w:t>
            </w:r>
          </w:p>
        </w:tc>
        <w:tc>
          <w:tcPr>
            <w:tcW w:w="7444"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组织架构：</w:t>
            </w:r>
            <w:r>
              <w:rPr>
                <w:rFonts w:ascii="仿宋" w:eastAsia="仿宋" w:hAnsi="仿宋" w:cs="楷体_GB2312" w:hint="eastAsia"/>
                <w:color w:val="000000" w:themeColor="text1"/>
                <w:sz w:val="24"/>
                <w:lang w:eastAsia="zh-CN"/>
                <w14:textFill>
                  <w14:solidFill>
                    <w14:schemeClr w14:val="tx1"/>
                  </w14:solidFill>
                </w14:textFill>
              </w:rPr>
              <w:t>1510</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运行机制：</w:t>
            </w:r>
            <w:r>
              <w:rPr>
                <w:rFonts w:ascii="仿宋" w:eastAsia="仿宋" w:hAnsi="仿宋" w:cs="楷体_GB2312" w:hint="eastAsia"/>
                <w:color w:val="000000" w:themeColor="text1"/>
                <w:sz w:val="24"/>
                <w:lang w:eastAsia="zh-CN"/>
                <w14:textFill>
                  <w14:solidFill>
                    <w14:schemeClr w14:val="tx1"/>
                  </w14:solidFill>
                </w14:textFill>
              </w:rPr>
              <w:t>1547</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关键岗位：</w:t>
            </w:r>
            <w:r>
              <w:rPr>
                <w:rFonts w:ascii="仿宋" w:eastAsia="仿宋" w:hAnsi="仿宋" w:cs="楷体_GB2312" w:hint="eastAsia"/>
                <w:color w:val="000000" w:themeColor="text1"/>
                <w:sz w:val="24"/>
                <w:lang w:eastAsia="zh-CN"/>
                <w14:textFill>
                  <w14:solidFill>
                    <w14:schemeClr w14:val="tx1"/>
                  </w14:solidFill>
                </w14:textFill>
              </w:rPr>
              <w:t>1534</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制度体系：</w:t>
            </w:r>
            <w:r>
              <w:rPr>
                <w:rFonts w:ascii="仿宋" w:eastAsia="仿宋" w:hAnsi="仿宋" w:cs="楷体_GB2312" w:hint="eastAsia"/>
                <w:color w:val="000000" w:themeColor="text1"/>
                <w:sz w:val="24"/>
                <w:lang w:eastAsia="zh-CN"/>
                <w14:textFill>
                  <w14:solidFill>
                    <w14:schemeClr w14:val="tx1"/>
                  </w14:solidFill>
                </w14:textFill>
              </w:rPr>
              <w:t>1567</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财务信息：</w:t>
            </w:r>
            <w:r>
              <w:rPr>
                <w:rFonts w:ascii="仿宋" w:eastAsia="仿宋" w:hAnsi="仿宋" w:cs="楷体_GB2312" w:hint="eastAsia"/>
                <w:color w:val="000000" w:themeColor="text1"/>
                <w:sz w:val="24"/>
                <w:lang w:eastAsia="zh-CN"/>
                <w14:textFill>
                  <w14:solidFill>
                    <w14:schemeClr w14:val="tx1"/>
                  </w14:solidFill>
                </w14:textFill>
              </w:rPr>
              <w:t>1271</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信息系统：</w:t>
            </w:r>
            <w:r>
              <w:rPr>
                <w:rFonts w:ascii="仿宋" w:eastAsia="仿宋" w:hAnsi="仿宋" w:cs="楷体_GB2312" w:hint="eastAsia"/>
                <w:color w:val="000000" w:themeColor="text1"/>
                <w:sz w:val="24"/>
                <w:lang w:eastAsia="zh-CN"/>
                <w14:textFill>
                  <w14:solidFill>
                    <w14:schemeClr w14:val="tx1"/>
                  </w14:solidFill>
                </w14:textFill>
              </w:rPr>
              <w:t>1076</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未评估：</w:t>
            </w:r>
            <w:r>
              <w:rPr>
                <w:rFonts w:ascii="仿宋" w:eastAsia="仿宋" w:hAnsi="仿宋" w:cs="楷体_GB2312" w:hint="eastAsia"/>
                <w:color w:val="000000" w:themeColor="text1"/>
                <w:sz w:val="24"/>
                <w:lang w:eastAsia="zh-CN"/>
                <w14:textFill>
                  <w14:solidFill>
                    <w14:schemeClr w14:val="tx1"/>
                  </w14:solidFill>
                </w14:textFill>
              </w:rPr>
              <w:t>282</w:t>
            </w:r>
          </w:p>
        </w:tc>
      </w:tr>
      <w:tr>
        <w:tblPrEx>
          <w:tblW w:w="0" w:type="auto"/>
          <w:jc w:val="center"/>
          <w:tblLayout w:type="fixed"/>
          <w:tblCellMar>
            <w:top w:w="0" w:type="dxa"/>
            <w:left w:w="57" w:type="dxa"/>
            <w:bottom w:w="0" w:type="dxa"/>
            <w:right w:w="57" w:type="dxa"/>
          </w:tblCellMar>
        </w:tblPrEx>
        <w:trPr>
          <w:cantSplit/>
          <w:trHeight w:val="950"/>
          <w:jc w:val="center"/>
        </w:trPr>
        <w:tc>
          <w:tcPr>
            <w:tcW w:w="1776" w:type="dxa"/>
            <w:vAlign w:val="center"/>
          </w:tcPr>
          <w:p>
            <w:pPr>
              <w:widowControl/>
              <w:rPr>
                <w:color w:val="000000" w:themeColor="text1"/>
                <w:sz w:val="24"/>
                <w14:textFill>
                  <w14:solidFill>
                    <w14:schemeClr w14:val="tx1"/>
                  </w14:solidFill>
                </w14:textFill>
              </w:rPr>
            </w:pPr>
            <w:bookmarkEnd w:id="1"/>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年度单位是否开展内部控制评价</w:t>
            </w:r>
          </w:p>
        </w:tc>
        <w:tc>
          <w:tcPr>
            <w:tcW w:w="7444" w:type="dxa"/>
            <w:gridSpan w:val="3"/>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1604</w:t>
            </w:r>
          </w:p>
          <w:p>
            <w:pPr>
              <w:widowControl/>
              <w:rPr>
                <w:rFonts w:eastAsia="仿宋"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348</w:t>
            </w:r>
          </w:p>
        </w:tc>
      </w:tr>
      <w:tr>
        <w:tblPrEx>
          <w:tblW w:w="0" w:type="auto"/>
          <w:jc w:val="center"/>
          <w:tblLayout w:type="fixed"/>
          <w:tblCellMar>
            <w:top w:w="0" w:type="dxa"/>
            <w:left w:w="57" w:type="dxa"/>
            <w:bottom w:w="0" w:type="dxa"/>
            <w:right w:w="57" w:type="dxa"/>
          </w:tblCellMar>
        </w:tblPrEx>
        <w:trPr>
          <w:cantSplit/>
          <w:trHeight w:val="942"/>
          <w:jc w:val="center"/>
        </w:trPr>
        <w:tc>
          <w:tcPr>
            <w:tcW w:w="1776" w:type="dxa"/>
            <w:vAlign w:val="center"/>
          </w:tcPr>
          <w:p>
            <w:pPr>
              <w:widowControl/>
              <w:jc w:val="left"/>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年度单位内部控制评价结果应用领域</w:t>
            </w:r>
          </w:p>
        </w:tc>
        <w:tc>
          <w:tcPr>
            <w:tcW w:w="7444" w:type="dxa"/>
            <w:gridSpan w:val="3"/>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作为完善内部管理制度的依据：</w:t>
            </w:r>
            <w:r>
              <w:rPr>
                <w:rFonts w:ascii="仿宋" w:eastAsia="仿宋" w:hAnsi="仿宋" w:cs="楷体_GB2312" w:hint="eastAsia"/>
                <w:color w:val="000000" w:themeColor="text1"/>
                <w:sz w:val="24"/>
                <w:lang w:eastAsia="zh-CN"/>
                <w14:textFill>
                  <w14:solidFill>
                    <w14:schemeClr w14:val="tx1"/>
                  </w14:solidFill>
                </w14:textFill>
              </w:rPr>
              <w:t>1547</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作为绩效管理的依据：</w:t>
            </w:r>
            <w:r>
              <w:rPr>
                <w:rFonts w:ascii="仿宋" w:eastAsia="仿宋" w:hAnsi="仿宋" w:cs="楷体_GB2312" w:hint="eastAsia"/>
                <w:color w:val="000000" w:themeColor="text1"/>
                <w:sz w:val="24"/>
                <w:lang w:eastAsia="zh-CN"/>
                <w14:textFill>
                  <w14:solidFill>
                    <w14:schemeClr w14:val="tx1"/>
                  </w14:solidFill>
                </w14:textFill>
              </w:rPr>
              <w:t>1245</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作为监督问责的参考依据：</w:t>
            </w:r>
            <w:r>
              <w:rPr>
                <w:rFonts w:ascii="仿宋" w:eastAsia="仿宋" w:hAnsi="仿宋" w:cs="楷体_GB2312" w:hint="eastAsia"/>
                <w:color w:val="000000" w:themeColor="text1"/>
                <w:sz w:val="24"/>
                <w:lang w:eastAsia="zh-CN"/>
                <w14:textFill>
                  <w14:solidFill>
                    <w14:schemeClr w14:val="tx1"/>
                  </w14:solidFill>
                </w14:textFill>
              </w:rPr>
              <w:t>1198</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作为领导干部选拔任用的参考：</w:t>
            </w:r>
            <w:r>
              <w:rPr>
                <w:rFonts w:ascii="仿宋" w:eastAsia="仿宋" w:hAnsi="仿宋" w:cs="楷体_GB2312" w:hint="eastAsia"/>
                <w:color w:val="000000" w:themeColor="text1"/>
                <w:sz w:val="24"/>
                <w:lang w:eastAsia="zh-CN"/>
                <w14:textFill>
                  <w14:solidFill>
                    <w14:schemeClr w14:val="tx1"/>
                  </w14:solidFill>
                </w14:textFill>
              </w:rPr>
              <w:t>1055</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其他：</w:t>
            </w:r>
            <w:r>
              <w:rPr>
                <w:rFonts w:ascii="仿宋" w:eastAsia="仿宋" w:hAnsi="仿宋" w:cs="楷体_GB2312" w:hint="eastAsia"/>
                <w:color w:val="000000" w:themeColor="text1"/>
                <w:sz w:val="24"/>
                <w:lang w:eastAsia="zh-CN"/>
                <w14:textFill>
                  <w14:solidFill>
                    <w14:schemeClr w14:val="tx1"/>
                  </w14:solidFill>
                </w14:textFill>
              </w:rPr>
              <w:t>474</w:t>
            </w:r>
          </w:p>
          <w:p>
            <w:pPr>
              <w:widowControl/>
              <w:jc w:val="left"/>
              <w:rPr>
                <w:rFonts w:ascii="楷体" w:eastAsia="仿宋" w:hAnsi="楷体"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未应用：</w:t>
            </w:r>
            <w:r>
              <w:rPr>
                <w:rFonts w:ascii="仿宋" w:eastAsia="仿宋" w:hAnsi="仿宋" w:cs="楷体_GB2312" w:hint="eastAsia"/>
                <w:color w:val="000000" w:themeColor="text1"/>
                <w:sz w:val="24"/>
                <w:lang w:eastAsia="zh-CN"/>
                <w14:textFill>
                  <w14:solidFill>
                    <w14:schemeClr w14:val="tx1"/>
                  </w14:solidFill>
                </w14:textFill>
              </w:rPr>
              <w:t>381</w:t>
            </w:r>
          </w:p>
        </w:tc>
      </w:tr>
    </w:tbl>
    <w:p>
      <w:pPr>
        <w:ind w:firstLine="512"/>
        <w:rPr>
          <w:rFonts w:eastAsia="仿宋_GB2312" w:cs="仿宋_GB2312"/>
          <w:color w:val="000000" w:themeColor="text1"/>
          <w:spacing w:val="-12"/>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（三）规范权力运行情况（单位数）</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6249"/>
        <w:gridCol w:w="29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509"/>
          <w:jc w:val="center"/>
        </w:trPr>
        <w:tc>
          <w:tcPr>
            <w:tcW w:w="6249" w:type="dxa"/>
            <w:vAlign w:val="center"/>
          </w:tcPr>
          <w:p>
            <w:pPr>
              <w:widowControl/>
              <w:jc w:val="left"/>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单位是否建立健全分事行权、分岗设权、分级授权机制</w:t>
            </w:r>
          </w:p>
        </w:tc>
        <w:tc>
          <w:tcPr>
            <w:tcW w:w="2971"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1891</w:t>
            </w:r>
          </w:p>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61</w:t>
            </w:r>
          </w:p>
        </w:tc>
      </w:tr>
      <w:tr>
        <w:tblPrEx>
          <w:tblW w:w="0" w:type="auto"/>
          <w:jc w:val="center"/>
          <w:tblLayout w:type="fixed"/>
          <w:tblCellMar>
            <w:top w:w="0" w:type="dxa"/>
            <w:left w:w="57" w:type="dxa"/>
            <w:bottom w:w="0" w:type="dxa"/>
            <w:right w:w="57" w:type="dxa"/>
          </w:tblCellMar>
        </w:tblPrEx>
        <w:trPr>
          <w:cantSplit/>
          <w:trHeight w:val="545"/>
          <w:jc w:val="center"/>
        </w:trPr>
        <w:tc>
          <w:tcPr>
            <w:tcW w:w="6249" w:type="dxa"/>
            <w:vAlign w:val="center"/>
          </w:tcPr>
          <w:p>
            <w:pPr>
              <w:widowControl/>
              <w:jc w:val="left"/>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单位是否建立关键岗位干部交流或定期轮岗机制，并明确不具备条件轮岗的实行专项审计。</w:t>
            </w:r>
          </w:p>
        </w:tc>
        <w:tc>
          <w:tcPr>
            <w:tcW w:w="2971"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1456</w:t>
            </w:r>
          </w:p>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496</w:t>
            </w:r>
          </w:p>
        </w:tc>
      </w:tr>
      <w:tr>
        <w:tblPrEx>
          <w:tblW w:w="0" w:type="auto"/>
          <w:jc w:val="center"/>
          <w:tblLayout w:type="fixed"/>
          <w:tblCellMar>
            <w:top w:w="0" w:type="dxa"/>
            <w:left w:w="57" w:type="dxa"/>
            <w:bottom w:w="0" w:type="dxa"/>
            <w:right w:w="57" w:type="dxa"/>
          </w:tblCellMar>
        </w:tblPrEx>
        <w:trPr>
          <w:cantSplit/>
          <w:trHeight w:val="561"/>
          <w:jc w:val="center"/>
        </w:trPr>
        <w:tc>
          <w:tcPr>
            <w:tcW w:w="6249" w:type="dxa"/>
            <w:vAlign w:val="center"/>
          </w:tcPr>
          <w:p>
            <w:pPr>
              <w:widowControl/>
              <w:jc w:val="left"/>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单位是否针对“三重一大”事项建立集体议事决策机制</w:t>
            </w:r>
          </w:p>
        </w:tc>
        <w:tc>
          <w:tcPr>
            <w:tcW w:w="2971"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1892</w:t>
            </w:r>
          </w:p>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60</w:t>
            </w:r>
          </w:p>
        </w:tc>
      </w:tr>
    </w:tbl>
    <w:p>
      <w:pPr>
        <w:ind w:firstLine="480"/>
        <w:rPr>
          <w:color w:val="000000" w:themeColor="text1"/>
          <w14:textFill>
            <w14:solidFill>
              <w14:schemeClr w14:val="tx1"/>
            </w14:solidFill>
          </w14:textFill>
        </w:rPr>
      </w:pPr>
      <w:r>
        <w:rPr>
          <w:rFonts w:ascii="宋体" w:hAnsi="宋体" w:hint="eastAsia"/>
          <w:color w:val="000000" w:themeColor="text1"/>
          <w:sz w:val="24"/>
          <w14:textFill>
            <w14:solidFill>
              <w14:schemeClr w14:val="tx1"/>
            </w14:solidFill>
          </w14:textFill>
        </w:rPr>
        <w:t>（四）</w:t>
      </w:r>
      <w:r>
        <w:rPr>
          <w:rFonts w:eastAsia="仿宋_GB2312" w:cs="仿宋_GB2312" w:hint="eastAsia"/>
          <w:color w:val="000000" w:themeColor="text1"/>
          <w:spacing w:val="-12"/>
          <w:sz w:val="28"/>
          <w:szCs w:val="28"/>
          <w14:textFill>
            <w14:solidFill>
              <w14:schemeClr w14:val="tx1"/>
            </w14:solidFill>
          </w14:textFill>
        </w:rPr>
        <w:t>内部控制相关问题整改情况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2772"/>
        <w:gridCol w:w="644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912"/>
          <w:jc w:val="center"/>
        </w:trPr>
        <w:tc>
          <w:tcPr>
            <w:tcW w:w="2772" w:type="dxa"/>
            <w:vAlign w:val="center"/>
          </w:tcPr>
          <w:p>
            <w:pPr>
              <w:spacing w:line="320" w:lineRule="exact"/>
              <w:jc w:val="center"/>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年度单位内部控制评价发现问题整改情况</w:t>
            </w:r>
          </w:p>
        </w:tc>
        <w:tc>
          <w:tcPr>
            <w:tcW w:w="6448"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问题总数：</w:t>
            </w:r>
            <w:r>
              <w:rPr>
                <w:rFonts w:ascii="仿宋" w:eastAsia="仿宋" w:hAnsi="仿宋" w:cs="楷体_GB2312" w:hint="eastAsia"/>
                <w:color w:val="000000" w:themeColor="text1"/>
                <w:sz w:val="24"/>
                <w:lang w:eastAsia="zh-CN"/>
                <w14:textFill>
                  <w14:solidFill>
                    <w14:schemeClr w14:val="tx1"/>
                  </w14:solidFill>
                </w14:textFill>
              </w:rPr>
              <w:t>720</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0.88</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已完成整改问题数量：</w:t>
            </w:r>
            <w:r>
              <w:rPr>
                <w:rFonts w:ascii="仿宋" w:eastAsia="仿宋" w:hAnsi="仿宋" w:cs="楷体_GB2312" w:hint="eastAsia"/>
                <w:color w:val="000000" w:themeColor="text1"/>
                <w:sz w:val="24"/>
                <w:lang w:eastAsia="zh-CN"/>
                <w14:textFill>
                  <w14:solidFill>
                    <w14:schemeClr w14:val="tx1"/>
                  </w14:solidFill>
                </w14:textFill>
              </w:rPr>
              <w:t>574</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0.72</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正在进行整改问题数量：</w:t>
            </w:r>
            <w:r>
              <w:rPr>
                <w:rFonts w:ascii="仿宋" w:eastAsia="仿宋" w:hAnsi="仿宋" w:cs="楷体_GB2312" w:hint="eastAsia"/>
                <w:color w:val="000000" w:themeColor="text1"/>
                <w:sz w:val="24"/>
                <w:lang w:eastAsia="zh-CN"/>
                <w14:textFill>
                  <w14:solidFill>
                    <w14:schemeClr w14:val="tx1"/>
                  </w14:solidFill>
                </w14:textFill>
              </w:rPr>
              <w:t>139</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0.20</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未整改问题数量：</w:t>
            </w:r>
            <w:r>
              <w:rPr>
                <w:rFonts w:ascii="仿宋" w:eastAsia="仿宋" w:hAnsi="仿宋" w:cs="楷体_GB2312" w:hint="eastAsia"/>
                <w:color w:val="000000" w:themeColor="text1"/>
                <w:sz w:val="24"/>
                <w:lang w:eastAsia="zh-CN"/>
                <w14:textFill>
                  <w14:solidFill>
                    <w14:schemeClr w14:val="tx1"/>
                  </w14:solidFill>
                </w14:textFill>
              </w:rPr>
              <w:t>7</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0.01</w:t>
            </w:r>
          </w:p>
        </w:tc>
      </w:tr>
      <w:tr>
        <w:tblPrEx>
          <w:tblW w:w="0" w:type="auto"/>
          <w:jc w:val="center"/>
          <w:tblLayout w:type="fixed"/>
          <w:tblCellMar>
            <w:top w:w="0" w:type="dxa"/>
            <w:left w:w="57" w:type="dxa"/>
            <w:bottom w:w="0" w:type="dxa"/>
            <w:right w:w="57" w:type="dxa"/>
          </w:tblCellMar>
        </w:tblPrEx>
        <w:trPr>
          <w:cantSplit/>
          <w:trHeight w:val="984"/>
          <w:jc w:val="center"/>
        </w:trPr>
        <w:tc>
          <w:tcPr>
            <w:tcW w:w="2772" w:type="dxa"/>
            <w:vAlign w:val="center"/>
          </w:tcPr>
          <w:p>
            <w:pPr>
              <w:spacing w:line="320" w:lineRule="exact"/>
              <w:jc w:val="center"/>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年度单位巡视发现与内部控制相关问题整改情况</w:t>
            </w:r>
          </w:p>
        </w:tc>
        <w:tc>
          <w:tcPr>
            <w:tcW w:w="6448"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问题总数：</w:t>
            </w:r>
            <w:r>
              <w:rPr>
                <w:rFonts w:ascii="仿宋" w:eastAsia="仿宋" w:hAnsi="仿宋" w:cs="楷体_GB2312" w:hint="eastAsia"/>
                <w:color w:val="000000" w:themeColor="text1"/>
                <w:sz w:val="24"/>
                <w:lang w:eastAsia="zh-CN"/>
                <w14:textFill>
                  <w14:solidFill>
                    <w14:schemeClr w14:val="tx1"/>
                  </w14:solidFill>
                </w14:textFill>
              </w:rPr>
              <w:t>754</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2.76</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已完成整改问题数量：</w:t>
            </w:r>
            <w:r>
              <w:rPr>
                <w:rFonts w:ascii="仿宋" w:eastAsia="仿宋" w:hAnsi="仿宋" w:cs="楷体_GB2312" w:hint="eastAsia"/>
                <w:color w:val="000000" w:themeColor="text1"/>
                <w:sz w:val="24"/>
                <w:lang w:eastAsia="zh-CN"/>
                <w14:textFill>
                  <w14:solidFill>
                    <w14:schemeClr w14:val="tx1"/>
                  </w14:solidFill>
                </w14:textFill>
              </w:rPr>
              <w:t>541</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2.06</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正在进行整改问题数量：</w:t>
            </w:r>
            <w:r>
              <w:rPr>
                <w:rFonts w:ascii="仿宋" w:eastAsia="仿宋" w:hAnsi="仿宋" w:cs="楷体_GB2312" w:hint="eastAsia"/>
                <w:color w:val="000000" w:themeColor="text1"/>
                <w:sz w:val="24"/>
                <w:lang w:eastAsia="zh-CN"/>
                <w14:textFill>
                  <w14:solidFill>
                    <w14:schemeClr w14:val="tx1"/>
                  </w14:solidFill>
                </w14:textFill>
              </w:rPr>
              <w:t>212</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1.01</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未整改问题数量：</w:t>
            </w:r>
            <w:r>
              <w:rPr>
                <w:rFonts w:ascii="仿宋" w:eastAsia="仿宋" w:hAnsi="仿宋" w:cs="楷体_GB2312" w:hint="eastAsia"/>
                <w:color w:val="000000" w:themeColor="text1"/>
                <w:sz w:val="24"/>
                <w:lang w:eastAsia="zh-CN"/>
                <w14:textFill>
                  <w14:solidFill>
                    <w14:schemeClr w14:val="tx1"/>
                  </w14:solidFill>
                </w14:textFill>
              </w:rPr>
              <w:t>1</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0.01</w:t>
            </w:r>
          </w:p>
        </w:tc>
      </w:tr>
      <w:tr>
        <w:tblPrEx>
          <w:tblW w:w="0" w:type="auto"/>
          <w:jc w:val="center"/>
          <w:tblLayout w:type="fixed"/>
          <w:tblCellMar>
            <w:top w:w="0" w:type="dxa"/>
            <w:left w:w="57" w:type="dxa"/>
            <w:bottom w:w="0" w:type="dxa"/>
            <w:right w:w="57" w:type="dxa"/>
          </w:tblCellMar>
        </w:tblPrEx>
        <w:trPr>
          <w:cantSplit/>
          <w:trHeight w:val="984"/>
          <w:jc w:val="center"/>
        </w:trPr>
        <w:tc>
          <w:tcPr>
            <w:tcW w:w="2772" w:type="dxa"/>
            <w:vAlign w:val="center"/>
          </w:tcPr>
          <w:p>
            <w:pPr>
              <w:spacing w:line="320" w:lineRule="exact"/>
              <w:jc w:val="center"/>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年度单位纪检监察发现与内部控制相关问题整改情况</w:t>
            </w:r>
          </w:p>
        </w:tc>
        <w:tc>
          <w:tcPr>
            <w:tcW w:w="6448"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问题总数：</w:t>
            </w:r>
            <w:r>
              <w:rPr>
                <w:rFonts w:ascii="仿宋" w:eastAsia="仿宋" w:hAnsi="仿宋" w:cs="楷体_GB2312" w:hint="eastAsia"/>
                <w:color w:val="000000" w:themeColor="text1"/>
                <w:sz w:val="24"/>
                <w:lang w:eastAsia="zh-CN"/>
                <w14:textFill>
                  <w14:solidFill>
                    <w14:schemeClr w14:val="tx1"/>
                  </w14:solidFill>
                </w14:textFill>
              </w:rPr>
              <w:t>186</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0.84</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已完成整改问题数量：</w:t>
            </w:r>
            <w:r>
              <w:rPr>
                <w:rFonts w:ascii="仿宋" w:eastAsia="仿宋" w:hAnsi="仿宋" w:cs="楷体_GB2312" w:hint="eastAsia"/>
                <w:color w:val="000000" w:themeColor="text1"/>
                <w:sz w:val="24"/>
                <w:lang w:eastAsia="zh-CN"/>
                <w14:textFill>
                  <w14:solidFill>
                    <w14:schemeClr w14:val="tx1"/>
                  </w14:solidFill>
                </w14:textFill>
              </w:rPr>
              <w:t>155</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0.72</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正在进行整改问题数量：</w:t>
            </w:r>
            <w:r>
              <w:rPr>
                <w:rFonts w:ascii="仿宋" w:eastAsia="仿宋" w:hAnsi="仿宋" w:cs="楷体_GB2312" w:hint="eastAsia"/>
                <w:color w:val="000000" w:themeColor="text1"/>
                <w:sz w:val="24"/>
                <w:lang w:eastAsia="zh-CN"/>
                <w14:textFill>
                  <w14:solidFill>
                    <w14:schemeClr w14:val="tx1"/>
                  </w14:solidFill>
                </w14:textFill>
              </w:rPr>
              <w:t>30</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0.16</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未整改问题数量：</w:t>
            </w:r>
            <w:r>
              <w:rPr>
                <w:rFonts w:ascii="仿宋" w:eastAsia="仿宋" w:hAnsi="仿宋" w:cs="楷体_GB2312" w:hint="eastAsia"/>
                <w:color w:val="000000" w:themeColor="text1"/>
                <w:sz w:val="24"/>
                <w:lang w:eastAsia="zh-CN"/>
                <w14:textFill>
                  <w14:solidFill>
                    <w14:schemeClr w14:val="tx1"/>
                  </w14:solidFill>
                </w14:textFill>
              </w:rPr>
              <w:t>1</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0.01</w:t>
            </w:r>
          </w:p>
        </w:tc>
      </w:tr>
      <w:tr>
        <w:tblPrEx>
          <w:tblW w:w="0" w:type="auto"/>
          <w:jc w:val="center"/>
          <w:tblLayout w:type="fixed"/>
          <w:tblCellMar>
            <w:top w:w="0" w:type="dxa"/>
            <w:left w:w="57" w:type="dxa"/>
            <w:bottom w:w="0" w:type="dxa"/>
            <w:right w:w="57" w:type="dxa"/>
          </w:tblCellMar>
        </w:tblPrEx>
        <w:trPr>
          <w:cantSplit/>
          <w:trHeight w:val="983"/>
          <w:jc w:val="center"/>
        </w:trPr>
        <w:tc>
          <w:tcPr>
            <w:tcW w:w="2772" w:type="dxa"/>
            <w:vAlign w:val="center"/>
          </w:tcPr>
          <w:p>
            <w:pPr>
              <w:spacing w:line="320" w:lineRule="exact"/>
              <w:jc w:val="center"/>
              <w:rPr>
                <w:color w:val="000000" w:themeColor="text1"/>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年度单位审计发现与内部控制相关问题整改情况</w:t>
            </w:r>
          </w:p>
        </w:tc>
        <w:tc>
          <w:tcPr>
            <w:tcW w:w="6448"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问题总数：</w:t>
            </w:r>
            <w:r>
              <w:rPr>
                <w:rFonts w:ascii="仿宋" w:eastAsia="仿宋" w:hAnsi="仿宋" w:cs="楷体_GB2312" w:hint="eastAsia"/>
                <w:color w:val="000000" w:themeColor="text1"/>
                <w:sz w:val="24"/>
                <w:lang w:eastAsia="zh-CN"/>
                <w14:textFill>
                  <w14:solidFill>
                    <w14:schemeClr w14:val="tx1"/>
                  </w14:solidFill>
                </w14:textFill>
              </w:rPr>
              <w:t>644</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1.96</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已完成整改问题数量：</w:t>
            </w:r>
            <w:r>
              <w:rPr>
                <w:rFonts w:ascii="仿宋" w:eastAsia="仿宋" w:hAnsi="仿宋" w:cs="楷体_GB2312" w:hint="eastAsia"/>
                <w:color w:val="000000" w:themeColor="text1"/>
                <w:sz w:val="24"/>
                <w:lang w:eastAsia="zh-CN"/>
                <w14:textFill>
                  <w14:solidFill>
                    <w14:schemeClr w14:val="tx1"/>
                  </w14:solidFill>
                </w14:textFill>
              </w:rPr>
              <w:t>569</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1.78</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正在进行整改问题数量：</w:t>
            </w:r>
            <w:r>
              <w:rPr>
                <w:rFonts w:ascii="仿宋" w:eastAsia="仿宋" w:hAnsi="仿宋" w:cs="楷体_GB2312" w:hint="eastAsia"/>
                <w:color w:val="000000" w:themeColor="text1"/>
                <w:sz w:val="24"/>
                <w:lang w:eastAsia="zh-CN"/>
                <w14:textFill>
                  <w14:solidFill>
                    <w14:schemeClr w14:val="tx1"/>
                  </w14:solidFill>
                </w14:textFill>
              </w:rPr>
              <w:t>73</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0.34</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未整改问题数量：</w:t>
            </w:r>
            <w:r>
              <w:rPr>
                <w:rFonts w:ascii="仿宋" w:eastAsia="仿宋" w:hAnsi="仿宋" w:cs="楷体_GB2312" w:hint="eastAsia"/>
                <w:color w:val="000000" w:themeColor="text1"/>
                <w:sz w:val="24"/>
                <w:lang w:eastAsia="zh-CN"/>
                <w14:textFill>
                  <w14:solidFill>
                    <w14:schemeClr w14:val="tx1"/>
                  </w14:solidFill>
                </w14:textFill>
              </w:rPr>
              <w:t>2</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0.01</w:t>
            </w:r>
          </w:p>
        </w:tc>
      </w:tr>
      <w:tr>
        <w:tblPrEx>
          <w:tblW w:w="0" w:type="auto"/>
          <w:jc w:val="center"/>
          <w:tblLayout w:type="fixed"/>
          <w:tblCellMar>
            <w:top w:w="0" w:type="dxa"/>
            <w:left w:w="57" w:type="dxa"/>
            <w:bottom w:w="0" w:type="dxa"/>
            <w:right w:w="57" w:type="dxa"/>
          </w:tblCellMar>
        </w:tblPrEx>
        <w:trPr>
          <w:cantSplit/>
          <w:trHeight w:val="983"/>
          <w:jc w:val="center"/>
        </w:trPr>
        <w:tc>
          <w:tcPr>
            <w:tcW w:w="2772"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2023年度单位财会监督发现与内部控制相关问题整改情况</w:t>
            </w:r>
          </w:p>
        </w:tc>
        <w:tc>
          <w:tcPr>
            <w:tcW w:w="6448"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问题总数：</w:t>
            </w:r>
            <w:r>
              <w:rPr>
                <w:rFonts w:ascii="仿宋" w:eastAsia="仿宋" w:hAnsi="仿宋" w:cs="楷体_GB2312" w:hint="eastAsia"/>
                <w:color w:val="000000" w:themeColor="text1"/>
                <w:sz w:val="24"/>
                <w:lang w:eastAsia="zh-CN"/>
                <w14:textFill>
                  <w14:solidFill>
                    <w14:schemeClr w14:val="tx1"/>
                  </w14:solidFill>
                </w14:textFill>
              </w:rPr>
              <w:t>248</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0.90</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已完成整改问题数量：</w:t>
            </w:r>
            <w:r>
              <w:rPr>
                <w:rFonts w:ascii="仿宋" w:eastAsia="仿宋" w:hAnsi="仿宋" w:cs="楷体_GB2312" w:hint="eastAsia"/>
                <w:color w:val="000000" w:themeColor="text1"/>
                <w:sz w:val="24"/>
                <w:lang w:eastAsia="zh-CN"/>
                <w14:textFill>
                  <w14:solidFill>
                    <w14:schemeClr w14:val="tx1"/>
                  </w14:solidFill>
                </w14:textFill>
              </w:rPr>
              <w:t>231</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0.85</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正在进行整改问题数量：</w:t>
            </w:r>
            <w:r>
              <w:rPr>
                <w:rFonts w:ascii="仿宋" w:eastAsia="仿宋" w:hAnsi="仿宋" w:cs="楷体_GB2312" w:hint="eastAsia"/>
                <w:color w:val="000000" w:themeColor="text1"/>
                <w:sz w:val="24"/>
                <w:lang w:eastAsia="zh-CN"/>
                <w14:textFill>
                  <w14:solidFill>
                    <w14:schemeClr w14:val="tx1"/>
                  </w14:solidFill>
                </w14:textFill>
              </w:rPr>
              <w:t>16</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0.08</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未整改问题数量：</w:t>
            </w:r>
            <w:r>
              <w:rPr>
                <w:rFonts w:ascii="仿宋" w:eastAsia="仿宋" w:hAnsi="仿宋" w:cs="楷体_GB2312" w:hint="eastAsia"/>
                <w:color w:val="000000" w:themeColor="text1"/>
                <w:sz w:val="24"/>
                <w:lang w:eastAsia="zh-CN"/>
                <w14:textFill>
                  <w14:solidFill>
                    <w14:schemeClr w14:val="tx1"/>
                  </w14:solidFill>
                </w14:textFill>
              </w:rPr>
              <w:t>1</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平均数：</w:t>
            </w:r>
            <w:r>
              <w:rPr>
                <w:rFonts w:ascii="仿宋" w:eastAsia="仿宋" w:hAnsi="仿宋" w:cs="楷体_GB2312" w:hint="eastAsia"/>
                <w:color w:val="000000" w:themeColor="text1"/>
                <w:sz w:val="24"/>
                <w:lang w:eastAsia="zh-CN"/>
                <w14:textFill>
                  <w14:solidFill>
                    <w14:schemeClr w14:val="tx1"/>
                  </w14:solidFill>
                </w14:textFill>
              </w:rPr>
              <w:t>0.01</w:t>
            </w:r>
          </w:p>
        </w:tc>
      </w:tr>
    </w:tbl>
    <w:p>
      <w:pPr>
        <w:widowControl/>
        <w:ind w:firstLine="512"/>
        <w:rPr>
          <w:rFonts w:eastAsia="仿宋_GB2312" w:cs="仿宋_GB2312"/>
          <w:color w:val="000000" w:themeColor="text1"/>
          <w:spacing w:val="-12"/>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（五）政府会计改革（单位数）</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3099"/>
        <w:gridCol w:w="1780"/>
        <w:gridCol w:w="2792"/>
        <w:gridCol w:w="154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1045"/>
          <w:jc w:val="center"/>
        </w:trPr>
        <w:tc>
          <w:tcPr>
            <w:tcW w:w="3099"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单位是否执行政府会计准则制度</w:t>
            </w:r>
          </w:p>
        </w:tc>
        <w:tc>
          <w:tcPr>
            <w:tcW w:w="1780"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1941</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11</w:t>
            </w:r>
          </w:p>
        </w:tc>
        <w:tc>
          <w:tcPr>
            <w:tcW w:w="2792"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2023年度单位是否按照政府会计准则制度要求开展预算会计核算和财务会计核算</w:t>
            </w:r>
          </w:p>
        </w:tc>
        <w:tc>
          <w:tcPr>
            <w:tcW w:w="1549"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1927</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14</w:t>
            </w:r>
          </w:p>
        </w:tc>
      </w:tr>
      <w:tr>
        <w:tblPrEx>
          <w:tblW w:w="0" w:type="auto"/>
          <w:jc w:val="center"/>
          <w:tblLayout w:type="fixed"/>
          <w:tblCellMar>
            <w:top w:w="0" w:type="dxa"/>
            <w:left w:w="57" w:type="dxa"/>
            <w:bottom w:w="0" w:type="dxa"/>
            <w:right w:w="57" w:type="dxa"/>
          </w:tblCellMar>
        </w:tblPrEx>
        <w:trPr>
          <w:cantSplit/>
          <w:trHeight w:val="1339"/>
          <w:jc w:val="center"/>
        </w:trPr>
        <w:tc>
          <w:tcPr>
            <w:tcW w:w="3099"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年度单位是否对固定资产和无形资产计提折旧或摊销</w:t>
            </w:r>
          </w:p>
        </w:tc>
        <w:tc>
          <w:tcPr>
            <w:tcW w:w="1780"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1907</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34</w:t>
            </w:r>
          </w:p>
        </w:tc>
        <w:tc>
          <w:tcPr>
            <w:tcW w:w="2792"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2023年度编制政府部门财务报告时，部门及所属单位之间发生的经济业务或事项是否在抵销前进行确认</w:t>
            </w:r>
          </w:p>
        </w:tc>
        <w:tc>
          <w:tcPr>
            <w:tcW w:w="1549"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1705</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33</w:t>
            </w:r>
          </w:p>
          <w:p>
            <w:pPr>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203</w:t>
            </w:r>
          </w:p>
        </w:tc>
      </w:tr>
      <w:tr>
        <w:tblPrEx>
          <w:tblW w:w="0" w:type="auto"/>
          <w:jc w:val="center"/>
          <w:tblLayout w:type="fixed"/>
          <w:tblCellMar>
            <w:top w:w="0" w:type="dxa"/>
            <w:left w:w="57" w:type="dxa"/>
            <w:bottom w:w="0" w:type="dxa"/>
            <w:right w:w="57" w:type="dxa"/>
          </w:tblCellMar>
        </w:tblPrEx>
        <w:trPr>
          <w:trHeight w:val="1741"/>
          <w:jc w:val="center"/>
        </w:trPr>
        <w:tc>
          <w:tcPr>
            <w:tcW w:w="3099"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单位是否将基本建设投资、公共基础设施、保障性住房、政府储备物资、文物资源等纳入统一账簿进行会计核算</w:t>
            </w:r>
          </w:p>
        </w:tc>
        <w:tc>
          <w:tcPr>
            <w:tcW w:w="6121" w:type="dxa"/>
            <w:gridSpan w:val="3"/>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基本建设投资：是：</w:t>
            </w:r>
            <w:r>
              <w:rPr>
                <w:rFonts w:ascii="仿宋" w:eastAsia="仿宋" w:hAnsi="仿宋" w:cs="楷体_GB2312" w:hint="eastAsia"/>
                <w:color w:val="000000" w:themeColor="text1"/>
                <w:sz w:val="24"/>
                <w:lang w:eastAsia="zh-CN"/>
                <w14:textFill>
                  <w14:solidFill>
                    <w14:schemeClr w14:val="tx1"/>
                  </w14:solidFill>
                </w14:textFill>
              </w:rPr>
              <w:t>1122</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62</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757</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公共基础设施：是：</w:t>
            </w:r>
            <w:r>
              <w:rPr>
                <w:rFonts w:ascii="仿宋" w:eastAsia="仿宋" w:hAnsi="仿宋" w:cs="楷体_GB2312" w:hint="eastAsia"/>
                <w:color w:val="000000" w:themeColor="text1"/>
                <w:sz w:val="24"/>
                <w:lang w:eastAsia="zh-CN"/>
                <w14:textFill>
                  <w14:solidFill>
                    <w14:schemeClr w14:val="tx1"/>
                  </w14:solidFill>
                </w14:textFill>
              </w:rPr>
              <w:t>999</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64</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878</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保障性住房：是：</w:t>
            </w:r>
            <w:r>
              <w:rPr>
                <w:rFonts w:ascii="仿宋" w:eastAsia="仿宋" w:hAnsi="仿宋" w:cs="楷体_GB2312" w:hint="eastAsia"/>
                <w:color w:val="000000" w:themeColor="text1"/>
                <w:sz w:val="24"/>
                <w:lang w:eastAsia="zh-CN"/>
                <w14:textFill>
                  <w14:solidFill>
                    <w14:schemeClr w14:val="tx1"/>
                  </w14:solidFill>
                </w14:textFill>
              </w:rPr>
              <w:t>785</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91</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1065</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政府储备物资：是：</w:t>
            </w:r>
            <w:r>
              <w:rPr>
                <w:rFonts w:ascii="仿宋" w:eastAsia="仿宋" w:hAnsi="仿宋" w:cs="楷体_GB2312" w:hint="eastAsia"/>
                <w:color w:val="000000" w:themeColor="text1"/>
                <w:sz w:val="24"/>
                <w:lang w:eastAsia="zh-CN"/>
                <w14:textFill>
                  <w14:solidFill>
                    <w14:schemeClr w14:val="tx1"/>
                  </w14:solidFill>
                </w14:textFill>
              </w:rPr>
              <w:t>835</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84</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1022</w:t>
            </w:r>
          </w:p>
          <w:p>
            <w:pPr>
              <w:widowControl/>
              <w:jc w:val="left"/>
              <w:rPr>
                <w:rFonts w:eastAsia="仿宋" w:hint="eastAsia"/>
                <w:b/>
                <w:bCs/>
                <w:color w:val="000000" w:themeColor="text1"/>
                <w:sz w:val="24"/>
                <w:lang w:eastAsia="zh-CN"/>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文物资源</w:t>
            </w: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775</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94</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1072</w:t>
            </w:r>
          </w:p>
        </w:tc>
      </w:tr>
      <w:tr>
        <w:tblPrEx>
          <w:tblW w:w="0" w:type="auto"/>
          <w:jc w:val="center"/>
          <w:tblLayout w:type="fixed"/>
          <w:tblCellMar>
            <w:top w:w="0" w:type="dxa"/>
            <w:left w:w="57" w:type="dxa"/>
            <w:bottom w:w="0" w:type="dxa"/>
            <w:right w:w="57" w:type="dxa"/>
          </w:tblCellMar>
        </w:tblPrEx>
        <w:trPr>
          <w:trHeight w:val="558"/>
          <w:jc w:val="center"/>
        </w:trPr>
        <w:tc>
          <w:tcPr>
            <w:tcW w:w="3099"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单位是否组织财务报告数据的分析与应用</w:t>
            </w:r>
          </w:p>
        </w:tc>
        <w:tc>
          <w:tcPr>
            <w:tcW w:w="6121" w:type="dxa"/>
            <w:gridSpan w:val="3"/>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1860</w:t>
            </w:r>
          </w:p>
          <w:p>
            <w:pPr>
              <w:widowControl/>
              <w:rPr>
                <w:rFonts w:ascii="楷体" w:eastAsia="仿宋" w:hAnsi="楷体" w:cs="楷体" w:hint="eastAsia"/>
                <w:bCs/>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81</w:t>
            </w:r>
          </w:p>
        </w:tc>
      </w:tr>
    </w:tbl>
    <w:p>
      <w:pPr>
        <w:tabs>
          <w:tab w:val="left" w:pos="851"/>
        </w:tabs>
        <w:spacing w:after="156" w:afterLines="50" w:line="360" w:lineRule="auto"/>
        <w:ind w:firstLine="752"/>
        <w:jc w:val="center"/>
        <w:rPr>
          <w:rFonts w:ascii="黑体" w:eastAsia="黑体" w:cs="方正小标宋简体"/>
          <w:color w:val="000000" w:themeColor="text1"/>
          <w:spacing w:val="8"/>
          <w:sz w:val="36"/>
          <w:szCs w:val="36"/>
          <w14:textFill>
            <w14:solidFill>
              <w14:schemeClr w14:val="tx1"/>
            </w14:solidFill>
          </w14:textFill>
        </w:rPr>
      </w:pPr>
      <w:r>
        <w:rPr>
          <w:rFonts w:ascii="黑体" w:eastAsia="黑体" w:cs="方正小标宋简体" w:hint="eastAsia"/>
          <w:color w:val="000000" w:themeColor="text1"/>
          <w:spacing w:val="8"/>
          <w:sz w:val="36"/>
          <w:szCs w:val="36"/>
          <w14:textFill>
            <w14:solidFill>
              <w14:schemeClr w14:val="tx1"/>
            </w14:solidFill>
          </w14:textFill>
        </w:rPr>
        <w:t>三、业务层面内部控制汇总情况</w:t>
      </w:r>
    </w:p>
    <w:p>
      <w:pPr>
        <w:ind w:firstLine="512"/>
        <w:rPr>
          <w:rFonts w:eastAsia="仿宋_GB2312" w:cs="仿宋_GB2312"/>
          <w:color w:val="000000" w:themeColor="text1"/>
          <w:spacing w:val="-12"/>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（一）内部控制适用的业务领域（单位数）</w:t>
      </w:r>
    </w:p>
    <w:tbl>
      <w:tblPr>
        <w:tblStyle w:val="TableNormal"/>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43"/>
        <w:gridCol w:w="2977"/>
        <w:gridCol w:w="1417"/>
        <w:gridCol w:w="2977"/>
      </w:tblGrid>
      <w:tr>
        <w:tblPrEx>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6"/>
        </w:trPr>
        <w:tc>
          <w:tcPr>
            <w:tcW w:w="1843"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预算业务</w:t>
            </w:r>
          </w:p>
        </w:tc>
        <w:tc>
          <w:tcPr>
            <w:tcW w:w="2977" w:type="dxa"/>
            <w:vAlign w:val="center"/>
          </w:tcPr>
          <w:p>
            <w:pPr>
              <w:spacing w:line="320" w:lineRule="exact"/>
              <w:rPr>
                <w:rFonts w:ascii="仿宋" w:eastAsia="仿宋" w:hAnsi="仿宋"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适用：</w:t>
            </w:r>
            <w:r>
              <w:rPr>
                <w:rFonts w:ascii="仿宋" w:eastAsia="仿宋" w:hAnsi="仿宋" w:cs="楷体_GB2312" w:hint="eastAsia"/>
                <w:color w:val="000000" w:themeColor="text1"/>
                <w:sz w:val="24"/>
                <w:lang w:eastAsia="zh-CN"/>
                <w14:textFill>
                  <w14:solidFill>
                    <w14:schemeClr w14:val="tx1"/>
                  </w14:solidFill>
                </w14:textFill>
              </w:rPr>
              <w:t>1909</w:t>
            </w:r>
          </w:p>
          <w:p>
            <w:pPr>
              <w:spacing w:line="320" w:lineRule="exac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43</w:t>
            </w:r>
          </w:p>
        </w:tc>
        <w:tc>
          <w:tcPr>
            <w:tcW w:w="1417"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收支业务</w:t>
            </w:r>
          </w:p>
        </w:tc>
        <w:tc>
          <w:tcPr>
            <w:tcW w:w="2977" w:type="dxa"/>
            <w:vAlign w:val="center"/>
          </w:tcPr>
          <w:p>
            <w:pPr>
              <w:rPr>
                <w:rFonts w:ascii="仿宋" w:eastAsia="仿宋" w:hAnsi="仿宋" w:hint="eastAsia"/>
                <w:color w:val="000000" w:themeColor="text1"/>
                <w:szCs w:val="21"/>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适用：</w:t>
            </w:r>
            <w:r>
              <w:rPr>
                <w:rFonts w:ascii="仿宋" w:eastAsia="仿宋" w:hAnsi="仿宋" w:cs="楷体_GB2312" w:hint="eastAsia"/>
                <w:color w:val="000000" w:themeColor="text1"/>
                <w:sz w:val="24"/>
                <w:lang w:eastAsia="zh-CN"/>
                <w14:textFill>
                  <w14:solidFill>
                    <w14:schemeClr w14:val="tx1"/>
                  </w14:solidFill>
                </w14:textFill>
              </w:rPr>
              <w:t>1940</w:t>
            </w:r>
          </w:p>
          <w:p>
            <w:pPr>
              <w:spacing w:line="320" w:lineRule="exac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12</w:t>
            </w:r>
          </w:p>
        </w:tc>
      </w:tr>
      <w:tr>
        <w:tblPrEx>
          <w:tblW w:w="9214" w:type="dxa"/>
          <w:tblInd w:w="137" w:type="dxa"/>
          <w:tblLayout w:type="fixed"/>
          <w:tblCellMar>
            <w:top w:w="0" w:type="dxa"/>
            <w:left w:w="108" w:type="dxa"/>
            <w:bottom w:w="0" w:type="dxa"/>
            <w:right w:w="108" w:type="dxa"/>
          </w:tblCellMar>
        </w:tblPrEx>
        <w:trPr>
          <w:trHeight w:val="551"/>
        </w:trPr>
        <w:tc>
          <w:tcPr>
            <w:tcW w:w="1843"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政府采购业务</w:t>
            </w:r>
          </w:p>
        </w:tc>
        <w:tc>
          <w:tcPr>
            <w:tcW w:w="2977" w:type="dxa"/>
            <w:vAlign w:val="center"/>
          </w:tcPr>
          <w:p>
            <w:pPr>
              <w:rPr>
                <w:rFonts w:ascii="仿宋" w:eastAsia="仿宋" w:hAnsi="仿宋" w:hint="eastAsia"/>
                <w:color w:val="000000" w:themeColor="text1"/>
                <w:szCs w:val="21"/>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适用：</w:t>
            </w:r>
            <w:r>
              <w:rPr>
                <w:rFonts w:ascii="仿宋" w:eastAsia="仿宋" w:hAnsi="仿宋" w:cs="楷体_GB2312" w:hint="eastAsia"/>
                <w:color w:val="000000" w:themeColor="text1"/>
                <w:sz w:val="24"/>
                <w:lang w:eastAsia="zh-CN"/>
                <w14:textFill>
                  <w14:solidFill>
                    <w14:schemeClr w14:val="tx1"/>
                  </w14:solidFill>
                </w14:textFill>
              </w:rPr>
              <w:t>1927</w:t>
            </w:r>
          </w:p>
          <w:p>
            <w:pPr>
              <w:spacing w:line="320" w:lineRule="exac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25</w:t>
            </w:r>
          </w:p>
        </w:tc>
        <w:tc>
          <w:tcPr>
            <w:tcW w:w="1417"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资产管理</w:t>
            </w:r>
          </w:p>
        </w:tc>
        <w:tc>
          <w:tcPr>
            <w:tcW w:w="2977" w:type="dxa"/>
            <w:vAlign w:val="center"/>
          </w:tcPr>
          <w:p>
            <w:pPr>
              <w:rPr>
                <w:rFonts w:ascii="仿宋" w:eastAsia="仿宋" w:hAnsi="仿宋" w:hint="eastAsia"/>
                <w:color w:val="000000" w:themeColor="text1"/>
                <w:szCs w:val="21"/>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适用：</w:t>
            </w:r>
            <w:r>
              <w:rPr>
                <w:rFonts w:ascii="仿宋" w:eastAsia="仿宋" w:hAnsi="仿宋" w:cs="楷体_GB2312" w:hint="eastAsia"/>
                <w:color w:val="000000" w:themeColor="text1"/>
                <w:sz w:val="24"/>
                <w:lang w:eastAsia="zh-CN"/>
                <w14:textFill>
                  <w14:solidFill>
                    <w14:schemeClr w14:val="tx1"/>
                  </w14:solidFill>
                </w14:textFill>
              </w:rPr>
              <w:t>1931</w:t>
            </w:r>
          </w:p>
          <w:p>
            <w:pPr>
              <w:rPr>
                <w:rFonts w:ascii="仿宋" w:eastAsia="仿宋" w:hAnsi="仿宋" w:hint="eastAsia"/>
                <w:color w:val="000000" w:themeColor="text1"/>
                <w:szCs w:val="21"/>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21</w:t>
            </w:r>
          </w:p>
        </w:tc>
      </w:tr>
      <w:tr>
        <w:tblPrEx>
          <w:tblW w:w="9214" w:type="dxa"/>
          <w:tblInd w:w="137" w:type="dxa"/>
          <w:tblLayout w:type="fixed"/>
          <w:tblCellMar>
            <w:top w:w="0" w:type="dxa"/>
            <w:left w:w="108" w:type="dxa"/>
            <w:bottom w:w="0" w:type="dxa"/>
            <w:right w:w="108" w:type="dxa"/>
          </w:tblCellMar>
        </w:tblPrEx>
        <w:trPr>
          <w:trHeight w:val="559"/>
        </w:trPr>
        <w:tc>
          <w:tcPr>
            <w:tcW w:w="1843"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建设项目管理</w:t>
            </w:r>
          </w:p>
        </w:tc>
        <w:tc>
          <w:tcPr>
            <w:tcW w:w="2977" w:type="dxa"/>
            <w:vAlign w:val="center"/>
          </w:tcPr>
          <w:p>
            <w:pPr>
              <w:rPr>
                <w:rFonts w:ascii="仿宋" w:eastAsia="仿宋" w:hAnsi="仿宋" w:hint="eastAsia"/>
                <w:color w:val="000000" w:themeColor="text1"/>
                <w:szCs w:val="21"/>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适用：</w:t>
            </w:r>
            <w:r>
              <w:rPr>
                <w:rFonts w:ascii="仿宋" w:eastAsia="仿宋" w:hAnsi="仿宋" w:cs="楷体_GB2312" w:hint="eastAsia"/>
                <w:color w:val="000000" w:themeColor="text1"/>
                <w:sz w:val="24"/>
                <w:lang w:eastAsia="zh-CN"/>
                <w14:textFill>
                  <w14:solidFill>
                    <w14:schemeClr w14:val="tx1"/>
                  </w14:solidFill>
                </w14:textFill>
              </w:rPr>
              <w:t>1742</w:t>
            </w:r>
          </w:p>
          <w:p>
            <w:pPr>
              <w:spacing w:line="320" w:lineRule="exac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210</w:t>
            </w:r>
          </w:p>
        </w:tc>
        <w:tc>
          <w:tcPr>
            <w:tcW w:w="1417"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合同管理</w:t>
            </w:r>
          </w:p>
        </w:tc>
        <w:tc>
          <w:tcPr>
            <w:tcW w:w="2977" w:type="dxa"/>
            <w:vAlign w:val="center"/>
          </w:tcPr>
          <w:p>
            <w:pPr>
              <w:spacing w:line="320" w:lineRule="exact"/>
              <w:rPr>
                <w:rFonts w:ascii="仿宋" w:eastAsia="仿宋" w:hAnsi="仿宋"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适用：</w:t>
            </w:r>
            <w:r>
              <w:rPr>
                <w:rFonts w:ascii="仿宋" w:eastAsia="仿宋" w:hAnsi="仿宋" w:cs="楷体_GB2312" w:hint="eastAsia"/>
                <w:color w:val="000000" w:themeColor="text1"/>
                <w:sz w:val="24"/>
                <w:lang w:eastAsia="zh-CN"/>
                <w14:textFill>
                  <w14:solidFill>
                    <w14:schemeClr w14:val="tx1"/>
                  </w14:solidFill>
                </w14:textFill>
              </w:rPr>
              <w:t>1914</w:t>
            </w:r>
          </w:p>
          <w:p>
            <w:pPr>
              <w:spacing w:line="320" w:lineRule="exac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不适用：</w:t>
            </w:r>
            <w:r>
              <w:rPr>
                <w:rFonts w:ascii="仿宋" w:eastAsia="仿宋" w:hAnsi="仿宋" w:cs="楷体_GB2312" w:hint="eastAsia"/>
                <w:color w:val="000000" w:themeColor="text1"/>
                <w:sz w:val="24"/>
                <w:lang w:eastAsia="zh-CN"/>
                <w14:textFill>
                  <w14:solidFill>
                    <w14:schemeClr w14:val="tx1"/>
                  </w14:solidFill>
                </w14:textFill>
              </w:rPr>
              <w:t>38</w:t>
            </w:r>
          </w:p>
        </w:tc>
      </w:tr>
      <w:tr>
        <w:tblPrEx>
          <w:tblW w:w="9214" w:type="dxa"/>
          <w:tblInd w:w="137" w:type="dxa"/>
          <w:tblLayout w:type="fixed"/>
          <w:tblCellMar>
            <w:top w:w="0" w:type="dxa"/>
            <w:left w:w="108" w:type="dxa"/>
            <w:bottom w:w="0" w:type="dxa"/>
            <w:right w:w="108" w:type="dxa"/>
          </w:tblCellMar>
        </w:tblPrEx>
        <w:trPr>
          <w:trHeight w:val="559"/>
        </w:trPr>
        <w:tc>
          <w:tcPr>
            <w:tcW w:w="9214" w:type="dxa"/>
            <w:gridSpan w:val="4"/>
            <w:vAlign w:val="center"/>
          </w:tcPr>
          <w:p>
            <w:pPr>
              <w:spacing w:line="320" w:lineRule="exact"/>
              <w:jc w:val="left"/>
              <w:rPr>
                <w:rFonts w:eastAsia="仿宋" w:cs="楷体_GB2312" w:hint="eastAsia"/>
                <w:color w:val="000000" w:themeColor="text1"/>
                <w:sz w:val="24"/>
                <w:lang w:eastAsia="zh-CN"/>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在其他业务领域建立内部控制制度的</w:t>
            </w:r>
            <w:r>
              <w:rPr>
                <w:rFonts w:eastAsia="楷体_GB2312" w:cs="楷体_GB2312" w:hint="eastAsia"/>
                <w:color w:val="000000" w:themeColor="text1"/>
                <w:sz w:val="24"/>
                <w14:textFill>
                  <w14:solidFill>
                    <w14:schemeClr w14:val="tx1"/>
                  </w14:solidFill>
                </w14:textFill>
              </w:rPr>
              <w:t>单位数量</w:t>
            </w:r>
            <w:r>
              <w:rPr>
                <w:rFonts w:eastAsia="楷体_GB2312" w:cs="楷体_GB2312"/>
                <w:color w:val="000000" w:themeColor="text1"/>
                <w:sz w:val="24"/>
                <w14:textFill>
                  <w14:solidFill>
                    <w14:schemeClr w14:val="tx1"/>
                  </w14:solidFill>
                </w14:textFill>
              </w:rPr>
              <w:t>：</w:t>
            </w:r>
            <w:r>
              <w:rPr>
                <w:rFonts w:ascii="仿宋" w:eastAsia="仿宋" w:hAnsi="仿宋" w:cs="楷体_GB2312" w:hint="eastAsia"/>
                <w:color w:val="000000" w:themeColor="text1"/>
                <w:sz w:val="24"/>
                <w:lang w:eastAsia="zh-CN"/>
                <w14:textFill>
                  <w14:solidFill>
                    <w14:schemeClr w14:val="tx1"/>
                  </w14:solidFill>
                </w14:textFill>
              </w:rPr>
              <w:t>119</w:t>
            </w:r>
          </w:p>
        </w:tc>
      </w:tr>
    </w:tbl>
    <w:p>
      <w:pPr>
        <w:ind w:firstLine="512"/>
        <w:rPr>
          <w:rFonts w:eastAsia="仿宋_GB2312" w:cs="仿宋_GB2312"/>
          <w:color w:val="000000" w:themeColor="text1"/>
          <w:spacing w:val="-12"/>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（二）职责分离情况（单位数）</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1481"/>
        <w:gridCol w:w="1531"/>
        <w:gridCol w:w="1593"/>
        <w:gridCol w:w="1482"/>
        <w:gridCol w:w="1576"/>
        <w:gridCol w:w="157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702"/>
          <w:jc w:val="center"/>
        </w:trPr>
        <w:tc>
          <w:tcPr>
            <w:tcW w:w="1481" w:type="dxa"/>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预算业务</w:t>
            </w:r>
          </w:p>
        </w:tc>
        <w:tc>
          <w:tcPr>
            <w:tcW w:w="1531" w:type="dxa"/>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收支业务</w:t>
            </w:r>
          </w:p>
        </w:tc>
        <w:tc>
          <w:tcPr>
            <w:tcW w:w="1593" w:type="dxa"/>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政府采购业务</w:t>
            </w:r>
          </w:p>
        </w:tc>
        <w:tc>
          <w:tcPr>
            <w:tcW w:w="1482" w:type="dxa"/>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资产管理</w:t>
            </w:r>
          </w:p>
        </w:tc>
        <w:tc>
          <w:tcPr>
            <w:tcW w:w="1576" w:type="dxa"/>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建设项目管理</w:t>
            </w:r>
          </w:p>
        </w:tc>
        <w:tc>
          <w:tcPr>
            <w:tcW w:w="1576" w:type="dxa"/>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合同管理</w:t>
            </w:r>
          </w:p>
        </w:tc>
      </w:tr>
      <w:tr>
        <w:tblPrEx>
          <w:tblW w:w="0" w:type="auto"/>
          <w:jc w:val="center"/>
          <w:tblLayout w:type="fixed"/>
          <w:tblCellMar>
            <w:top w:w="0" w:type="dxa"/>
            <w:left w:w="57" w:type="dxa"/>
            <w:bottom w:w="0" w:type="dxa"/>
            <w:right w:w="57" w:type="dxa"/>
          </w:tblCellMar>
        </w:tblPrEx>
        <w:trPr>
          <w:cantSplit/>
          <w:trHeight w:val="1465"/>
          <w:jc w:val="center"/>
        </w:trPr>
        <w:tc>
          <w:tcPr>
            <w:tcW w:w="148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是否制定岗位职责说明书</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1872</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37</w:t>
            </w:r>
          </w:p>
        </w:tc>
        <w:tc>
          <w:tcPr>
            <w:tcW w:w="153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是否制定岗位职责说明书</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1908</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cs="楷体_GB2312" w:hint="eastAsia"/>
                <w:color w:val="000000" w:themeColor="text1"/>
                <w:sz w:val="24"/>
                <w:lang w:eastAsia="zh-CN"/>
                <w14:textFill>
                  <w14:solidFill>
                    <w14:schemeClr w14:val="tx1"/>
                  </w14:solidFill>
                </w14:textFill>
              </w:rPr>
              <w:t>32</w:t>
            </w:r>
          </w:p>
        </w:tc>
        <w:tc>
          <w:tcPr>
            <w:tcW w:w="1593"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是否制定岗位职责说明书</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cs="楷体_GB2312" w:hint="eastAsia"/>
                <w:color w:val="000000" w:themeColor="text1"/>
                <w:sz w:val="24"/>
                <w:lang w:eastAsia="zh-CN"/>
                <w14:textFill>
                  <w14:solidFill>
                    <w14:schemeClr w14:val="tx1"/>
                  </w14:solidFill>
                </w14:textFill>
              </w:rPr>
              <w:t>1893</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34</w:t>
            </w:r>
          </w:p>
        </w:tc>
        <w:tc>
          <w:tcPr>
            <w:tcW w:w="1482"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是否制定岗位职责说明书</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1898</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33</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是否制定岗位职责说明书</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1710</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32</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是否制定岗位职责说明书</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1878</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36</w:t>
            </w:r>
          </w:p>
        </w:tc>
      </w:tr>
      <w:tr>
        <w:tblPrEx>
          <w:tblW w:w="0" w:type="auto"/>
          <w:jc w:val="center"/>
          <w:tblLayout w:type="fixed"/>
          <w:tblCellMar>
            <w:top w:w="0" w:type="dxa"/>
            <w:left w:w="57" w:type="dxa"/>
            <w:bottom w:w="0" w:type="dxa"/>
            <w:right w:w="57" w:type="dxa"/>
          </w:tblCellMar>
        </w:tblPrEx>
        <w:trPr>
          <w:cantSplit/>
          <w:trHeight w:val="1698"/>
          <w:jc w:val="center"/>
        </w:trPr>
        <w:tc>
          <w:tcPr>
            <w:tcW w:w="148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预算编制与审核分离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1881</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28</w:t>
            </w:r>
          </w:p>
        </w:tc>
        <w:tc>
          <w:tcPr>
            <w:tcW w:w="153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收款与会计核算分离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1913</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w:t>
            </w:r>
          </w:p>
        </w:tc>
        <w:tc>
          <w:tcPr>
            <w:tcW w:w="1593"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采购需求提出与审核分离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1900</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27</w:t>
            </w:r>
          </w:p>
        </w:tc>
        <w:tc>
          <w:tcPr>
            <w:tcW w:w="1482"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货币资金保管、稽核与账目登记分离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1903</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项目立项申请与审核分离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1714</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27</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合同拟订与审核分离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1888</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w:t>
            </w:r>
          </w:p>
        </w:tc>
      </w:tr>
      <w:tr>
        <w:tblPrEx>
          <w:tblW w:w="0" w:type="auto"/>
          <w:jc w:val="center"/>
          <w:tblLayout w:type="fixed"/>
          <w:tblCellMar>
            <w:top w:w="0" w:type="dxa"/>
            <w:left w:w="57" w:type="dxa"/>
            <w:bottom w:w="0" w:type="dxa"/>
            <w:right w:w="57" w:type="dxa"/>
          </w:tblCellMar>
        </w:tblPrEx>
        <w:trPr>
          <w:cantSplit/>
          <w:trHeight w:val="1694"/>
          <w:jc w:val="center"/>
        </w:trPr>
        <w:tc>
          <w:tcPr>
            <w:tcW w:w="148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预算审批与执行分离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1881</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28</w:t>
            </w:r>
          </w:p>
        </w:tc>
        <w:tc>
          <w:tcPr>
            <w:tcW w:w="153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支出申请与审批分离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1913</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27</w:t>
            </w:r>
          </w:p>
        </w:tc>
        <w:tc>
          <w:tcPr>
            <w:tcW w:w="1593"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采购方式确定与审核分离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1899</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28</w:t>
            </w:r>
          </w:p>
        </w:tc>
        <w:tc>
          <w:tcPr>
            <w:tcW w:w="1482"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资产财务账与实物账分离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1901</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29</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概预算编制与审核分离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1708</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28</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合同订立与合同章管理分离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1885</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28</w:t>
            </w:r>
          </w:p>
        </w:tc>
      </w:tr>
      <w:tr>
        <w:tblPrEx>
          <w:tblW w:w="0" w:type="auto"/>
          <w:jc w:val="center"/>
          <w:tblLayout w:type="fixed"/>
          <w:tblCellMar>
            <w:top w:w="0" w:type="dxa"/>
            <w:left w:w="57" w:type="dxa"/>
            <w:bottom w:w="0" w:type="dxa"/>
            <w:right w:w="57" w:type="dxa"/>
          </w:tblCellMar>
        </w:tblPrEx>
        <w:trPr>
          <w:cantSplit/>
          <w:trHeight w:val="1407"/>
          <w:jc w:val="center"/>
        </w:trPr>
        <w:tc>
          <w:tcPr>
            <w:tcW w:w="148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预算执行与分析分离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1878</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30</w:t>
            </w:r>
          </w:p>
        </w:tc>
        <w:tc>
          <w:tcPr>
            <w:tcW w:w="153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支出审批与付款分离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1914</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w:t>
            </w:r>
          </w:p>
        </w:tc>
        <w:tc>
          <w:tcPr>
            <w:tcW w:w="1593"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采购执行与验收分离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1901</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w:t>
            </w:r>
          </w:p>
        </w:tc>
        <w:tc>
          <w:tcPr>
            <w:tcW w:w="1482"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资产保管与清查分离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1903</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27</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项目实施与价款支付分离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1715</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合同订立与登记台账分离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1885</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29</w:t>
            </w:r>
          </w:p>
        </w:tc>
      </w:tr>
      <w:tr>
        <w:tblPrEx>
          <w:tblW w:w="0" w:type="auto"/>
          <w:jc w:val="center"/>
          <w:tblLayout w:type="fixed"/>
          <w:tblCellMar>
            <w:top w:w="0" w:type="dxa"/>
            <w:left w:w="57" w:type="dxa"/>
            <w:bottom w:w="0" w:type="dxa"/>
            <w:right w:w="57" w:type="dxa"/>
          </w:tblCellMar>
        </w:tblPrEx>
        <w:trPr>
          <w:cantSplit/>
          <w:trHeight w:val="1683"/>
          <w:jc w:val="center"/>
        </w:trPr>
        <w:tc>
          <w:tcPr>
            <w:tcW w:w="148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决算编制与审核分离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1877</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w:t>
            </w:r>
          </w:p>
        </w:tc>
        <w:tc>
          <w:tcPr>
            <w:tcW w:w="1531"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业务经办与会计核算分离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1914</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w:t>
            </w:r>
          </w:p>
        </w:tc>
        <w:tc>
          <w:tcPr>
            <w:tcW w:w="1593"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采购验收与登记分离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1898</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29</w:t>
            </w:r>
          </w:p>
        </w:tc>
        <w:tc>
          <w:tcPr>
            <w:tcW w:w="1482"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对外投资立项申报与审核分离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748</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40</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竣工决算与审计分离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1701</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28</w:t>
            </w:r>
          </w:p>
        </w:tc>
        <w:tc>
          <w:tcPr>
            <w:tcW w:w="1576" w:type="dxa"/>
            <w:vAlign w:val="center"/>
          </w:tcPr>
          <w:p>
            <w:pPr>
              <w:widowControl/>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合同执行与监督分离</w:t>
            </w:r>
          </w:p>
          <w:p>
            <w:pPr>
              <w:widowControl/>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1886</w:t>
            </w:r>
          </w:p>
          <w:p>
            <w:pPr>
              <w:widowControl/>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28</w:t>
            </w:r>
          </w:p>
        </w:tc>
      </w:tr>
    </w:tbl>
    <w:p>
      <w:pPr>
        <w:ind w:firstLine="512"/>
        <w:rPr>
          <w:rFonts w:eastAsia="仿宋_GB2312" w:cs="仿宋_GB2312"/>
          <w:color w:val="000000" w:themeColor="text1"/>
          <w:spacing w:val="-12"/>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（三）关键岗位轮岗情况（单位数）</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1610"/>
        <w:gridCol w:w="760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876"/>
          <w:jc w:val="center"/>
        </w:trPr>
        <w:tc>
          <w:tcPr>
            <w:tcW w:w="1610"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预算业务</w:t>
            </w:r>
          </w:p>
        </w:tc>
        <w:tc>
          <w:tcPr>
            <w:tcW w:w="7606" w:type="dxa"/>
            <w:vAlign w:val="center"/>
          </w:tcPr>
          <w:p>
            <w:pPr>
              <w:rPr>
                <w:rFonts w:ascii="仿宋" w:eastAsia="仿宋" w:hAnsi="仿宋" w:hint="eastAsia"/>
                <w:color w:val="000000" w:themeColor="text1"/>
                <w:szCs w:val="21"/>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轮岗周期内所有关键岗位已轮岗或开展专项审计：</w:t>
            </w:r>
            <w:r>
              <w:rPr>
                <w:rFonts w:ascii="仿宋" w:eastAsia="仿宋" w:hAnsi="仿宋" w:hint="eastAsia"/>
                <w:color w:val="000000" w:themeColor="text1"/>
                <w:sz w:val="24"/>
                <w:lang w:eastAsia="zh-CN"/>
                <w14:textFill>
                  <w14:solidFill>
                    <w14:schemeClr w14:val="tx1"/>
                  </w14:solidFill>
                </w14:textFill>
              </w:rPr>
              <w:t>961</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轮岗周期内部分关键岗位已轮岗或开展专项审计：</w:t>
            </w:r>
            <w:r>
              <w:rPr>
                <w:rFonts w:ascii="仿宋" w:eastAsia="仿宋" w:hAnsi="仿宋" w:hint="eastAsia"/>
                <w:color w:val="000000" w:themeColor="text1"/>
                <w:sz w:val="24"/>
                <w:lang w:eastAsia="zh-CN"/>
                <w14:textFill>
                  <w14:solidFill>
                    <w14:schemeClr w14:val="tx1"/>
                  </w14:solidFill>
                </w14:textFill>
              </w:rPr>
              <w:t>598</w:t>
            </w:r>
          </w:p>
          <w:p>
            <w:pPr>
              <w:widowControl/>
              <w:jc w:val="left"/>
              <w:rPr>
                <w:rFonts w:eastAsia="仿宋" w:hint="eastAsia"/>
                <w:b/>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轮岗周期内所有关键岗位未进行轮岗且未开展专项审计：</w:t>
            </w:r>
            <w:r>
              <w:rPr>
                <w:rFonts w:ascii="仿宋" w:eastAsia="仿宋" w:hAnsi="仿宋" w:hint="eastAsia"/>
                <w:color w:val="000000" w:themeColor="text1"/>
                <w:sz w:val="24"/>
                <w:lang w:eastAsia="zh-CN"/>
                <w14:textFill>
                  <w14:solidFill>
                    <w14:schemeClr w14:val="tx1"/>
                  </w14:solidFill>
                </w14:textFill>
              </w:rPr>
              <w:t>350</w:t>
            </w:r>
          </w:p>
        </w:tc>
      </w:tr>
      <w:tr>
        <w:tblPrEx>
          <w:tblW w:w="0" w:type="auto"/>
          <w:jc w:val="center"/>
          <w:tblLayout w:type="fixed"/>
          <w:tblCellMar>
            <w:top w:w="0" w:type="dxa"/>
            <w:left w:w="57" w:type="dxa"/>
            <w:bottom w:w="0" w:type="dxa"/>
            <w:right w:w="57" w:type="dxa"/>
          </w:tblCellMar>
        </w:tblPrEx>
        <w:trPr>
          <w:cantSplit/>
          <w:trHeight w:val="946"/>
          <w:jc w:val="center"/>
        </w:trPr>
        <w:tc>
          <w:tcPr>
            <w:tcW w:w="1610"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收支业务</w:t>
            </w:r>
          </w:p>
        </w:tc>
        <w:tc>
          <w:tcPr>
            <w:tcW w:w="7606"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轮岗周期内所有关键岗位已轮岗或开展专项审计：</w:t>
            </w:r>
            <w:r>
              <w:rPr>
                <w:rFonts w:ascii="仿宋" w:eastAsia="仿宋" w:hAnsi="仿宋" w:hint="eastAsia"/>
                <w:color w:val="000000" w:themeColor="text1"/>
                <w:sz w:val="24"/>
                <w:lang w:eastAsia="zh-CN"/>
                <w14:textFill>
                  <w14:solidFill>
                    <w14:schemeClr w14:val="tx1"/>
                  </w14:solidFill>
                </w14:textFill>
              </w:rPr>
              <w:t>987</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轮岗周期内部分关键岗位已轮岗或开展专项审计：</w:t>
            </w:r>
            <w:r>
              <w:rPr>
                <w:rFonts w:ascii="仿宋" w:eastAsia="仿宋" w:hAnsi="仿宋" w:hint="eastAsia"/>
                <w:color w:val="000000" w:themeColor="text1"/>
                <w:sz w:val="24"/>
                <w:lang w:eastAsia="zh-CN"/>
                <w14:textFill>
                  <w14:solidFill>
                    <w14:schemeClr w14:val="tx1"/>
                  </w14:solidFill>
                </w14:textFill>
              </w:rPr>
              <w:t>610</w:t>
            </w:r>
          </w:p>
          <w:p>
            <w:pPr>
              <w:jc w:val="left"/>
              <w:rPr>
                <w:rFonts w:eastAsia="仿宋" w:hint="eastAsia"/>
                <w:b/>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轮岗周期内所有关键岗位未进行轮岗且未开展专项审计：</w:t>
            </w:r>
            <w:r>
              <w:rPr>
                <w:rFonts w:ascii="仿宋" w:eastAsia="仿宋" w:hAnsi="仿宋" w:hint="eastAsia"/>
                <w:color w:val="000000" w:themeColor="text1"/>
                <w:sz w:val="24"/>
                <w:lang w:eastAsia="zh-CN"/>
                <w14:textFill>
                  <w14:solidFill>
                    <w14:schemeClr w14:val="tx1"/>
                  </w14:solidFill>
                </w14:textFill>
              </w:rPr>
              <w:t>343</w:t>
            </w:r>
          </w:p>
        </w:tc>
      </w:tr>
      <w:tr>
        <w:tblPrEx>
          <w:tblW w:w="0" w:type="auto"/>
          <w:jc w:val="center"/>
          <w:tblLayout w:type="fixed"/>
          <w:tblCellMar>
            <w:top w:w="0" w:type="dxa"/>
            <w:left w:w="57" w:type="dxa"/>
            <w:bottom w:w="0" w:type="dxa"/>
            <w:right w:w="57" w:type="dxa"/>
          </w:tblCellMar>
        </w:tblPrEx>
        <w:trPr>
          <w:cantSplit/>
          <w:trHeight w:val="948"/>
          <w:jc w:val="center"/>
        </w:trPr>
        <w:tc>
          <w:tcPr>
            <w:tcW w:w="1610"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政府采购业务</w:t>
            </w:r>
          </w:p>
        </w:tc>
        <w:tc>
          <w:tcPr>
            <w:tcW w:w="7606" w:type="dxa"/>
            <w:vAlign w:val="center"/>
          </w:tcPr>
          <w:p>
            <w:pPr>
              <w:rPr>
                <w:rFonts w:ascii="仿宋" w:eastAsia="仿宋" w:hAnsi="仿宋" w:hint="eastAsia"/>
                <w:color w:val="000000" w:themeColor="text1"/>
                <w:szCs w:val="21"/>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轮岗周期内所有关键岗位已轮岗或开展专项审计：</w:t>
            </w:r>
            <w:r>
              <w:rPr>
                <w:rFonts w:ascii="仿宋" w:eastAsia="仿宋" w:hAnsi="仿宋" w:hint="eastAsia"/>
                <w:color w:val="000000" w:themeColor="text1"/>
                <w:sz w:val="24"/>
                <w:lang w:eastAsia="zh-CN"/>
                <w14:textFill>
                  <w14:solidFill>
                    <w14:schemeClr w14:val="tx1"/>
                  </w14:solidFill>
                </w14:textFill>
              </w:rPr>
              <w:t>983</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轮岗周期内部分关键岗位已轮岗或开展专项审计：</w:t>
            </w:r>
            <w:r>
              <w:rPr>
                <w:rFonts w:ascii="仿宋" w:eastAsia="仿宋" w:hAnsi="仿宋" w:hint="eastAsia"/>
                <w:color w:val="000000" w:themeColor="text1"/>
                <w:sz w:val="24"/>
                <w:lang w:eastAsia="zh-CN"/>
                <w14:textFill>
                  <w14:solidFill>
                    <w14:schemeClr w14:val="tx1"/>
                  </w14:solidFill>
                </w14:textFill>
              </w:rPr>
              <w:t>602</w:t>
            </w:r>
          </w:p>
          <w:p>
            <w:pPr>
              <w:jc w:val="left"/>
              <w:rPr>
                <w:rFonts w:eastAsia="仿宋" w:hint="eastAsia"/>
                <w:b/>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轮岗周期内所有关键岗位未进行轮岗且未开展专项审计：</w:t>
            </w:r>
            <w:r>
              <w:rPr>
                <w:rFonts w:ascii="仿宋" w:eastAsia="仿宋" w:hAnsi="仿宋" w:hint="eastAsia"/>
                <w:color w:val="000000" w:themeColor="text1"/>
                <w:sz w:val="24"/>
                <w:lang w:eastAsia="zh-CN"/>
                <w14:textFill>
                  <w14:solidFill>
                    <w14:schemeClr w14:val="tx1"/>
                  </w14:solidFill>
                </w14:textFill>
              </w:rPr>
              <w:t>342</w:t>
            </w:r>
          </w:p>
        </w:tc>
      </w:tr>
      <w:tr>
        <w:tblPrEx>
          <w:tblW w:w="0" w:type="auto"/>
          <w:jc w:val="center"/>
          <w:tblLayout w:type="fixed"/>
          <w:tblCellMar>
            <w:top w:w="0" w:type="dxa"/>
            <w:left w:w="57" w:type="dxa"/>
            <w:bottom w:w="0" w:type="dxa"/>
            <w:right w:w="57" w:type="dxa"/>
          </w:tblCellMar>
        </w:tblPrEx>
        <w:trPr>
          <w:cantSplit/>
          <w:trHeight w:val="950"/>
          <w:jc w:val="center"/>
        </w:trPr>
        <w:tc>
          <w:tcPr>
            <w:tcW w:w="1610"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资产管理</w:t>
            </w:r>
          </w:p>
        </w:tc>
        <w:tc>
          <w:tcPr>
            <w:tcW w:w="7606"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轮岗周期内所有关键岗位已轮岗或开展专项审计：</w:t>
            </w:r>
            <w:r>
              <w:rPr>
                <w:rFonts w:ascii="仿宋" w:eastAsia="仿宋" w:hAnsi="仿宋" w:hint="eastAsia"/>
                <w:color w:val="000000" w:themeColor="text1"/>
                <w:sz w:val="24"/>
                <w:lang w:eastAsia="zh-CN"/>
                <w14:textFill>
                  <w14:solidFill>
                    <w14:schemeClr w14:val="tx1"/>
                  </w14:solidFill>
                </w14:textFill>
              </w:rPr>
              <w:t>984</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轮岗周期内部分关键岗位已轮岗或开展专项审计：</w:t>
            </w:r>
            <w:r>
              <w:rPr>
                <w:rFonts w:ascii="仿宋" w:eastAsia="仿宋" w:hAnsi="仿宋" w:hint="eastAsia"/>
                <w:color w:val="000000" w:themeColor="text1"/>
                <w:sz w:val="24"/>
                <w:lang w:eastAsia="zh-CN"/>
                <w14:textFill>
                  <w14:solidFill>
                    <w14:schemeClr w14:val="tx1"/>
                  </w14:solidFill>
                </w14:textFill>
              </w:rPr>
              <w:t>600</w:t>
            </w:r>
          </w:p>
          <w:p>
            <w:pPr>
              <w:jc w:val="left"/>
              <w:rPr>
                <w:rFonts w:eastAsia="仿宋" w:hint="eastAsia"/>
                <w:b/>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轮岗周期内所有关键岗位未进行轮岗且未开展专项审计：</w:t>
            </w:r>
            <w:r>
              <w:rPr>
                <w:rFonts w:ascii="仿宋" w:eastAsia="仿宋" w:hAnsi="仿宋" w:hint="eastAsia"/>
                <w:color w:val="000000" w:themeColor="text1"/>
                <w:sz w:val="24"/>
                <w:lang w:eastAsia="zh-CN"/>
                <w14:textFill>
                  <w14:solidFill>
                    <w14:schemeClr w14:val="tx1"/>
                  </w14:solidFill>
                </w14:textFill>
              </w:rPr>
              <w:t>347</w:t>
            </w:r>
          </w:p>
        </w:tc>
      </w:tr>
      <w:tr>
        <w:tblPrEx>
          <w:tblW w:w="0" w:type="auto"/>
          <w:jc w:val="center"/>
          <w:tblLayout w:type="fixed"/>
          <w:tblCellMar>
            <w:top w:w="0" w:type="dxa"/>
            <w:left w:w="57" w:type="dxa"/>
            <w:bottom w:w="0" w:type="dxa"/>
            <w:right w:w="57" w:type="dxa"/>
          </w:tblCellMar>
        </w:tblPrEx>
        <w:trPr>
          <w:cantSplit/>
          <w:trHeight w:val="789"/>
          <w:jc w:val="center"/>
        </w:trPr>
        <w:tc>
          <w:tcPr>
            <w:tcW w:w="1610"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建设项目管理</w:t>
            </w:r>
          </w:p>
        </w:tc>
        <w:tc>
          <w:tcPr>
            <w:tcW w:w="7606"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轮岗周期内所有关键岗位已轮岗或开展专项审计：</w:t>
            </w:r>
            <w:r>
              <w:rPr>
                <w:rFonts w:ascii="仿宋" w:eastAsia="仿宋" w:hAnsi="仿宋" w:hint="eastAsia"/>
                <w:color w:val="000000" w:themeColor="text1"/>
                <w:sz w:val="24"/>
                <w:lang w:eastAsia="zh-CN"/>
                <w14:textFill>
                  <w14:solidFill>
                    <w14:schemeClr w14:val="tx1"/>
                  </w14:solidFill>
                </w14:textFill>
              </w:rPr>
              <w:t>897</w:t>
            </w:r>
            <w:r>
              <w:rPr>
                <w:rFonts w:eastAsia="楷体_GB2312" w:cs="楷体_GB2312" w:hint="eastAsia"/>
                <w:color w:val="000000" w:themeColor="text1"/>
                <w:sz w:val="24"/>
                <w14:textFill>
                  <w14:solidFill>
                    <w14:schemeClr w14:val="tx1"/>
                  </w14:solidFill>
                </w14:textFill>
              </w:rPr>
              <w:t>轮岗周期内部分关键岗位已轮岗或开展专项审计：</w:t>
            </w:r>
            <w:r>
              <w:rPr>
                <w:rFonts w:ascii="仿宋" w:eastAsia="仿宋" w:hAnsi="仿宋" w:hint="eastAsia"/>
                <w:color w:val="000000" w:themeColor="text1"/>
                <w:sz w:val="24"/>
                <w:lang w:eastAsia="zh-CN"/>
                <w14:textFill>
                  <w14:solidFill>
                    <w14:schemeClr w14:val="tx1"/>
                  </w14:solidFill>
                </w14:textFill>
              </w:rPr>
              <w:t>517</w:t>
            </w:r>
          </w:p>
          <w:p>
            <w:pPr>
              <w:jc w:val="left"/>
              <w:rPr>
                <w:rFonts w:eastAsia="仿宋" w:hint="eastAsia"/>
                <w:b/>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轮岗周期内所有关键岗位未进行轮岗且未开展专项审计：</w:t>
            </w:r>
            <w:r>
              <w:rPr>
                <w:rFonts w:ascii="仿宋" w:eastAsia="仿宋" w:hAnsi="仿宋" w:hint="eastAsia"/>
                <w:color w:val="000000" w:themeColor="text1"/>
                <w:sz w:val="24"/>
                <w:lang w:eastAsia="zh-CN"/>
                <w14:textFill>
                  <w14:solidFill>
                    <w14:schemeClr w14:val="tx1"/>
                  </w14:solidFill>
                </w14:textFill>
              </w:rPr>
              <w:t>328</w:t>
            </w:r>
          </w:p>
        </w:tc>
      </w:tr>
      <w:tr>
        <w:tblPrEx>
          <w:tblW w:w="0" w:type="auto"/>
          <w:jc w:val="center"/>
          <w:tblLayout w:type="fixed"/>
          <w:tblCellMar>
            <w:top w:w="0" w:type="dxa"/>
            <w:left w:w="57" w:type="dxa"/>
            <w:bottom w:w="0" w:type="dxa"/>
            <w:right w:w="57" w:type="dxa"/>
          </w:tblCellMar>
        </w:tblPrEx>
        <w:trPr>
          <w:cantSplit/>
          <w:trHeight w:val="814"/>
          <w:jc w:val="center"/>
        </w:trPr>
        <w:tc>
          <w:tcPr>
            <w:tcW w:w="1610"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合同管理</w:t>
            </w:r>
          </w:p>
        </w:tc>
        <w:tc>
          <w:tcPr>
            <w:tcW w:w="7606" w:type="dxa"/>
            <w:vAlign w:val="center"/>
          </w:tcPr>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轮岗周期内所有关键岗位已轮岗或开展专项审计：</w:t>
            </w:r>
            <w:r>
              <w:rPr>
                <w:rFonts w:ascii="仿宋" w:eastAsia="仿宋" w:hAnsi="仿宋" w:hint="eastAsia"/>
                <w:color w:val="000000" w:themeColor="text1"/>
                <w:sz w:val="24"/>
                <w:lang w:eastAsia="zh-CN"/>
                <w14:textFill>
                  <w14:solidFill>
                    <w14:schemeClr w14:val="tx1"/>
                  </w14:solidFill>
                </w14:textFill>
              </w:rPr>
              <w:t>966</w:t>
            </w:r>
          </w:p>
          <w:p>
            <w:pPr>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轮岗周期内部分关键岗位已轮岗或开展专项审计：</w:t>
            </w:r>
            <w:r>
              <w:rPr>
                <w:rFonts w:ascii="仿宋" w:eastAsia="仿宋" w:hAnsi="仿宋" w:hint="eastAsia"/>
                <w:color w:val="000000" w:themeColor="text1"/>
                <w:sz w:val="24"/>
                <w:lang w:eastAsia="zh-CN"/>
                <w14:textFill>
                  <w14:solidFill>
                    <w14:schemeClr w14:val="tx1"/>
                  </w14:solidFill>
                </w14:textFill>
              </w:rPr>
              <w:t>591</w:t>
            </w:r>
          </w:p>
          <w:p>
            <w:pPr>
              <w:jc w:val="left"/>
              <w:rPr>
                <w:rFonts w:eastAsia="仿宋" w:hint="eastAsia"/>
                <w:b/>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轮岗周期内所有关键岗位未进行轮岗且未开展专项审计：</w:t>
            </w:r>
            <w:r>
              <w:rPr>
                <w:rFonts w:ascii="仿宋" w:eastAsia="仿宋" w:hAnsi="仿宋" w:hint="eastAsia"/>
                <w:color w:val="000000" w:themeColor="text1"/>
                <w:sz w:val="24"/>
                <w:lang w:eastAsia="zh-CN"/>
                <w14:textFill>
                  <w14:solidFill>
                    <w14:schemeClr w14:val="tx1"/>
                  </w14:solidFill>
                </w14:textFill>
              </w:rPr>
              <w:t>357</w:t>
            </w:r>
          </w:p>
        </w:tc>
      </w:tr>
    </w:tbl>
    <w:p>
      <w:pPr>
        <w:ind w:firstLine="512"/>
        <w:rPr>
          <w:rFonts w:eastAsia="仿宋_GB2312" w:cs="仿宋_GB2312"/>
          <w:color w:val="000000" w:themeColor="text1"/>
          <w:spacing w:val="-12"/>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（四）202</w:t>
      </w:r>
      <w:r>
        <w:rPr>
          <w:rFonts w:eastAsia="仿宋_GB2312" w:cs="仿宋_GB2312"/>
          <w:color w:val="000000" w:themeColor="text1"/>
          <w:spacing w:val="-12"/>
          <w:sz w:val="28"/>
          <w:szCs w:val="28"/>
          <w14:textFill>
            <w14:solidFill>
              <w14:schemeClr w14:val="tx1"/>
            </w14:solidFill>
          </w14:textFill>
        </w:rPr>
        <w:t>3</w:t>
      </w:r>
      <w:r>
        <w:rPr>
          <w:rFonts w:eastAsia="仿宋_GB2312" w:cs="仿宋_GB2312" w:hint="eastAsia"/>
          <w:color w:val="000000" w:themeColor="text1"/>
          <w:spacing w:val="-12"/>
          <w:sz w:val="28"/>
          <w:szCs w:val="28"/>
          <w14:textFill>
            <w14:solidFill>
              <w14:schemeClr w14:val="tx1"/>
            </w14:solidFill>
          </w14:textFill>
        </w:rPr>
        <w:t>年度业务层面风险评估覆盖情况（单位数）</w:t>
      </w:r>
    </w:p>
    <w:tbl>
      <w:tblPr>
        <w:tblStyle w:val="TableNormal"/>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2410"/>
        <w:gridCol w:w="2126"/>
        <w:gridCol w:w="2410"/>
      </w:tblGrid>
      <w:tr>
        <w:tblPrEx>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1"/>
          <w:jc w:val="center"/>
        </w:trPr>
        <w:tc>
          <w:tcPr>
            <w:tcW w:w="2268"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预算业务是否开展风险评估</w:t>
            </w:r>
          </w:p>
        </w:tc>
        <w:tc>
          <w:tcPr>
            <w:tcW w:w="2410" w:type="dxa"/>
            <w:vAlign w:val="center"/>
          </w:tcPr>
          <w:p>
            <w:pPr>
              <w:spacing w:line="320" w:lineRule="exact"/>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1645</w:t>
            </w:r>
          </w:p>
          <w:p>
            <w:pPr>
              <w:spacing w:line="320" w:lineRule="exact"/>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264</w:t>
            </w:r>
          </w:p>
        </w:tc>
        <w:tc>
          <w:tcPr>
            <w:tcW w:w="2126"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收支业务是否开展风险评估</w:t>
            </w:r>
          </w:p>
        </w:tc>
        <w:tc>
          <w:tcPr>
            <w:tcW w:w="2410" w:type="dxa"/>
            <w:vAlign w:val="center"/>
          </w:tcPr>
          <w:p>
            <w:pPr>
              <w:spacing w:line="320" w:lineRule="exact"/>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1663</w:t>
            </w:r>
          </w:p>
          <w:p>
            <w:pPr>
              <w:spacing w:line="320" w:lineRule="exact"/>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277</w:t>
            </w:r>
          </w:p>
        </w:tc>
      </w:tr>
      <w:tr>
        <w:tblPrEx>
          <w:tblW w:w="9214" w:type="dxa"/>
          <w:jc w:val="center"/>
          <w:tblLayout w:type="fixed"/>
          <w:tblCellMar>
            <w:top w:w="0" w:type="dxa"/>
            <w:left w:w="108" w:type="dxa"/>
            <w:bottom w:w="0" w:type="dxa"/>
            <w:right w:w="108" w:type="dxa"/>
          </w:tblCellMar>
        </w:tblPrEx>
        <w:trPr>
          <w:trHeight w:val="452"/>
          <w:jc w:val="center"/>
        </w:trPr>
        <w:tc>
          <w:tcPr>
            <w:tcW w:w="2268"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政府采购业务是否开展风险评估</w:t>
            </w:r>
          </w:p>
        </w:tc>
        <w:tc>
          <w:tcPr>
            <w:tcW w:w="2410" w:type="dxa"/>
            <w:vAlign w:val="center"/>
          </w:tcPr>
          <w:p>
            <w:pPr>
              <w:spacing w:line="320" w:lineRule="exact"/>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1648</w:t>
            </w:r>
          </w:p>
          <w:p>
            <w:pPr>
              <w:spacing w:line="320" w:lineRule="exact"/>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279</w:t>
            </w:r>
          </w:p>
        </w:tc>
        <w:tc>
          <w:tcPr>
            <w:tcW w:w="2126"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资产管理是否开展风险评估</w:t>
            </w:r>
          </w:p>
        </w:tc>
        <w:tc>
          <w:tcPr>
            <w:tcW w:w="2410" w:type="dxa"/>
            <w:vAlign w:val="center"/>
          </w:tcPr>
          <w:p>
            <w:pPr>
              <w:spacing w:line="320" w:lineRule="exact"/>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1656</w:t>
            </w:r>
          </w:p>
          <w:p>
            <w:pPr>
              <w:spacing w:line="320" w:lineRule="exact"/>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275</w:t>
            </w:r>
          </w:p>
        </w:tc>
      </w:tr>
      <w:tr>
        <w:tblPrEx>
          <w:tblW w:w="9214" w:type="dxa"/>
          <w:jc w:val="center"/>
          <w:tblLayout w:type="fixed"/>
          <w:tblCellMar>
            <w:top w:w="0" w:type="dxa"/>
            <w:left w:w="108" w:type="dxa"/>
            <w:bottom w:w="0" w:type="dxa"/>
            <w:right w:w="108" w:type="dxa"/>
          </w:tblCellMar>
        </w:tblPrEx>
        <w:trPr>
          <w:trHeight w:val="708"/>
          <w:jc w:val="center"/>
        </w:trPr>
        <w:tc>
          <w:tcPr>
            <w:tcW w:w="2268"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建设项目管理是否开展风险评估</w:t>
            </w:r>
          </w:p>
        </w:tc>
        <w:tc>
          <w:tcPr>
            <w:tcW w:w="2410" w:type="dxa"/>
            <w:vAlign w:val="center"/>
          </w:tcPr>
          <w:p>
            <w:pPr>
              <w:spacing w:line="320" w:lineRule="exact"/>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1483</w:t>
            </w:r>
          </w:p>
          <w:p>
            <w:pPr>
              <w:spacing w:line="320" w:lineRule="exact"/>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259</w:t>
            </w:r>
          </w:p>
        </w:tc>
        <w:tc>
          <w:tcPr>
            <w:tcW w:w="2126"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合同管理是否开展风险评估</w:t>
            </w:r>
          </w:p>
        </w:tc>
        <w:tc>
          <w:tcPr>
            <w:tcW w:w="2410" w:type="dxa"/>
            <w:vAlign w:val="center"/>
          </w:tcPr>
          <w:p>
            <w:pPr>
              <w:spacing w:line="320" w:lineRule="exact"/>
              <w:jc w:val="center"/>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1634</w:t>
            </w:r>
          </w:p>
          <w:p>
            <w:pPr>
              <w:spacing w:line="320" w:lineRule="exact"/>
              <w:jc w:val="center"/>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280</w:t>
            </w:r>
          </w:p>
        </w:tc>
      </w:tr>
      <w:tr>
        <w:tblPrEx>
          <w:tblW w:w="9214" w:type="dxa"/>
          <w:jc w:val="center"/>
          <w:tblLayout w:type="fixed"/>
          <w:tblCellMar>
            <w:top w:w="0" w:type="dxa"/>
            <w:left w:w="108" w:type="dxa"/>
            <w:bottom w:w="0" w:type="dxa"/>
            <w:right w:w="108" w:type="dxa"/>
          </w:tblCellMar>
        </w:tblPrEx>
        <w:trPr>
          <w:trHeight w:val="708"/>
          <w:jc w:val="center"/>
        </w:trPr>
        <w:tc>
          <w:tcPr>
            <w:tcW w:w="9214" w:type="dxa"/>
            <w:gridSpan w:val="4"/>
            <w:vAlign w:val="center"/>
          </w:tcPr>
          <w:p>
            <w:pPr>
              <w:spacing w:line="320" w:lineRule="exact"/>
              <w:jc w:val="left"/>
              <w:rPr>
                <w:rFonts w:ascii="仿宋" w:eastAsia="仿宋" w:hAnsi="仿宋" w:hint="eastAsia"/>
                <w:color w:val="000000" w:themeColor="text1"/>
                <w:sz w:val="24"/>
                <w:lang w:eastAsia="zh-CN"/>
                <w14:textFill>
                  <w14:solidFill>
                    <w14:schemeClr w14:val="tx1"/>
                  </w14:solidFill>
                </w14:textFill>
              </w:rPr>
            </w:pPr>
            <w:r>
              <w:rPr>
                <w:rFonts w:ascii="仿宋" w:eastAsia="仿宋" w:hAnsi="仿宋" w:hint="eastAsia"/>
                <w:color w:val="000000" w:themeColor="text1"/>
                <w:sz w:val="24"/>
                <w:lang w:val="en-US" w:eastAsia="zh-CN"/>
                <w14:textFill>
                  <w14:solidFill>
                    <w14:schemeClr w14:val="tx1"/>
                  </w14:solidFill>
                </w14:textFill>
              </w:rPr>
              <w:t>开展其他业务领域风险评估的单位数量：</w:t>
            </w:r>
            <w:r>
              <w:rPr>
                <w:rFonts w:ascii="仿宋" w:eastAsia="仿宋" w:hAnsi="仿宋" w:hint="eastAsia"/>
                <w:color w:val="000000" w:themeColor="text1"/>
                <w:sz w:val="24"/>
                <w:lang w:eastAsia="zh-CN"/>
                <w14:textFill>
                  <w14:solidFill>
                    <w14:schemeClr w14:val="tx1"/>
                  </w14:solidFill>
                </w14:textFill>
              </w:rPr>
              <w:t>0</w:t>
            </w:r>
          </w:p>
        </w:tc>
      </w:tr>
    </w:tbl>
    <w:p>
      <w:pPr>
        <w:ind w:firstLine="512"/>
        <w:rPr>
          <w:rFonts w:eastAsia="仿宋_GB2312" w:cs="仿宋_GB2312"/>
          <w:color w:val="000000" w:themeColor="text1"/>
          <w:spacing w:val="-12"/>
          <w:sz w:val="28"/>
          <w:szCs w:val="28"/>
          <w14:textFill>
            <w14:solidFill>
              <w14:schemeClr w14:val="tx1"/>
            </w14:solidFill>
          </w14:textFill>
        </w:rPr>
      </w:pPr>
    </w:p>
    <w:p>
      <w:pPr>
        <w:ind w:firstLine="512"/>
        <w:rPr>
          <w:rFonts w:ascii="方正仿宋_GBK" w:eastAsia="方正仿宋_GBK" w:hAnsi="方正仿宋_GBK" w:cs="方正仿宋_GBK"/>
          <w:color w:val="000000" w:themeColor="text1"/>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（五）建立健全内部控制制度情况（单位数）</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733"/>
        <w:gridCol w:w="1231"/>
        <w:gridCol w:w="1680"/>
        <w:gridCol w:w="1626"/>
        <w:gridCol w:w="389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749"/>
          <w:jc w:val="center"/>
        </w:trPr>
        <w:tc>
          <w:tcPr>
            <w:tcW w:w="733" w:type="dxa"/>
            <w:vAlign w:val="center"/>
          </w:tcPr>
          <w:p>
            <w:pPr>
              <w:keepLines/>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业务类型</w:t>
            </w:r>
          </w:p>
        </w:tc>
        <w:tc>
          <w:tcPr>
            <w:tcW w:w="1231" w:type="dxa"/>
            <w:vAlign w:val="center"/>
          </w:tcPr>
          <w:p>
            <w:pPr>
              <w:keepLines/>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环节</w:t>
            </w:r>
          </w:p>
          <w:p>
            <w:pPr>
              <w:keepLines/>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（类别）</w:t>
            </w:r>
          </w:p>
        </w:tc>
        <w:tc>
          <w:tcPr>
            <w:tcW w:w="1680" w:type="dxa"/>
            <w:vAlign w:val="center"/>
          </w:tcPr>
          <w:p>
            <w:pPr>
              <w:keepLines/>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是否建立制度和流程图</w:t>
            </w:r>
          </w:p>
        </w:tc>
        <w:tc>
          <w:tcPr>
            <w:tcW w:w="1626" w:type="dxa"/>
            <w:vAlign w:val="center"/>
          </w:tcPr>
          <w:p>
            <w:pPr>
              <w:keepLines/>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w:t>
            </w:r>
            <w:r>
              <w:rPr>
                <w:rFonts w:eastAsia="仿宋_GB2312" w:cs="仿宋_GB2312"/>
                <w:color w:val="000000" w:themeColor="text1"/>
                <w:spacing w:val="-12"/>
                <w:sz w:val="24"/>
                <w14:textFill>
                  <w14:solidFill>
                    <w14:schemeClr w14:val="tx1"/>
                  </w14:solidFill>
                </w14:textFill>
              </w:rPr>
              <w:t>3</w:t>
            </w:r>
            <w:r>
              <w:rPr>
                <w:rFonts w:eastAsia="仿宋_GB2312" w:cs="仿宋_GB2312" w:hint="eastAsia"/>
                <w:color w:val="000000" w:themeColor="text1"/>
                <w:spacing w:val="-12"/>
                <w:sz w:val="24"/>
                <w14:textFill>
                  <w14:solidFill>
                    <w14:schemeClr w14:val="tx1"/>
                  </w14:solidFill>
                </w14:textFill>
              </w:rPr>
              <w:t>年度是否更新</w:t>
            </w:r>
          </w:p>
        </w:tc>
        <w:tc>
          <w:tcPr>
            <w:tcW w:w="3897" w:type="dxa"/>
            <w:vAlign w:val="center"/>
          </w:tcPr>
          <w:p>
            <w:pPr>
              <w:keepLines/>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内控制度覆盖关键管控点情况</w:t>
            </w:r>
          </w:p>
        </w:tc>
      </w:tr>
      <w:tr>
        <w:tblPrEx>
          <w:tblW w:w="0" w:type="auto"/>
          <w:jc w:val="center"/>
          <w:tblLayout w:type="fixed"/>
          <w:tblCellMar>
            <w:top w:w="0" w:type="dxa"/>
            <w:left w:w="57" w:type="dxa"/>
            <w:bottom w:w="0" w:type="dxa"/>
            <w:right w:w="57" w:type="dxa"/>
          </w:tblCellMar>
        </w:tblPrEx>
        <w:trPr>
          <w:cantSplit/>
          <w:trHeight w:val="1060"/>
          <w:jc w:val="center"/>
        </w:trPr>
        <w:tc>
          <w:tcPr>
            <w:tcW w:w="733" w:type="dxa"/>
            <w:vMerge w:val="restart"/>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预算业务</w:t>
            </w:r>
          </w:p>
        </w:tc>
        <w:tc>
          <w:tcPr>
            <w:tcW w:w="1231" w:type="dxa"/>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预算编制与审核</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1732</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177</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1411</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498</w:t>
            </w:r>
          </w:p>
        </w:tc>
        <w:tc>
          <w:tcPr>
            <w:tcW w:w="1626" w:type="dxa"/>
            <w:vMerge w:val="restart"/>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726</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984</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577</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811</w:t>
            </w:r>
          </w:p>
          <w:p>
            <w:pPr>
              <w:keepLines/>
              <w:widowControl/>
              <w:rPr>
                <w:rFonts w:ascii="仿宋" w:eastAsia="仿宋" w:hAnsi="仿宋"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单位预算项目库入库标准与动态管理：</w:t>
            </w:r>
            <w:r>
              <w:rPr>
                <w:rFonts w:ascii="仿宋" w:eastAsia="仿宋" w:hAnsi="仿宋" w:cs="楷体_GB2312" w:hint="eastAsia"/>
                <w:color w:val="000000" w:themeColor="text1"/>
                <w:sz w:val="24"/>
                <w:lang w:eastAsia="zh-CN"/>
                <w14:textFill>
                  <w14:solidFill>
                    <w14:schemeClr w14:val="tx1"/>
                  </w14:solidFill>
                </w14:textFill>
              </w:rPr>
              <w:t>1546</w:t>
            </w:r>
          </w:p>
          <w:p>
            <w:pPr>
              <w:keepLines/>
              <w:widowControl/>
              <w:jc w:val="left"/>
              <w:rPr>
                <w:rFonts w:ascii="仿宋" w:eastAsia="仿宋" w:hAnsi="仿宋" w:cs="楷体_GB2312" w:hint="default"/>
                <w:color w:val="000000" w:themeColor="text1"/>
                <w:sz w:val="24"/>
                <w:lang w:val="en-US"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单位预算编制主体、程序及标准：</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eastAsia="zh-CN"/>
                <w14:textFill>
                  <w14:solidFill>
                    <w14:schemeClr w14:val="tx1"/>
                  </w14:solidFill>
                </w14:textFill>
              </w:rPr>
              <w:t>1634</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单位预算分解及下达：</w:t>
            </w:r>
            <w:r>
              <w:rPr>
                <w:rFonts w:ascii="仿宋" w:eastAsia="仿宋" w:hAnsi="仿宋" w:cs="楷体_GB2312" w:hint="eastAsia"/>
                <w:color w:val="000000" w:themeColor="text1"/>
                <w:sz w:val="24"/>
                <w:lang w:eastAsia="zh-CN"/>
                <w14:textFill>
                  <w14:solidFill>
                    <w14:schemeClr w14:val="tx1"/>
                  </w14:solidFill>
                </w14:textFill>
              </w:rPr>
              <w:t>1493</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预决算公开：</w:t>
            </w:r>
            <w:r>
              <w:rPr>
                <w:rFonts w:ascii="仿宋" w:eastAsia="仿宋" w:hAnsi="仿宋" w:cs="楷体_GB2312" w:hint="eastAsia"/>
                <w:color w:val="000000" w:themeColor="text1"/>
                <w:sz w:val="24"/>
                <w:lang w:eastAsia="zh-CN"/>
                <w14:textFill>
                  <w14:solidFill>
                    <w14:schemeClr w14:val="tx1"/>
                  </w14:solidFill>
                </w14:textFill>
              </w:rPr>
              <w:t>1567</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24</w:t>
            </w:r>
          </w:p>
        </w:tc>
      </w:tr>
      <w:tr>
        <w:tblPrEx>
          <w:tblW w:w="0" w:type="auto"/>
          <w:jc w:val="center"/>
          <w:tblLayout w:type="fixed"/>
          <w:tblCellMar>
            <w:top w:w="0" w:type="dxa"/>
            <w:left w:w="57" w:type="dxa"/>
            <w:bottom w:w="0" w:type="dxa"/>
            <w:right w:w="57" w:type="dxa"/>
          </w:tblCellMar>
        </w:tblPrEx>
        <w:trPr>
          <w:cantSplit/>
          <w:trHeight w:val="615"/>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预算执行与调整</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1729</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177</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1400</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506</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单位预算执行分析次数、内容及结果应用：</w:t>
            </w:r>
            <w:r>
              <w:rPr>
                <w:rFonts w:ascii="仿宋" w:eastAsia="仿宋" w:hAnsi="仿宋" w:cs="楷体_GB2312" w:hint="eastAsia"/>
                <w:color w:val="000000" w:themeColor="text1"/>
                <w:sz w:val="24"/>
                <w:lang w:eastAsia="zh-CN"/>
                <w14:textFill>
                  <w14:solidFill>
                    <w14:schemeClr w14:val="tx1"/>
                  </w14:solidFill>
                </w14:textFill>
              </w:rPr>
              <w:t>1623</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单位预算调整主体、程序及标准：</w:t>
            </w:r>
            <w:r>
              <w:rPr>
                <w:rFonts w:ascii="仿宋" w:eastAsia="仿宋" w:hAnsi="仿宋" w:cs="楷体_GB2312" w:hint="eastAsia"/>
                <w:color w:val="000000" w:themeColor="text1"/>
                <w:sz w:val="24"/>
                <w:lang w:eastAsia="zh-CN"/>
                <w14:textFill>
                  <w14:solidFill>
                    <w14:schemeClr w14:val="tx1"/>
                  </w14:solidFill>
                </w14:textFill>
              </w:rPr>
              <w:t>1642</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24</w:t>
            </w:r>
          </w:p>
        </w:tc>
      </w:tr>
      <w:tr>
        <w:tblPrEx>
          <w:tblW w:w="0" w:type="auto"/>
          <w:jc w:val="center"/>
          <w:tblLayout w:type="fixed"/>
          <w:tblCellMar>
            <w:top w:w="0" w:type="dxa"/>
            <w:left w:w="57" w:type="dxa"/>
            <w:bottom w:w="0" w:type="dxa"/>
            <w:right w:w="57" w:type="dxa"/>
          </w:tblCellMar>
        </w:tblPrEx>
        <w:trPr>
          <w:cantSplit/>
          <w:trHeight w:val="774"/>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决算管理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1710</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186</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1375</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521</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单位决算编制主体、程序及标准:</w:t>
            </w:r>
            <w:r>
              <w:rPr>
                <w:rFonts w:ascii="仿宋" w:eastAsia="仿宋" w:hAnsi="仿宋" w:cs="楷体_GB2312" w:hint="eastAsia"/>
                <w:color w:val="000000" w:themeColor="text1"/>
                <w:sz w:val="24"/>
                <w:lang w:eastAsia="zh-CN"/>
                <w14:textFill>
                  <w14:solidFill>
                    <w14:schemeClr w14:val="tx1"/>
                  </w14:solidFill>
                </w14:textFill>
              </w:rPr>
              <w:t>1669</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单位决算分析报告内容与应用机制：</w:t>
            </w:r>
            <w:r>
              <w:rPr>
                <w:rFonts w:ascii="仿宋" w:eastAsia="仿宋" w:hAnsi="仿宋" w:cs="楷体_GB2312" w:hint="eastAsia"/>
                <w:color w:val="000000" w:themeColor="text1"/>
                <w:sz w:val="24"/>
                <w:lang w:eastAsia="zh-CN"/>
                <w14:textFill>
                  <w14:solidFill>
                    <w14:schemeClr w14:val="tx1"/>
                  </w14:solidFill>
                </w14:textFill>
              </w:rPr>
              <w:t>1597</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19</w:t>
            </w:r>
          </w:p>
        </w:tc>
      </w:tr>
      <w:tr>
        <w:tblPrEx>
          <w:tblW w:w="0" w:type="auto"/>
          <w:jc w:val="center"/>
          <w:tblLayout w:type="fixed"/>
          <w:tblCellMar>
            <w:top w:w="0" w:type="dxa"/>
            <w:left w:w="57" w:type="dxa"/>
            <w:bottom w:w="0" w:type="dxa"/>
            <w:right w:w="57" w:type="dxa"/>
          </w:tblCellMar>
        </w:tblPrEx>
        <w:trPr>
          <w:cantSplit/>
          <w:trHeight w:val="2188"/>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绩效管理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1696</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188</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1350</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534</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单位新增重大预算项目事前评估程序：</w:t>
            </w:r>
            <w:r>
              <w:rPr>
                <w:rFonts w:ascii="仿宋" w:eastAsia="仿宋" w:hAnsi="仿宋" w:cs="楷体_GB2312" w:hint="eastAsia"/>
                <w:color w:val="000000" w:themeColor="text1"/>
                <w:sz w:val="24"/>
                <w:lang w:eastAsia="zh-CN"/>
                <w14:textFill>
                  <w14:solidFill>
                    <w14:schemeClr w14:val="tx1"/>
                  </w14:solidFill>
                </w14:textFill>
              </w:rPr>
              <w:t>1457</w:t>
            </w:r>
          </w:p>
          <w:p>
            <w:pPr>
              <w:keepLines/>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单位整体绩效目标设定与审核：</w:t>
            </w:r>
            <w:r>
              <w:rPr>
                <w:rFonts w:ascii="仿宋" w:eastAsia="仿宋" w:hAnsi="仿宋" w:cs="楷体_GB2312" w:hint="eastAsia"/>
                <w:color w:val="000000" w:themeColor="text1"/>
                <w:sz w:val="24"/>
                <w:lang w:eastAsia="zh-CN"/>
                <w14:textFill>
                  <w14:solidFill>
                    <w14:schemeClr w14:val="tx1"/>
                  </w14:solidFill>
                </w14:textFill>
              </w:rPr>
              <w:t>1539</w:t>
            </w:r>
          </w:p>
          <w:p>
            <w:pPr>
              <w:keepLines/>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单位项目绩效目标设定与审核：</w:t>
            </w:r>
            <w:r>
              <w:rPr>
                <w:rFonts w:ascii="仿宋" w:eastAsia="仿宋" w:hAnsi="仿宋" w:cs="楷体_GB2312" w:hint="eastAsia"/>
                <w:color w:val="000000" w:themeColor="text1"/>
                <w:sz w:val="24"/>
                <w:lang w:eastAsia="zh-CN"/>
                <w14:textFill>
                  <w14:solidFill>
                    <w14:schemeClr w14:val="tx1"/>
                  </w14:solidFill>
                </w14:textFill>
              </w:rPr>
              <w:t>1558</w:t>
            </w:r>
          </w:p>
          <w:p>
            <w:pPr>
              <w:keepLines/>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单位项目绩效运行监控：</w:t>
            </w:r>
            <w:r>
              <w:rPr>
                <w:rFonts w:ascii="仿宋" w:eastAsia="仿宋" w:hAnsi="仿宋" w:cs="楷体_GB2312" w:hint="eastAsia"/>
                <w:color w:val="000000" w:themeColor="text1"/>
                <w:sz w:val="24"/>
                <w:lang w:eastAsia="zh-CN"/>
                <w14:textFill>
                  <w14:solidFill>
                    <w14:schemeClr w14:val="tx1"/>
                  </w14:solidFill>
                </w14:textFill>
              </w:rPr>
              <w:t>1503</w:t>
            </w:r>
          </w:p>
          <w:p>
            <w:pPr>
              <w:keepLines/>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单位整体绩效评价主体、程序及结果：</w:t>
            </w:r>
            <w:r>
              <w:rPr>
                <w:rFonts w:ascii="仿宋" w:eastAsia="仿宋" w:hAnsi="仿宋" w:cs="楷体_GB2312" w:hint="eastAsia"/>
                <w:color w:val="000000" w:themeColor="text1"/>
                <w:sz w:val="24"/>
                <w:lang w:eastAsia="zh-CN"/>
                <w14:textFill>
                  <w14:solidFill>
                    <w14:schemeClr w14:val="tx1"/>
                  </w14:solidFill>
                </w14:textFill>
              </w:rPr>
              <w:t>1500</w:t>
            </w:r>
          </w:p>
          <w:p>
            <w:pPr>
              <w:keepLines/>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单位项目绩效评价主体、程序及结果应用：</w:t>
            </w:r>
            <w:r>
              <w:rPr>
                <w:rFonts w:ascii="仿宋" w:eastAsia="仿宋" w:hAnsi="仿宋" w:cs="楷体_GB2312" w:hint="eastAsia"/>
                <w:color w:val="000000" w:themeColor="text1"/>
                <w:sz w:val="24"/>
                <w:lang w:eastAsia="zh-CN"/>
                <w14:textFill>
                  <w14:solidFill>
                    <w14:schemeClr w14:val="tx1"/>
                  </w14:solidFill>
                </w14:textFill>
              </w:rPr>
              <w:t>1457</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19</w:t>
            </w:r>
          </w:p>
        </w:tc>
      </w:tr>
      <w:tr>
        <w:tblPrEx>
          <w:tblW w:w="0" w:type="auto"/>
          <w:jc w:val="center"/>
          <w:tblLayout w:type="fixed"/>
          <w:tblCellMar>
            <w:top w:w="0" w:type="dxa"/>
            <w:left w:w="57" w:type="dxa"/>
            <w:bottom w:w="0" w:type="dxa"/>
            <w:right w:w="57" w:type="dxa"/>
          </w:tblCellMar>
        </w:tblPrEx>
        <w:trPr>
          <w:cantSplit/>
          <w:trHeight w:val="942"/>
          <w:jc w:val="center"/>
        </w:trPr>
        <w:tc>
          <w:tcPr>
            <w:tcW w:w="733" w:type="dxa"/>
            <w:vMerge w:val="restart"/>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收支业务</w:t>
            </w:r>
          </w:p>
        </w:tc>
        <w:tc>
          <w:tcPr>
            <w:tcW w:w="1231" w:type="dxa"/>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收入管理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1758</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173</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1416</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515</w:t>
            </w:r>
          </w:p>
        </w:tc>
        <w:tc>
          <w:tcPr>
            <w:tcW w:w="1626" w:type="dxa"/>
            <w:vMerge w:val="restart"/>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787</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952</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597</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846</w:t>
            </w:r>
          </w:p>
          <w:p>
            <w:pPr>
              <w:keepLines/>
              <w:widowControl/>
              <w:rPr>
                <w:rFonts w:ascii="仿宋" w:eastAsia="仿宋" w:hAnsi="仿宋"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单位财政收入种类与收缴管理：</w:t>
            </w:r>
            <w:r>
              <w:rPr>
                <w:rFonts w:ascii="仿宋" w:eastAsia="仿宋" w:hAnsi="仿宋" w:cs="楷体_GB2312" w:hint="eastAsia"/>
                <w:color w:val="000000" w:themeColor="text1"/>
                <w:sz w:val="24"/>
                <w:lang w:eastAsia="zh-CN"/>
                <w14:textFill>
                  <w14:solidFill>
                    <w14:schemeClr w14:val="tx1"/>
                  </w14:solidFill>
                </w14:textFill>
              </w:rPr>
              <w:t>1716</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单位非财政收入种类与收缴管理：</w:t>
            </w:r>
            <w:r>
              <w:rPr>
                <w:rFonts w:ascii="仿宋" w:eastAsia="仿宋" w:hAnsi="仿宋" w:cs="楷体_GB2312" w:hint="eastAsia"/>
                <w:color w:val="000000" w:themeColor="text1"/>
                <w:sz w:val="24"/>
                <w:lang w:eastAsia="zh-CN"/>
                <w14:textFill>
                  <w14:solidFill>
                    <w14:schemeClr w14:val="tx1"/>
                  </w14:solidFill>
                </w14:textFill>
              </w:rPr>
              <w:t>1498</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15</w:t>
            </w:r>
          </w:p>
        </w:tc>
      </w:tr>
      <w:tr>
        <w:tblPrEx>
          <w:tblW w:w="0" w:type="auto"/>
          <w:jc w:val="center"/>
          <w:tblLayout w:type="fixed"/>
          <w:tblCellMar>
            <w:top w:w="0" w:type="dxa"/>
            <w:left w:w="57" w:type="dxa"/>
            <w:bottom w:w="0" w:type="dxa"/>
            <w:right w:w="57" w:type="dxa"/>
          </w:tblCellMar>
        </w:tblPrEx>
        <w:trPr>
          <w:cantSplit/>
          <w:trHeight w:val="942"/>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票据管理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1707</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184</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1355</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536</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单位财政票据申领、使用保管及核销：</w:t>
            </w:r>
            <w:r>
              <w:rPr>
                <w:rFonts w:ascii="仿宋" w:eastAsia="仿宋" w:hAnsi="仿宋" w:cs="楷体_GB2312" w:hint="eastAsia"/>
                <w:color w:val="000000" w:themeColor="text1"/>
                <w:sz w:val="24"/>
                <w:lang w:eastAsia="zh-CN"/>
                <w14:textFill>
                  <w14:solidFill>
                    <w14:schemeClr w14:val="tx1"/>
                  </w14:solidFill>
                </w14:textFill>
              </w:rPr>
              <w:t>1661</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单位发票申领、使用保管及核销：</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15</w:t>
            </w:r>
          </w:p>
        </w:tc>
      </w:tr>
      <w:tr>
        <w:tblPrEx>
          <w:tblW w:w="0" w:type="auto"/>
          <w:jc w:val="center"/>
          <w:tblLayout w:type="fixed"/>
          <w:tblCellMar>
            <w:top w:w="0" w:type="dxa"/>
            <w:left w:w="57" w:type="dxa"/>
            <w:bottom w:w="0" w:type="dxa"/>
            <w:right w:w="57" w:type="dxa"/>
          </w:tblCellMar>
        </w:tblPrEx>
        <w:trPr>
          <w:cantSplit/>
          <w:trHeight w:val="641"/>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支出管理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1764</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175</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1454</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485</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单位支出范围与标准：</w:t>
            </w:r>
            <w:r>
              <w:rPr>
                <w:rFonts w:ascii="仿宋" w:eastAsia="仿宋" w:hAnsi="仿宋" w:cs="楷体_GB2312" w:hint="eastAsia"/>
                <w:color w:val="000000" w:themeColor="text1"/>
                <w:sz w:val="24"/>
                <w:lang w:eastAsia="zh-CN"/>
                <w14:textFill>
                  <w14:solidFill>
                    <w14:schemeClr w14:val="tx1"/>
                  </w14:solidFill>
                </w14:textFill>
              </w:rPr>
              <w:t>1740</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单位各类支出审批权限：</w:t>
            </w:r>
            <w:r>
              <w:rPr>
                <w:rFonts w:ascii="仿宋" w:eastAsia="仿宋" w:hAnsi="仿宋" w:cs="楷体_GB2312" w:hint="eastAsia"/>
                <w:color w:val="000000" w:themeColor="text1"/>
                <w:sz w:val="24"/>
                <w:lang w:eastAsia="zh-CN"/>
                <w14:textFill>
                  <w14:solidFill>
                    <w14:schemeClr w14:val="tx1"/>
                  </w14:solidFill>
                </w14:textFill>
              </w:rPr>
              <w:t>1718</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单位支出核算和归档：</w:t>
            </w:r>
            <w:r>
              <w:rPr>
                <w:rFonts w:ascii="仿宋" w:eastAsia="仿宋" w:hAnsi="仿宋" w:cs="楷体_GB2312" w:hint="eastAsia"/>
                <w:color w:val="000000" w:themeColor="text1"/>
                <w:sz w:val="24"/>
                <w:lang w:eastAsia="zh-CN"/>
                <w14:textFill>
                  <w14:solidFill>
                    <w14:schemeClr w14:val="tx1"/>
                  </w14:solidFill>
                </w14:textFill>
              </w:rPr>
              <w:t>1436</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9</w:t>
            </w:r>
          </w:p>
        </w:tc>
      </w:tr>
      <w:tr>
        <w:tblPrEx>
          <w:tblW w:w="0" w:type="auto"/>
          <w:jc w:val="center"/>
          <w:tblLayout w:type="fixed"/>
          <w:tblCellMar>
            <w:top w:w="0" w:type="dxa"/>
            <w:left w:w="57" w:type="dxa"/>
            <w:bottom w:w="0" w:type="dxa"/>
            <w:right w:w="57" w:type="dxa"/>
          </w:tblCellMar>
        </w:tblPrEx>
        <w:trPr>
          <w:cantSplit/>
          <w:trHeight w:val="942"/>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公务卡管理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1616</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197</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1272</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541</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单位公务卡结算范围及报销程序：</w:t>
            </w:r>
            <w:r>
              <w:rPr>
                <w:rFonts w:ascii="仿宋" w:eastAsia="仿宋" w:hAnsi="仿宋" w:cs="楷体_GB2312" w:hint="eastAsia"/>
                <w:color w:val="000000" w:themeColor="text1"/>
                <w:sz w:val="24"/>
                <w:lang w:eastAsia="zh-CN"/>
                <w14:textFill>
                  <w14:solidFill>
                    <w14:schemeClr w14:val="tx1"/>
                  </w14:solidFill>
                </w14:textFill>
              </w:rPr>
              <w:t>1579</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单位公务卡办卡及销卡管理：</w:t>
            </w:r>
            <w:r>
              <w:rPr>
                <w:rFonts w:ascii="仿宋" w:eastAsia="仿宋" w:hAnsi="仿宋" w:cs="楷体_GB2312" w:hint="eastAsia"/>
                <w:color w:val="000000" w:themeColor="text1"/>
                <w:sz w:val="24"/>
                <w:lang w:eastAsia="zh-CN"/>
                <w14:textFill>
                  <w14:solidFill>
                    <w14:schemeClr w14:val="tx1"/>
                  </w14:solidFill>
                </w14:textFill>
              </w:rPr>
              <w:t>1520</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22</w:t>
            </w:r>
          </w:p>
        </w:tc>
      </w:tr>
      <w:tr>
        <w:tblPrEx>
          <w:tblW w:w="0" w:type="auto"/>
          <w:jc w:val="center"/>
          <w:tblLayout w:type="fixed"/>
          <w:tblCellMar>
            <w:top w:w="0" w:type="dxa"/>
            <w:left w:w="57" w:type="dxa"/>
            <w:bottom w:w="0" w:type="dxa"/>
            <w:right w:w="57" w:type="dxa"/>
          </w:tblCellMar>
        </w:tblPrEx>
        <w:trPr>
          <w:cantSplit/>
          <w:trHeight w:val="2542"/>
          <w:jc w:val="center"/>
        </w:trPr>
        <w:tc>
          <w:tcPr>
            <w:tcW w:w="733" w:type="dxa"/>
            <w:vMerge w:val="restart"/>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政府采购业务</w:t>
            </w:r>
          </w:p>
        </w:tc>
        <w:tc>
          <w:tcPr>
            <w:tcW w:w="1231" w:type="dxa"/>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采购需求管理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1751</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174</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1437</w:t>
            </w:r>
            <w:r>
              <w:rPr>
                <w:rFonts w:ascii="仿宋" w:eastAsia="仿宋" w:hAnsi="仿宋" w:cs="楷体_GB2312"/>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488</w:t>
            </w:r>
          </w:p>
        </w:tc>
        <w:tc>
          <w:tcPr>
            <w:tcW w:w="1626" w:type="dxa"/>
            <w:vMerge w:val="restart"/>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828</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905</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650</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783</w:t>
            </w:r>
          </w:p>
          <w:p>
            <w:pPr>
              <w:keepLines/>
              <w:widowControl/>
              <w:rPr>
                <w:rFonts w:ascii="仿宋" w:eastAsia="仿宋" w:hAnsi="仿宋"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采购需求的内容、合法性、合理性：</w:t>
            </w:r>
            <w:r>
              <w:rPr>
                <w:rFonts w:ascii="仿宋" w:eastAsia="仿宋" w:hAnsi="仿宋" w:cs="楷体_GB2312" w:hint="eastAsia"/>
                <w:color w:val="000000" w:themeColor="text1"/>
                <w:sz w:val="24"/>
                <w:lang w:eastAsia="zh-CN"/>
                <w14:textFill>
                  <w14:solidFill>
                    <w14:schemeClr w14:val="tx1"/>
                  </w14:solidFill>
                </w14:textFill>
              </w:rPr>
              <w:t>1720</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采购需求调查的主体、范围、内容、形式、存档：</w:t>
            </w:r>
            <w:r>
              <w:rPr>
                <w:rFonts w:ascii="仿宋" w:eastAsia="仿宋" w:hAnsi="仿宋" w:cs="楷体_GB2312" w:hint="eastAsia"/>
                <w:color w:val="000000" w:themeColor="text1"/>
                <w:sz w:val="24"/>
                <w:lang w:eastAsia="zh-CN"/>
                <w14:textFill>
                  <w14:solidFill>
                    <w14:schemeClr w14:val="tx1"/>
                  </w14:solidFill>
                </w14:textFill>
              </w:rPr>
              <w:t>1646</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采购实施计划（包括采购项目预算、采购组织形式、采购方式、落实政府采购政策等）的内容、存档：</w:t>
            </w:r>
            <w:r>
              <w:rPr>
                <w:rFonts w:ascii="仿宋" w:eastAsia="仿宋" w:hAnsi="仿宋" w:cs="楷体_GB2312" w:hint="eastAsia"/>
                <w:color w:val="000000" w:themeColor="text1"/>
                <w:sz w:val="24"/>
                <w:lang w:eastAsia="zh-CN"/>
                <w14:textFill>
                  <w14:solidFill>
                    <w14:schemeClr w14:val="tx1"/>
                  </w14:solidFill>
                </w14:textFill>
              </w:rPr>
              <w:t>1653</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采购需求审查的范围、内容、程序、成员、存档：</w:t>
            </w:r>
            <w:r>
              <w:rPr>
                <w:rFonts w:ascii="仿宋" w:eastAsia="仿宋" w:hAnsi="仿宋" w:cs="楷体_GB2312" w:hint="eastAsia"/>
                <w:color w:val="000000" w:themeColor="text1"/>
                <w:sz w:val="24"/>
                <w:lang w:eastAsia="zh-CN"/>
                <w14:textFill>
                  <w14:solidFill>
                    <w14:schemeClr w14:val="tx1"/>
                  </w14:solidFill>
                </w14:textFill>
              </w:rPr>
              <w:t>1580</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5</w:t>
            </w:r>
          </w:p>
        </w:tc>
      </w:tr>
      <w:tr>
        <w:tblPrEx>
          <w:tblW w:w="0" w:type="auto"/>
          <w:jc w:val="center"/>
          <w:tblLayout w:type="fixed"/>
          <w:tblCellMar>
            <w:top w:w="0" w:type="dxa"/>
            <w:left w:w="57" w:type="dxa"/>
            <w:bottom w:w="0" w:type="dxa"/>
            <w:right w:w="57" w:type="dxa"/>
          </w:tblCellMar>
        </w:tblPrEx>
        <w:trPr>
          <w:cantSplit/>
          <w:trHeight w:val="632"/>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变更采购方式</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1737</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175</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1396</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516</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申请变更采购方式的主体、程序：</w:t>
            </w:r>
            <w:r>
              <w:rPr>
                <w:rFonts w:ascii="仿宋" w:eastAsia="仿宋" w:hAnsi="仿宋" w:cs="楷体_GB2312" w:hint="eastAsia"/>
                <w:color w:val="000000" w:themeColor="text1"/>
                <w:sz w:val="24"/>
                <w:lang w:eastAsia="zh-CN"/>
                <w14:textFill>
                  <w14:solidFill>
                    <w14:schemeClr w14:val="tx1"/>
                  </w14:solidFill>
                </w14:textFill>
              </w:rPr>
              <w:t>1714</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23</w:t>
            </w:r>
          </w:p>
        </w:tc>
      </w:tr>
      <w:tr>
        <w:tblPrEx>
          <w:tblW w:w="0" w:type="auto"/>
          <w:jc w:val="center"/>
          <w:tblLayout w:type="fixed"/>
          <w:tblCellMar>
            <w:top w:w="0" w:type="dxa"/>
            <w:left w:w="57" w:type="dxa"/>
            <w:bottom w:w="0" w:type="dxa"/>
            <w:right w:w="57" w:type="dxa"/>
          </w:tblCellMar>
        </w:tblPrEx>
        <w:trPr>
          <w:cantSplit/>
          <w:trHeight w:val="1153"/>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采购进口产品</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1379</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155</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1116</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418</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申请采购进口产品的主体：</w:t>
            </w:r>
            <w:r>
              <w:rPr>
                <w:rFonts w:ascii="仿宋" w:eastAsia="仿宋" w:hAnsi="仿宋" w:cs="楷体_GB2312" w:hint="eastAsia"/>
                <w:color w:val="000000" w:themeColor="text1"/>
                <w:sz w:val="24"/>
                <w:lang w:eastAsia="zh-CN"/>
                <w14:textFill>
                  <w14:solidFill>
                    <w14:schemeClr w14:val="tx1"/>
                  </w14:solidFill>
                </w14:textFill>
              </w:rPr>
              <w:t>1325</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54</w:t>
            </w:r>
          </w:p>
        </w:tc>
      </w:tr>
      <w:tr>
        <w:tblPrEx>
          <w:tblW w:w="0" w:type="auto"/>
          <w:jc w:val="center"/>
          <w:tblLayout w:type="fixed"/>
          <w:tblCellMar>
            <w:top w:w="0" w:type="dxa"/>
            <w:left w:w="57" w:type="dxa"/>
            <w:bottom w:w="0" w:type="dxa"/>
            <w:right w:w="57" w:type="dxa"/>
          </w:tblCellMar>
        </w:tblPrEx>
        <w:trPr>
          <w:cantSplit/>
          <w:trHeight w:val="1029"/>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履约验收</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1749</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175</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1423</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501</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履约验收的主体、时间、方式、程序、内容、验收标准等：</w:t>
            </w:r>
            <w:r>
              <w:rPr>
                <w:rFonts w:ascii="仿宋" w:eastAsia="仿宋" w:hAnsi="仿宋" w:cs="楷体_GB2312" w:hint="eastAsia"/>
                <w:color w:val="000000" w:themeColor="text1"/>
                <w:sz w:val="24"/>
                <w:lang w:eastAsia="zh-CN"/>
                <w14:textFill>
                  <w14:solidFill>
                    <w14:schemeClr w14:val="tx1"/>
                  </w14:solidFill>
                </w14:textFill>
              </w:rPr>
              <w:t>1742</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8</w:t>
            </w:r>
          </w:p>
        </w:tc>
      </w:tr>
      <w:tr>
        <w:tblPrEx>
          <w:tblW w:w="0" w:type="auto"/>
          <w:jc w:val="center"/>
          <w:tblLayout w:type="fixed"/>
          <w:tblCellMar>
            <w:top w:w="0" w:type="dxa"/>
            <w:left w:w="57" w:type="dxa"/>
            <w:bottom w:w="0" w:type="dxa"/>
            <w:right w:w="57" w:type="dxa"/>
          </w:tblCellMar>
        </w:tblPrEx>
        <w:trPr>
          <w:cantSplit/>
          <w:trHeight w:val="1326"/>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信息公开</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1742</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180</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1407</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515</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信息公开的主体、范围、时间、内容、程序：</w:t>
            </w:r>
            <w:r>
              <w:rPr>
                <w:rFonts w:ascii="仿宋" w:eastAsia="仿宋" w:hAnsi="仿宋" w:cs="楷体_GB2312" w:hint="eastAsia"/>
                <w:color w:val="000000" w:themeColor="text1"/>
                <w:sz w:val="24"/>
                <w:lang w:eastAsia="zh-CN"/>
                <w14:textFill>
                  <w14:solidFill>
                    <w14:schemeClr w14:val="tx1"/>
                  </w14:solidFill>
                </w14:textFill>
              </w:rPr>
              <w:t>1730</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12</w:t>
            </w:r>
          </w:p>
        </w:tc>
      </w:tr>
      <w:tr>
        <w:tblPrEx>
          <w:tblW w:w="0" w:type="auto"/>
          <w:jc w:val="center"/>
          <w:tblLayout w:type="fixed"/>
          <w:tblCellMar>
            <w:top w:w="0" w:type="dxa"/>
            <w:left w:w="57" w:type="dxa"/>
            <w:bottom w:w="0" w:type="dxa"/>
            <w:right w:w="57" w:type="dxa"/>
          </w:tblCellMar>
        </w:tblPrEx>
        <w:trPr>
          <w:cantSplit/>
          <w:trHeight w:val="950"/>
          <w:jc w:val="center"/>
        </w:trPr>
        <w:tc>
          <w:tcPr>
            <w:tcW w:w="733" w:type="dxa"/>
            <w:vMerge w:val="restart"/>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资产管理</w:t>
            </w:r>
          </w:p>
        </w:tc>
        <w:tc>
          <w:tcPr>
            <w:tcW w:w="1231" w:type="dxa"/>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货币资金管理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1743</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174</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1392</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525</w:t>
            </w:r>
          </w:p>
        </w:tc>
        <w:tc>
          <w:tcPr>
            <w:tcW w:w="1626" w:type="dxa"/>
            <w:vMerge w:val="restart"/>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774</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952</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606</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810</w:t>
            </w:r>
          </w:p>
          <w:p>
            <w:pPr>
              <w:keepLines/>
              <w:widowControl/>
              <w:rPr>
                <w:rFonts w:ascii="仿宋" w:eastAsia="仿宋" w:hAnsi="仿宋"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单位银行账户类型，开立、变更、撤销程序及年检：</w:t>
            </w:r>
            <w:r>
              <w:rPr>
                <w:rFonts w:ascii="仿宋" w:eastAsia="仿宋" w:hAnsi="仿宋" w:cs="楷体_GB2312" w:hint="eastAsia"/>
                <w:color w:val="000000" w:themeColor="text1"/>
                <w:sz w:val="24"/>
                <w:lang w:eastAsia="zh-CN"/>
                <w14:textFill>
                  <w14:solidFill>
                    <w14:schemeClr w14:val="tx1"/>
                  </w14:solidFill>
                </w14:textFill>
              </w:rPr>
              <w:t>1709</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单位财务印章、银行密钥管理：</w:t>
            </w:r>
            <w:r>
              <w:rPr>
                <w:rFonts w:ascii="仿宋" w:eastAsia="仿宋" w:hAnsi="仿宋" w:cs="楷体_GB2312" w:hint="eastAsia"/>
                <w:color w:val="000000" w:themeColor="text1"/>
                <w:sz w:val="24"/>
                <w:lang w:eastAsia="zh-CN"/>
                <w14:textFill>
                  <w14:solidFill>
                    <w14:schemeClr w14:val="tx1"/>
                  </w14:solidFill>
                </w14:textFill>
              </w:rPr>
              <w:t>1652</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13</w:t>
            </w:r>
          </w:p>
        </w:tc>
      </w:tr>
      <w:tr>
        <w:tblPrEx>
          <w:tblW w:w="0" w:type="auto"/>
          <w:jc w:val="center"/>
          <w:tblLayout w:type="fixed"/>
          <w:tblCellMar>
            <w:top w:w="0" w:type="dxa"/>
            <w:left w:w="57" w:type="dxa"/>
            <w:bottom w:w="0" w:type="dxa"/>
            <w:right w:w="57" w:type="dxa"/>
          </w:tblCellMar>
        </w:tblPrEx>
        <w:trPr>
          <w:cantSplit/>
          <w:trHeight w:val="950"/>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固定资产管理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1754</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173</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1422</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505</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单位固定资产类别与配置标准：</w:t>
            </w:r>
            <w:r>
              <w:rPr>
                <w:rFonts w:ascii="仿宋" w:eastAsia="仿宋" w:hAnsi="仿宋" w:cs="楷体_GB2312" w:hint="eastAsia"/>
                <w:color w:val="000000" w:themeColor="text1"/>
                <w:sz w:val="24"/>
                <w:lang w:eastAsia="zh-CN"/>
                <w14:textFill>
                  <w14:solidFill>
                    <w14:schemeClr w14:val="tx1"/>
                  </w14:solidFill>
                </w14:textFill>
              </w:rPr>
              <w:t>1716</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单位固定资产使用管理：</w:t>
            </w:r>
            <w:r>
              <w:rPr>
                <w:rFonts w:ascii="仿宋" w:eastAsia="仿宋" w:hAnsi="仿宋" w:cs="楷体_GB2312" w:hint="eastAsia"/>
                <w:color w:val="000000" w:themeColor="text1"/>
                <w:sz w:val="24"/>
                <w:lang w:eastAsia="zh-CN"/>
                <w14:textFill>
                  <w14:solidFill>
                    <w14:schemeClr w14:val="tx1"/>
                  </w14:solidFill>
                </w14:textFill>
              </w:rPr>
              <w:t>1626</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单位固定资产清查范围及程序：</w:t>
            </w:r>
            <w:r>
              <w:rPr>
                <w:rFonts w:ascii="仿宋" w:eastAsia="仿宋" w:hAnsi="仿宋" w:cs="楷体_GB2312" w:hint="eastAsia"/>
                <w:color w:val="000000" w:themeColor="text1"/>
                <w:sz w:val="24"/>
                <w:lang w:eastAsia="zh-CN"/>
                <w14:textFill>
                  <w14:solidFill>
                    <w14:schemeClr w14:val="tx1"/>
                  </w14:solidFill>
                </w14:textFill>
              </w:rPr>
              <w:t>1691</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单位资产处置标准与审批权限：</w:t>
            </w:r>
            <w:r>
              <w:rPr>
                <w:rFonts w:ascii="仿宋" w:eastAsia="仿宋" w:hAnsi="仿宋" w:cs="楷体_GB2312" w:hint="eastAsia"/>
                <w:color w:val="000000" w:themeColor="text1"/>
                <w:sz w:val="24"/>
                <w:lang w:eastAsia="zh-CN"/>
                <w14:textFill>
                  <w14:solidFill>
                    <w14:schemeClr w14:val="tx1"/>
                  </w14:solidFill>
                </w14:textFill>
              </w:rPr>
              <w:t>1567</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5</w:t>
            </w:r>
          </w:p>
        </w:tc>
      </w:tr>
      <w:tr>
        <w:tblPrEx>
          <w:tblW w:w="0" w:type="auto"/>
          <w:jc w:val="center"/>
          <w:tblLayout w:type="fixed"/>
          <w:tblCellMar>
            <w:top w:w="0" w:type="dxa"/>
            <w:left w:w="57" w:type="dxa"/>
            <w:bottom w:w="0" w:type="dxa"/>
            <w:right w:w="57" w:type="dxa"/>
          </w:tblCellMar>
        </w:tblPrEx>
        <w:trPr>
          <w:cantSplit/>
          <w:trHeight w:val="1009"/>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无形资产管理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1566</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195</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1265</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496</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单位无形资产类别、登记确认、价值评估及处置：</w:t>
            </w:r>
            <w:r>
              <w:rPr>
                <w:rFonts w:ascii="仿宋" w:eastAsia="仿宋" w:hAnsi="仿宋" w:cs="楷体_GB2312" w:hint="eastAsia"/>
                <w:color w:val="000000" w:themeColor="text1"/>
                <w:sz w:val="24"/>
                <w:lang w:eastAsia="zh-CN"/>
                <w14:textFill>
                  <w14:solidFill>
                    <w14:schemeClr w14:val="tx1"/>
                  </w14:solidFill>
                </w14:textFill>
              </w:rPr>
              <w:t>1550</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18</w:t>
            </w:r>
          </w:p>
        </w:tc>
      </w:tr>
      <w:tr>
        <w:tblPrEx>
          <w:tblW w:w="0" w:type="auto"/>
          <w:jc w:val="center"/>
          <w:tblLayout w:type="fixed"/>
          <w:tblCellMar>
            <w:top w:w="0" w:type="dxa"/>
            <w:left w:w="57" w:type="dxa"/>
            <w:bottom w:w="0" w:type="dxa"/>
            <w:right w:w="57" w:type="dxa"/>
          </w:tblCellMar>
        </w:tblPrEx>
        <w:trPr>
          <w:cantSplit/>
          <w:trHeight w:val="2057"/>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对外投资管理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524</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71</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418</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177</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单位对外投资范围、立项及审批权限和程序：</w:t>
            </w:r>
            <w:r>
              <w:rPr>
                <w:rFonts w:ascii="仿宋" w:eastAsia="仿宋" w:hAnsi="仿宋" w:cs="楷体_GB2312" w:hint="eastAsia"/>
                <w:color w:val="000000" w:themeColor="text1"/>
                <w:sz w:val="24"/>
                <w:lang w:eastAsia="zh-CN"/>
                <w14:textFill>
                  <w14:solidFill>
                    <w14:schemeClr w14:val="tx1"/>
                  </w14:solidFill>
                </w14:textFill>
              </w:rPr>
              <w:t>483</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单位对外投资价值评估与收益管理：</w:t>
            </w:r>
            <w:r>
              <w:rPr>
                <w:rFonts w:ascii="仿宋" w:eastAsia="仿宋" w:hAnsi="仿宋" w:cs="楷体_GB2312" w:hint="eastAsia"/>
                <w:color w:val="000000" w:themeColor="text1"/>
                <w:sz w:val="24"/>
                <w:lang w:eastAsia="zh-CN"/>
                <w14:textFill>
                  <w14:solidFill>
                    <w14:schemeClr w14:val="tx1"/>
                  </w14:solidFill>
                </w14:textFill>
              </w:rPr>
              <w:t>446</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39</w:t>
            </w:r>
          </w:p>
        </w:tc>
      </w:tr>
      <w:tr>
        <w:tblPrEx>
          <w:tblW w:w="0" w:type="auto"/>
          <w:jc w:val="center"/>
          <w:tblLayout w:type="fixed"/>
          <w:tblCellMar>
            <w:top w:w="0" w:type="dxa"/>
            <w:left w:w="57" w:type="dxa"/>
            <w:bottom w:w="0" w:type="dxa"/>
            <w:right w:w="57" w:type="dxa"/>
          </w:tblCellMar>
        </w:tblPrEx>
        <w:trPr>
          <w:cantSplit/>
          <w:trHeight w:val="1266"/>
          <w:jc w:val="center"/>
        </w:trPr>
        <w:tc>
          <w:tcPr>
            <w:tcW w:w="733" w:type="dxa"/>
            <w:vMerge w:val="restart"/>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建设项目管理</w:t>
            </w:r>
          </w:p>
        </w:tc>
        <w:tc>
          <w:tcPr>
            <w:tcW w:w="1231" w:type="dxa"/>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项目立项、设计与概预算</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1541</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188</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1249</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480</w:t>
            </w:r>
          </w:p>
        </w:tc>
        <w:tc>
          <w:tcPr>
            <w:tcW w:w="1626" w:type="dxa"/>
            <w:vMerge w:val="restart"/>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650</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889</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540</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704</w:t>
            </w:r>
          </w:p>
          <w:p>
            <w:pPr>
              <w:keepLines/>
              <w:widowControl/>
              <w:rPr>
                <w:rFonts w:ascii="仿宋" w:eastAsia="仿宋" w:hAnsi="仿宋"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单位项目投资评审、立项依据与审批程序：</w:t>
            </w:r>
            <w:r>
              <w:rPr>
                <w:rFonts w:ascii="仿宋" w:eastAsia="仿宋" w:hAnsi="仿宋" w:cs="楷体_GB2312" w:hint="eastAsia"/>
                <w:color w:val="000000" w:themeColor="text1"/>
                <w:sz w:val="24"/>
                <w:lang w:eastAsia="zh-CN"/>
                <w14:textFill>
                  <w14:solidFill>
                    <w14:schemeClr w14:val="tx1"/>
                  </w14:solidFill>
                </w14:textFill>
              </w:rPr>
              <w:t>1531</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11</w:t>
            </w:r>
          </w:p>
        </w:tc>
      </w:tr>
      <w:tr>
        <w:tblPrEx>
          <w:tblW w:w="0" w:type="auto"/>
          <w:jc w:val="center"/>
          <w:tblLayout w:type="fixed"/>
          <w:tblCellMar>
            <w:top w:w="0" w:type="dxa"/>
            <w:left w:w="57" w:type="dxa"/>
            <w:bottom w:w="0" w:type="dxa"/>
            <w:right w:w="57" w:type="dxa"/>
          </w:tblCellMar>
        </w:tblPrEx>
        <w:trPr>
          <w:cantSplit/>
          <w:trHeight w:val="1128"/>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项目采购管理</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1551</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180</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1245</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486</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单位项目采购范围、方式及程序：</w:t>
            </w:r>
            <w:r>
              <w:rPr>
                <w:rFonts w:ascii="仿宋" w:eastAsia="仿宋" w:hAnsi="仿宋" w:cs="楷体_GB2312" w:hint="eastAsia"/>
                <w:color w:val="000000" w:themeColor="text1"/>
                <w:sz w:val="24"/>
                <w:lang w:eastAsia="zh-CN"/>
                <w14:textFill>
                  <w14:solidFill>
                    <w14:schemeClr w14:val="tx1"/>
                  </w14:solidFill>
                </w14:textFill>
              </w:rPr>
              <w:t>1543</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9</w:t>
            </w:r>
          </w:p>
        </w:tc>
      </w:tr>
      <w:tr>
        <w:tblPrEx>
          <w:tblW w:w="0" w:type="auto"/>
          <w:jc w:val="center"/>
          <w:tblLayout w:type="fixed"/>
          <w:tblCellMar>
            <w:top w:w="0" w:type="dxa"/>
            <w:left w:w="57" w:type="dxa"/>
            <w:bottom w:w="0" w:type="dxa"/>
            <w:right w:w="57" w:type="dxa"/>
          </w:tblCellMar>
        </w:tblPrEx>
        <w:trPr>
          <w:cantSplit/>
          <w:trHeight w:val="1145"/>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项目施工、变更与资金支付</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1547</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181</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1234</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494</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单位项目分包控制：</w:t>
            </w:r>
            <w:r>
              <w:rPr>
                <w:rFonts w:ascii="仿宋" w:eastAsia="仿宋" w:hAnsi="仿宋" w:cs="楷体_GB2312" w:hint="eastAsia"/>
                <w:color w:val="000000" w:themeColor="text1"/>
                <w:sz w:val="24"/>
                <w:lang w:eastAsia="zh-CN"/>
                <w14:textFill>
                  <w14:solidFill>
                    <w14:schemeClr w14:val="tx1"/>
                  </w14:solidFill>
                </w14:textFill>
              </w:rPr>
              <w:t>1427</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单位项目变更审批权限及程序：</w:t>
            </w:r>
            <w:r>
              <w:rPr>
                <w:rFonts w:ascii="仿宋" w:eastAsia="仿宋" w:hAnsi="仿宋" w:cs="楷体_GB2312" w:hint="eastAsia"/>
                <w:color w:val="000000" w:themeColor="text1"/>
                <w:sz w:val="24"/>
                <w:lang w:eastAsia="zh-CN"/>
                <w14:textFill>
                  <w14:solidFill>
                    <w14:schemeClr w14:val="tx1"/>
                  </w14:solidFill>
                </w14:textFill>
              </w:rPr>
              <w:t>1498</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单位项目进度款、竣工决（结）算审核程序：</w:t>
            </w:r>
            <w:r>
              <w:rPr>
                <w:rFonts w:ascii="仿宋" w:eastAsia="仿宋" w:hAnsi="仿宋" w:cs="楷体_GB2312" w:hint="eastAsia"/>
                <w:color w:val="000000" w:themeColor="text1"/>
                <w:sz w:val="24"/>
                <w:lang w:eastAsia="zh-CN"/>
                <w14:textFill>
                  <w14:solidFill>
                    <w14:schemeClr w14:val="tx1"/>
                  </w14:solidFill>
                </w14:textFill>
              </w:rPr>
              <w:t>1282</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9</w:t>
            </w:r>
          </w:p>
        </w:tc>
      </w:tr>
      <w:tr>
        <w:tblPrEx>
          <w:tblW w:w="0" w:type="auto"/>
          <w:jc w:val="center"/>
          <w:tblLayout w:type="fixed"/>
          <w:tblCellMar>
            <w:top w:w="0" w:type="dxa"/>
            <w:left w:w="57" w:type="dxa"/>
            <w:bottom w:w="0" w:type="dxa"/>
            <w:right w:w="57" w:type="dxa"/>
          </w:tblCellMar>
        </w:tblPrEx>
        <w:trPr>
          <w:cantSplit/>
          <w:trHeight w:val="1008"/>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项目验收管理与绩效评价</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1540</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188</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1236</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492</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单位项目验收主体、内容及程序：</w:t>
            </w:r>
            <w:r>
              <w:rPr>
                <w:rFonts w:ascii="仿宋" w:eastAsia="仿宋" w:hAnsi="仿宋" w:cs="楷体_GB2312" w:hint="eastAsia"/>
                <w:color w:val="000000" w:themeColor="text1"/>
                <w:sz w:val="24"/>
                <w:lang w:eastAsia="zh-CN"/>
                <w14:textFill>
                  <w14:solidFill>
                    <w14:schemeClr w14:val="tx1"/>
                  </w14:solidFill>
                </w14:textFill>
              </w:rPr>
              <w:t>1525</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单位项目档案管理：</w:t>
            </w:r>
            <w:r>
              <w:rPr>
                <w:rFonts w:ascii="仿宋" w:eastAsia="仿宋" w:hAnsi="仿宋" w:cs="楷体_GB2312" w:hint="eastAsia"/>
                <w:color w:val="000000" w:themeColor="text1"/>
                <w:sz w:val="24"/>
                <w:lang w:eastAsia="zh-CN"/>
                <w14:textFill>
                  <w14:solidFill>
                    <w14:schemeClr w14:val="tx1"/>
                  </w14:solidFill>
                </w14:textFill>
              </w:rPr>
              <w:t>1357</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单位项目绩效评价形式与内容：</w:t>
            </w:r>
            <w:r>
              <w:rPr>
                <w:rFonts w:ascii="仿宋" w:eastAsia="仿宋" w:hAnsi="仿宋" w:cs="楷体_GB2312" w:hint="eastAsia"/>
                <w:color w:val="000000" w:themeColor="text1"/>
                <w:sz w:val="24"/>
                <w:lang w:eastAsia="zh-CN"/>
                <w14:textFill>
                  <w14:solidFill>
                    <w14:schemeClr w14:val="tx1"/>
                  </w14:solidFill>
                </w14:textFill>
              </w:rPr>
              <w:t>1360</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7</w:t>
            </w:r>
          </w:p>
        </w:tc>
      </w:tr>
      <w:tr>
        <w:tblPrEx>
          <w:tblW w:w="0" w:type="auto"/>
          <w:jc w:val="center"/>
          <w:tblLayout w:type="fixed"/>
          <w:tblCellMar>
            <w:top w:w="0" w:type="dxa"/>
            <w:left w:w="57" w:type="dxa"/>
            <w:bottom w:w="0" w:type="dxa"/>
            <w:right w:w="57" w:type="dxa"/>
          </w:tblCellMar>
        </w:tblPrEx>
        <w:trPr>
          <w:cantSplit/>
          <w:trHeight w:val="1040"/>
          <w:jc w:val="center"/>
        </w:trPr>
        <w:tc>
          <w:tcPr>
            <w:tcW w:w="733" w:type="dxa"/>
            <w:vMerge w:val="restart"/>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合同管理</w:t>
            </w:r>
          </w:p>
        </w:tc>
        <w:tc>
          <w:tcPr>
            <w:tcW w:w="1231" w:type="dxa"/>
            <w:vAlign w:val="center"/>
          </w:tcPr>
          <w:p>
            <w:pPr>
              <w:keepLines/>
              <w:jc w:val="center"/>
              <w:rPr>
                <w:rFonts w:ascii="仿宋" w:eastAsia="仿宋" w:hAnsi="仿宋"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合同拟订与审批</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1735</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176</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1398</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513</w:t>
            </w:r>
          </w:p>
        </w:tc>
        <w:tc>
          <w:tcPr>
            <w:tcW w:w="1626" w:type="dxa"/>
            <w:vMerge w:val="restart"/>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679</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1035</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更新流程图</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579</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791</w:t>
            </w:r>
          </w:p>
          <w:p>
            <w:pPr>
              <w:keepLines/>
              <w:widowControl/>
              <w:rPr>
                <w:rFonts w:ascii="仿宋" w:eastAsia="仿宋" w:hAnsi="仿宋"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单位合同签署权限及授权机制：</w:t>
            </w:r>
            <w:r>
              <w:rPr>
                <w:rFonts w:ascii="仿宋" w:eastAsia="仿宋" w:hAnsi="仿宋" w:cs="楷体_GB2312" w:hint="eastAsia"/>
                <w:color w:val="000000" w:themeColor="text1"/>
                <w:sz w:val="24"/>
                <w:lang w:eastAsia="zh-CN"/>
                <w14:textFill>
                  <w14:solidFill>
                    <w14:schemeClr w14:val="tx1"/>
                  </w14:solidFill>
                </w14:textFill>
              </w:rPr>
              <w:t>1574</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单位合同审核主体、内容及程序：</w:t>
            </w:r>
            <w:r>
              <w:rPr>
                <w:rFonts w:ascii="仿宋" w:eastAsia="仿宋" w:hAnsi="仿宋" w:cs="楷体_GB2312" w:hint="eastAsia"/>
                <w:color w:val="000000" w:themeColor="text1"/>
                <w:sz w:val="24"/>
                <w:lang w:eastAsia="zh-CN"/>
                <w14:textFill>
                  <w14:solidFill>
                    <w14:schemeClr w14:val="tx1"/>
                  </w14:solidFill>
                </w14:textFill>
              </w:rPr>
              <w:t>1688</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单位法务或外聘法律顾问介入条件与环节：</w:t>
            </w:r>
            <w:r>
              <w:rPr>
                <w:rFonts w:ascii="仿宋" w:eastAsia="仿宋" w:hAnsi="仿宋" w:cs="楷体_GB2312" w:hint="eastAsia"/>
                <w:color w:val="000000" w:themeColor="text1"/>
                <w:sz w:val="24"/>
                <w:lang w:eastAsia="zh-CN"/>
                <w14:textFill>
                  <w14:solidFill>
                    <w14:schemeClr w14:val="tx1"/>
                  </w14:solidFill>
                </w14:textFill>
              </w:rPr>
              <w:t>1527</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单位合同用印程序：</w:t>
            </w:r>
            <w:r>
              <w:rPr>
                <w:rFonts w:ascii="仿宋" w:eastAsia="仿宋" w:hAnsi="仿宋" w:cs="楷体_GB2312" w:hint="eastAsia"/>
                <w:color w:val="000000" w:themeColor="text1"/>
                <w:sz w:val="24"/>
                <w:lang w:eastAsia="zh-CN"/>
                <w14:textFill>
                  <w14:solidFill>
                    <w14:schemeClr w14:val="tx1"/>
                  </w14:solidFill>
                </w14:textFill>
              </w:rPr>
              <w:t>1461</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6</w:t>
            </w:r>
          </w:p>
        </w:tc>
      </w:tr>
      <w:tr>
        <w:tblPrEx>
          <w:tblW w:w="0" w:type="auto"/>
          <w:jc w:val="center"/>
          <w:tblLayout w:type="fixed"/>
          <w:tblCellMar>
            <w:top w:w="0" w:type="dxa"/>
            <w:left w:w="57" w:type="dxa"/>
            <w:bottom w:w="0" w:type="dxa"/>
            <w:right w:w="57" w:type="dxa"/>
          </w:tblCellMar>
        </w:tblPrEx>
        <w:trPr>
          <w:cantSplit/>
          <w:trHeight w:val="1020"/>
          <w:jc w:val="center"/>
        </w:trPr>
        <w:tc>
          <w:tcPr>
            <w:tcW w:w="733" w:type="dxa"/>
            <w:vMerge/>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合同履行与监督</w:t>
            </w:r>
          </w:p>
        </w:tc>
        <w:tc>
          <w:tcPr>
            <w:tcW w:w="1680" w:type="dxa"/>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1728</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183</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1377</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534</w:t>
            </w:r>
          </w:p>
        </w:tc>
        <w:tc>
          <w:tcPr>
            <w:tcW w:w="1626" w:type="dxa"/>
            <w:vMerge/>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单位合同台账设置及管理要求：</w:t>
            </w:r>
            <w:r>
              <w:rPr>
                <w:rFonts w:ascii="仿宋" w:eastAsia="仿宋" w:hAnsi="仿宋" w:cs="楷体_GB2312" w:hint="eastAsia"/>
                <w:color w:val="000000" w:themeColor="text1"/>
                <w:sz w:val="24"/>
                <w:lang w:eastAsia="zh-CN"/>
                <w14:textFill>
                  <w14:solidFill>
                    <w14:schemeClr w14:val="tx1"/>
                  </w14:solidFill>
                </w14:textFill>
              </w:rPr>
              <w:t>1666</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单位合同执行监督机制：</w:t>
            </w:r>
            <w:r>
              <w:rPr>
                <w:rFonts w:ascii="仿宋" w:eastAsia="仿宋" w:hAnsi="仿宋" w:cs="楷体_GB2312" w:hint="eastAsia"/>
                <w:color w:val="000000" w:themeColor="text1"/>
                <w:sz w:val="24"/>
                <w:lang w:eastAsia="zh-CN"/>
                <w14:textFill>
                  <w14:solidFill>
                    <w14:schemeClr w14:val="tx1"/>
                  </w14:solidFill>
                </w14:textFill>
              </w:rPr>
              <w:t>1665</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单位合同变更、转让或解除机制：</w:t>
            </w:r>
            <w:r>
              <w:rPr>
                <w:rFonts w:ascii="仿宋" w:eastAsia="仿宋" w:hAnsi="仿宋" w:cs="楷体_GB2312" w:hint="eastAsia"/>
                <w:color w:val="000000" w:themeColor="text1"/>
                <w:sz w:val="24"/>
                <w:lang w:eastAsia="zh-CN"/>
                <w14:textFill>
                  <w14:solidFill>
                    <w14:schemeClr w14:val="tx1"/>
                  </w14:solidFill>
                </w14:textFill>
              </w:rPr>
              <w:t>1598</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9</w:t>
            </w:r>
          </w:p>
        </w:tc>
      </w:tr>
      <w:tr>
        <w:tblPrEx>
          <w:tblW w:w="0" w:type="auto"/>
          <w:jc w:val="center"/>
          <w:tblLayout w:type="fixed"/>
          <w:tblCellMar>
            <w:top w:w="0" w:type="dxa"/>
            <w:left w:w="57" w:type="dxa"/>
            <w:bottom w:w="0" w:type="dxa"/>
            <w:right w:w="57" w:type="dxa"/>
          </w:tblCellMar>
        </w:tblPrEx>
        <w:trPr>
          <w:cantSplit/>
          <w:trHeight w:val="1321"/>
          <w:jc w:val="center"/>
        </w:trPr>
        <w:tc>
          <w:tcPr>
            <w:tcW w:w="733" w:type="dxa"/>
            <w:vMerge/>
            <w:tcBorders>
              <w:bottom w:val="single" w:sz="4" w:space="0" w:color="auto"/>
            </w:tcBorders>
            <w:vAlign w:val="center"/>
          </w:tcPr>
          <w:p>
            <w:pPr>
              <w:keepLines/>
              <w:jc w:val="center"/>
              <w:rPr>
                <w:rFonts w:eastAsia="仿宋_GB2312" w:cs="仿宋_GB2312"/>
                <w:color w:val="000000" w:themeColor="text1"/>
                <w:spacing w:val="-12"/>
                <w:sz w:val="24"/>
                <w14:textFill>
                  <w14:solidFill>
                    <w14:schemeClr w14:val="tx1"/>
                  </w14:solidFill>
                </w14:textFill>
              </w:rPr>
            </w:pPr>
          </w:p>
        </w:tc>
        <w:tc>
          <w:tcPr>
            <w:tcW w:w="1231" w:type="dxa"/>
            <w:tcBorders>
              <w:bottom w:val="single" w:sz="4" w:space="0" w:color="auto"/>
            </w:tcBorders>
            <w:vAlign w:val="center"/>
          </w:tcPr>
          <w:p>
            <w:pPr>
              <w:keepLines/>
              <w:jc w:val="center"/>
              <w:rPr>
                <w:rFonts w:eastAsia="仿宋_GB2312" w:cs="仿宋_GB2312"/>
                <w:color w:val="000000" w:themeColor="text1"/>
                <w:spacing w:val="-12"/>
                <w:sz w:val="24"/>
                <w14:textFill>
                  <w14:solidFill>
                    <w14:schemeClr w14:val="tx1"/>
                  </w14:solidFill>
                </w14:textFill>
              </w:rPr>
            </w:pPr>
            <w:r>
              <w:rPr>
                <w:rFonts w:ascii="仿宋" w:eastAsia="仿宋" w:hAnsi="仿宋" w:cs="仿宋_GB2312" w:hint="eastAsia"/>
                <w:color w:val="000000" w:themeColor="text1"/>
                <w:spacing w:val="-12"/>
                <w:sz w:val="24"/>
                <w14:textFill>
                  <w14:solidFill>
                    <w14:schemeClr w14:val="tx1"/>
                  </w14:solidFill>
                </w14:textFill>
              </w:rPr>
              <w:t>合同档案与纠纷管理</w:t>
            </w:r>
          </w:p>
        </w:tc>
        <w:tc>
          <w:tcPr>
            <w:tcW w:w="1680" w:type="dxa"/>
            <w:tcBorders>
              <w:bottom w:val="single" w:sz="4" w:space="0" w:color="auto"/>
            </w:tcBorders>
            <w:vAlign w:val="center"/>
          </w:tcPr>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建立制度</w:t>
            </w:r>
          </w:p>
          <w:p>
            <w:pPr>
              <w:keepLines/>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1723</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187</w:t>
            </w:r>
          </w:p>
          <w:p>
            <w:pPr>
              <w:keepLines/>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建立流程图</w:t>
            </w:r>
          </w:p>
          <w:p>
            <w:pPr>
              <w:keepLines/>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1368</w:t>
            </w:r>
            <w:r>
              <w:rPr>
                <w:rFonts w:ascii="仿宋" w:eastAsia="仿宋" w:hAnsi="仿宋" w:cs="楷体_GB2312" w:hint="eastAsia"/>
                <w:color w:val="000000" w:themeColor="text1"/>
                <w:sz w:val="24"/>
                <w14:textFill>
                  <w14:solidFill>
                    <w14:schemeClr w14:val="tx1"/>
                  </w14:solidFill>
                </w14:textFill>
              </w:rPr>
              <w:t xml:space="preserve">  否：</w:t>
            </w:r>
            <w:r>
              <w:rPr>
                <w:rFonts w:ascii="仿宋" w:eastAsia="仿宋" w:hAnsi="仿宋" w:hint="eastAsia"/>
                <w:color w:val="000000" w:themeColor="text1"/>
                <w:sz w:val="24"/>
                <w:lang w:eastAsia="zh-CN"/>
                <w14:textFill>
                  <w14:solidFill>
                    <w14:schemeClr w14:val="tx1"/>
                  </w14:solidFill>
                </w14:textFill>
              </w:rPr>
              <w:t>542</w:t>
            </w:r>
          </w:p>
        </w:tc>
        <w:tc>
          <w:tcPr>
            <w:tcW w:w="1626" w:type="dxa"/>
            <w:vMerge/>
            <w:tcBorders>
              <w:bottom w:val="single" w:sz="4" w:space="0" w:color="auto"/>
            </w:tcBorders>
            <w:vAlign w:val="center"/>
          </w:tcPr>
          <w:p>
            <w:pPr>
              <w:keepLines/>
              <w:widowControl/>
              <w:rPr>
                <w:rFonts w:eastAsia="楷体_GB2312" w:cs="楷体_GB2312"/>
                <w:color w:val="000000" w:themeColor="text1"/>
                <w:sz w:val="24"/>
                <w14:textFill>
                  <w14:solidFill>
                    <w14:schemeClr w14:val="tx1"/>
                  </w14:solidFill>
                </w14:textFill>
              </w:rPr>
            </w:pPr>
          </w:p>
        </w:tc>
        <w:tc>
          <w:tcPr>
            <w:tcW w:w="3897" w:type="dxa"/>
            <w:tcBorders>
              <w:bottom w:val="single" w:sz="4" w:space="0" w:color="auto"/>
            </w:tcBorders>
            <w:vAlign w:val="center"/>
          </w:tcPr>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单位合同执行归档制度：</w:t>
            </w:r>
            <w:r>
              <w:rPr>
                <w:rFonts w:ascii="仿宋" w:eastAsia="仿宋" w:hAnsi="仿宋" w:cs="楷体_GB2312" w:hint="eastAsia"/>
                <w:color w:val="000000" w:themeColor="text1"/>
                <w:sz w:val="24"/>
                <w:lang w:eastAsia="zh-CN"/>
                <w14:textFill>
                  <w14:solidFill>
                    <w14:schemeClr w14:val="tx1"/>
                  </w14:solidFill>
                </w14:textFill>
              </w:rPr>
              <w:t>1702</w:t>
            </w:r>
          </w:p>
          <w:p>
            <w:pPr>
              <w:keepLines/>
              <w:widowControl/>
              <w:jc w:val="left"/>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单位合同纠纷处理程序：</w:t>
            </w:r>
            <w:r>
              <w:rPr>
                <w:rFonts w:ascii="仿宋" w:eastAsia="仿宋" w:hAnsi="仿宋" w:cs="楷体_GB2312" w:hint="eastAsia"/>
                <w:color w:val="000000" w:themeColor="text1"/>
                <w:sz w:val="24"/>
                <w:lang w:eastAsia="zh-CN"/>
                <w14:textFill>
                  <w14:solidFill>
                    <w14:schemeClr w14:val="tx1"/>
                  </w14:solidFill>
                </w14:textFill>
              </w:rPr>
              <w:t>1593</w:t>
            </w:r>
          </w:p>
          <w:p>
            <w:pPr>
              <w:keepLines/>
              <w:widowControl/>
              <w:jc w:val="left"/>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lang w:val="en-US" w:eastAsia="zh-CN"/>
                <w14:textFill>
                  <w14:solidFill>
                    <w14:schemeClr w14:val="tx1"/>
                  </w14:solidFill>
                </w14:textFill>
              </w:rPr>
              <w:t>未覆盖以上所有管控点：</w:t>
            </w:r>
            <w:r>
              <w:rPr>
                <w:rFonts w:ascii="仿宋" w:eastAsia="仿宋" w:hAnsi="仿宋" w:cs="楷体_GB2312" w:hint="eastAsia"/>
                <w:color w:val="000000" w:themeColor="text1"/>
                <w:sz w:val="24"/>
                <w:lang w:eastAsia="zh-CN"/>
                <w14:textFill>
                  <w14:solidFill>
                    <w14:schemeClr w14:val="tx1"/>
                  </w14:solidFill>
                </w14:textFill>
              </w:rPr>
              <w:t>12</w:t>
            </w:r>
          </w:p>
        </w:tc>
      </w:tr>
    </w:tbl>
    <w:p>
      <w:pPr>
        <w:ind w:firstLine="512"/>
        <w:rPr>
          <w:rFonts w:ascii="方正仿宋_GBK" w:eastAsia="方正仿宋_GBK" w:hAnsi="方正仿宋_GBK" w:cs="方正仿宋_GBK"/>
          <w:color w:val="000000" w:themeColor="text1"/>
          <w:sz w:val="28"/>
          <w:szCs w:val="28"/>
          <w14:textFill>
            <w14:solidFill>
              <w14:schemeClr w14:val="tx1"/>
            </w14:solidFill>
          </w14:textFill>
        </w:rPr>
      </w:pPr>
      <w:r>
        <w:rPr>
          <w:rFonts w:eastAsia="仿宋_GB2312" w:cs="仿宋_GB2312" w:hint="eastAsia"/>
          <w:color w:val="000000" w:themeColor="text1"/>
          <w:spacing w:val="-12"/>
          <w:sz w:val="28"/>
          <w:szCs w:val="28"/>
          <w14:textFill>
            <w14:solidFill>
              <w14:schemeClr w14:val="tx1"/>
            </w14:solidFill>
          </w14:textFill>
        </w:rPr>
        <w:t>（六）内部控制制度执行情况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2493"/>
        <w:gridCol w:w="671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cantSplit/>
          <w:trHeight w:val="942"/>
          <w:jc w:val="center"/>
        </w:trPr>
        <w:tc>
          <w:tcPr>
            <w:tcW w:w="2493" w:type="dxa"/>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事前绩效评估执行情况</w:t>
            </w:r>
          </w:p>
        </w:tc>
        <w:tc>
          <w:tcPr>
            <w:tcW w:w="6717" w:type="dxa"/>
            <w:vAlign w:val="center"/>
          </w:tcPr>
          <w:p>
            <w:pPr>
              <w:rPr>
                <w:rFonts w:ascii="仿宋" w:eastAsia="仿宋" w:hAnsi="仿宋" w:hint="eastAsia"/>
                <w:color w:val="000000" w:themeColor="text1"/>
                <w:szCs w:val="21"/>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2023年度新增重大项目数量（汇总数）：</w:t>
            </w:r>
            <w:r>
              <w:rPr>
                <w:rFonts w:ascii="仿宋" w:eastAsia="仿宋" w:hAnsi="仿宋" w:hint="eastAsia"/>
                <w:color w:val="000000" w:themeColor="text1"/>
                <w:sz w:val="24"/>
                <w:lang w:eastAsia="zh-CN"/>
                <w14:textFill>
                  <w14:solidFill>
                    <w14:schemeClr w14:val="tx1"/>
                  </w14:solidFill>
                </w14:textFill>
              </w:rPr>
              <w:t>763</w:t>
            </w:r>
          </w:p>
          <w:p>
            <w:pPr>
              <w:widowControl/>
              <w:rPr>
                <w:rFonts w:eastAsia="楷体_GB2312" w:cs="楷体_GB2312"/>
                <w:color w:val="000000" w:themeColor="text1"/>
                <w:sz w:val="24"/>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2023年度已开展事前绩效评估的新增重大项目数量（汇总数）：</w:t>
            </w:r>
            <w:r>
              <w:rPr>
                <w:rFonts w:ascii="仿宋" w:eastAsia="仿宋" w:hAnsi="仿宋" w:hint="eastAsia"/>
                <w:color w:val="000000" w:themeColor="text1"/>
                <w:sz w:val="24"/>
                <w:lang w:eastAsia="zh-CN"/>
                <w14:textFill>
                  <w14:solidFill>
                    <w14:schemeClr w14:val="tx1"/>
                  </w14:solidFill>
                </w14:textFill>
              </w:rPr>
              <w:t>732</w:t>
            </w:r>
            <w:r>
              <w:rPr>
                <w:rFonts w:eastAsia="楷体_GB2312" w:cs="楷体_GB2312" w:hint="eastAsia"/>
                <w:color w:val="000000" w:themeColor="text1"/>
                <w:sz w:val="24"/>
                <w14:textFill>
                  <w14:solidFill>
                    <w14:schemeClr w14:val="tx1"/>
                  </w14:solidFill>
                </w14:textFill>
              </w:rPr>
              <w:t xml:space="preserve"> </w:t>
            </w:r>
          </w:p>
        </w:tc>
      </w:tr>
      <w:tr>
        <w:tblPrEx>
          <w:tblW w:w="0" w:type="auto"/>
          <w:jc w:val="center"/>
          <w:tblLayout w:type="fixed"/>
          <w:tblCellMar>
            <w:top w:w="0" w:type="dxa"/>
            <w:left w:w="57" w:type="dxa"/>
            <w:bottom w:w="0" w:type="dxa"/>
            <w:right w:w="57" w:type="dxa"/>
          </w:tblCellMar>
        </w:tblPrEx>
        <w:trPr>
          <w:cantSplit/>
          <w:trHeight w:val="702"/>
          <w:jc w:val="center"/>
        </w:trPr>
        <w:tc>
          <w:tcPr>
            <w:tcW w:w="2493" w:type="dxa"/>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项目支出绩效目标管理情况</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2023年度项目总数（汇总数）：</w:t>
            </w:r>
            <w:r>
              <w:rPr>
                <w:rFonts w:ascii="仿宋" w:eastAsia="仿宋" w:hAnsi="仿宋" w:hint="eastAsia"/>
                <w:color w:val="000000" w:themeColor="text1"/>
                <w:sz w:val="24"/>
                <w:lang w:eastAsia="zh-CN"/>
                <w14:textFill>
                  <w14:solidFill>
                    <w14:schemeClr w14:val="tx1"/>
                  </w14:solidFill>
                </w14:textFill>
              </w:rPr>
              <w:t>10119</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2023年度已开展绩效目标管理的项目数量（汇总数）：</w:t>
            </w:r>
            <w:r>
              <w:rPr>
                <w:rFonts w:ascii="仿宋" w:eastAsia="仿宋" w:hAnsi="仿宋" w:hint="eastAsia"/>
                <w:color w:val="000000" w:themeColor="text1"/>
                <w:sz w:val="24"/>
                <w:lang w:eastAsia="zh-CN"/>
                <w14:textFill>
                  <w14:solidFill>
                    <w14:schemeClr w14:val="tx1"/>
                  </w14:solidFill>
                </w14:textFill>
              </w:rPr>
              <w:t>9141</w:t>
            </w:r>
          </w:p>
        </w:tc>
      </w:tr>
      <w:tr>
        <w:tblPrEx>
          <w:tblW w:w="0" w:type="auto"/>
          <w:jc w:val="center"/>
          <w:tblLayout w:type="fixed"/>
          <w:tblCellMar>
            <w:top w:w="0" w:type="dxa"/>
            <w:left w:w="57" w:type="dxa"/>
            <w:bottom w:w="0" w:type="dxa"/>
            <w:right w:w="57" w:type="dxa"/>
          </w:tblCellMar>
        </w:tblPrEx>
        <w:trPr>
          <w:cantSplit/>
          <w:trHeight w:val="702"/>
          <w:jc w:val="center"/>
        </w:trPr>
        <w:tc>
          <w:tcPr>
            <w:tcW w:w="2493" w:type="dxa"/>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预算绩效运行监控执行情况</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2023年度项目总数（汇总数）：</w:t>
            </w:r>
            <w:r>
              <w:rPr>
                <w:rFonts w:ascii="仿宋" w:eastAsia="仿宋" w:hAnsi="仿宋" w:hint="eastAsia"/>
                <w:color w:val="000000" w:themeColor="text1"/>
                <w:sz w:val="24"/>
                <w:lang w:eastAsia="zh-CN"/>
                <w14:textFill>
                  <w14:solidFill>
                    <w14:schemeClr w14:val="tx1"/>
                  </w14:solidFill>
                </w14:textFill>
              </w:rPr>
              <w:t>10067</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2023年度已开展预算绩效运行监控的项目数量（汇总数）：</w:t>
            </w:r>
            <w:r>
              <w:rPr>
                <w:rFonts w:ascii="仿宋" w:eastAsia="仿宋" w:hAnsi="仿宋" w:hint="eastAsia"/>
                <w:color w:val="000000" w:themeColor="text1"/>
                <w:sz w:val="24"/>
                <w:lang w:eastAsia="zh-CN"/>
                <w14:textFill>
                  <w14:solidFill>
                    <w14:schemeClr w14:val="tx1"/>
                  </w14:solidFill>
                </w14:textFill>
              </w:rPr>
              <w:t>8779</w:t>
            </w:r>
          </w:p>
        </w:tc>
      </w:tr>
      <w:tr>
        <w:tblPrEx>
          <w:tblW w:w="0" w:type="auto"/>
          <w:jc w:val="center"/>
          <w:tblLayout w:type="fixed"/>
          <w:tblCellMar>
            <w:top w:w="0" w:type="dxa"/>
            <w:left w:w="57" w:type="dxa"/>
            <w:bottom w:w="0" w:type="dxa"/>
            <w:right w:w="57" w:type="dxa"/>
          </w:tblCellMar>
        </w:tblPrEx>
        <w:trPr>
          <w:cantSplit/>
          <w:trHeight w:val="702"/>
          <w:jc w:val="center"/>
        </w:trPr>
        <w:tc>
          <w:tcPr>
            <w:tcW w:w="2493" w:type="dxa"/>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预算绩效自评执行情况</w:t>
            </w:r>
          </w:p>
        </w:tc>
        <w:tc>
          <w:tcPr>
            <w:tcW w:w="6717" w:type="dxa"/>
            <w:vAlign w:val="center"/>
          </w:tcPr>
          <w:p>
            <w:pPr>
              <w:widowControl/>
              <w:rPr>
                <w:rFonts w:ascii="仿宋" w:eastAsia="仿宋" w:hAnsi="仿宋"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2023年度项目总数（汇总数）：</w:t>
            </w:r>
            <w:r>
              <w:rPr>
                <w:rFonts w:ascii="仿宋" w:eastAsia="仿宋" w:hAnsi="仿宋" w:hint="eastAsia"/>
                <w:color w:val="000000" w:themeColor="text1"/>
                <w:sz w:val="24"/>
                <w:lang w:eastAsia="zh-CN"/>
                <w14:textFill>
                  <w14:solidFill>
                    <w14:schemeClr w14:val="tx1"/>
                  </w14:solidFill>
                </w14:textFill>
              </w:rPr>
              <w:t>10051</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2023年度已开展预算绩效自评的项目数量（汇总数）：</w:t>
            </w:r>
            <w:r>
              <w:rPr>
                <w:rFonts w:ascii="仿宋" w:eastAsia="仿宋" w:hAnsi="仿宋" w:hint="eastAsia"/>
                <w:color w:val="000000" w:themeColor="text1"/>
                <w:sz w:val="24"/>
                <w:lang w:eastAsia="zh-CN"/>
                <w14:textFill>
                  <w14:solidFill>
                    <w14:schemeClr w14:val="tx1"/>
                  </w14:solidFill>
                </w14:textFill>
              </w:rPr>
              <w:t>7968</w:t>
            </w:r>
          </w:p>
        </w:tc>
      </w:tr>
      <w:tr>
        <w:tblPrEx>
          <w:tblW w:w="0" w:type="auto"/>
          <w:jc w:val="center"/>
          <w:tblLayout w:type="fixed"/>
          <w:tblCellMar>
            <w:top w:w="0" w:type="dxa"/>
            <w:left w:w="57" w:type="dxa"/>
            <w:bottom w:w="0" w:type="dxa"/>
            <w:right w:w="57" w:type="dxa"/>
          </w:tblCellMar>
        </w:tblPrEx>
        <w:trPr>
          <w:cantSplit/>
          <w:trHeight w:val="702"/>
          <w:jc w:val="center"/>
        </w:trPr>
        <w:tc>
          <w:tcPr>
            <w:tcW w:w="2493" w:type="dxa"/>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非税收入管控情况</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2023年度应上缴非税收入金额（汇总数）：</w:t>
            </w:r>
            <w:r>
              <w:rPr>
                <w:rFonts w:ascii="仿宋" w:eastAsia="仿宋" w:hAnsi="仿宋" w:hint="eastAsia"/>
                <w:color w:val="000000" w:themeColor="text1"/>
                <w:sz w:val="24"/>
                <w:lang w:eastAsia="zh-CN"/>
                <w14:textFill>
                  <w14:solidFill>
                    <w14:schemeClr w14:val="tx1"/>
                  </w14:solidFill>
                </w14:textFill>
              </w:rPr>
              <w:t>20217160589.08</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2023年度实际上缴非税收入金额（汇总数）：</w:t>
            </w:r>
            <w:r>
              <w:rPr>
                <w:rFonts w:ascii="仿宋" w:eastAsia="仿宋" w:hAnsi="仿宋" w:hint="eastAsia"/>
                <w:color w:val="000000" w:themeColor="text1"/>
                <w:sz w:val="24"/>
                <w:lang w:eastAsia="zh-CN"/>
                <w14:textFill>
                  <w14:solidFill>
                    <w14:schemeClr w14:val="tx1"/>
                  </w14:solidFill>
                </w14:textFill>
              </w:rPr>
              <w:t>20125335410.03</w:t>
            </w:r>
          </w:p>
        </w:tc>
      </w:tr>
      <w:tr>
        <w:tblPrEx>
          <w:tblW w:w="0" w:type="auto"/>
          <w:jc w:val="center"/>
          <w:tblLayout w:type="fixed"/>
          <w:tblCellMar>
            <w:top w:w="0" w:type="dxa"/>
            <w:left w:w="57" w:type="dxa"/>
            <w:bottom w:w="0" w:type="dxa"/>
            <w:right w:w="57" w:type="dxa"/>
          </w:tblCellMar>
        </w:tblPrEx>
        <w:trPr>
          <w:cantSplit/>
          <w:trHeight w:val="702"/>
          <w:jc w:val="center"/>
        </w:trPr>
        <w:tc>
          <w:tcPr>
            <w:tcW w:w="2493" w:type="dxa"/>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支出预决算对比情况</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2023年度支出预算金额（汇总数）：</w:t>
            </w:r>
            <w:r>
              <w:rPr>
                <w:rFonts w:ascii="仿宋" w:eastAsia="仿宋" w:hAnsi="仿宋" w:hint="eastAsia"/>
                <w:color w:val="000000" w:themeColor="text1"/>
                <w:sz w:val="24"/>
                <w:lang w:eastAsia="zh-CN"/>
                <w14:textFill>
                  <w14:solidFill>
                    <w14:schemeClr w14:val="tx1"/>
                  </w14:solidFill>
                </w14:textFill>
              </w:rPr>
              <w:t>84358438898.32</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2023年度实际支出总额（汇总数）：</w:t>
            </w:r>
            <w:r>
              <w:rPr>
                <w:rFonts w:ascii="仿宋" w:eastAsia="仿宋" w:hAnsi="仿宋" w:hint="eastAsia"/>
                <w:color w:val="000000" w:themeColor="text1"/>
                <w:sz w:val="24"/>
                <w:lang w:eastAsia="zh-CN"/>
                <w14:textFill>
                  <w14:solidFill>
                    <w14:schemeClr w14:val="tx1"/>
                  </w14:solidFill>
                </w14:textFill>
              </w:rPr>
              <w:t>82538326204.86</w:t>
            </w:r>
          </w:p>
        </w:tc>
      </w:tr>
      <w:tr>
        <w:tblPrEx>
          <w:tblW w:w="0" w:type="auto"/>
          <w:jc w:val="center"/>
          <w:tblLayout w:type="fixed"/>
          <w:tblCellMar>
            <w:top w:w="0" w:type="dxa"/>
            <w:left w:w="57" w:type="dxa"/>
            <w:bottom w:w="0" w:type="dxa"/>
            <w:right w:w="57" w:type="dxa"/>
          </w:tblCellMar>
        </w:tblPrEx>
        <w:trPr>
          <w:cantSplit/>
          <w:trHeight w:val="702"/>
          <w:jc w:val="center"/>
        </w:trPr>
        <w:tc>
          <w:tcPr>
            <w:tcW w:w="2493" w:type="dxa"/>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“三公”经费支出上下年对比情况</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w:t>
            </w:r>
            <w:r>
              <w:rPr>
                <w:rFonts w:eastAsia="楷体_GB2312" w:cs="楷体_GB2312"/>
                <w:color w:val="000000" w:themeColor="text1"/>
                <w:sz w:val="24"/>
                <w14:textFill>
                  <w14:solidFill>
                    <w14:schemeClr w14:val="tx1"/>
                  </w14:solidFill>
                </w14:textFill>
              </w:rPr>
              <w:t>2</w:t>
            </w:r>
            <w:r>
              <w:rPr>
                <w:rFonts w:eastAsia="楷体_GB2312" w:cs="楷体_GB2312" w:hint="eastAsia"/>
                <w:color w:val="000000" w:themeColor="text1"/>
                <w:sz w:val="24"/>
                <w14:textFill>
                  <w14:solidFill>
                    <w14:schemeClr w14:val="tx1"/>
                  </w14:solidFill>
                </w14:textFill>
              </w:rPr>
              <w:t>年度“三公”经费决算数（汇总数）：</w:t>
            </w:r>
            <w:r>
              <w:rPr>
                <w:rFonts w:ascii="仿宋" w:eastAsia="仿宋" w:hAnsi="仿宋" w:hint="eastAsia"/>
                <w:color w:val="000000" w:themeColor="text1"/>
                <w:sz w:val="24"/>
                <w:lang w:eastAsia="zh-CN"/>
                <w14:textFill>
                  <w14:solidFill>
                    <w14:schemeClr w14:val="tx1"/>
                  </w14:solidFill>
                </w14:textFill>
              </w:rPr>
              <w:t>118699745.39</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2023年度“三公”经费决算数（汇总数）：</w:t>
            </w:r>
            <w:r>
              <w:rPr>
                <w:rFonts w:ascii="仿宋" w:eastAsia="仿宋" w:hAnsi="仿宋" w:hint="eastAsia"/>
                <w:color w:val="000000" w:themeColor="text1"/>
                <w:sz w:val="24"/>
                <w:lang w:eastAsia="zh-CN"/>
                <w14:textFill>
                  <w14:solidFill>
                    <w14:schemeClr w14:val="tx1"/>
                  </w14:solidFill>
                </w14:textFill>
              </w:rPr>
              <w:t>119221684.90</w:t>
            </w:r>
          </w:p>
        </w:tc>
      </w:tr>
      <w:tr>
        <w:tblPrEx>
          <w:tblW w:w="0" w:type="auto"/>
          <w:jc w:val="center"/>
          <w:tblLayout w:type="fixed"/>
          <w:tblCellMar>
            <w:top w:w="0" w:type="dxa"/>
            <w:left w:w="57" w:type="dxa"/>
            <w:bottom w:w="0" w:type="dxa"/>
            <w:right w:w="57" w:type="dxa"/>
          </w:tblCellMar>
        </w:tblPrEx>
        <w:trPr>
          <w:cantSplit/>
          <w:trHeight w:val="632"/>
          <w:jc w:val="center"/>
        </w:trPr>
        <w:tc>
          <w:tcPr>
            <w:tcW w:w="2493" w:type="dxa"/>
            <w:tcBorders>
              <w:left w:val="single" w:sz="4" w:space="0" w:color="auto"/>
            </w:tcBorders>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政府采购预算完成情况</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2023年度计划采购金额（汇总数）：</w:t>
            </w:r>
            <w:r>
              <w:rPr>
                <w:rFonts w:ascii="仿宋" w:eastAsia="仿宋" w:hAnsi="仿宋" w:hint="eastAsia"/>
                <w:color w:val="000000" w:themeColor="text1"/>
                <w:sz w:val="24"/>
                <w:lang w:eastAsia="zh-CN"/>
                <w14:textFill>
                  <w14:solidFill>
                    <w14:schemeClr w14:val="tx1"/>
                  </w14:solidFill>
                </w14:textFill>
              </w:rPr>
              <w:t>4308888356.11</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2023年度实际采购金额（汇总数）：</w:t>
            </w:r>
            <w:r>
              <w:rPr>
                <w:rFonts w:ascii="仿宋" w:eastAsia="仿宋" w:hAnsi="仿宋" w:hint="eastAsia"/>
                <w:color w:val="000000" w:themeColor="text1"/>
                <w:sz w:val="24"/>
                <w:lang w:eastAsia="zh-CN"/>
                <w14:textFill>
                  <w14:solidFill>
                    <w14:schemeClr w14:val="tx1"/>
                  </w14:solidFill>
                </w14:textFill>
              </w:rPr>
              <w:t>3543964822.30</w:t>
            </w:r>
          </w:p>
        </w:tc>
      </w:tr>
      <w:tr>
        <w:tblPrEx>
          <w:tblW w:w="0" w:type="auto"/>
          <w:jc w:val="center"/>
          <w:tblLayout w:type="fixed"/>
          <w:tblCellMar>
            <w:top w:w="0" w:type="dxa"/>
            <w:left w:w="57" w:type="dxa"/>
            <w:bottom w:w="0" w:type="dxa"/>
            <w:right w:w="57" w:type="dxa"/>
          </w:tblCellMar>
        </w:tblPrEx>
        <w:trPr>
          <w:cantSplit/>
          <w:trHeight w:val="632"/>
          <w:jc w:val="center"/>
        </w:trPr>
        <w:tc>
          <w:tcPr>
            <w:tcW w:w="2493" w:type="dxa"/>
            <w:tcBorders>
              <w:left w:val="single" w:sz="4" w:space="0" w:color="auto"/>
            </w:tcBorders>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固定资产账实相符程度</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2023年度固定资产盘点前账面金额（汇总数）：</w:t>
            </w:r>
            <w:r>
              <w:rPr>
                <w:rFonts w:ascii="仿宋" w:eastAsia="仿宋" w:hAnsi="仿宋" w:hint="eastAsia"/>
                <w:color w:val="000000" w:themeColor="text1"/>
                <w:sz w:val="24"/>
                <w:lang w:eastAsia="zh-CN"/>
                <w14:textFill>
                  <w14:solidFill>
                    <w14:schemeClr w14:val="tx1"/>
                  </w14:solidFill>
                </w14:textFill>
              </w:rPr>
              <w:t>61406156413.22</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2023年度固定资产盘点后实际金额（汇总数）：</w:t>
            </w:r>
            <w:r>
              <w:rPr>
                <w:rFonts w:ascii="仿宋" w:eastAsia="仿宋" w:hAnsi="仿宋" w:hint="eastAsia"/>
                <w:color w:val="000000" w:themeColor="text1"/>
                <w:sz w:val="24"/>
                <w:lang w:eastAsia="zh-CN"/>
                <w14:textFill>
                  <w14:solidFill>
                    <w14:schemeClr w14:val="tx1"/>
                  </w14:solidFill>
                </w14:textFill>
              </w:rPr>
              <w:t>54167359621.02</w:t>
            </w:r>
          </w:p>
        </w:tc>
      </w:tr>
      <w:tr>
        <w:tblPrEx>
          <w:tblW w:w="0" w:type="auto"/>
          <w:jc w:val="center"/>
          <w:tblLayout w:type="fixed"/>
          <w:tblCellMar>
            <w:top w:w="0" w:type="dxa"/>
            <w:left w:w="57" w:type="dxa"/>
            <w:bottom w:w="0" w:type="dxa"/>
            <w:right w:w="57" w:type="dxa"/>
          </w:tblCellMar>
        </w:tblPrEx>
        <w:trPr>
          <w:cantSplit/>
          <w:trHeight w:val="702"/>
          <w:jc w:val="center"/>
        </w:trPr>
        <w:tc>
          <w:tcPr>
            <w:tcW w:w="2493" w:type="dxa"/>
            <w:tcBorders>
              <w:left w:val="single" w:sz="4" w:space="0" w:color="auto"/>
            </w:tcBorders>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固定资产处置规范程度</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2023年度固定资产减少额（汇总数）：</w:t>
            </w:r>
            <w:r>
              <w:rPr>
                <w:rFonts w:ascii="仿宋" w:eastAsia="仿宋" w:hAnsi="仿宋" w:hint="eastAsia"/>
                <w:color w:val="000000" w:themeColor="text1"/>
                <w:sz w:val="24"/>
                <w:lang w:eastAsia="zh-CN"/>
                <w14:textFill>
                  <w14:solidFill>
                    <w14:schemeClr w14:val="tx1"/>
                  </w14:solidFill>
                </w14:textFill>
              </w:rPr>
              <w:t>1163342560.05</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2023年度固定资产处置审批金额（汇总数）：</w:t>
            </w:r>
            <w:r>
              <w:rPr>
                <w:rFonts w:ascii="仿宋" w:eastAsia="仿宋" w:hAnsi="仿宋" w:hint="eastAsia"/>
                <w:color w:val="000000" w:themeColor="text1"/>
                <w:sz w:val="24"/>
                <w:lang w:eastAsia="zh-CN"/>
                <w14:textFill>
                  <w14:solidFill>
                    <w14:schemeClr w14:val="tx1"/>
                  </w14:solidFill>
                </w14:textFill>
              </w:rPr>
              <w:t>1202810811.73</w:t>
            </w:r>
          </w:p>
        </w:tc>
      </w:tr>
      <w:tr>
        <w:tblPrEx>
          <w:tblW w:w="0" w:type="auto"/>
          <w:jc w:val="center"/>
          <w:tblLayout w:type="fixed"/>
          <w:tblCellMar>
            <w:top w:w="0" w:type="dxa"/>
            <w:left w:w="57" w:type="dxa"/>
            <w:bottom w:w="0" w:type="dxa"/>
            <w:right w:w="57" w:type="dxa"/>
          </w:tblCellMar>
        </w:tblPrEx>
        <w:trPr>
          <w:cantSplit/>
          <w:trHeight w:val="702"/>
          <w:jc w:val="center"/>
        </w:trPr>
        <w:tc>
          <w:tcPr>
            <w:tcW w:w="2493" w:type="dxa"/>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项目投资计划完成情况</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2023年度投资计划总额（汇总数）：</w:t>
            </w:r>
            <w:r>
              <w:rPr>
                <w:rFonts w:ascii="仿宋" w:eastAsia="仿宋" w:hAnsi="仿宋" w:hint="eastAsia"/>
                <w:color w:val="000000" w:themeColor="text1"/>
                <w:sz w:val="24"/>
                <w:lang w:eastAsia="zh-CN"/>
                <w14:textFill>
                  <w14:solidFill>
                    <w14:schemeClr w14:val="tx1"/>
                  </w14:solidFill>
                </w14:textFill>
              </w:rPr>
              <w:t>8344480451.59</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2023年度实际投资总额（汇总数）：</w:t>
            </w:r>
            <w:r>
              <w:rPr>
                <w:rFonts w:ascii="仿宋" w:eastAsia="仿宋" w:hAnsi="仿宋" w:hint="eastAsia"/>
                <w:color w:val="000000" w:themeColor="text1"/>
                <w:sz w:val="24"/>
                <w:lang w:eastAsia="zh-CN"/>
                <w14:textFill>
                  <w14:solidFill>
                    <w14:schemeClr w14:val="tx1"/>
                  </w14:solidFill>
                </w14:textFill>
              </w:rPr>
              <w:t>4872710940.09</w:t>
            </w:r>
          </w:p>
        </w:tc>
      </w:tr>
      <w:tr>
        <w:tblPrEx>
          <w:tblW w:w="0" w:type="auto"/>
          <w:jc w:val="center"/>
          <w:tblLayout w:type="fixed"/>
          <w:tblCellMar>
            <w:top w:w="0" w:type="dxa"/>
            <w:left w:w="57" w:type="dxa"/>
            <w:bottom w:w="0" w:type="dxa"/>
            <w:right w:w="57" w:type="dxa"/>
          </w:tblCellMar>
        </w:tblPrEx>
        <w:trPr>
          <w:cantSplit/>
          <w:trHeight w:val="632"/>
          <w:jc w:val="center"/>
        </w:trPr>
        <w:tc>
          <w:tcPr>
            <w:tcW w:w="2493" w:type="dxa"/>
            <w:tcBorders>
              <w:left w:val="single" w:sz="4" w:space="0" w:color="auto"/>
            </w:tcBorders>
            <w:vAlign w:val="center"/>
          </w:tcPr>
          <w:p>
            <w:pPr>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合同订立规范情况</w:t>
            </w:r>
          </w:p>
        </w:tc>
        <w:tc>
          <w:tcPr>
            <w:tcW w:w="6717"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2023年度合同订立数（汇总数）：</w:t>
            </w:r>
            <w:r>
              <w:rPr>
                <w:rFonts w:ascii="仿宋" w:eastAsia="仿宋" w:hAnsi="仿宋" w:hint="eastAsia"/>
                <w:color w:val="000000" w:themeColor="text1"/>
                <w:sz w:val="24"/>
                <w:lang w:eastAsia="zh-CN"/>
                <w14:textFill>
                  <w14:solidFill>
                    <w14:schemeClr w14:val="tx1"/>
                  </w14:solidFill>
                </w14:textFill>
              </w:rPr>
              <w:t>43141</w:t>
            </w:r>
          </w:p>
          <w:p>
            <w:pPr>
              <w:widowControl/>
              <w:rPr>
                <w:rFonts w:eastAsia="仿宋" w:cs="楷体_GB2312" w:hint="eastAsia"/>
                <w:color w:val="000000" w:themeColor="text1"/>
                <w:sz w:val="24"/>
                <w:lang w:eastAsia="zh-CN"/>
                <w14:textFill>
                  <w14:solidFill>
                    <w14:schemeClr w14:val="tx1"/>
                  </w14:solidFill>
                </w14:textFill>
              </w:rPr>
            </w:pPr>
            <w:r>
              <w:rPr>
                <w:rFonts w:eastAsia="楷体_GB2312" w:cs="楷体_GB2312" w:hint="eastAsia"/>
                <w:color w:val="000000" w:themeColor="text1"/>
                <w:sz w:val="24"/>
                <w14:textFill>
                  <w14:solidFill>
                    <w14:schemeClr w14:val="tx1"/>
                  </w14:solidFill>
                </w14:textFill>
              </w:rPr>
              <w:t>2023年度经合法性审查的合同数（汇总数）：</w:t>
            </w:r>
            <w:r>
              <w:rPr>
                <w:rFonts w:ascii="仿宋" w:eastAsia="仿宋" w:hAnsi="仿宋" w:hint="eastAsia"/>
                <w:color w:val="000000" w:themeColor="text1"/>
                <w:sz w:val="24"/>
                <w:lang w:eastAsia="zh-CN"/>
                <w14:textFill>
                  <w14:solidFill>
                    <w14:schemeClr w14:val="tx1"/>
                  </w14:solidFill>
                </w14:textFill>
              </w:rPr>
              <w:t>40425</w:t>
            </w:r>
          </w:p>
        </w:tc>
      </w:tr>
    </w:tbl>
    <w:p>
      <w:pPr>
        <w:tabs>
          <w:tab w:val="left" w:pos="851"/>
        </w:tabs>
        <w:spacing w:after="156" w:afterLines="50" w:line="360" w:lineRule="auto"/>
        <w:ind w:firstLine="752"/>
        <w:jc w:val="center"/>
        <w:rPr>
          <w:rFonts w:ascii="黑体" w:eastAsia="黑体" w:cs="方正小标宋简体"/>
          <w:color w:val="000000" w:themeColor="text1"/>
          <w:spacing w:val="8"/>
          <w:sz w:val="36"/>
          <w:szCs w:val="36"/>
          <w14:textFill>
            <w14:solidFill>
              <w14:schemeClr w14:val="tx1"/>
            </w14:solidFill>
          </w14:textFill>
        </w:rPr>
      </w:pPr>
      <w:r>
        <w:rPr>
          <w:rFonts w:ascii="黑体" w:eastAsia="黑体" w:cs="方正小标宋简体" w:hint="eastAsia"/>
          <w:color w:val="000000" w:themeColor="text1"/>
          <w:spacing w:val="8"/>
          <w:sz w:val="36"/>
          <w:szCs w:val="36"/>
          <w14:textFill>
            <w14:solidFill>
              <w14:schemeClr w14:val="tx1"/>
            </w14:solidFill>
          </w14:textFill>
        </w:rPr>
        <w:t>四、内部控制信息化汇总情况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3755"/>
        <w:gridCol w:w="550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Ex>
        <w:trPr>
          <w:trHeight w:val="90"/>
          <w:jc w:val="center"/>
        </w:trPr>
        <w:tc>
          <w:tcPr>
            <w:tcW w:w="3755"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单位内部控制信息化覆盖情况</w:t>
            </w:r>
          </w:p>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（单位数）</w:t>
            </w:r>
          </w:p>
        </w:tc>
        <w:tc>
          <w:tcPr>
            <w:tcW w:w="5501" w:type="dxa"/>
            <w:vAlign w:val="center"/>
          </w:tcPr>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预算业务：</w:t>
            </w:r>
            <w:r>
              <w:rPr>
                <w:rFonts w:ascii="仿宋" w:eastAsia="仿宋" w:hAnsi="仿宋" w:hint="eastAsia"/>
                <w:color w:val="000000" w:themeColor="text1"/>
                <w:sz w:val="24"/>
                <w:lang w:eastAsia="zh-CN"/>
                <w14:textFill>
                  <w14:solidFill>
                    <w14:schemeClr w14:val="tx1"/>
                  </w14:solidFill>
                </w14:textFill>
              </w:rPr>
              <w:t>885</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收支业务：</w:t>
            </w:r>
            <w:r>
              <w:rPr>
                <w:rFonts w:ascii="仿宋" w:eastAsia="仿宋" w:hAnsi="仿宋" w:hint="eastAsia"/>
                <w:color w:val="000000" w:themeColor="text1"/>
                <w:sz w:val="24"/>
                <w:lang w:eastAsia="zh-CN"/>
                <w14:textFill>
                  <w14:solidFill>
                    <w14:schemeClr w14:val="tx1"/>
                  </w14:solidFill>
                </w14:textFill>
              </w:rPr>
              <w:t>917</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政府采购业务：</w:t>
            </w:r>
            <w:r>
              <w:rPr>
                <w:rFonts w:ascii="仿宋" w:eastAsia="仿宋" w:hAnsi="仿宋" w:hint="eastAsia"/>
                <w:color w:val="000000" w:themeColor="text1"/>
                <w:sz w:val="24"/>
                <w:lang w:eastAsia="zh-CN"/>
                <w14:textFill>
                  <w14:solidFill>
                    <w14:schemeClr w14:val="tx1"/>
                  </w14:solidFill>
                </w14:textFill>
              </w:rPr>
              <w:t>914</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资产管理：</w:t>
            </w:r>
            <w:r>
              <w:rPr>
                <w:rFonts w:ascii="仿宋" w:eastAsia="仿宋" w:hAnsi="仿宋" w:hint="eastAsia"/>
                <w:color w:val="000000" w:themeColor="text1"/>
                <w:sz w:val="24"/>
                <w:lang w:eastAsia="zh-CN"/>
                <w14:textFill>
                  <w14:solidFill>
                    <w14:schemeClr w14:val="tx1"/>
                  </w14:solidFill>
                </w14:textFill>
              </w:rPr>
              <w:t>892</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建设项目管理：</w:t>
            </w:r>
            <w:r>
              <w:rPr>
                <w:rFonts w:ascii="仿宋" w:eastAsia="仿宋" w:hAnsi="仿宋" w:hint="eastAsia"/>
                <w:color w:val="000000" w:themeColor="text1"/>
                <w:sz w:val="24"/>
                <w:lang w:eastAsia="zh-CN"/>
                <w14:textFill>
                  <w14:solidFill>
                    <w14:schemeClr w14:val="tx1"/>
                  </w14:solidFill>
                </w14:textFill>
              </w:rPr>
              <w:t>670</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合同管理：</w:t>
            </w:r>
            <w:r>
              <w:rPr>
                <w:rFonts w:ascii="仿宋" w:eastAsia="仿宋" w:hAnsi="仿宋" w:hint="eastAsia"/>
                <w:color w:val="000000" w:themeColor="text1"/>
                <w:sz w:val="24"/>
                <w:lang w:eastAsia="zh-CN"/>
                <w14:textFill>
                  <w14:solidFill>
                    <w14:schemeClr w14:val="tx1"/>
                  </w14:solidFill>
                </w14:textFill>
              </w:rPr>
              <w:t>756</w:t>
            </w:r>
            <w:r>
              <w:rPr>
                <w:rFonts w:ascii="仿宋" w:eastAsia="仿宋" w:hAnsi="仿宋"/>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其他：</w:t>
            </w:r>
            <w:r>
              <w:rPr>
                <w:rFonts w:ascii="仿宋" w:eastAsia="仿宋" w:hAnsi="仿宋" w:hint="eastAsia"/>
                <w:color w:val="000000" w:themeColor="text1"/>
                <w:sz w:val="24"/>
                <w:lang w:eastAsia="zh-CN"/>
                <w14:textFill>
                  <w14:solidFill>
                    <w14:schemeClr w14:val="tx1"/>
                  </w14:solidFill>
                </w14:textFill>
              </w:rPr>
              <w:t>181</w:t>
            </w:r>
            <w:r>
              <w:rPr>
                <w:rFonts w:ascii="仿宋" w:eastAsia="仿宋" w:hAnsi="仿宋"/>
                <w:color w:val="000000" w:themeColor="text1"/>
                <w:sz w:val="24"/>
                <w14:textFill>
                  <w14:solidFill>
                    <w14:schemeClr w14:val="tx1"/>
                  </w14:solidFill>
                </w14:textFill>
              </w:rPr>
              <w:t xml:space="preserve">  </w:t>
            </w:r>
          </w:p>
          <w:p>
            <w:pPr>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未覆盖：</w:t>
            </w:r>
            <w:r>
              <w:rPr>
                <w:rFonts w:ascii="仿宋" w:eastAsia="仿宋" w:hAnsi="仿宋" w:hint="eastAsia"/>
                <w:color w:val="000000" w:themeColor="text1"/>
                <w:sz w:val="24"/>
                <w:lang w:eastAsia="zh-CN"/>
                <w14:textFill>
                  <w14:solidFill>
                    <w14:schemeClr w14:val="tx1"/>
                  </w14:solidFill>
                </w14:textFill>
              </w:rPr>
              <w:t>951</w:t>
            </w:r>
          </w:p>
        </w:tc>
      </w:tr>
      <w:tr>
        <w:tblPrEx>
          <w:tblW w:w="0" w:type="auto"/>
          <w:jc w:val="center"/>
          <w:tblLayout w:type="fixed"/>
          <w:tblCellMar>
            <w:top w:w="0" w:type="dxa"/>
            <w:left w:w="57" w:type="dxa"/>
            <w:bottom w:w="0" w:type="dxa"/>
            <w:right w:w="57" w:type="dxa"/>
          </w:tblCellMar>
        </w:tblPrEx>
        <w:trPr>
          <w:trHeight w:val="90"/>
          <w:jc w:val="center"/>
        </w:trPr>
        <w:tc>
          <w:tcPr>
            <w:tcW w:w="3755"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2023年度内部控制信息化覆盖的业务系统改造升级情况（单位数）</w:t>
            </w:r>
          </w:p>
        </w:tc>
        <w:tc>
          <w:tcPr>
            <w:tcW w:w="5501" w:type="dxa"/>
            <w:vAlign w:val="center"/>
          </w:tcPr>
          <w:p>
            <w:pPr>
              <w:widowControl/>
              <w:rPr>
                <w:rFonts w:ascii="仿宋" w:eastAsia="仿宋" w:hAnsi="仿宋" w:cs="楷体_GB2312"/>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预算业务：</w:t>
            </w:r>
            <w:r>
              <w:rPr>
                <w:rFonts w:ascii="仿宋" w:eastAsia="仿宋" w:hAnsi="仿宋" w:hint="eastAsia"/>
                <w:color w:val="000000" w:themeColor="text1"/>
                <w:sz w:val="24"/>
                <w:lang w:eastAsia="zh-CN"/>
                <w14:textFill>
                  <w14:solidFill>
                    <w14:schemeClr w14:val="tx1"/>
                  </w14:solidFill>
                </w14:textFill>
              </w:rPr>
              <w:t>555</w:t>
            </w:r>
            <w:r>
              <w:rPr>
                <w:rFonts w:ascii="仿宋" w:eastAsia="仿宋" w:hAnsi="仿宋" w:cs="楷体_GB2312" w:hint="eastAsia"/>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收支业务：</w:t>
            </w:r>
            <w:r>
              <w:rPr>
                <w:rFonts w:ascii="仿宋" w:eastAsia="仿宋" w:hAnsi="仿宋" w:hint="eastAsia"/>
                <w:color w:val="000000" w:themeColor="text1"/>
                <w:sz w:val="24"/>
                <w:lang w:eastAsia="zh-CN"/>
                <w14:textFill>
                  <w14:solidFill>
                    <w14:schemeClr w14:val="tx1"/>
                  </w14:solidFill>
                </w14:textFill>
              </w:rPr>
              <w:t>591</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政府采购业务：</w:t>
            </w:r>
            <w:r>
              <w:rPr>
                <w:rFonts w:ascii="仿宋" w:eastAsia="仿宋" w:hAnsi="仿宋" w:hint="eastAsia"/>
                <w:color w:val="000000" w:themeColor="text1"/>
                <w:sz w:val="24"/>
                <w:lang w:eastAsia="zh-CN"/>
                <w14:textFill>
                  <w14:solidFill>
                    <w14:schemeClr w14:val="tx1"/>
                  </w14:solidFill>
                </w14:textFill>
              </w:rPr>
              <w:t>557</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资产管理：</w:t>
            </w:r>
            <w:r>
              <w:rPr>
                <w:rFonts w:ascii="仿宋" w:eastAsia="仿宋" w:hAnsi="仿宋" w:hint="eastAsia"/>
                <w:color w:val="000000" w:themeColor="text1"/>
                <w:sz w:val="24"/>
                <w:lang w:eastAsia="zh-CN"/>
                <w14:textFill>
                  <w14:solidFill>
                    <w14:schemeClr w14:val="tx1"/>
                  </w14:solidFill>
                </w14:textFill>
              </w:rPr>
              <w:t>539</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建设项目管理：</w:t>
            </w:r>
            <w:r>
              <w:rPr>
                <w:rFonts w:ascii="仿宋" w:eastAsia="仿宋" w:hAnsi="仿宋" w:hint="eastAsia"/>
                <w:color w:val="000000" w:themeColor="text1"/>
                <w:sz w:val="24"/>
                <w:lang w:eastAsia="zh-CN"/>
                <w14:textFill>
                  <w14:solidFill>
                    <w14:schemeClr w14:val="tx1"/>
                  </w14:solidFill>
                </w14:textFill>
              </w:rPr>
              <w:t>434</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olor w:val="000000" w:themeColor="text1"/>
                <w:sz w:val="24"/>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合同管理：</w:t>
            </w:r>
            <w:r>
              <w:rPr>
                <w:rFonts w:ascii="仿宋" w:eastAsia="仿宋" w:hAnsi="仿宋"/>
                <w:color w:val="000000" w:themeColor="text1"/>
                <w:sz w:val="24"/>
                <w14:textFill>
                  <w14:solidFill>
                    <w14:schemeClr w14:val="tx1"/>
                  </w14:solidFill>
                </w14:textFill>
              </w:rPr>
              <w:t xml:space="preserve"> </w:t>
            </w:r>
            <w:r>
              <w:rPr>
                <w:rFonts w:ascii="仿宋" w:eastAsia="仿宋" w:hAnsi="仿宋" w:hint="eastAsia"/>
                <w:color w:val="000000" w:themeColor="text1"/>
                <w:sz w:val="24"/>
                <w:lang w:eastAsia="zh-CN"/>
                <w14:textFill>
                  <w14:solidFill>
                    <w14:schemeClr w14:val="tx1"/>
                  </w14:solidFill>
                </w14:textFill>
              </w:rPr>
              <w:t>457</w:t>
            </w:r>
            <w:r>
              <w:rPr>
                <w:rFonts w:ascii="仿宋" w:eastAsia="仿宋" w:hAnsi="仿宋"/>
                <w:color w:val="000000" w:themeColor="text1"/>
                <w:sz w:val="24"/>
                <w14:textFill>
                  <w14:solidFill>
                    <w14:schemeClr w14:val="tx1"/>
                  </w14:solidFill>
                </w14:textFill>
              </w:rPr>
              <w:t xml:space="preserve"> </w:t>
            </w:r>
            <w:r>
              <w:rPr>
                <w:rFonts w:ascii="仿宋" w:eastAsia="仿宋" w:hAnsi="仿宋" w:cs="楷体_GB2312" w:hint="eastAsia"/>
                <w:color w:val="000000" w:themeColor="text1"/>
                <w:sz w:val="24"/>
                <w14:textFill>
                  <w14:solidFill>
                    <w14:schemeClr w14:val="tx1"/>
                  </w14:solidFill>
                </w14:textFill>
              </w:rPr>
              <w:t>其他：</w:t>
            </w:r>
            <w:r>
              <w:rPr>
                <w:rFonts w:ascii="仿宋" w:eastAsia="仿宋" w:hAnsi="仿宋" w:hint="eastAsia"/>
                <w:color w:val="000000" w:themeColor="text1"/>
                <w:sz w:val="24"/>
                <w:lang w:eastAsia="zh-CN"/>
                <w14:textFill>
                  <w14:solidFill>
                    <w14:schemeClr w14:val="tx1"/>
                  </w14:solidFill>
                </w14:textFill>
              </w:rPr>
              <w:t>162</w:t>
            </w:r>
            <w:r>
              <w:rPr>
                <w:rFonts w:ascii="仿宋" w:eastAsia="仿宋" w:hAnsi="仿宋"/>
                <w:color w:val="000000" w:themeColor="text1"/>
                <w:sz w:val="24"/>
                <w14:textFill>
                  <w14:solidFill>
                    <w14:schemeClr w14:val="tx1"/>
                  </w14:solidFill>
                </w14:textFill>
              </w:rPr>
              <w:t xml:space="preserve">  </w:t>
            </w:r>
          </w:p>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未更新：</w:t>
            </w:r>
            <w:r>
              <w:rPr>
                <w:rFonts w:ascii="仿宋" w:eastAsia="仿宋" w:hAnsi="仿宋" w:hint="eastAsia"/>
                <w:color w:val="000000" w:themeColor="text1"/>
                <w:sz w:val="24"/>
                <w:lang w:eastAsia="zh-CN"/>
                <w14:textFill>
                  <w14:solidFill>
                    <w14:schemeClr w14:val="tx1"/>
                  </w14:solidFill>
                </w14:textFill>
              </w:rPr>
              <w:t>1034</w:t>
            </w:r>
          </w:p>
        </w:tc>
      </w:tr>
      <w:tr>
        <w:tblPrEx>
          <w:tblW w:w="0" w:type="auto"/>
          <w:jc w:val="center"/>
          <w:tblLayout w:type="fixed"/>
          <w:tblCellMar>
            <w:top w:w="0" w:type="dxa"/>
            <w:left w:w="57" w:type="dxa"/>
            <w:bottom w:w="0" w:type="dxa"/>
            <w:right w:w="57" w:type="dxa"/>
          </w:tblCellMar>
        </w:tblPrEx>
        <w:trPr>
          <w:trHeight w:val="749"/>
          <w:jc w:val="center"/>
        </w:trPr>
        <w:tc>
          <w:tcPr>
            <w:tcW w:w="3755" w:type="dxa"/>
            <w:vAlign w:val="center"/>
          </w:tcPr>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是否联通政府会计核算模块</w:t>
            </w:r>
          </w:p>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（单位数）</w:t>
            </w:r>
          </w:p>
        </w:tc>
        <w:tc>
          <w:tcPr>
            <w:tcW w:w="5501" w:type="dxa"/>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734</w:t>
            </w:r>
          </w:p>
          <w:p>
            <w:pPr>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1218</w:t>
            </w:r>
          </w:p>
        </w:tc>
      </w:tr>
      <w:tr>
        <w:tblPrEx>
          <w:tblW w:w="0" w:type="auto"/>
          <w:jc w:val="center"/>
          <w:tblLayout w:type="fixed"/>
          <w:tblCellMar>
            <w:top w:w="0" w:type="dxa"/>
            <w:left w:w="57" w:type="dxa"/>
            <w:bottom w:w="0" w:type="dxa"/>
            <w:right w:w="57" w:type="dxa"/>
          </w:tblCellMar>
        </w:tblPrEx>
        <w:trPr>
          <w:trHeight w:val="509"/>
          <w:jc w:val="center"/>
        </w:trPr>
        <w:tc>
          <w:tcPr>
            <w:tcW w:w="3755" w:type="dxa"/>
            <w:vAlign w:val="center"/>
          </w:tcPr>
          <w:p>
            <w:pPr>
              <w:spacing w:line="320" w:lineRule="exact"/>
              <w:jc w:val="center"/>
              <w:rPr>
                <w:rFonts w:eastAsia="仿宋_GB2312" w:cs="仿宋_GB2312" w:hint="eastAsia"/>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单位内部控制信息化模块联通情况</w:t>
            </w:r>
          </w:p>
          <w:p>
            <w:pPr>
              <w:spacing w:line="320" w:lineRule="exact"/>
              <w:jc w:val="center"/>
              <w:rPr>
                <w:rFonts w:eastAsia="仿宋_GB2312" w:cs="仿宋_GB2312"/>
                <w:color w:val="000000" w:themeColor="text1"/>
                <w:spacing w:val="-12"/>
                <w:sz w:val="24"/>
                <w14:textFill>
                  <w14:solidFill>
                    <w14:schemeClr w14:val="tx1"/>
                  </w14:solidFill>
                </w14:textFill>
              </w:rPr>
            </w:pPr>
            <w:r>
              <w:rPr>
                <w:rFonts w:eastAsia="仿宋_GB2312" w:cs="仿宋_GB2312" w:hint="eastAsia"/>
                <w:color w:val="000000" w:themeColor="text1"/>
                <w:spacing w:val="-12"/>
                <w:sz w:val="24"/>
                <w14:textFill>
                  <w14:solidFill>
                    <w14:schemeClr w14:val="tx1"/>
                  </w14:solidFill>
                </w14:textFill>
              </w:rPr>
              <w:t>（单位数）</w:t>
            </w:r>
          </w:p>
        </w:tc>
        <w:tc>
          <w:tcPr>
            <w:tcW w:w="5501" w:type="dxa"/>
            <w:shd w:val="clear" w:color="auto" w:fill="auto"/>
            <w:vAlign w:val="center"/>
          </w:tcPr>
          <w:p>
            <w:pPr>
              <w:widowControl/>
              <w:rPr>
                <w:rFonts w:ascii="仿宋" w:eastAsia="仿宋" w:hAnsi="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是：</w:t>
            </w:r>
            <w:r>
              <w:rPr>
                <w:rFonts w:ascii="仿宋" w:eastAsia="仿宋" w:hAnsi="仿宋" w:hint="eastAsia"/>
                <w:color w:val="000000" w:themeColor="text1"/>
                <w:sz w:val="24"/>
                <w:lang w:eastAsia="zh-CN"/>
                <w14:textFill>
                  <w14:solidFill>
                    <w14:schemeClr w14:val="tx1"/>
                  </w14:solidFill>
                </w14:textFill>
              </w:rPr>
              <w:t>346</w:t>
            </w:r>
          </w:p>
          <w:p>
            <w:pPr>
              <w:widowControl/>
              <w:rPr>
                <w:rFonts w:eastAsia="仿宋" w:cs="楷体_GB2312" w:hint="eastAsia"/>
                <w:color w:val="000000" w:themeColor="text1"/>
                <w:sz w:val="24"/>
                <w:lang w:eastAsia="zh-CN"/>
                <w14:textFill>
                  <w14:solidFill>
                    <w14:schemeClr w14:val="tx1"/>
                  </w14:solidFill>
                </w14:textFill>
              </w:rPr>
            </w:pPr>
            <w:r>
              <w:rPr>
                <w:rFonts w:ascii="仿宋" w:eastAsia="仿宋" w:hAnsi="仿宋" w:cs="楷体_GB2312" w:hint="eastAsia"/>
                <w:color w:val="000000" w:themeColor="text1"/>
                <w:sz w:val="24"/>
                <w14:textFill>
                  <w14:solidFill>
                    <w14:schemeClr w14:val="tx1"/>
                  </w14:solidFill>
                </w14:textFill>
              </w:rPr>
              <w:t>否：</w:t>
            </w:r>
            <w:r>
              <w:rPr>
                <w:rFonts w:ascii="仿宋" w:eastAsia="仿宋" w:hAnsi="仿宋" w:hint="eastAsia"/>
                <w:color w:val="000000" w:themeColor="text1"/>
                <w:sz w:val="24"/>
                <w:lang w:eastAsia="zh-CN"/>
                <w14:textFill>
                  <w14:solidFill>
                    <w14:schemeClr w14:val="tx1"/>
                  </w14:solidFill>
                </w14:textFill>
              </w:rPr>
              <w:t>1606</w:t>
            </w:r>
          </w:p>
        </w:tc>
      </w:tr>
    </w:tbl>
    <w:p>
      <w:pPr>
        <w:ind w:firstLine="420"/>
        <w:rPr>
          <w:color w:val="000000" w:themeColor="text1"/>
          <w14:textFill>
            <w14:solidFill>
              <w14:schemeClr w14:val="tx1"/>
            </w14:solidFill>
          </w14:textFill>
        </w:rPr>
      </w:pPr>
    </w:p>
    <w:sectPr>
      <w:footerReference w:type="default" r:id="rId7"/>
      <w:pgSz w:w="11906" w:h="16838"/>
      <w:pgMar w:top="1440" w:right="1080" w:bottom="1440" w:left="1423" w:header="851" w:footer="499" w:gutter="0"/>
      <w:cols w:num="1" w:space="72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00685" cy="147955"/>
              <wp:effectExtent l="0" t="0" r="18415" b="4445"/>
              <wp:wrapNone/>
              <wp:docPr id="12" name="文本框 10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a:xfrm>
                        <a:off x="0" y="0"/>
                        <a:ext cx="400685" cy="147955"/>
                      </a:xfrm>
                      <a:prstGeom prst="rect">
                        <a:avLst/>
                      </a:prstGeom>
                      <a:noFill/>
                      <a:ln>
                        <a:noFill/>
                      </a:ln>
                      <a:effectLst/>
                    </wps:spPr>
                    <wps:txbx>
                      <w:txbxContent>
                        <w:p>
                          <w:pPr>
                            <w:pStyle w:val="Footer"/>
                          </w:pPr>
                          <w:r>
                            <w:rPr>
                              <w:rFonts w:hint="eastAsia"/>
                            </w:rPr>
                            <w:t xml:space="preserve">— </w:t>
                          </w:r>
                          <w:r>
                            <w:fldChar w:fldCharType="begin"/>
                          </w:r>
                          <w:r>
                            <w:instrText xml:space="preserve"> PAGE  \* MERGEFORMAT </w:instrText>
                          </w:r>
                          <w:r>
                            <w:fldChar w:fldCharType="separate"/>
                          </w:r>
                          <w:r>
                            <w:t>4</w:t>
                          </w:r>
                          <w:r>
                            <w:fldChar w:fldCharType="end"/>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2049" type="#_x0000_t202" style="width:31.55pt;height:11.65pt;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rPr>
                        <w:rFonts w:hint="eastAsia"/>
                      </w:rPr>
                      <w:t xml:space="preserve">— </w:t>
                    </w:r>
                    <w:r>
                      <w:fldChar w:fldCharType="begin"/>
                    </w:r>
                    <w:r>
                      <w:instrText xml:space="preserve"> PAGE  \* MERGEFORMAT </w:instrText>
                    </w:r>
                    <w:r>
                      <w:fldChar w:fldCharType="separate"/>
                    </w:r>
                    <w:r>
                      <w:t>4</w:t>
                    </w:r>
                    <w:r>
                      <w:fldChar w:fldCharType="end"/>
                    </w:r>
                    <w:r>
                      <w:rPr>
                        <w:rFonts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18415" b="4445"/>
              <wp:wrapNone/>
              <wp:docPr id="11" name="文本框 10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a:xfrm>
                        <a:off x="0" y="0"/>
                        <a:ext cx="457835" cy="147955"/>
                      </a:xfrm>
                      <a:prstGeom prst="rect">
                        <a:avLst/>
                      </a:prstGeom>
                      <a:noFill/>
                      <a:ln>
                        <a:noFill/>
                      </a:ln>
                      <a:effectLst/>
                    </wps:spPr>
                    <wps:txbx>
                      <w:txbxContent>
                        <w:p>
                          <w:pPr>
                            <w:pStyle w:val="Footer"/>
                          </w:pPr>
                          <w:r>
                            <w:rPr>
                              <w:rFonts w:hint="eastAsia"/>
                            </w:rPr>
                            <w:t xml:space="preserve">— </w:t>
                          </w:r>
                          <w:r>
                            <w:fldChar w:fldCharType="begin"/>
                          </w:r>
                          <w:r>
                            <w:instrText xml:space="preserve"> PAGE  \* MERGEFORMAT </w:instrText>
                          </w:r>
                          <w:r>
                            <w:fldChar w:fldCharType="separate"/>
                          </w:r>
                          <w:r>
                            <w:t>21</w:t>
                          </w:r>
                          <w:r>
                            <w:fldChar w:fldCharType="end"/>
                          </w:r>
                          <w:r>
                            <w:rPr>
                              <w:rFonts w:hint="eastAsia"/>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2050" type="#_x0000_t202" style="width:36.05pt;height:11.65pt;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rPr>
                        <w:rFonts w:hint="eastAsia"/>
                      </w:rPr>
                      <w:t xml:space="preserve">— </w:t>
                    </w:r>
                    <w:r>
                      <w:fldChar w:fldCharType="begin"/>
                    </w:r>
                    <w:r>
                      <w:instrText xml:space="preserve"> PAGE  \* MERGEFORMAT </w:instrText>
                    </w:r>
                    <w:r>
                      <w:fldChar w:fldCharType="separate"/>
                    </w:r>
                    <w:r>
                      <w:t>21</w:t>
                    </w:r>
                    <w:r>
                      <w:fldChar w:fldCharType="end"/>
                    </w:r>
                    <w:r>
                      <w:rPr>
                        <w:rFonts w:hint="eastAsia"/>
                      </w:rPr>
                      <w:t xml:space="preserve"> —</w:t>
                    </w:r>
                  </w:p>
                </w:txbxContent>
              </v:textbox>
              <w10:wrap anchorx="margin"/>
            </v:shape>
          </w:pict>
        </mc:Fallback>
      </mc:AlternateConten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施海平">
    <w15:presenceInfo w15:providerId="None" w15:userId="施海平"/>
  </w15:person>
  <w15:person w15:author="邓粹红">
    <w15:presenceInfo w15:providerId="None" w15:userId="67111428"/>
  </w15:person>
  <w15:person w15:author="王晓红">
    <w15:presenceInfo w15:providerId="None" w15:userId="王晓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F5C1ABF"/>
    <w:rsid w:val="9FEFB8CD"/>
    <w:rsid w:val="AE5B9E6D"/>
    <w:rsid w:val="B0FFD5EE"/>
    <w:rsid w:val="B6DDF463"/>
    <w:rsid w:val="BBD52576"/>
    <w:rsid w:val="BD7BEB33"/>
    <w:rsid w:val="BFBFAE91"/>
    <w:rsid w:val="BFFD1948"/>
    <w:rsid w:val="CFEF63DF"/>
    <w:rsid w:val="CFFE719F"/>
    <w:rsid w:val="D7CDEED4"/>
    <w:rsid w:val="D89F15C9"/>
    <w:rsid w:val="DB7F2111"/>
    <w:rsid w:val="DF0FE3E8"/>
    <w:rsid w:val="DF3FE1B0"/>
    <w:rsid w:val="DFBF8159"/>
    <w:rsid w:val="DFFDBA87"/>
    <w:rsid w:val="EB3FBDA9"/>
    <w:rsid w:val="F57FAFC5"/>
    <w:rsid w:val="F73FA641"/>
    <w:rsid w:val="F7EF97A1"/>
    <w:rsid w:val="F7F5C2DF"/>
    <w:rsid w:val="F8B568EB"/>
    <w:rsid w:val="FBAEEC2C"/>
    <w:rsid w:val="FBD32DBB"/>
    <w:rsid w:val="FC3B8F85"/>
    <w:rsid w:val="FCDB9AB2"/>
    <w:rsid w:val="FDEFD7CC"/>
    <w:rsid w:val="FEF33E20"/>
    <w:rsid w:val="FEFF3B1C"/>
    <w:rsid w:val="FF1F7BBA"/>
    <w:rsid w:val="FFB5F680"/>
    <w:rsid w:val="FFE941A7"/>
    <w:rsid w:val="00017337"/>
    <w:rsid w:val="000A5A16"/>
    <w:rsid w:val="000D115A"/>
    <w:rsid w:val="001160F9"/>
    <w:rsid w:val="00172A27"/>
    <w:rsid w:val="00172F20"/>
    <w:rsid w:val="00176CF4"/>
    <w:rsid w:val="001871B5"/>
    <w:rsid w:val="001A0E11"/>
    <w:rsid w:val="001C4D29"/>
    <w:rsid w:val="001D249A"/>
    <w:rsid w:val="001E4AC9"/>
    <w:rsid w:val="001E7F84"/>
    <w:rsid w:val="002136D4"/>
    <w:rsid w:val="00220713"/>
    <w:rsid w:val="00230BA7"/>
    <w:rsid w:val="00260CC5"/>
    <w:rsid w:val="00293C5F"/>
    <w:rsid w:val="002B0357"/>
    <w:rsid w:val="002E52C6"/>
    <w:rsid w:val="0034218B"/>
    <w:rsid w:val="0036027D"/>
    <w:rsid w:val="00362868"/>
    <w:rsid w:val="00391C32"/>
    <w:rsid w:val="003B60CB"/>
    <w:rsid w:val="003E0EAE"/>
    <w:rsid w:val="003E5925"/>
    <w:rsid w:val="003F3675"/>
    <w:rsid w:val="003F63F6"/>
    <w:rsid w:val="00452254"/>
    <w:rsid w:val="00467D76"/>
    <w:rsid w:val="004A53EC"/>
    <w:rsid w:val="004D2299"/>
    <w:rsid w:val="004D58C3"/>
    <w:rsid w:val="004E303B"/>
    <w:rsid w:val="00511A56"/>
    <w:rsid w:val="00514DB8"/>
    <w:rsid w:val="00567831"/>
    <w:rsid w:val="00570927"/>
    <w:rsid w:val="005A1BA9"/>
    <w:rsid w:val="005A704A"/>
    <w:rsid w:val="005B760D"/>
    <w:rsid w:val="005B79FA"/>
    <w:rsid w:val="005F7F1B"/>
    <w:rsid w:val="00633259"/>
    <w:rsid w:val="00652A19"/>
    <w:rsid w:val="0065665A"/>
    <w:rsid w:val="00661638"/>
    <w:rsid w:val="006E029E"/>
    <w:rsid w:val="0072203F"/>
    <w:rsid w:val="007229E3"/>
    <w:rsid w:val="00777B7B"/>
    <w:rsid w:val="00791FFA"/>
    <w:rsid w:val="00793348"/>
    <w:rsid w:val="007A5A89"/>
    <w:rsid w:val="007C7CF2"/>
    <w:rsid w:val="007D1D18"/>
    <w:rsid w:val="007D2E0D"/>
    <w:rsid w:val="00824F31"/>
    <w:rsid w:val="008360A4"/>
    <w:rsid w:val="00843747"/>
    <w:rsid w:val="00892707"/>
    <w:rsid w:val="008A6657"/>
    <w:rsid w:val="008F1A96"/>
    <w:rsid w:val="00923B97"/>
    <w:rsid w:val="009244C5"/>
    <w:rsid w:val="00972B8E"/>
    <w:rsid w:val="009838B5"/>
    <w:rsid w:val="009E6782"/>
    <w:rsid w:val="00A33287"/>
    <w:rsid w:val="00A37C5F"/>
    <w:rsid w:val="00A91B5F"/>
    <w:rsid w:val="00A95457"/>
    <w:rsid w:val="00B011B6"/>
    <w:rsid w:val="00B15BDF"/>
    <w:rsid w:val="00B32024"/>
    <w:rsid w:val="00B41D48"/>
    <w:rsid w:val="00B95E59"/>
    <w:rsid w:val="00BA0C5F"/>
    <w:rsid w:val="00BB073E"/>
    <w:rsid w:val="00BB38BE"/>
    <w:rsid w:val="00BC332C"/>
    <w:rsid w:val="00BF243D"/>
    <w:rsid w:val="00C005CC"/>
    <w:rsid w:val="00C039AA"/>
    <w:rsid w:val="00C17048"/>
    <w:rsid w:val="00C501B3"/>
    <w:rsid w:val="00C94862"/>
    <w:rsid w:val="00CB7C8D"/>
    <w:rsid w:val="00CC02AC"/>
    <w:rsid w:val="00CD3430"/>
    <w:rsid w:val="00D073A0"/>
    <w:rsid w:val="00D24F8D"/>
    <w:rsid w:val="00D25BAA"/>
    <w:rsid w:val="00D4652A"/>
    <w:rsid w:val="00DB42B8"/>
    <w:rsid w:val="00DB4FDA"/>
    <w:rsid w:val="00DF6F0A"/>
    <w:rsid w:val="00DF7180"/>
    <w:rsid w:val="00E00B53"/>
    <w:rsid w:val="00E44742"/>
    <w:rsid w:val="00E50600"/>
    <w:rsid w:val="00E752E5"/>
    <w:rsid w:val="00EE2060"/>
    <w:rsid w:val="00F01600"/>
    <w:rsid w:val="00F46AFB"/>
    <w:rsid w:val="00F55517"/>
    <w:rsid w:val="00F72EF3"/>
    <w:rsid w:val="00F841CB"/>
    <w:rsid w:val="00FD6AEE"/>
    <w:rsid w:val="03FF8FED"/>
    <w:rsid w:val="08494BA2"/>
    <w:rsid w:val="0E5F5896"/>
    <w:rsid w:val="1C7845BD"/>
    <w:rsid w:val="1CCE243A"/>
    <w:rsid w:val="1EB4768C"/>
    <w:rsid w:val="1FFE11A0"/>
    <w:rsid w:val="216867BB"/>
    <w:rsid w:val="26802C75"/>
    <w:rsid w:val="29FF5406"/>
    <w:rsid w:val="2C80179C"/>
    <w:rsid w:val="2DAFA4EC"/>
    <w:rsid w:val="2E4E7716"/>
    <w:rsid w:val="2FBFDA9E"/>
    <w:rsid w:val="2FEB4700"/>
    <w:rsid w:val="372B950E"/>
    <w:rsid w:val="39276CCF"/>
    <w:rsid w:val="3BEFC7A3"/>
    <w:rsid w:val="3D587A4D"/>
    <w:rsid w:val="3D9B475A"/>
    <w:rsid w:val="415006B7"/>
    <w:rsid w:val="416C40CA"/>
    <w:rsid w:val="43E854FA"/>
    <w:rsid w:val="47484A7F"/>
    <w:rsid w:val="47727CED"/>
    <w:rsid w:val="4BDA4779"/>
    <w:rsid w:val="4DFE2A04"/>
    <w:rsid w:val="4EAC59EF"/>
    <w:rsid w:val="4FBECB33"/>
    <w:rsid w:val="51A90A23"/>
    <w:rsid w:val="57FF0675"/>
    <w:rsid w:val="5FF4C6BF"/>
    <w:rsid w:val="615362B5"/>
    <w:rsid w:val="6797A1AB"/>
    <w:rsid w:val="679B18A3"/>
    <w:rsid w:val="6AEB35F4"/>
    <w:rsid w:val="6BD7290C"/>
    <w:rsid w:val="6FCE9132"/>
    <w:rsid w:val="6FF7D699"/>
    <w:rsid w:val="75343136"/>
    <w:rsid w:val="772B3018"/>
    <w:rsid w:val="77BF3A1B"/>
    <w:rsid w:val="77DEDA1B"/>
    <w:rsid w:val="7A67200A"/>
    <w:rsid w:val="7BBFB6FD"/>
    <w:rsid w:val="7E799FFE"/>
    <w:rsid w:val="7EF4F4B4"/>
    <w:rsid w:val="7F5B3F16"/>
    <w:rsid w:val="7FBE3894"/>
    <w:rsid w:val="7FF7B82B"/>
    <w:rsid w:val="7FFD35A0"/>
  </w:rsids>
  <w:docVars>
    <w:docVar w:name="commondata" w:val="eyJoZGlkIjoiN2ZmMzg1ZjI2NGQ2ZjY5YjYzYjM2ODExMWI3MGI2Nz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unhideWhenUsed="0" w:qFormat="1"/>
    <w:lsdException w:name="annotation text" w:semiHidden="0" w:uiPriority="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unhideWhenUsed="0" w:qFormat="1"/>
    <w:lsdException w:name="annotation reference" w:semiHidden="0" w:uiPriority="0" w:qFormat="1"/>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semiHidden="0" w:uiPriority="0" w:unhideWhenUsed="0"/>
    <w:lsdException w:name="toa heading" w:uiPriority="0"/>
    <w:lsdException w:name="List" w:uiPriority="0"/>
    <w:lsdException w:name="List Bullet" w:semiHidden="0" w:uiPriority="0" w:unhideWhenUsed="0"/>
    <w:lsdException w:name="List Number" w:semiHidden="0"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semiHidden="0" w:uiPriority="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3"/>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2"/>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a"/>
    <w:unhideWhenUsed/>
    <w:qFormat/>
    <w:rPr>
      <w:rFonts w:ascii="宋体"/>
      <w:sz w:val="18"/>
      <w:szCs w:val="18"/>
    </w:rPr>
  </w:style>
  <w:style w:type="paragraph" w:styleId="CommentText">
    <w:name w:val="annotation text"/>
    <w:basedOn w:val="Normal"/>
    <w:link w:val="1"/>
    <w:unhideWhenUsed/>
    <w:qFormat/>
    <w:pPr>
      <w:jc w:val="left"/>
    </w:pPr>
  </w:style>
  <w:style w:type="paragraph" w:styleId="BodyText">
    <w:name w:val="Body Text"/>
    <w:basedOn w:val="Normal"/>
    <w:link w:val="a0"/>
    <w:qFormat/>
    <w:pPr>
      <w:adjustRightInd w:val="0"/>
      <w:jc w:val="left"/>
      <w:textAlignment w:val="baseline"/>
    </w:pPr>
    <w:rPr>
      <w:szCs w:val="20"/>
    </w:rPr>
  </w:style>
  <w:style w:type="paragraph" w:styleId="BalloonText">
    <w:name w:val="Balloon Text"/>
    <w:basedOn w:val="Normal"/>
    <w:link w:val="a1"/>
    <w:semiHidden/>
    <w:qFormat/>
    <w:rPr>
      <w:sz w:val="18"/>
      <w:szCs w:val="18"/>
    </w:rPr>
  </w:style>
  <w:style w:type="paragraph" w:styleId="Footer">
    <w:name w:val="footer"/>
    <w:basedOn w:val="Normal"/>
    <w:link w:val="a2"/>
    <w:qFormat/>
    <w:pPr>
      <w:tabs>
        <w:tab w:val="center" w:pos="4153"/>
        <w:tab w:val="right" w:pos="8306"/>
      </w:tabs>
      <w:snapToGrid w:val="0"/>
      <w:jc w:val="left"/>
    </w:pPr>
    <w:rPr>
      <w:sz w:val="18"/>
      <w:szCs w:val="18"/>
    </w:rPr>
  </w:style>
  <w:style w:type="paragraph" w:styleId="Header">
    <w:name w:val="header"/>
    <w:basedOn w:val="Normal"/>
    <w:link w:val="a3"/>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a4"/>
    <w:semiHidden/>
    <w:qFormat/>
    <w:pPr>
      <w:snapToGrid w:val="0"/>
      <w:jc w:val="left"/>
    </w:pPr>
    <w:rPr>
      <w:sz w:val="18"/>
      <w:szCs w:val="18"/>
    </w:rPr>
  </w:style>
  <w:style w:type="paragraph" w:styleId="CommentSubject">
    <w:name w:val="annotation subject"/>
    <w:basedOn w:val="CommentText"/>
    <w:next w:val="CommentText"/>
    <w:link w:val="a5"/>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a">
    <w:name w:val="文档结构图 字符"/>
    <w:basedOn w:val="DefaultParagraphFont"/>
    <w:link w:val="DocumentMap"/>
    <w:semiHidden/>
    <w:qFormat/>
    <w:rPr>
      <w:rFonts w:ascii="宋体"/>
      <w:kern w:val="2"/>
      <w:sz w:val="18"/>
      <w:szCs w:val="18"/>
    </w:rPr>
  </w:style>
  <w:style w:type="character" w:customStyle="1" w:styleId="1">
    <w:name w:val="批注文字 字符1"/>
    <w:basedOn w:val="DefaultParagraphFont"/>
    <w:link w:val="CommentText"/>
    <w:semiHidden/>
    <w:qFormat/>
    <w:rPr>
      <w:kern w:val="2"/>
      <w:sz w:val="21"/>
      <w:szCs w:val="24"/>
    </w:rPr>
  </w:style>
  <w:style w:type="character" w:customStyle="1" w:styleId="a0">
    <w:name w:val="正文文本 字符"/>
    <w:basedOn w:val="DefaultParagraphFont"/>
    <w:link w:val="BodyText"/>
    <w:qFormat/>
    <w:rPr>
      <w:kern w:val="2"/>
      <w:sz w:val="21"/>
    </w:rPr>
  </w:style>
  <w:style w:type="character" w:customStyle="1" w:styleId="a1">
    <w:name w:val="批注框文本 字符"/>
    <w:basedOn w:val="DefaultParagraphFont"/>
    <w:link w:val="BalloonText"/>
    <w:semiHidden/>
    <w:qFormat/>
    <w:rPr>
      <w:kern w:val="2"/>
      <w:sz w:val="18"/>
      <w:szCs w:val="18"/>
    </w:rPr>
  </w:style>
  <w:style w:type="character" w:customStyle="1" w:styleId="a2">
    <w:name w:val="页脚 字符"/>
    <w:basedOn w:val="DefaultParagraphFont"/>
    <w:link w:val="Footer"/>
    <w:qFormat/>
    <w:rPr>
      <w:kern w:val="2"/>
      <w:sz w:val="18"/>
      <w:szCs w:val="18"/>
    </w:rPr>
  </w:style>
  <w:style w:type="character" w:customStyle="1" w:styleId="a3">
    <w:name w:val="页眉 字符"/>
    <w:basedOn w:val="DefaultParagraphFont"/>
    <w:link w:val="Header"/>
    <w:qFormat/>
    <w:rPr>
      <w:kern w:val="2"/>
      <w:sz w:val="18"/>
      <w:szCs w:val="18"/>
    </w:rPr>
  </w:style>
  <w:style w:type="character" w:customStyle="1" w:styleId="a4">
    <w:name w:val="脚注文本 字符"/>
    <w:basedOn w:val="DefaultParagraphFont"/>
    <w:link w:val="FootnoteText"/>
    <w:semiHidden/>
    <w:qFormat/>
    <w:rPr>
      <w:kern w:val="2"/>
      <w:sz w:val="18"/>
      <w:szCs w:val="18"/>
    </w:rPr>
  </w:style>
  <w:style w:type="character" w:customStyle="1" w:styleId="a5">
    <w:name w:val="批注主题 字符"/>
    <w:basedOn w:val="1"/>
    <w:link w:val="CommentSubject"/>
    <w:semiHidden/>
    <w:qFormat/>
    <w:rPr>
      <w:b/>
      <w:bCs/>
      <w:kern w:val="2"/>
      <w:sz w:val="21"/>
      <w:szCs w:val="24"/>
    </w:rPr>
  </w:style>
  <w:style w:type="character" w:customStyle="1" w:styleId="a6">
    <w:name w:val="批注文字 字符"/>
    <w:basedOn w:val="DefaultParagraphFont"/>
    <w:semiHidden/>
    <w:qFormat/>
    <w:rPr>
      <w:kern w:val="2"/>
      <w:sz w:val="21"/>
      <w:szCs w:val="24"/>
    </w:rPr>
  </w:style>
  <w:style w:type="paragraph" w:customStyle="1" w:styleId="10">
    <w:name w:val="修订1"/>
    <w:uiPriority w:val="99"/>
    <w:semiHidden/>
    <w:qFormat/>
    <w:rPr>
      <w:rFonts w:ascii="Times New Roman" w:eastAsia="宋体" w:hAnsi="Times New Roman" w:cs="Times New Roman"/>
      <w:kern w:val="2"/>
      <w:sz w:val="21"/>
      <w:szCs w:val="24"/>
      <w:lang w:val="en-US" w:eastAsia="zh-CN" w:bidi="ar-SA"/>
    </w:rPr>
  </w:style>
  <w:style w:type="paragraph" w:customStyle="1" w:styleId="11">
    <w:name w:val="列出段落1"/>
    <w:basedOn w:val="Normal"/>
    <w:uiPriority w:val="34"/>
    <w:qFormat/>
    <w:pPr>
      <w:ind w:firstLine="420" w:firstLineChars="200"/>
    </w:pPr>
  </w:style>
  <w:style w:type="paragraph" w:styleId="ListParagraph">
    <w:name w:val="List Paragraph"/>
    <w:basedOn w:val="Normal"/>
    <w:uiPriority w:val="34"/>
    <w:qFormat/>
    <w:pPr>
      <w:ind w:firstLine="420" w:firstLineChars="200"/>
    </w:pPr>
  </w:style>
  <w:style w:type="paragraph" w:customStyle="1" w:styleId="12">
    <w:name w:val="列表段落1"/>
    <w:basedOn w:val="Normal"/>
    <w:uiPriority w:val="34"/>
    <w:qFormat/>
    <w:pPr>
      <w:ind w:firstLine="420" w:firstLineChars="200"/>
    </w:pPr>
  </w:style>
  <w:style w:type="character" w:customStyle="1" w:styleId="13">
    <w:name w:val="标题 1 字符"/>
    <w:basedOn w:val="DefaultParagraphFont"/>
    <w:link w:val="Heading1"/>
    <w:qFormat/>
    <w:rPr>
      <w:b/>
      <w:bCs/>
      <w:kern w:val="44"/>
      <w:sz w:val="44"/>
      <w:szCs w:val="44"/>
    </w:rPr>
  </w:style>
  <w:style w:type="character" w:customStyle="1" w:styleId="2">
    <w:name w:val="标题 2 字符"/>
    <w:basedOn w:val="DefaultParagraphFont"/>
    <w:link w:val="Heading2"/>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11289</Words>
  <Characters>13113</Characters>
  <Application>Microsoft Office Word</Application>
  <DocSecurity>0</DocSecurity>
  <Lines>172</Lines>
  <Paragraphs>48</Paragraphs>
  <ScaleCrop>false</ScaleCrop>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施海平</cp:lastModifiedBy>
  <cp:revision>10</cp:revision>
  <cp:lastPrinted>2023-03-19T17:17:00Z</cp:lastPrinted>
  <dcterms:created xsi:type="dcterms:W3CDTF">2024-03-02T07:44:00Z</dcterms:created>
  <dcterms:modified xsi:type="dcterms:W3CDTF">2024-06-03T19:53:36Z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F7DA2F8A4D4C7FB4C0AE5D6606FC9C39</vt:lpwstr>
  </property>
  <property fmtid="{D5CDD505-2E9C-101B-9397-08002B2CF9AE}" pid="3" name="KSOProductBuildVer">
    <vt:lpwstr>2052-11.8.2.11961</vt:lpwstr>
  </property>
</Properties>
</file>