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2024年恩平市危险废物处置场地下水基础环境状况调查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评估项目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评分表</w:t>
      </w:r>
    </w:p>
    <w:tbl>
      <w:tblPr>
        <w:tblStyle w:val="8"/>
        <w:tblW w:w="9181" w:type="dxa"/>
        <w:tblInd w:w="-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553"/>
        <w:gridCol w:w="6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61" w:type="dxa"/>
            <w:gridSpan w:val="2"/>
          </w:tcPr>
          <w:p>
            <w:pPr>
              <w:pStyle w:val="7"/>
              <w:spacing w:before="61" w:line="219" w:lineRule="auto"/>
              <w:ind w:left="718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评审内容</w:t>
            </w:r>
          </w:p>
        </w:tc>
        <w:tc>
          <w:tcPr>
            <w:tcW w:w="6220" w:type="dxa"/>
          </w:tcPr>
          <w:p>
            <w:pPr>
              <w:pStyle w:val="7"/>
              <w:spacing w:before="61" w:line="220" w:lineRule="auto"/>
              <w:ind w:left="2366"/>
              <w:rPr>
                <w:sz w:val="23"/>
                <w:szCs w:val="23"/>
              </w:rPr>
            </w:pPr>
            <w:r>
              <w:rPr>
                <w:b/>
                <w:bCs/>
                <w:spacing w:val="1"/>
                <w:sz w:val="23"/>
                <w:szCs w:val="23"/>
              </w:rPr>
              <w:t>评审准则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Arial"/>
              </w:rPr>
            </w:pPr>
          </w:p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技术评分</w:t>
            </w:r>
          </w:p>
          <w:p>
            <w:pPr>
              <w:pStyle w:val="7"/>
              <w:jc w:val="center"/>
              <w:rPr>
                <w:rFonts w:ascii="Arial"/>
                <w:sz w:val="21"/>
              </w:rPr>
            </w:pPr>
            <w:r>
              <w:rPr>
                <w:spacing w:val="5"/>
                <w:sz w:val="23"/>
                <w:szCs w:val="23"/>
              </w:rPr>
              <w:t>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60分</w:t>
            </w:r>
            <w:r>
              <w:rPr>
                <w:spacing w:val="5"/>
                <w:sz w:val="23"/>
                <w:szCs w:val="23"/>
              </w:rPr>
              <w:t xml:space="preserve"> )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310" w:lineRule="exact"/>
              <w:jc w:val="center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项目理解</w:t>
            </w:r>
          </w:p>
          <w:p>
            <w:pPr>
              <w:pStyle w:val="7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(</w:t>
            </w:r>
            <w:r>
              <w:rPr>
                <w:rFonts w:hint="eastAsia"/>
                <w:spacing w:val="10"/>
                <w:sz w:val="23"/>
                <w:szCs w:val="23"/>
                <w:lang w:eastAsia="zh-CN"/>
              </w:rPr>
              <w:t>20</w:t>
            </w:r>
            <w:r>
              <w:rPr>
                <w:spacing w:val="10"/>
                <w:sz w:val="23"/>
                <w:szCs w:val="23"/>
              </w:rPr>
              <w:t>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对项目背景、目的及要求的熟悉与理解情况进行评</w:t>
            </w:r>
            <w:r>
              <w:rPr>
                <w:spacing w:val="-11"/>
                <w:sz w:val="23"/>
                <w:szCs w:val="23"/>
                <w:lang w:eastAsia="zh-CN"/>
              </w:rPr>
              <w:t>审</w:t>
            </w:r>
            <w:r>
              <w:rPr>
                <w:spacing w:val="-47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-11"/>
                <w:sz w:val="23"/>
                <w:szCs w:val="23"/>
                <w:lang w:eastAsia="zh-CN"/>
              </w:rPr>
              <w:t>：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1.熟悉项目背景，对目的及要求理解透彻完整，阐述</w:t>
            </w:r>
            <w:r>
              <w:rPr>
                <w:spacing w:val="8"/>
                <w:sz w:val="23"/>
                <w:szCs w:val="23"/>
                <w:lang w:eastAsia="zh-CN"/>
              </w:rPr>
              <w:t>清晰具体，得1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6</w:t>
            </w:r>
            <w:r>
              <w:rPr>
                <w:spacing w:val="8"/>
                <w:sz w:val="23"/>
                <w:szCs w:val="23"/>
                <w:lang w:eastAsia="zh-CN"/>
              </w:rPr>
              <w:t>-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20</w:t>
            </w:r>
            <w:r>
              <w:rPr>
                <w:spacing w:val="8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2.较为熟悉项目背景，对项目目的及要求理解较为到</w:t>
            </w:r>
            <w:r>
              <w:rPr>
                <w:spacing w:val="6"/>
                <w:sz w:val="23"/>
                <w:szCs w:val="23"/>
                <w:lang w:eastAsia="zh-CN"/>
              </w:rPr>
              <w:t>位，阐述较为清晰具体，得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11</w:t>
            </w:r>
            <w:r>
              <w:rPr>
                <w:spacing w:val="6"/>
                <w:sz w:val="23"/>
                <w:szCs w:val="23"/>
                <w:lang w:eastAsia="zh-CN"/>
              </w:rPr>
              <w:t>-1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3.基本熟悉项目背景，对项目目的及要求的理解较浅</w:t>
            </w:r>
            <w:r>
              <w:rPr>
                <w:spacing w:val="6"/>
                <w:sz w:val="23"/>
                <w:szCs w:val="23"/>
                <w:lang w:eastAsia="zh-CN"/>
              </w:rPr>
              <w:t>显，阐述不够清晰具体，得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spacing w:val="6"/>
                <w:sz w:val="23"/>
                <w:szCs w:val="23"/>
                <w:lang w:eastAsia="zh-CN"/>
              </w:rPr>
              <w:t>-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4.未提供相关表述不得分。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1408" w:type="dxa"/>
            <w:vMerge w:val="continue"/>
            <w:tcBorders/>
            <w:vAlign w:val="center"/>
          </w:tcPr>
          <w:p>
            <w:pPr>
              <w:pStyle w:val="7"/>
              <w:jc w:val="center"/>
              <w:rPr>
                <w:rFonts w:ascii="Arial"/>
                <w:sz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349" w:lineRule="exact"/>
              <w:jc w:val="center"/>
              <w:rPr>
                <w:sz w:val="23"/>
                <w:szCs w:val="23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>工作方案</w:t>
            </w:r>
          </w:p>
          <w:p>
            <w:pPr>
              <w:pStyle w:val="7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(20分)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对提供的工作方案科学合理性、内容完整性、操作性、进度安排等情况进行评审；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1.工作方案科学、合理，思路清晰，内容完整，重点突出，进度安排可行，操作性强，能很好地满足采购需求，得16-20分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2.工作方案较科学、合理，思路基本清晰，内容较完整，重点较突出，进度安排可行，可操作性较强，能较好地满足采购需求，得11-15分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3.工作方案基本科学、合理，思路基本清晰，内容完整但不够详尽，进度安排可行，可操作性一般，能基本满足采购需求，得6-10分：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4.工作方案科学性、合理性较差，思路较模糊，内容不完整，进度安排可行性较差，可操作性较差，无法满足采购需求，得1-5分。</w:t>
            </w:r>
          </w:p>
          <w:p>
            <w:pPr>
              <w:pStyle w:val="7"/>
              <w:ind w:left="105" w:leftChars="5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4.未提供方案不得分。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vMerge w:val="continue"/>
            <w:tcBorders/>
            <w:vAlign w:val="center"/>
          </w:tcPr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</w:p>
        </w:tc>
        <w:tc>
          <w:tcPr>
            <w:tcW w:w="1553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left="105" w:leftChars="50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项目进度计划和保障措施（10分）</w:t>
            </w:r>
          </w:p>
        </w:tc>
        <w:tc>
          <w:tcPr>
            <w:tcW w:w="6220" w:type="dxa"/>
            <w:vAlign w:val="center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对提供的工作进度计划和进度保障措施的科学合理性、明确性进行评审：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1.方案全面、科学合理，针对性和可操作性强，得10分；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 xml:space="preserve">2.方案较全面 ，针对性和可操作性较强，得7分； 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3.方案基本完整，针对性和可操作性一般，得4分；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4.未提供工作进度计划和进度保障措施不得分。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140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105" w:leftChars="50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服务保障措施及承诺</w:t>
            </w:r>
          </w:p>
          <w:p>
            <w:pPr>
              <w:pStyle w:val="7"/>
              <w:ind w:left="105" w:leftChars="50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（10分）</w:t>
            </w:r>
          </w:p>
        </w:tc>
        <w:tc>
          <w:tcPr>
            <w:tcW w:w="6220" w:type="dxa"/>
            <w:vAlign w:val="center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对服务保障措施及承诺的科学合理性、明确性进行评审：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项目服务保障措施科学合理，服务承诺清晰明确，得10分；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项目服务保障措施基本合理可行，服务承诺比较清晰明确，得7分；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3.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项目服务保障措施不合理不可行，服务承诺不明确，得4分；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4.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未提供服务保障措施及承诺不得分。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商务评分</w:t>
            </w:r>
          </w:p>
          <w:p>
            <w:pPr>
              <w:pStyle w:val="7"/>
              <w:jc w:val="center"/>
              <w:rPr>
                <w:spacing w:val="-7"/>
                <w:sz w:val="24"/>
              </w:rPr>
            </w:pPr>
            <w:r>
              <w:rPr>
                <w:spacing w:val="5"/>
                <w:sz w:val="23"/>
                <w:szCs w:val="23"/>
              </w:rPr>
              <w:t>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3</w:t>
            </w:r>
            <w:r>
              <w:rPr>
                <w:spacing w:val="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分)</w:t>
            </w: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服务团队人员配置情况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（10分）</w:t>
            </w:r>
          </w:p>
        </w:tc>
        <w:tc>
          <w:tcPr>
            <w:tcW w:w="6220" w:type="dxa"/>
            <w:vAlign w:val="center"/>
          </w:tcPr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1.项目负责人具有生态环境相关专业的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高级工程师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得3分；具有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生态环境相关专业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中级职称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的得1分；其他不得分。此项最高得3分。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2.项目团队技术人员情况（不含项目负责人）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(1)具有生态环境相关专业职称的技术人员，每人得2分，此小项最高得4分；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(2)具有生态环境相关专业的技术人员职称，每人1分，此小项最高得3分；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其他不得分，上述(1)、(2)两项累加最高得7分。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注：须提供相关职称证书复印件加盖投标人公章，以及投标截止之日前三个月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内连续两个月</w:t>
            </w: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在本单位购买的社保证明复印件，否则不得分。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408" w:type="dxa"/>
            <w:vMerge w:val="continue"/>
            <w:tcBorders/>
            <w:vAlign w:val="center"/>
          </w:tcPr>
          <w:p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>同类项目业绩 (</w:t>
            </w:r>
            <w:r>
              <w:rPr>
                <w:rFonts w:hint="eastAsia"/>
                <w:spacing w:val="2"/>
                <w:position w:val="8"/>
                <w:sz w:val="23"/>
                <w:szCs w:val="23"/>
                <w:lang w:eastAsia="zh-CN"/>
              </w:rPr>
              <w:t>8</w:t>
            </w:r>
            <w:r>
              <w:rPr>
                <w:spacing w:val="2"/>
                <w:position w:val="8"/>
                <w:sz w:val="23"/>
                <w:szCs w:val="23"/>
              </w:rPr>
              <w:t>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投标人自2020年1月1日以来承担过同类项目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val="en-US" w:eastAsia="zh-CN"/>
              </w:rPr>
              <w:t>场地调查或者其他类评估咨询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项目的，每提供1项得2分，本小项最高得8分。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注：提供项目合同复印件（加盖投标人公章，否则不得分，同一个合同具有上述多项内容的不重复计分，只按最高得分计一次）。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408" w:type="dxa"/>
            <w:vMerge w:val="continue"/>
            <w:tcBorders/>
            <w:vAlign w:val="center"/>
          </w:tcPr>
          <w:p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>应急服务响应 (</w:t>
            </w:r>
            <w:r>
              <w:rPr>
                <w:rFonts w:hint="eastAsia"/>
                <w:spacing w:val="2"/>
                <w:position w:val="8"/>
                <w:sz w:val="23"/>
                <w:szCs w:val="23"/>
                <w:lang w:eastAsia="zh-CN"/>
              </w:rPr>
              <w:t>6</w:t>
            </w:r>
            <w:r>
              <w:rPr>
                <w:spacing w:val="2"/>
                <w:position w:val="8"/>
                <w:sz w:val="23"/>
                <w:szCs w:val="23"/>
              </w:rPr>
              <w:t>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采购人有应急服务通知中标单位时，中标单位须承诺在接到采购人通知后到达采购人指定地点的时间：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1.承诺在40分钟（含）内到达，得6分；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2.承诺在40分钟（不含）至90分钟（含）内到达，得3分；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3.承诺到达时间大于90分钟，或未承诺到达时间，不得分。（须提供承诺函、百度地图截图，且承诺内容需经评标委员会认定符合常理，无相关承诺不得分。)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1408" w:type="dxa"/>
            <w:vMerge w:val="continue"/>
            <w:tcBorders/>
            <w:vAlign w:val="center"/>
          </w:tcPr>
          <w:p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2"/>
                <w:position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position w:val="8"/>
                <w:sz w:val="23"/>
                <w:szCs w:val="23"/>
              </w:rPr>
              <w:t>管理制度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2"/>
                <w:position w:val="8"/>
                <w:sz w:val="23"/>
                <w:szCs w:val="23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2"/>
                <w:position w:val="8"/>
                <w:sz w:val="23"/>
                <w:szCs w:val="23"/>
              </w:rPr>
              <w:t>（6分）</w:t>
            </w:r>
          </w:p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6220" w:type="dxa"/>
          </w:tcPr>
          <w:p>
            <w:pPr>
              <w:widowControl/>
              <w:ind w:left="105" w:leftChars="50"/>
              <w:jc w:val="left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根据各供应商具备完善的自身内部管理架构、运行管理制度、档案管理报送制度、项目操作流程管理制度、财务管理制度、自查评估制度情况进行评价：</w:t>
            </w:r>
          </w:p>
          <w:p>
            <w:pPr>
              <w:widowControl/>
              <w:ind w:left="105" w:leftChars="50"/>
              <w:jc w:val="left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管理制度完善，有利于项目执行的得6分；管理制度尚可，对本项目实施会有一定帮助的得4分；管理制度针对性较低，对项目实施影响不大的得2分；无相关制度的或没有提供资料的不得分。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5"/>
                <w:sz w:val="23"/>
                <w:szCs w:val="23"/>
              </w:rPr>
              <w:t>价格评分(10分)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满足招标文件要求且价格最低的投标价为基准价，其价格分为满分。其他投标人的价格分统一按照下列公式计算：价格分=(基准价/投标报价)×价格权值×100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5892141"/>
    <w:rsid w:val="00481355"/>
    <w:rsid w:val="007D7C46"/>
    <w:rsid w:val="00965FA5"/>
    <w:rsid w:val="0D6B65DA"/>
    <w:rsid w:val="244C3A3D"/>
    <w:rsid w:val="35892141"/>
    <w:rsid w:val="38DB28A5"/>
    <w:rsid w:val="4FE51048"/>
    <w:rsid w:val="7EB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1548</Words>
  <Characters>1637</Characters>
  <Lines>12</Lines>
  <Paragraphs>3</Paragraphs>
  <TotalTime>5</TotalTime>
  <ScaleCrop>false</ScaleCrop>
  <LinksUpToDate>false</LinksUpToDate>
  <CharactersWithSpaces>1649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2024-05-20T07:22:00Z</dcterms:created>
  <dc:creator>ヾ銘⌒ァ風ㄗ</dc:creator>
  <cp:lastModifiedBy>Administrator</cp:lastModifiedBy>
  <cp:lastPrinted>2024-06-14T01:51:00Z</cp:lastPrinted>
  <dcterms:modified xsi:type="dcterms:W3CDTF">2024-06-14T08:09:16Z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DF8BA08975244105B446F1B1A883E9B5_13</vt:lpwstr>
  </property>
</Properties>
</file>